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8.jpeg" ContentType="image/jpeg"/>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22.jpeg" ContentType="image/jpeg"/>
  <Override PartName="/word/media/image10.jpeg" ContentType="image/jpeg"/>
  <Override PartName="/word/media/image1.jpeg" ContentType="image/jpeg"/>
  <Override PartName="/word/media/image35.jpeg" ContentType="image/jpeg"/>
  <Override PartName="/word/media/image11.jpeg" ContentType="image/jpeg"/>
  <Override PartName="/word/media/image9.jpeg" ContentType="image/jpeg"/>
  <Override PartName="/word/media/image13.jpeg" ContentType="image/jpeg"/>
  <Override PartName="/word/media/image12.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29.jpeg" ContentType="image/jpeg"/>
  <Override PartName="/word/media/image7.gif" ContentType="image/gif"/>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5.gif" ContentType="image/gif"/>
  <Override PartName="/word/media/image14.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333393d2_def14a.htm"/>
        <w:bookmarkStart w:id="1" w:name="kstm2333393d2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840" w:after="283"/>
        <w:ind w:left="720" w:right="0" w:hanging="0"/>
        <w:jc w:val="center"/>
        <w:rPr>
          <w:rFonts w:ascii="Helvetica;Arial;sans-serif" w:hAnsi="Helvetica;Arial;sans-serif"/>
          <w:b/>
          <w:i w:val="false"/>
          <w:caps w:val="false"/>
          <w:smallCaps w:val="false"/>
          <w:color w:val="000000"/>
          <w:sz w:val="18"/>
        </w:rPr>
      </w:pPr>
      <w:r>
        <w:rPr>
          <w:rFonts w:ascii="Helvetica;Arial;sans-serif" w:hAnsi="Helvetica;Arial;sans-serif"/>
          <w:b/>
          <w:i w:val="false"/>
          <w:caps w:val="false"/>
          <w:smallCaps w:val="false"/>
          <w:color w:val="000000"/>
          <w:sz w:val="18"/>
        </w:rPr>
        <w:t xml:space="preserve">UNITED STATES </w:t>
        <w:br/>
        <w:t xml:space="preserve">SECURITIES AND EXCHANGE COMMISSION </w:t>
        <w:br/>
        <w:t>Washington, D.C. 20549</w:t>
      </w:r>
      <w:r>
        <w:rPr>
          <w:rFonts w:ascii="Helvetica;Arial;sans-serif" w:hAnsi="Helvetica;Arial;sans-serif"/>
          <w:b/>
          <w:i w:val="false"/>
          <w:caps w:val="false"/>
          <w:smallCaps w:val="false"/>
          <w:color w:val="000000"/>
          <w:spacing w:val="4"/>
          <w:sz w:val="18"/>
        </w:rPr>
        <w:t xml:space="preserve"> </w:t>
      </w:r>
    </w:p>
    <w:p>
      <w:pPr>
        <w:pStyle w:val="TextBody"/>
        <w:bidi w:val="0"/>
        <w:spacing w:lineRule="atLeast" w:line="340" w:before="160" w:after="283"/>
        <w:jc w:val="center"/>
        <w:rPr>
          <w:rFonts w:ascii="Helvetica;Arial;sans-serif" w:hAnsi="Helvetica;Arial;sans-serif"/>
          <w:b/>
          <w:i w:val="false"/>
          <w:caps w:val="false"/>
          <w:smallCaps w:val="false"/>
          <w:color w:val="000000"/>
          <w:sz w:val="28"/>
        </w:rPr>
      </w:pPr>
      <w:r>
        <w:rPr>
          <w:rFonts w:ascii="Helvetica;Arial;sans-serif" w:hAnsi="Helvetica;Arial;sans-serif"/>
          <w:b/>
          <w:i w:val="false"/>
          <w:caps w:val="false"/>
          <w:smallCaps w:val="false"/>
          <w:color w:val="000000"/>
          <w:sz w:val="28"/>
        </w:rPr>
        <w:t>SCHEDULE 14A INFORMATION</w:t>
      </w:r>
      <w:r>
        <w:rPr>
          <w:rFonts w:ascii="Helvetica;Arial;sans-serif" w:hAnsi="Helvetica;Arial;sans-serif"/>
          <w:b/>
          <w:i w:val="false"/>
          <w:caps w:val="false"/>
          <w:smallCaps w:val="false"/>
          <w:color w:val="000000"/>
          <w:spacing w:val="6"/>
          <w:sz w:val="28"/>
        </w:rPr>
        <w:t xml:space="preserve"> </w:t>
      </w:r>
    </w:p>
    <w:p>
      <w:pPr>
        <w:pStyle w:val="TextBody"/>
        <w:bidi w:val="0"/>
        <w:spacing w:lineRule="atLeast" w:line="240" w:before="160" w:after="283"/>
        <w:jc w:val="center"/>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Proxy Statement Pursuant to Section 14(a) of </w:t>
        <w:br/>
        <w:t>the Securities Exchange Act of 1934</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Filed by the Registrant ☒</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Filed by a Party other than the Registrant ☐</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Check the appropriate box:</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160" w:after="0"/>
        <w:ind w:left="11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Preliminary Proxy Statement</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1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i w:val="false"/>
          <w:caps w:val="false"/>
          <w:smallCaps w:val="false"/>
          <w:color w:val="000000"/>
          <w:sz w:val="18"/>
        </w:rPr>
        <w:t>Confidential, for Use of the Commission Only (as permitted by Rule 14a-6(e)(2))</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1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Definitive Proxy Statement</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1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Definitive Additional Materials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1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Soliciting Material under § 240.14a-12</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before="220" w:after="283"/>
        <w:jc w:val="center"/>
        <w:rPr>
          <w:caps w:val="false"/>
          <w:smallCaps w:val="false"/>
          <w:color w:val="000000"/>
        </w:rPr>
      </w:pPr>
      <w:r>
        <w:rPr>
          <w:caps w:val="false"/>
          <w:smallCaps w:val="false"/>
          <w:color w:val="000000"/>
        </w:rPr>
        <w:drawing>
          <wp:inline distT="0" distB="0" distL="0" distR="0">
            <wp:extent cx="3933825" cy="25717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3933825" cy="2571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80" w:after="283"/>
        <w:jc w:val="center"/>
        <w:rPr>
          <w:rFonts w:ascii="Helvetica;Arial;sans-serif" w:hAnsi="Helvetica;Arial;sans-serif"/>
          <w:b/>
          <w:i w:val="false"/>
          <w:caps w:val="false"/>
          <w:smallCaps w:val="false"/>
          <w:color w:val="000000"/>
          <w:sz w:val="18"/>
        </w:rPr>
      </w:pPr>
      <w:r>
        <w:rPr>
          <w:rFonts w:ascii="Helvetica;Arial;sans-serif" w:hAnsi="Helvetica;Arial;sans-serif"/>
          <w:b/>
          <w:i w:val="false"/>
          <w:caps w:val="false"/>
          <w:smallCaps w:val="false"/>
          <w:color w:val="000000"/>
          <w:sz w:val="18"/>
        </w:rPr>
        <w:t>Lucid Group, Inc.</w:t>
      </w:r>
    </w:p>
    <w:p>
      <w:pPr>
        <w:pStyle w:val="TextBody"/>
        <w:bidi w:val="0"/>
        <w:spacing w:before="0" w:after="283"/>
        <w:ind w:left="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60" w:after="283"/>
        <w:jc w:val="center"/>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(Name of Registrant as Specified In Its Charter)</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160" w:after="283"/>
        <w:jc w:val="center"/>
        <w:rPr>
          <w:caps w:val="false"/>
          <w:smallCaps w:val="false"/>
          <w:color w:val="000000"/>
        </w:rPr>
      </w:pPr>
      <w:r>
        <w:rPr>
          <w:caps w:val="false"/>
          <w:smallCaps w:val="false"/>
          <w:color w:val="000000"/>
        </w:rPr>
        <w:t> </w:t>
      </w:r>
    </w:p>
    <w:p>
      <w:pPr>
        <w:pStyle w:val="TextBody"/>
        <w:bidi w:val="0"/>
        <w:spacing w:before="0" w:after="283"/>
        <w:ind w:left="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60" w:after="283"/>
        <w:jc w:val="center"/>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(Name of Person(s) Filing Proxy Statement if Other Than the Registrant)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Payment of Filing Fee (Check the appropriate box):</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160" w:after="0"/>
        <w:ind w:left="11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No fee required.</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1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Fee previously paid with preliminary materials.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1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Fee computed on table in exhibit required by Item 25(b) per Exchange Act Rules 14a6(i)(1) and 0-11</w:t>
      </w:r>
      <w:r>
        <mc:AlternateContent>
          <mc:Choice Requires="wps">
            <w:drawing>
              <wp:anchor behindDoc="0" distT="101600" distB="0" distL="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before="127" w:after="283"/>
        <w:ind w:left="0" w:right="0" w:hanging="0"/>
        <w:jc w:val="center"/>
        <w:rPr>
          <w:caps w:val="false"/>
          <w:smallCaps w:val="false"/>
          <w:color w:val="FFFFFF"/>
        </w:rPr>
      </w:pPr>
      <w:r>
        <w:rPr>
          <w:caps w:val="false"/>
          <w:smallCaps w:val="false"/>
          <w:color w:val="FFFFFF"/>
        </w:rPr>
        <w:drawing>
          <wp:inline distT="0" distB="0" distL="0" distR="0">
            <wp:extent cx="7781925" cy="1006792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7781925" cy="10067925"/>
                    </a:xfrm>
                    <a:prstGeom prst="rect">
                      <a:avLst/>
                    </a:prstGeom>
                  </pic:spPr>
                </pic:pic>
              </a:graphicData>
            </a:graphic>
          </wp:inline>
        </w:drawing>
      </w:r>
      <w:r>
        <w:rPr>
          <w:caps w:val="false"/>
          <w:smallCaps w:val="false"/>
          <w:color w:val="FFFFFF"/>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134"/>
        <w:jc w:val="left"/>
        <w:rPr>
          <w:caps w:val="false"/>
          <w:smallCaps w:val="false"/>
          <w:color w:val="000000"/>
        </w:rPr>
      </w:pPr>
      <w:r>
        <w:rPr>
          <w:caps w:val="false"/>
          <w:smallCaps w:val="false"/>
          <w:color w:val="000000"/>
        </w:rPr>
        <w:t>​</w:t>
      </w:r>
      <w:r>
        <mc:AlternateContent>
          <mc:Choice Requires="wps">
            <w:drawing>
              <wp:anchor behindDoc="0" distT="711200" distB="0" distL="381000" distR="0" simplePos="0" locked="0" layoutInCell="1" allowOverlap="1" relativeHeight="40">
                <wp:simplePos x="0" y="0"/>
                <wp:positionH relativeFrom="column">
                  <wp:align>left</wp:align>
                </wp:positionH>
                <wp:positionV relativeFrom="line">
                  <wp:align>top</wp:align>
                </wp:positionV>
                <wp:extent cx="3911600" cy="9972040"/>
                <wp:effectExtent l="0" t="0" r="0" b="0"/>
                <wp:wrapSquare wrapText="right"/>
                <wp:docPr id="11" name="Frame10"/>
                <a:graphic xmlns:a="http://schemas.openxmlformats.org/drawingml/2006/main">
                  <a:graphicData uri="http://schemas.microsoft.com/office/word/2010/wordprocessingShape">
                    <wps:wsp>
                      <wps:cNvSpPr txBox="1"/>
                      <wps:spPr>
                        <a:xfrm>
                          <a:off x="0" y="0"/>
                          <a:ext cx="3911600" cy="9972040"/>
                        </a:xfrm>
                        <a:prstGeom prst="rect"/>
                        <a:solidFill>
                          <a:srgbClr val="FFFFFF"/>
                        </a:solidFill>
                      </wps:spPr>
                      <wps:txbx>
                        <w:txbxContent>
                          <w:p>
                            <w:pPr>
                              <w:pStyle w:val="TextBody"/>
                              <w:bidi w:val="0"/>
                              <w:spacing w:before="0" w:after="0"/>
                              <w:jc w:val="left"/>
                              <w:rPr/>
                            </w:pPr>
                            <w:r>
                              <w:rPr/>
                              <w:drawing>
                                <wp:inline distT="0" distB="0" distL="0" distR="0">
                                  <wp:extent cx="1571625" cy="104775"/>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4"/>
                                          <a:stretch>
                                            <a:fillRect/>
                                          </a:stretch>
                                        </pic:blipFill>
                                        <pic:spPr bwMode="auto">
                                          <a:xfrm>
                                            <a:off x="0" y="0"/>
                                            <a:ext cx="1571625" cy="104775"/>
                                          </a:xfrm>
                                          <a:prstGeom prst="rect">
                                            <a:avLst/>
                                          </a:prstGeom>
                                        </pic:spPr>
                                      </pic:pic>
                                    </a:graphicData>
                                  </a:graphic>
                                </wp:inline>
                              </w:drawing>
                            </w:r>
                            <w:r>
                              <w:rPr/>
                              <w:t xml:space="preserve"> </w:t>
                            </w:r>
                          </w:p>
                          <w:p>
                            <w:pPr>
                              <w:pStyle w:val="TextBody"/>
                              <w:bidi w:val="0"/>
                              <w:spacing w:lineRule="atLeast" w:line="240" w:before="420" w:after="283"/>
                              <w:ind w:left="0" w:right="0" w:hanging="0"/>
                              <w:jc w:val="left"/>
                              <w:rPr/>
                            </w:pPr>
                            <w:r>
                              <w:rPr/>
                              <w:t>Dear Stockholders,</w:t>
                            </w:r>
                            <w:r>
                              <w:rPr>
                                <w:spacing w:val="4"/>
                              </w:rPr>
                              <w:t xml:space="preserve"> </w:t>
                            </w:r>
                          </w:p>
                          <w:p>
                            <w:pPr>
                              <w:pStyle w:val="TextBody"/>
                              <w:bidi w:val="0"/>
                              <w:spacing w:lineRule="atLeast" w:line="240" w:before="240" w:after="283"/>
                              <w:jc w:val="left"/>
                              <w:rPr/>
                            </w:pPr>
                            <w:r>
                              <w:rPr/>
                              <w:t>In 2023, we accomplished a number of goals that we set out to achieve despite many challenges beyond our control. We delivered the Lucid Air Sapphire and the Lucid Air Pure, rounding out an Air lineup that offers an unprecedented breadth of capability. We proved our technology prowess, becoming widely recognized as having the best technology in the world and leading to the formation of our technology license and access business through our first such deal with Aston Martin.</w:t>
                            </w:r>
                            <w:r>
                              <w:rPr>
                                <w:spacing w:val="4"/>
                              </w:rPr>
                              <w:t xml:space="preserve"> </w:t>
                            </w:r>
                          </w:p>
                          <w:p>
                            <w:pPr>
                              <w:pStyle w:val="TextBody"/>
                              <w:bidi w:val="0"/>
                              <w:spacing w:lineRule="atLeast" w:line="240" w:before="240" w:after="283"/>
                              <w:jc w:val="left"/>
                              <w:rPr/>
                            </w:pPr>
                            <w:r>
                              <w:rPr/>
                              <w:t>We are embarking on our next and most transformational phase of our development as a company with a focus on growth into new and larger vehicle market segments. We unveiled the Lucid Gravity electric sport utility vehicle at the LA Auto Show to widespread critical acclaim. I know many of you share my optimism as we enter a significantly larger and fast-growing SUV segment. And work is well underway for our most price-attainable midsize vehicle and next-generation powertrain, which will further expand our total addressable market.</w:t>
                            </w:r>
                            <w:r>
                              <w:rPr>
                                <w:spacing w:val="4"/>
                              </w:rPr>
                              <w:t xml:space="preserve"> </w:t>
                            </w:r>
                          </w:p>
                          <w:p>
                            <w:pPr>
                              <w:pStyle w:val="TextBody"/>
                              <w:bidi w:val="0"/>
                              <w:spacing w:lineRule="atLeast" w:line="240" w:before="240" w:after="283"/>
                              <w:jc w:val="left"/>
                              <w:rPr/>
                            </w:pPr>
                            <w:r>
                              <w:rPr/>
                              <w:t>The world needs sustainable solutions that make the best use of its resources, and our advanced technology enables our cars to go further, with less battery than the competition. Lucid is playing a critical role in developing those solutions and, as we continue to grow as an organization, we are paving a pathway to a more innovative and environmentally sustainable future.</w:t>
                            </w:r>
                            <w:r>
                              <w:rPr>
                                <w:spacing w:val="4"/>
                              </w:rPr>
                              <w:t xml:space="preserve"> </w:t>
                            </w:r>
                          </w:p>
                          <w:p>
                            <w:pPr>
                              <w:pStyle w:val="TextBody"/>
                              <w:bidi w:val="0"/>
                              <w:spacing w:lineRule="atLeast" w:line="240" w:before="240" w:after="283"/>
                              <w:jc w:val="left"/>
                              <w:rPr/>
                            </w:pPr>
                            <w:r>
                              <w:rPr/>
                              <w:t>Looking ahead, we remain optimistic about the future. We are confident in our ability to adapt and thrive in rapidly evolving environments and we will continue to prioritize innovation, sustainability, cost optimization, and customer-centricity as we pursue larger opportunities for growth and value creation.</w:t>
                            </w:r>
                            <w:r>
                              <w:rPr>
                                <w:spacing w:val="4"/>
                              </w:rPr>
                              <w:t xml:space="preserve"> </w:t>
                            </w:r>
                          </w:p>
                          <w:p>
                            <w:pPr>
                              <w:pStyle w:val="TextBody"/>
                              <w:bidi w:val="0"/>
                              <w:spacing w:lineRule="atLeast" w:line="240" w:before="240" w:after="283"/>
                              <w:jc w:val="left"/>
                              <w:rPr/>
                            </w:pPr>
                            <w:r>
                              <w:rPr/>
                              <w:t>As stockholders, your unwavering support and confidence in our vision are paramount to our success. On behalf of the entire Lucid team, I would like to express my heartfelt gratitude for your continued trust and investment in our company. Together, we strive to build a brighter future and deliver sustainable value for all our stakeholders.</w:t>
                            </w:r>
                            <w:r>
                              <w:rPr>
                                <w:spacing w:val="4"/>
                              </w:rPr>
                              <w:t xml:space="preserve"> </w:t>
                            </w:r>
                          </w:p>
                          <w:p>
                            <w:pPr>
                              <w:pStyle w:val="TextBody"/>
                              <w:bidi w:val="0"/>
                              <w:spacing w:lineRule="atLeast" w:line="240" w:before="240" w:after="283"/>
                              <w:jc w:val="left"/>
                              <w:rPr/>
                            </w:pPr>
                            <w:r>
                              <w:rPr/>
                              <w:t>Sincerely,</w:t>
                            </w:r>
                          </w:p>
                          <w:p>
                            <w:pPr>
                              <w:pStyle w:val="TextBody"/>
                              <w:bidi w:val="0"/>
                              <w:spacing w:before="300" w:after="283"/>
                              <w:jc w:val="left"/>
                              <w:rPr/>
                            </w:pPr>
                            <w:r>
                              <w:rPr/>
                              <w:drawing>
                                <wp:inline distT="0" distB="0" distL="0" distR="0">
                                  <wp:extent cx="2190750" cy="60960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5"/>
                                          <a:stretch>
                                            <a:fillRect/>
                                          </a:stretch>
                                        </pic:blipFill>
                                        <pic:spPr bwMode="auto">
                                          <a:xfrm>
                                            <a:off x="0" y="0"/>
                                            <a:ext cx="2190750" cy="609600"/>
                                          </a:xfrm>
                                          <a:prstGeom prst="rect">
                                            <a:avLst/>
                                          </a:prstGeom>
                                        </pic:spPr>
                                      </pic:pic>
                                    </a:graphicData>
                                  </a:graphic>
                                </wp:inline>
                              </w:drawing>
                            </w:r>
                            <w:r>
                              <w:rPr/>
                              <w:t xml:space="preserve"> </w:t>
                            </w:r>
                          </w:p>
                          <w:p>
                            <w:pPr>
                              <w:pStyle w:val="TextBody"/>
                              <w:bidi w:val="0"/>
                              <w:spacing w:lineRule="atLeast" w:line="240" w:before="360" w:after="283"/>
                              <w:jc w:val="left"/>
                              <w:rPr/>
                            </w:pPr>
                            <w:r>
                              <w:rPr>
                                <w:b/>
                              </w:rPr>
                              <w:t>Peter Rawlinson</w:t>
                            </w:r>
                            <w:r>
                              <w:rPr/>
                              <w:t xml:space="preserve"> </w:t>
                              <w:br/>
                              <w:t xml:space="preserve">Chief Executive Officer and </w:t>
                              <w:br/>
                              <w:t>Chief Technology Officer</w:t>
                            </w:r>
                          </w:p>
                        </w:txbxContent>
                      </wps:txbx>
                      <wps:bodyPr anchor="t" lIns="0" tIns="0" rIns="0" bIns="0">
                        <a:noAutofit/>
                      </wps:bodyPr>
                    </wps:wsp>
                  </a:graphicData>
                </a:graphic>
              </wp:anchor>
            </w:drawing>
          </mc:Choice>
          <mc:Fallback>
            <w:pict>
              <v:rect style="position:absolute;rotation:-0;width:308pt;height:785.2pt;mso-wrap-distance-left:30pt;mso-wrap-distance-right:0pt;mso-wrap-distance-top:56pt;mso-wrap-distance-bottom:0pt;margin-top:56pt;mso-position-vertical:top;mso-position-vertical-relative:text;margin-left:30pt;mso-position-horizontal:left;mso-position-horizontal-relative:text">
                <v:textbox>
                  <w:txbxContent>
                    <w:p>
                      <w:pPr>
                        <w:pStyle w:val="TextBody"/>
                        <w:bidi w:val="0"/>
                        <w:spacing w:before="0" w:after="0"/>
                        <w:jc w:val="left"/>
                        <w:rPr/>
                      </w:pPr>
                      <w:r>
                        <w:rPr/>
                        <w:drawing>
                          <wp:inline distT="0" distB="0" distL="0" distR="0">
                            <wp:extent cx="1571625" cy="104775"/>
                            <wp:effectExtent l="0" t="0" r="0" b="0"/>
                            <wp:docPr id="1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 descr=""/>
                                    <pic:cNvPicPr>
                                      <a:picLocks noChangeAspect="1" noChangeArrowheads="1"/>
                                    </pic:cNvPicPr>
                                  </pic:nvPicPr>
                                  <pic:blipFill>
                                    <a:blip r:embed="rId6"/>
                                    <a:stretch>
                                      <a:fillRect/>
                                    </a:stretch>
                                  </pic:blipFill>
                                  <pic:spPr bwMode="auto">
                                    <a:xfrm>
                                      <a:off x="0" y="0"/>
                                      <a:ext cx="1571625" cy="104775"/>
                                    </a:xfrm>
                                    <a:prstGeom prst="rect">
                                      <a:avLst/>
                                    </a:prstGeom>
                                  </pic:spPr>
                                </pic:pic>
                              </a:graphicData>
                            </a:graphic>
                          </wp:inline>
                        </w:drawing>
                      </w:r>
                      <w:r>
                        <w:rPr/>
                        <w:t xml:space="preserve"> </w:t>
                      </w:r>
                    </w:p>
                    <w:p>
                      <w:pPr>
                        <w:pStyle w:val="TextBody"/>
                        <w:bidi w:val="0"/>
                        <w:spacing w:lineRule="atLeast" w:line="240" w:before="420" w:after="283"/>
                        <w:ind w:left="0" w:right="0" w:hanging="0"/>
                        <w:jc w:val="left"/>
                        <w:rPr/>
                      </w:pPr>
                      <w:r>
                        <w:rPr/>
                        <w:t>Dear Stockholders,</w:t>
                      </w:r>
                      <w:r>
                        <w:rPr>
                          <w:spacing w:val="4"/>
                        </w:rPr>
                        <w:t xml:space="preserve"> </w:t>
                      </w:r>
                    </w:p>
                    <w:p>
                      <w:pPr>
                        <w:pStyle w:val="TextBody"/>
                        <w:bidi w:val="0"/>
                        <w:spacing w:lineRule="atLeast" w:line="240" w:before="240" w:after="283"/>
                        <w:jc w:val="left"/>
                        <w:rPr/>
                      </w:pPr>
                      <w:r>
                        <w:rPr/>
                        <w:t>In 2023, we accomplished a number of goals that we set out to achieve despite many challenges beyond our control. We delivered the Lucid Air Sapphire and the Lucid Air Pure, rounding out an Air lineup that offers an unprecedented breadth of capability. We proved our technology prowess, becoming widely recognized as having the best technology in the world and leading to the formation of our technology license and access business through our first such deal with Aston Martin.</w:t>
                      </w:r>
                      <w:r>
                        <w:rPr>
                          <w:spacing w:val="4"/>
                        </w:rPr>
                        <w:t xml:space="preserve"> </w:t>
                      </w:r>
                    </w:p>
                    <w:p>
                      <w:pPr>
                        <w:pStyle w:val="TextBody"/>
                        <w:bidi w:val="0"/>
                        <w:spacing w:lineRule="atLeast" w:line="240" w:before="240" w:after="283"/>
                        <w:jc w:val="left"/>
                        <w:rPr/>
                      </w:pPr>
                      <w:r>
                        <w:rPr/>
                        <w:t>We are embarking on our next and most transformational phase of our development as a company with a focus on growth into new and larger vehicle market segments. We unveiled the Lucid Gravity electric sport utility vehicle at the LA Auto Show to widespread critical acclaim. I know many of you share my optimism as we enter a significantly larger and fast-growing SUV segment. And work is well underway for our most price-attainable midsize vehicle and next-generation powertrain, which will further expand our total addressable market.</w:t>
                      </w:r>
                      <w:r>
                        <w:rPr>
                          <w:spacing w:val="4"/>
                        </w:rPr>
                        <w:t xml:space="preserve"> </w:t>
                      </w:r>
                    </w:p>
                    <w:p>
                      <w:pPr>
                        <w:pStyle w:val="TextBody"/>
                        <w:bidi w:val="0"/>
                        <w:spacing w:lineRule="atLeast" w:line="240" w:before="240" w:after="283"/>
                        <w:jc w:val="left"/>
                        <w:rPr/>
                      </w:pPr>
                      <w:r>
                        <w:rPr/>
                        <w:t>The world needs sustainable solutions that make the best use of its resources, and our advanced technology enables our cars to go further, with less battery than the competition. Lucid is playing a critical role in developing those solutions and, as we continue to grow as an organization, we are paving a pathway to a more innovative and environmentally sustainable future.</w:t>
                      </w:r>
                      <w:r>
                        <w:rPr>
                          <w:spacing w:val="4"/>
                        </w:rPr>
                        <w:t xml:space="preserve"> </w:t>
                      </w:r>
                    </w:p>
                    <w:p>
                      <w:pPr>
                        <w:pStyle w:val="TextBody"/>
                        <w:bidi w:val="0"/>
                        <w:spacing w:lineRule="atLeast" w:line="240" w:before="240" w:after="283"/>
                        <w:jc w:val="left"/>
                        <w:rPr/>
                      </w:pPr>
                      <w:r>
                        <w:rPr/>
                        <w:t>Looking ahead, we remain optimistic about the future. We are confident in our ability to adapt and thrive in rapidly evolving environments and we will continue to prioritize innovation, sustainability, cost optimization, and customer-centricity as we pursue larger opportunities for growth and value creation.</w:t>
                      </w:r>
                      <w:r>
                        <w:rPr>
                          <w:spacing w:val="4"/>
                        </w:rPr>
                        <w:t xml:space="preserve"> </w:t>
                      </w:r>
                    </w:p>
                    <w:p>
                      <w:pPr>
                        <w:pStyle w:val="TextBody"/>
                        <w:bidi w:val="0"/>
                        <w:spacing w:lineRule="atLeast" w:line="240" w:before="240" w:after="283"/>
                        <w:jc w:val="left"/>
                        <w:rPr/>
                      </w:pPr>
                      <w:r>
                        <w:rPr/>
                        <w:t>As stockholders, your unwavering support and confidence in our vision are paramount to our success. On behalf of the entire Lucid team, I would like to express my heartfelt gratitude for your continued trust and investment in our company. Together, we strive to build a brighter future and deliver sustainable value for all our stakeholders.</w:t>
                      </w:r>
                      <w:r>
                        <w:rPr>
                          <w:spacing w:val="4"/>
                        </w:rPr>
                        <w:t xml:space="preserve"> </w:t>
                      </w:r>
                    </w:p>
                    <w:p>
                      <w:pPr>
                        <w:pStyle w:val="TextBody"/>
                        <w:bidi w:val="0"/>
                        <w:spacing w:lineRule="atLeast" w:line="240" w:before="240" w:after="283"/>
                        <w:jc w:val="left"/>
                        <w:rPr/>
                      </w:pPr>
                      <w:r>
                        <w:rPr/>
                        <w:t>Sincerely,</w:t>
                      </w:r>
                    </w:p>
                    <w:p>
                      <w:pPr>
                        <w:pStyle w:val="TextBody"/>
                        <w:bidi w:val="0"/>
                        <w:spacing w:before="300" w:after="283"/>
                        <w:jc w:val="left"/>
                        <w:rPr/>
                      </w:pPr>
                      <w:r>
                        <w:rPr/>
                        <w:drawing>
                          <wp:inline distT="0" distB="0" distL="0" distR="0">
                            <wp:extent cx="2190750" cy="609600"/>
                            <wp:effectExtent l="0" t="0" r="0" b="0"/>
                            <wp:docPr id="1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5" descr=""/>
                                    <pic:cNvPicPr>
                                      <a:picLocks noChangeAspect="1" noChangeArrowheads="1"/>
                                    </pic:cNvPicPr>
                                  </pic:nvPicPr>
                                  <pic:blipFill>
                                    <a:blip r:embed="rId7"/>
                                    <a:stretch>
                                      <a:fillRect/>
                                    </a:stretch>
                                  </pic:blipFill>
                                  <pic:spPr bwMode="auto">
                                    <a:xfrm>
                                      <a:off x="0" y="0"/>
                                      <a:ext cx="2190750" cy="609600"/>
                                    </a:xfrm>
                                    <a:prstGeom prst="rect">
                                      <a:avLst/>
                                    </a:prstGeom>
                                  </pic:spPr>
                                </pic:pic>
                              </a:graphicData>
                            </a:graphic>
                          </wp:inline>
                        </w:drawing>
                      </w:r>
                      <w:r>
                        <w:rPr/>
                        <w:t xml:space="preserve"> </w:t>
                      </w:r>
                    </w:p>
                    <w:p>
                      <w:pPr>
                        <w:pStyle w:val="TextBody"/>
                        <w:bidi w:val="0"/>
                        <w:spacing w:lineRule="atLeast" w:line="240" w:before="360" w:after="283"/>
                        <w:jc w:val="left"/>
                        <w:rPr/>
                      </w:pPr>
                      <w:r>
                        <w:rPr>
                          <w:b/>
                        </w:rPr>
                        <w:t>Peter Rawlinson</w:t>
                      </w:r>
                      <w:r>
                        <w:rPr/>
                        <w:t xml:space="preserve"> </w:t>
                        <w:br/>
                        <w:t xml:space="preserve">Chief Executive Officer and </w:t>
                        <w:br/>
                        <w:t>Chief Technology Officer</w:t>
                      </w:r>
                    </w:p>
                  </w:txbxContent>
                </v:textbox>
                <w10:wrap type="square" side="right"/>
              </v:rect>
            </w:pict>
          </mc:Fallback>
        </mc:AlternateConten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2908300" cy="6991985"/>
                <wp:effectExtent l="0" t="0" r="0" b="0"/>
                <wp:wrapSquare wrapText="right"/>
                <wp:docPr id="16" name="Frame9"/>
                <a:graphic xmlns:a="http://schemas.openxmlformats.org/drawingml/2006/main">
                  <a:graphicData uri="http://schemas.microsoft.com/office/word/2010/wordprocessingShape">
                    <wps:wsp>
                      <wps:cNvSpPr txBox="1"/>
                      <wps:spPr>
                        <a:xfrm>
                          <a:off x="0" y="0"/>
                          <a:ext cx="2908300" cy="6991985"/>
                        </a:xfrm>
                        <a:prstGeom prst="rect"/>
                        <a:solidFill>
                          <a:srgbClr val="FFFFFF"/>
                        </a:solidFill>
                        <a:ln w="12700">
                          <a:solidFill>
                            <a:srgbClr val="000000"/>
                          </a:solidFill>
                        </a:ln>
                      </wps:spPr>
                      <wps:txbx>
                        <w:txbxContent>
                          <w:p>
                            <w:pPr>
                              <w:pStyle w:val="TextBody"/>
                              <w:bidi w:val="0"/>
                              <w:spacing w:lineRule="atLeast" w:line="440" w:before="1910" w:after="283"/>
                              <w:ind w:left="900" w:right="0" w:hanging="0"/>
                              <w:jc w:val="left"/>
                              <w:rPr>
                                <w:rFonts w:ascii="Times New Roman;Garamond;serif" w:hAnsi="Times New Roman;Garamond;serif"/>
                                <w:b/>
                                <w:color w:val="FEFEFE"/>
                                <w:sz w:val="40"/>
                              </w:rPr>
                            </w:pPr>
                            <w:r>
                              <w:rPr>
                                <w:rFonts w:ascii="Times New Roman;Garamond;serif" w:hAnsi="Times New Roman;Garamond;serif"/>
                                <w:b/>
                                <w:color w:val="FEFEFE"/>
                                <w:sz w:val="40"/>
                              </w:rPr>
                              <w:t xml:space="preserve">Letter to </w:t>
                              <w:br/>
                              <w:t>Stockholders</w:t>
                            </w:r>
                            <w:r>
                              <w:rPr>
                                <w:rFonts w:ascii="Times New Roman;Garamond;serif" w:hAnsi="Times New Roman;Garamond;serif"/>
                                <w:b/>
                                <w:color w:val="000000"/>
                                <w:sz w:val="40"/>
                              </w:rPr>
                              <w:t>​</w:t>
                            </w:r>
                            <w:r>
                              <w:rPr>
                                <w:rFonts w:ascii="Times New Roman;Garamond;serif" w:hAnsi="Times New Roman;Garamond;serif"/>
                                <w:b/>
                                <w:color w:val="000000"/>
                                <w:spacing w:val="4"/>
                                <w:sz w:val="40"/>
                              </w:rPr>
                              <w:t xml:space="preserve"> </w:t>
                            </w:r>
                          </w:p>
                          <w:p>
                            <w:pPr>
                              <w:pStyle w:val="TextBody"/>
                              <w:bidi w:val="0"/>
                              <w:spacing w:lineRule="atLeast" w:line="240" w:before="120" w:after="283"/>
                              <w:jc w:val="left"/>
                              <w:rPr>
                                <w:color w:val="FEFEFE"/>
                              </w:rPr>
                            </w:pPr>
                            <w:r>
                              <w:rPr>
                                <w:b/>
                                <w:color w:val="C4B592"/>
                              </w:rPr>
                              <w:t>Peter Rawlinson</w:t>
                            </w:r>
                            <w:r>
                              <w:rPr>
                                <w:color w:val="FEFEFE"/>
                              </w:rPr>
                              <w:t xml:space="preserve"> </w:t>
                              <w:br/>
                              <w:t xml:space="preserve">Chief Executive Officer &amp; </w:t>
                              <w:br/>
                              <w:t>Chief Technology Officer</w:t>
                            </w:r>
                            <w:r>
                              <w:rPr>
                                <w:color w:val="000000"/>
                              </w:rPr>
                              <w:t xml:space="preserve"> </w:t>
                            </w:r>
                          </w:p>
                          <w:p>
                            <w:pPr>
                              <w:pStyle w:val="TextBody"/>
                              <w:bidi w:val="0"/>
                              <w:spacing w:before="200" w:after="283"/>
                              <w:ind w:left="0" w:right="0" w:hanging="0"/>
                              <w:jc w:val="center"/>
                              <w:rPr/>
                            </w:pPr>
                            <w:r>
                              <w:rPr/>
                              <w:drawing>
                                <wp:inline distT="0" distB="0" distL="0" distR="0">
                                  <wp:extent cx="2895600" cy="4048125"/>
                                  <wp:effectExtent l="0" t="0" r="0" b="0"/>
                                  <wp:docPr id="1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3" descr=""/>
                                          <pic:cNvPicPr>
                                            <a:picLocks noChangeAspect="1" noChangeArrowheads="1"/>
                                          </pic:cNvPicPr>
                                        </pic:nvPicPr>
                                        <pic:blipFill>
                                          <a:blip r:embed="rId8"/>
                                          <a:stretch>
                                            <a:fillRect/>
                                          </a:stretch>
                                        </pic:blipFill>
                                        <pic:spPr bwMode="auto">
                                          <a:xfrm>
                                            <a:off x="0" y="0"/>
                                            <a:ext cx="2895600" cy="40481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rokecolor="#000000" strokeweight="1pt" style="position:absolute;rotation:-0;width:229pt;height:550.5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lineRule="atLeast" w:line="440" w:before="1910" w:after="283"/>
                        <w:ind w:left="900" w:right="0" w:hanging="0"/>
                        <w:jc w:val="left"/>
                        <w:rPr>
                          <w:rFonts w:ascii="Times New Roman;Garamond;serif" w:hAnsi="Times New Roman;Garamond;serif"/>
                          <w:b/>
                          <w:color w:val="FEFEFE"/>
                          <w:sz w:val="40"/>
                        </w:rPr>
                      </w:pPr>
                      <w:r>
                        <w:rPr>
                          <w:rFonts w:ascii="Times New Roman;Garamond;serif" w:hAnsi="Times New Roman;Garamond;serif"/>
                          <w:b/>
                          <w:color w:val="FEFEFE"/>
                          <w:sz w:val="40"/>
                        </w:rPr>
                        <w:t xml:space="preserve">Letter to </w:t>
                        <w:br/>
                        <w:t>Stockholders</w:t>
                      </w:r>
                      <w:r>
                        <w:rPr>
                          <w:rFonts w:ascii="Times New Roman;Garamond;serif" w:hAnsi="Times New Roman;Garamond;serif"/>
                          <w:b/>
                          <w:color w:val="000000"/>
                          <w:sz w:val="40"/>
                        </w:rPr>
                        <w:t>​</w:t>
                      </w:r>
                      <w:r>
                        <w:rPr>
                          <w:rFonts w:ascii="Times New Roman;Garamond;serif" w:hAnsi="Times New Roman;Garamond;serif"/>
                          <w:b/>
                          <w:color w:val="000000"/>
                          <w:spacing w:val="4"/>
                          <w:sz w:val="40"/>
                        </w:rPr>
                        <w:t xml:space="preserve"> </w:t>
                      </w:r>
                    </w:p>
                    <w:p>
                      <w:pPr>
                        <w:pStyle w:val="TextBody"/>
                        <w:bidi w:val="0"/>
                        <w:spacing w:lineRule="atLeast" w:line="240" w:before="120" w:after="283"/>
                        <w:jc w:val="left"/>
                        <w:rPr>
                          <w:color w:val="FEFEFE"/>
                        </w:rPr>
                      </w:pPr>
                      <w:r>
                        <w:rPr>
                          <w:b/>
                          <w:color w:val="C4B592"/>
                        </w:rPr>
                        <w:t>Peter Rawlinson</w:t>
                      </w:r>
                      <w:r>
                        <w:rPr>
                          <w:color w:val="FEFEFE"/>
                        </w:rPr>
                        <w:t xml:space="preserve"> </w:t>
                        <w:br/>
                        <w:t xml:space="preserve">Chief Executive Officer &amp; </w:t>
                        <w:br/>
                        <w:t>Chief Technology Officer</w:t>
                      </w:r>
                      <w:r>
                        <w:rPr>
                          <w:color w:val="000000"/>
                        </w:rPr>
                        <w:t xml:space="preserve"> </w:t>
                      </w:r>
                    </w:p>
                    <w:p>
                      <w:pPr>
                        <w:pStyle w:val="TextBody"/>
                        <w:bidi w:val="0"/>
                        <w:spacing w:before="200" w:after="283"/>
                        <w:ind w:left="0" w:right="0" w:hanging="0"/>
                        <w:jc w:val="center"/>
                        <w:rPr/>
                      </w:pPr>
                      <w:r>
                        <w:rPr/>
                        <w:drawing>
                          <wp:inline distT="0" distB="0" distL="0" distR="0">
                            <wp:extent cx="2895600" cy="4048125"/>
                            <wp:effectExtent l="0" t="0" r="0" b="0"/>
                            <wp:docPr id="1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 descr=""/>
                                    <pic:cNvPicPr>
                                      <a:picLocks noChangeAspect="1" noChangeArrowheads="1"/>
                                    </pic:cNvPicPr>
                                  </pic:nvPicPr>
                                  <pic:blipFill>
                                    <a:blip r:embed="rId9"/>
                                    <a:stretch>
                                      <a:fillRect/>
                                    </a:stretch>
                                  </pic:blipFill>
                                  <pic:spPr bwMode="auto">
                                    <a:xfrm>
                                      <a:off x="0" y="0"/>
                                      <a:ext cx="2895600" cy="4048125"/>
                                    </a:xfrm>
                                    <a:prstGeom prst="rect">
                                      <a:avLst/>
                                    </a:prstGeom>
                                  </pic:spPr>
                                </pic:pic>
                              </a:graphicData>
                            </a:graphic>
                          </wp:inline>
                        </w:drawing>
                      </w:r>
                      <w:r>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914"/>
        <w:ind w:left="720" w:right="0" w:hanging="0"/>
        <w:jc w:val="left"/>
        <w:rPr>
          <w:rFonts w:ascii="Times New Roman;Garamond;serif" w:hAnsi="Times New Roman;Garamond;serif"/>
          <w:b/>
          <w:i w:val="false"/>
          <w:caps w:val="false"/>
          <w:smallCaps w:val="false"/>
          <w:color w:val="000000"/>
          <w:sz w:val="40"/>
        </w:rPr>
      </w:pPr>
      <w:r>
        <w:rPr>
          <w:rFonts w:ascii="Times New Roman;Garamond;serif" w:hAnsi="Times New Roman;Garamond;serif"/>
          <w:b/>
          <w:i w:val="false"/>
          <w:caps w:val="false"/>
          <w:smallCaps w:val="false"/>
          <w:color w:val="000000"/>
          <w:sz w:val="40"/>
        </w:rPr>
        <w:t>Lucid Group, Inc.</w:t>
      </w:r>
    </w:p>
    <w:p>
      <w:pPr>
        <w:pStyle w:val="TextBody"/>
        <w:bidi w:val="0"/>
        <w:spacing w:lineRule="atLeast" w:line="440" w:before="240" w:after="283"/>
        <w:jc w:val="left"/>
        <w:rPr>
          <w:rFonts w:ascii="Times New Roman;Garamond;serif" w:hAnsi="Times New Roman;Garamond;serif"/>
          <w:b/>
          <w:i w:val="false"/>
          <w:caps w:val="false"/>
          <w:smallCaps w:val="false"/>
          <w:color w:val="000000"/>
          <w:sz w:val="40"/>
        </w:rPr>
      </w:pPr>
      <w:r>
        <w:rPr>
          <w:rFonts w:ascii="Times New Roman;Garamond;serif" w:hAnsi="Times New Roman;Garamond;serif"/>
          <w:b/>
          <w:i w:val="false"/>
          <w:caps w:val="false"/>
          <w:smallCaps w:val="false"/>
          <w:color w:val="000000"/>
          <w:sz w:val="40"/>
        </w:rPr>
        <w:t>Notice of Annual Meeting of Stockholders</w:t>
        <w:br/>
        <w:t>to Be Held on June 4, 2024</w:t>
      </w:r>
      <w:r>
        <w:rPr>
          <w:rFonts w:ascii="Times New Roman;Garamond;serif" w:hAnsi="Times New Roman;Garamond;serif"/>
          <w:b/>
          <w:i w:val="false"/>
          <w:caps w:val="false"/>
          <w:smallCaps w:val="false"/>
          <w:color w:val="000000"/>
          <w:spacing w:val="8"/>
          <w:sz w:val="40"/>
        </w:rPr>
        <w:t xml:space="preserve"> </w:t>
      </w:r>
    </w:p>
    <w:p>
      <w:pPr>
        <w:pStyle w:val="TextBody"/>
        <w:bidi w:val="0"/>
        <w:spacing w:lineRule="atLeast" w:line="240" w:before="400" w:after="283"/>
        <w:jc w:val="right"/>
        <w:rPr>
          <w:rFonts w:ascii="Helvetica;Arial;sans-serif" w:hAnsi="Helvetica;Arial;sans-serif"/>
          <w:b/>
          <w:i w:val="false"/>
          <w:caps w:val="false"/>
          <w:smallCaps w:val="false"/>
          <w:color w:val="000000"/>
          <w:sz w:val="18"/>
        </w:rPr>
      </w:pPr>
      <w:r>
        <w:rPr>
          <w:rFonts w:ascii="Helvetica;Arial;sans-serif" w:hAnsi="Helvetica;Arial;sans-serif"/>
          <w:b/>
          <w:i w:val="false"/>
          <w:caps w:val="false"/>
          <w:smallCaps w:val="false"/>
          <w:color w:val="000000"/>
          <w:sz w:val="18"/>
        </w:rPr>
        <w:t>April 25, 2024​</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Dear Stockholder:</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You are cordially invited to attend the 2024 Annual Meeting of Stockholders (the “Annual Meeting”) of Lucid Group, Inc., a Delaware corporation (“we,” “us,” “Lucid Group,” “Lucid” or the “Company”). The Annual Meeting will be held virtually on June 4, 2024 at 9:00 a.m. (Pacific Time) to consider and vote on the following proposals: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0"/>
        <w:ind w:left="108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To elect the nine nominees to serve as directors, to hold office until the 2025 annual meeting of stockholders and until their successors are duly elected and qualified, or until their earlier death, resignation or removal;</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52400" distB="0" distL="0" distR="0" simplePos="0" locked="0" layoutInCell="1" allowOverlap="1" relativeHeight="82">
                <wp:simplePos x="0" y="0"/>
                <wp:positionH relativeFrom="column">
                  <wp:align>left</wp:align>
                </wp:positionH>
                <wp:positionV relativeFrom="line">
                  <wp:align>top</wp:align>
                </wp:positionV>
                <wp:extent cx="228600" cy="350520"/>
                <wp:effectExtent l="0" t="0" r="0" b="0"/>
                <wp:wrapSquare wrapText="right"/>
                <wp:docPr id="19" name="Frame1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1.</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2pt;mso-wrap-distance-bottom:0pt;margin-top:12pt;mso-position-vertical:top;mso-position-vertical-relative:text;margin-left:284pt;mso-position-horizontal:left;mso-position-horizontal-relative:text">
                <v:textbox>
                  <w:txbxContent>
                    <w:p>
                      <w:pPr>
                        <w:pStyle w:val="TextBody"/>
                        <w:bidi w:val="0"/>
                        <w:spacing w:lineRule="atLeast" w:line="240" w:before="0" w:after="283"/>
                        <w:jc w:val="left"/>
                        <w:rPr/>
                      </w:pPr>
                      <w:r>
                        <w:rPr/>
                        <w:t>1.</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08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To ratify the selection of KPMG LLP as our independent registered public accounting firm for the fiscal year ending December 31, 2024;</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52400" distB="0" distL="0" distR="0" simplePos="0" locked="0" layoutInCell="1" allowOverlap="1" relativeHeight="83">
                <wp:simplePos x="0" y="0"/>
                <wp:positionH relativeFrom="column">
                  <wp:align>left</wp:align>
                </wp:positionH>
                <wp:positionV relativeFrom="line">
                  <wp:align>top</wp:align>
                </wp:positionV>
                <wp:extent cx="228600" cy="350520"/>
                <wp:effectExtent l="0" t="0" r="0" b="0"/>
                <wp:wrapSquare wrapText="right"/>
                <wp:docPr id="20" name="Frame1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2.</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2pt;mso-wrap-distance-bottom:0pt;margin-top:12pt;mso-position-vertical:top;mso-position-vertical-relative:text;margin-left:284pt;mso-position-horizontal:left;mso-position-horizontal-relative:text">
                <v:textbox>
                  <w:txbxContent>
                    <w:p>
                      <w:pPr>
                        <w:pStyle w:val="TextBody"/>
                        <w:bidi w:val="0"/>
                        <w:spacing w:lineRule="atLeast" w:line="240" w:before="0" w:after="283"/>
                        <w:jc w:val="left"/>
                        <w:rPr/>
                      </w:pPr>
                      <w:r>
                        <w:rPr/>
                        <w:t>2.</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08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To approve, on an advisory basis, the compensation for our named executive officers;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52400" distB="0" distL="0" distR="0" simplePos="0" locked="0" layoutInCell="1" allowOverlap="1" relativeHeight="84">
                <wp:simplePos x="0" y="0"/>
                <wp:positionH relativeFrom="column">
                  <wp:align>left</wp:align>
                </wp:positionH>
                <wp:positionV relativeFrom="line">
                  <wp:align>top</wp:align>
                </wp:positionV>
                <wp:extent cx="228600" cy="350520"/>
                <wp:effectExtent l="0" t="0" r="0" b="0"/>
                <wp:wrapSquare wrapText="right"/>
                <wp:docPr id="21" name="Frame1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3.</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pPr>
                      <w:r>
                        <w:rPr/>
                        <w:t>3.</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08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To approve the amendment and restatement of the Lucid Group, Inc. Second Amended and Restated 2021 Stock Incentive Plan; and</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52400" distB="0" distL="0" distR="0" simplePos="0" locked="0" layoutInCell="1" allowOverlap="1" relativeHeight="85">
                <wp:simplePos x="0" y="0"/>
                <wp:positionH relativeFrom="column">
                  <wp:align>left</wp:align>
                </wp:positionH>
                <wp:positionV relativeFrom="line">
                  <wp:align>top</wp:align>
                </wp:positionV>
                <wp:extent cx="228600" cy="350520"/>
                <wp:effectExtent l="0" t="0" r="0" b="0"/>
                <wp:wrapSquare wrapText="right"/>
                <wp:docPr id="22" name="Frame1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4.</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pPr>
                      <w:r>
                        <w:rPr/>
                        <w:t>4.</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08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To conduct such other business as may properly come before the Annual Meeting or any adjournment thereof.</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52400" distB="0" distL="0" distR="0" simplePos="0" locked="0" layoutInCell="1" allowOverlap="1" relativeHeight="86">
                <wp:simplePos x="0" y="0"/>
                <wp:positionH relativeFrom="column">
                  <wp:align>left</wp:align>
                </wp:positionH>
                <wp:positionV relativeFrom="line">
                  <wp:align>top</wp:align>
                </wp:positionV>
                <wp:extent cx="228600" cy="350520"/>
                <wp:effectExtent l="0" t="0" r="0" b="0"/>
                <wp:wrapSquare wrapText="right"/>
                <wp:docPr id="23" name="Frame1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5.</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pPr>
                      <w:r>
                        <w:rPr/>
                        <w:t>5.</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These items of business are more fully described in the proxy statement accompanying this Notice of Annual Meeting of Stockholders (the “Proxy Statement”).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record date for the Annual Meeting is April 10, 2024 (the “Record Date”). Only stockholders of record of shares of our Class A common stock, par value $0.0001 per share, or shares of our Series A convertible preferred stock, par value $0.0001 per share, at the close of business on the Record Date may vote at the Annual Meeting or any adjournment thereof. You will be able to attend the Annual Meeting remotely by registering at www.proxydocs.com/LCID. Upon completing your registration, you will receive further instructions via email, including a unique link that will allow you access to the Annual Meeting and to vote and submit questions. As part of the registration process, you must enter the control number located on your proxy card, voting instruction form, or Important Notice Regarding the Availability of Proxy Materials.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center"/>
        <w:rPr>
          <w:rFonts w:ascii="Helvetica;Arial;sans-serif" w:hAnsi="Helvetica;Arial;sans-serif"/>
          <w:b/>
          <w:i w:val="false"/>
          <w:caps w:val="false"/>
          <w:smallCaps w:val="false"/>
          <w:color w:val="000000"/>
          <w:sz w:val="18"/>
        </w:rPr>
      </w:pPr>
      <w:r>
        <w:rPr>
          <w:rFonts w:ascii="Helvetica;Arial;sans-serif" w:hAnsi="Helvetica;Arial;sans-serif"/>
          <w:b/>
          <w:i w:val="false"/>
          <w:caps w:val="false"/>
          <w:smallCaps w:val="false"/>
          <w:color w:val="000000"/>
          <w:sz w:val="18"/>
        </w:rPr>
        <w:t xml:space="preserve">Important Notice Regarding the Availability of Proxy Materials for the Annual Meeting to be held on </w:t>
      </w:r>
    </w:p>
    <w:p>
      <w:pPr>
        <w:pStyle w:val="TextBody"/>
        <w:bidi w:val="0"/>
        <w:spacing w:lineRule="atLeast" w:line="240" w:before="240" w:after="283"/>
        <w:jc w:val="center"/>
        <w:rPr>
          <w:rFonts w:ascii="Helvetica;Arial;sans-serif" w:hAnsi="Helvetica;Arial;sans-serif"/>
          <w:b/>
          <w:i w:val="false"/>
          <w:caps w:val="false"/>
          <w:smallCaps w:val="false"/>
          <w:color w:val="000000"/>
          <w:sz w:val="18"/>
        </w:rPr>
      </w:pPr>
      <w:r>
        <w:rPr>
          <w:rFonts w:ascii="Helvetica;Arial;sans-serif" w:hAnsi="Helvetica;Arial;sans-serif"/>
          <w:b/>
          <w:i w:val="false"/>
          <w:caps w:val="false"/>
          <w:smallCaps w:val="false"/>
          <w:color w:val="000000"/>
          <w:sz w:val="18"/>
        </w:rPr>
        <w:t xml:space="preserve">June 4, 2024 at 9:00 a.m. (Pacific Time) </w:t>
      </w:r>
    </w:p>
    <w:p>
      <w:pPr>
        <w:pStyle w:val="TextBody"/>
        <w:bidi w:val="0"/>
        <w:spacing w:lineRule="atLeast" w:line="240" w:before="240" w:after="283"/>
        <w:jc w:val="center"/>
        <w:rPr>
          <w:rFonts w:ascii="Helvetica;Arial;sans-serif" w:hAnsi="Helvetica;Arial;sans-serif"/>
          <w:b/>
          <w:i w:val="false"/>
          <w:caps w:val="false"/>
          <w:smallCaps w:val="false"/>
          <w:color w:val="000000"/>
          <w:sz w:val="18"/>
        </w:rPr>
      </w:pPr>
      <w:r>
        <w:rPr>
          <w:rFonts w:ascii="Helvetica;Arial;sans-serif" w:hAnsi="Helvetica;Arial;sans-serif"/>
          <w:b/>
          <w:i w:val="false"/>
          <w:caps w:val="false"/>
          <w:smallCaps w:val="false"/>
          <w:color w:val="000000"/>
          <w:sz w:val="18"/>
        </w:rPr>
        <w:t>via the internet at www.proxydocs.com/LCID</w:t>
      </w:r>
      <w:r>
        <w:rPr>
          <w:rFonts w:ascii="Helvetica;Arial;sans-serif" w:hAnsi="Helvetica;Arial;sans-serif"/>
          <w:b/>
          <w:i w:val="false"/>
          <w:caps w:val="false"/>
          <w:smallCaps w:val="false"/>
          <w:color w:val="000000"/>
          <w:spacing w:val="4"/>
          <w:sz w:val="18"/>
        </w:rPr>
        <w:t xml:space="preserve"> </w:t>
      </w:r>
    </w:p>
    <w:p>
      <w:pPr>
        <w:pStyle w:val="TextBody"/>
        <w:bidi w:val="0"/>
        <w:spacing w:lineRule="atLeast" w:line="240" w:before="240" w:after="283"/>
        <w:jc w:val="center"/>
        <w:rPr>
          <w:rFonts w:ascii="Helvetica;Arial;sans-serif" w:hAnsi="Helvetica;Arial;sans-serif"/>
          <w:b/>
          <w:i w:val="false"/>
          <w:caps w:val="false"/>
          <w:smallCaps w:val="false"/>
          <w:color w:val="000000"/>
          <w:sz w:val="18"/>
        </w:rPr>
      </w:pPr>
      <w:r>
        <w:rPr>
          <w:rFonts w:ascii="Helvetica;Arial;sans-serif" w:hAnsi="Helvetica;Arial;sans-serif"/>
          <w:b/>
          <w:i w:val="false"/>
          <w:caps w:val="false"/>
          <w:smallCaps w:val="false"/>
          <w:color w:val="000000"/>
          <w:sz w:val="18"/>
        </w:rPr>
        <w:t>The Proxy Statement and the Company’s Annual Report to Stockholders are available at: www.proxydocs.com/LCID.</w:t>
      </w:r>
      <w:r>
        <w:rPr>
          <w:rFonts w:ascii="Helvetica;Arial;sans-serif" w:hAnsi="Helvetica;Arial;sans-serif"/>
          <w:b/>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We have determined that the Annual Meeting will be held in a virtual meeting format only, via the internet, with no physical in-person meeting. If you plan to participate in the virtual meeting, please see the Questions and Answers section below. Stockholders will be able to attend, vote and submit questions (both before, and for a portion of, the meeting) via the internet.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84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In the event of an adjournment, postponement or emergency that may change the Annual Meeting’s time or date, we will make an announcement, issue a press release or post information at www.lucidmotors.com to notify stockholders, as appropriate. If you have any questions or need assistance in voting your shares, please write to Lucid Investor Relations at 7373 Gateway Boulevard, Newark, CA 94560 or by email at investor@lucidmotors.com.</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By Order of the Board of Directors, </w:t>
        <w:br/>
        <w:t xml:space="preserve">Matthew Everitt </w:t>
        <w:br/>
        <w:t xml:space="preserve">General Counsel &amp; Secretary </w:t>
        <w:br/>
        <w:t>Newark, California</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18"/>
        </w:rPr>
      </w:pPr>
      <w:r>
        <w:rPr>
          <w:rFonts w:ascii="Helvetica;Arial;sans-serif" w:hAnsi="Helvetica;Arial;sans-serif"/>
          <w:b/>
          <w:i w:val="false"/>
          <w:caps w:val="false"/>
          <w:smallCaps w:val="false"/>
          <w:color w:val="000000"/>
          <w:sz w:val="18"/>
        </w:rPr>
        <w:t>ALL STOCKHOLDERS ARE CORDIALLY INVITED TO VIRTUALLY ATTEND THE ANNUAL MEETING. WHETHER OR NOT YOU EXPECT TO ATTEND THE ANNUAL MEETING, PLEASE COMPLETE, DATE, SIGN AND RETURN THE PROXY CARD, OR VOTE OVER THE TELEPHONE OR INTERNET AS INSTRUCTED IN THOSE MATERIALS, AS PROMPTLY AS POSSIBLE IN ORDER TO ENSURE YOUR REPRESENTATION AT THE ANNUAL MEETING. EVEN IF YOU HAVE VOTED BY PROXY, YOU MAY STILL VOTE AT THE ANNUAL MEETING IF YOU ATTEND.</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FEFEFE"/>
          <w:sz w:val="16"/>
        </w:rPr>
        <w:t>​</w:t>
      </w:r>
      <w:bookmarkStart w:id="3" w:name="TOC2"/>
      <w:bookmarkEnd w:id="3"/>
      <w:r>
        <w:rPr>
          <w:rFonts w:ascii="calibri;arial;sans-serif" w:hAnsi="calibri;arial;sans-serif"/>
          <w:b w:val="false"/>
          <w:i w:val="false"/>
          <w:caps w:val="false"/>
          <w:smallCaps w:val="false"/>
          <w:color w:val="FEFEFE"/>
          <w:sz w:val="16"/>
        </w:rPr>
        <w:t xml:space="preserve">​ </w:t>
      </w:r>
    </w:p>
    <w:p>
      <w:pPr>
        <w:pStyle w:val="TextBody"/>
        <w:bidi w:val="0"/>
        <w:spacing w:before="1801" w:after="283"/>
        <w:ind w:left="1081" w:right="0" w:hanging="0"/>
        <w:jc w:val="right"/>
        <w:rPr>
          <w:caps w:val="false"/>
          <w:smallCaps w:val="false"/>
          <w:color w:val="FEFEFE"/>
          <w:bdr w:val="single" w:sz="8" w:space="1" w:color="000000"/>
          <w:shd w:fill="000000" w:val="clear"/>
        </w:rPr>
      </w:pPr>
      <w:r>
        <w:rPr>
          <w:caps w:val="false"/>
          <w:smallCaps w:val="false"/>
          <w:color w:val="FEFEFE"/>
          <w:bdr w:val="single" w:sz="8" w:space="1" w:color="000000"/>
          <w:shd w:fill="000000" w:val="clear"/>
        </w:rPr>
        <w:drawing>
          <wp:inline distT="0" distB="0" distL="0" distR="0">
            <wp:extent cx="1543050" cy="95250"/>
            <wp:effectExtent l="0" t="0" r="0" b="0"/>
            <wp:docPr id="2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6" descr=""/>
                    <pic:cNvPicPr>
                      <a:picLocks noChangeAspect="1" noChangeArrowheads="1"/>
                    </pic:cNvPicPr>
                  </pic:nvPicPr>
                  <pic:blipFill>
                    <a:blip r:embed="rId10"/>
                    <a:stretch>
                      <a:fillRect/>
                    </a:stretch>
                  </pic:blipFill>
                  <pic:spPr bwMode="auto">
                    <a:xfrm>
                      <a:off x="0" y="0"/>
                      <a:ext cx="1543050" cy="95250"/>
                    </a:xfrm>
                    <a:prstGeom prst="rect">
                      <a:avLst/>
                    </a:prstGeom>
                  </pic:spPr>
                </pic:pic>
              </a:graphicData>
            </a:graphic>
          </wp:inline>
        </w:drawing>
      </w:r>
      <w:r>
        <w:rPr>
          <w:caps w:val="false"/>
          <w:smallCaps w:val="false"/>
          <w:color w:val="FEFEFE"/>
          <w:bdr w:val="single" w:sz="8" w:space="1" w:color="000000"/>
          <w:shd w:fill="000000" w:val="clear"/>
        </w:rPr>
        <w:t xml:space="preserve"> </w:t>
      </w:r>
    </w:p>
    <w:p>
      <w:pPr>
        <w:pStyle w:val="TextBody"/>
        <w:bidi w:val="0"/>
        <w:spacing w:before="0" w:after="283"/>
        <w:ind w:left="1081" w:right="0" w:hanging="0"/>
        <w:jc w:val="left"/>
        <w:rPr>
          <w:caps w:val="false"/>
          <w:smallCaps w:val="false"/>
          <w:color w:val="FEFEFE"/>
          <w:bdr w:val="single" w:sz="8" w:space="1" w:color="FEFEFE"/>
          <w:shd w:fill="000000" w:val="clear"/>
        </w:rPr>
      </w:pPr>
      <w:r>
        <w:rPr>
          <w:caps w:val="false"/>
          <w:smallCaps w:val="false"/>
          <w:color w:val="FEFEFE"/>
          <w:bdr w:val="single" w:sz="8" w:space="1" w:color="FEFEFE"/>
          <w:shd w:fill="000000" w:val="clear"/>
        </w:rPr>
        <w:t>​</w:t>
      </w:r>
    </w:p>
    <w:p>
      <w:pPr>
        <w:pStyle w:val="TextBody"/>
        <w:bidi w:val="0"/>
        <w:spacing w:lineRule="atLeast" w:line="440" w:before="480" w:after="283"/>
        <w:ind w:left="1081" w:right="0" w:hanging="0"/>
        <w:jc w:val="left"/>
        <w:rPr>
          <w:rFonts w:ascii="Times New Roman;Garamond;serif" w:hAnsi="Times New Roman;Garamond;serif"/>
          <w:b/>
          <w:i w:val="false"/>
          <w:caps w:val="false"/>
          <w:smallCaps w:val="false"/>
          <w:color w:val="FEFEFE"/>
          <w:sz w:val="40"/>
          <w:bdr w:val="single" w:sz="8" w:space="1" w:color="000000"/>
          <w:shd w:fill="000000" w:val="clear"/>
        </w:rPr>
      </w:pPr>
      <w:r>
        <w:rPr>
          <w:rFonts w:ascii="Times New Roman;Garamond;serif" w:hAnsi="Times New Roman;Garamond;serif"/>
          <w:b/>
          <w:i w:val="false"/>
          <w:caps w:val="false"/>
          <w:smallCaps w:val="false"/>
          <w:color w:val="FEFEFE"/>
          <w:sz w:val="40"/>
          <w:bdr w:val="single" w:sz="8" w:space="1" w:color="000000"/>
          <w:shd w:fill="000000" w:val="clear"/>
        </w:rPr>
        <w:t>Table of Contents</w:t>
      </w:r>
      <w:r>
        <w:rPr>
          <w:rFonts w:ascii="Times New Roman;Garamond;serif" w:hAnsi="Times New Roman;Garamond;serif"/>
          <w:b/>
          <w:i w:val="false"/>
          <w:caps w:val="false"/>
          <w:smallCaps w:val="false"/>
          <w:color w:val="000000"/>
          <w:sz w:val="40"/>
          <w:bdr w:val="single" w:sz="8" w:space="1" w:color="000000"/>
          <w:shd w:fill="000000" w:val="clear"/>
        </w:rPr>
        <w:t xml:space="preserve"> </w:t>
      </w:r>
    </w:p>
    <w:p>
      <w:pPr>
        <w:pStyle w:val="TextBody"/>
        <w:bidi w:val="0"/>
        <w:spacing w:before="0" w:after="283"/>
        <w:jc w:val="left"/>
        <w:rPr>
          <w:caps w:val="false"/>
          <w:smallCaps w:val="false"/>
          <w:color w:val="FEFEFE"/>
          <w:bdr w:val="single" w:sz="8" w:space="1" w:color="000000"/>
          <w:shd w:fill="000000" w:val="clear"/>
        </w:rPr>
      </w:pPr>
      <w:r>
        <w:rPr>
          <w:caps w:val="false"/>
          <w:smallCaps w:val="false"/>
          <w:color w:val="FEFEFE"/>
          <w:bdr w:val="single" w:sz="8" w:space="1" w:color="000000"/>
          <w:shd w:fill="000000" w:val="clear"/>
        </w:rPr>
        <w:t>​</w:t>
      </w:r>
      <w:r>
        <mc:AlternateContent>
          <mc:Choice Requires="wps">
            <w:drawing>
              <wp:anchor behindDoc="0" distT="0" distB="0" distL="686435" distR="0" simplePos="0" locked="0" layoutInCell="1" allowOverlap="1" relativeHeight="87">
                <wp:simplePos x="0" y="0"/>
                <wp:positionH relativeFrom="column">
                  <wp:align>left</wp:align>
                </wp:positionH>
                <wp:positionV relativeFrom="line">
                  <wp:posOffset>635</wp:posOffset>
                </wp:positionV>
                <wp:extent cx="3213100" cy="5490845"/>
                <wp:effectExtent l="0" t="0" r="0" b="0"/>
                <wp:wrapSquare wrapText="right"/>
                <wp:docPr id="25" name="Frame16"/>
                <a:graphic xmlns:a="http://schemas.openxmlformats.org/drawingml/2006/main">
                  <a:graphicData uri="http://schemas.microsoft.com/office/word/2010/wordprocessingShape">
                    <wps:wsp>
                      <wps:cNvSpPr txBox="1"/>
                      <wps:spPr>
                        <a:xfrm>
                          <a:off x="0" y="0"/>
                          <a:ext cx="3213100" cy="549084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9123"/>
                              <w:gridCol w:w="109"/>
                              <w:gridCol w:w="109"/>
                              <w:gridCol w:w="109"/>
                              <w:gridCol w:w="109"/>
                              <w:gridCol w:w="382"/>
                              <w:gridCol w:w="109"/>
                              <w:gridCol w:w="155"/>
                            </w:tblGrid>
                            <w:tr>
                              <w:trPr/>
                              <w:tc>
                                <w:tcPr>
                                  <w:tcW w:w="912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9" w:type="dxa"/>
                                  <w:gridSpan w:val="4"/>
                                  <w:tcBorders/>
                                  <w:vAlign w:val="center"/>
                                </w:tcPr>
                                <w:p>
                                  <w:pPr>
                                    <w:pStyle w:val="TableContents"/>
                                    <w:bidi w:val="0"/>
                                    <w:spacing w:before="0" w:after="0"/>
                                    <w:jc w:val="center"/>
                                    <w:rPr/>
                                  </w:pPr>
                                  <w:r>
                                    <w:rPr/>
                                    <w:t xml:space="preserve">Page </w:t>
                                  </w:r>
                                </w:p>
                              </w:tc>
                              <w:tc>
                                <w:tcPr>
                                  <w:tcW w:w="155" w:type="dxa"/>
                                  <w:tcBorders/>
                                  <w:vAlign w:val="center"/>
                                </w:tcPr>
                                <w:p>
                                  <w:pPr>
                                    <w:pStyle w:val="TableContents"/>
                                    <w:bidi w:val="0"/>
                                    <w:spacing w:before="0" w:after="283"/>
                                    <w:jc w:val="left"/>
                                    <w:rPr/>
                                  </w:pPr>
                                  <w:r>
                                    <w:rPr/>
                                    <w:t>​</w:t>
                                  </w:r>
                                </w:p>
                              </w:tc>
                            </w:tr>
                            <w:tr>
                              <w:trPr/>
                              <w:tc>
                                <w:tcPr>
                                  <w:tcW w:w="9123" w:type="dxa"/>
                                  <w:tcBorders/>
                                  <w:vAlign w:val="center"/>
                                </w:tcPr>
                                <w:p>
                                  <w:pPr>
                                    <w:pStyle w:val="TableContents"/>
                                    <w:bidi w:val="0"/>
                                    <w:spacing w:before="0" w:after="283"/>
                                    <w:jc w:val="left"/>
                                    <w:rPr/>
                                  </w:pPr>
                                  <w:hyperlink w:anchor="tQAAA">
                                    <w:r>
                                      <w:rPr>
                                        <w:rStyle w:val="InternetLink"/>
                                        <w:color w:val="FEFEFE"/>
                                      </w:rPr>
                                      <w:t xml:space="preserve">Questions and Answers About These Proxy Materials and </w:t>
                                      <w:br/>
                                      <w:t xml:space="preserve">Voting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2" w:type="dxa"/>
                                  <w:tcBorders/>
                                  <w:vAlign w:val="center"/>
                                </w:tcPr>
                                <w:p>
                                  <w:pPr>
                                    <w:pStyle w:val="TableContents"/>
                                    <w:bidi w:val="0"/>
                                    <w:spacing w:before="0" w:after="283"/>
                                    <w:jc w:val="right"/>
                                    <w:rPr/>
                                  </w:pPr>
                                  <w:hyperlink w:anchor="tQAAA">
                                    <w:r>
                                      <w:rPr>
                                        <w:rStyle w:val="InternetLink"/>
                                        <w:color w:val="FEFEFE"/>
                                      </w:rPr>
                                      <w:t xml:space="preserve">1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3" w:type="dxa"/>
                                  <w:tcBorders/>
                                  <w:vAlign w:val="center"/>
                                </w:tcPr>
                                <w:p>
                                  <w:pPr>
                                    <w:pStyle w:val="TableContents"/>
                                    <w:bidi w:val="0"/>
                                    <w:spacing w:before="0" w:after="0"/>
                                    <w:jc w:val="left"/>
                                    <w:rPr/>
                                  </w:pPr>
                                  <w:hyperlink w:anchor="tPN1E">
                                    <w:r>
                                      <w:rPr>
                                        <w:rStyle w:val="InternetLink"/>
                                        <w:color w:val="C4B592"/>
                                      </w:rPr>
                                      <w:t>Proposal No. 1:</w:t>
                                    </w:r>
                                  </w:hyperlink>
                                  <w:hyperlink w:anchor="tPN1E">
                                    <w:r>
                                      <w:rPr>
                                        <w:rStyle w:val="InternetLink"/>
                                        <w:color w:val="FEFEFE"/>
                                      </w:rPr>
                                      <w:t xml:space="preserve"> Election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2" w:type="dxa"/>
                                  <w:tcBorders/>
                                  <w:vAlign w:val="center"/>
                                </w:tcPr>
                                <w:p>
                                  <w:pPr>
                                    <w:pStyle w:val="TableContents"/>
                                    <w:bidi w:val="0"/>
                                    <w:spacing w:before="0" w:after="283"/>
                                    <w:jc w:val="right"/>
                                    <w:rPr/>
                                  </w:pPr>
                                  <w:hyperlink w:anchor="tPN1E">
                                    <w:r>
                                      <w:rPr>
                                        <w:rStyle w:val="InternetLink"/>
                                        <w:color w:val="FEFEFE"/>
                                      </w:rPr>
                                      <w:t xml:space="preserve">9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3" w:type="dxa"/>
                                  <w:tcBorders/>
                                  <w:vAlign w:val="center"/>
                                </w:tcPr>
                                <w:p>
                                  <w:pPr>
                                    <w:pStyle w:val="TableContents"/>
                                    <w:bidi w:val="0"/>
                                    <w:spacing w:before="0" w:after="283"/>
                                    <w:jc w:val="left"/>
                                    <w:rPr/>
                                  </w:pPr>
                                  <w:hyperlink w:anchor="tIRTB">
                                    <w:r>
                                      <w:rPr>
                                        <w:rStyle w:val="InternetLink"/>
                                        <w:color w:val="FEFEFE"/>
                                      </w:rPr>
                                      <w:t xml:space="preserve">Information Regarding the Board of Directors and Corporate Governance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2" w:type="dxa"/>
                                  <w:tcBorders/>
                                  <w:vAlign w:val="center"/>
                                </w:tcPr>
                                <w:p>
                                  <w:pPr>
                                    <w:pStyle w:val="TableContents"/>
                                    <w:bidi w:val="0"/>
                                    <w:spacing w:before="0" w:after="283"/>
                                    <w:jc w:val="right"/>
                                    <w:rPr/>
                                  </w:pPr>
                                  <w:hyperlink w:anchor="tIRTB">
                                    <w:r>
                                      <w:rPr>
                                        <w:rStyle w:val="InternetLink"/>
                                        <w:color w:val="FEFEFE"/>
                                      </w:rPr>
                                      <w:t xml:space="preserve">16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3" w:type="dxa"/>
                                  <w:tcBorders/>
                                  <w:vAlign w:val="center"/>
                                </w:tcPr>
                                <w:p>
                                  <w:pPr>
                                    <w:pStyle w:val="TableContents"/>
                                    <w:bidi w:val="0"/>
                                    <w:spacing w:before="0" w:after="0"/>
                                    <w:jc w:val="left"/>
                                    <w:rPr/>
                                  </w:pPr>
                                  <w:hyperlink w:anchor="tROTA">
                                    <w:r>
                                      <w:rPr>
                                        <w:rStyle w:val="InternetLink"/>
                                        <w:color w:val="FEFEFE"/>
                                      </w:rPr>
                                      <w:t xml:space="preserve">Report of the Audit Committee of the Board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2" w:type="dxa"/>
                                  <w:tcBorders/>
                                  <w:vAlign w:val="center"/>
                                </w:tcPr>
                                <w:p>
                                  <w:pPr>
                                    <w:pStyle w:val="TableContents"/>
                                    <w:bidi w:val="0"/>
                                    <w:spacing w:before="0" w:after="283"/>
                                    <w:jc w:val="right"/>
                                    <w:rPr/>
                                  </w:pPr>
                                  <w:hyperlink w:anchor="tROTA">
                                    <w:r>
                                      <w:rPr>
                                        <w:rStyle w:val="InternetLink"/>
                                        <w:color w:val="FEFEFE"/>
                                      </w:rPr>
                                      <w:t xml:space="preserve">24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3" w:type="dxa"/>
                                  <w:tcBorders/>
                                  <w:vAlign w:val="center"/>
                                </w:tcPr>
                                <w:p>
                                  <w:pPr>
                                    <w:pStyle w:val="TableContents"/>
                                    <w:bidi w:val="0"/>
                                    <w:spacing w:before="0" w:after="283"/>
                                    <w:jc w:val="left"/>
                                    <w:rPr/>
                                  </w:pPr>
                                  <w:hyperlink w:anchor="tPN2R">
                                    <w:r>
                                      <w:rPr>
                                        <w:rStyle w:val="InternetLink"/>
                                        <w:color w:val="C4B592"/>
                                      </w:rPr>
                                      <w:t>Proposal No. 2:</w:t>
                                    </w:r>
                                  </w:hyperlink>
                                  <w:hyperlink w:anchor="tPN2R">
                                    <w:r>
                                      <w:rPr>
                                        <w:rStyle w:val="InternetLink"/>
                                        <w:color w:val="FEFEFE"/>
                                      </w:rPr>
                                      <w:t xml:space="preserve"> Ratification of the Selection of the Independent Registered Public Accounting Firm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2" w:type="dxa"/>
                                  <w:tcBorders/>
                                  <w:vAlign w:val="center"/>
                                </w:tcPr>
                                <w:p>
                                  <w:pPr>
                                    <w:pStyle w:val="TableContents"/>
                                    <w:bidi w:val="0"/>
                                    <w:spacing w:before="0" w:after="283"/>
                                    <w:jc w:val="right"/>
                                    <w:rPr/>
                                  </w:pPr>
                                  <w:hyperlink w:anchor="tPN2R">
                                    <w:r>
                                      <w:rPr>
                                        <w:rStyle w:val="InternetLink"/>
                                        <w:color w:val="FEFEFE"/>
                                      </w:rPr>
                                      <w:t xml:space="preserve">25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3" w:type="dxa"/>
                                  <w:tcBorders/>
                                  <w:vAlign w:val="center"/>
                                </w:tcPr>
                                <w:p>
                                  <w:pPr>
                                    <w:pStyle w:val="TableContents"/>
                                    <w:bidi w:val="0"/>
                                    <w:spacing w:before="0" w:after="283"/>
                                    <w:jc w:val="left"/>
                                    <w:rPr/>
                                  </w:pPr>
                                  <w:hyperlink w:anchor="tPN3A">
                                    <w:r>
                                      <w:rPr>
                                        <w:rStyle w:val="InternetLink"/>
                                        <w:color w:val="C4B592"/>
                                      </w:rPr>
                                      <w:t>Proposal No. 3:</w:t>
                                    </w:r>
                                  </w:hyperlink>
                                  <w:hyperlink w:anchor="tPN3A">
                                    <w:r>
                                      <w:rPr>
                                        <w:rStyle w:val="InternetLink"/>
                                        <w:color w:val="FEFEFE"/>
                                      </w:rPr>
                                      <w:t xml:space="preserve"> Approval, on an Advisory Basis, of the Compensation of Our Named Executive Officers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2" w:type="dxa"/>
                                  <w:tcBorders/>
                                  <w:vAlign w:val="center"/>
                                </w:tcPr>
                                <w:p>
                                  <w:pPr>
                                    <w:pStyle w:val="TableContents"/>
                                    <w:bidi w:val="0"/>
                                    <w:spacing w:before="0" w:after="283"/>
                                    <w:jc w:val="right"/>
                                    <w:rPr/>
                                  </w:pPr>
                                  <w:hyperlink w:anchor="tPN3A">
                                    <w:r>
                                      <w:rPr>
                                        <w:rStyle w:val="InternetLink"/>
                                        <w:color w:val="FEFEFE"/>
                                      </w:rPr>
                                      <w:t xml:space="preserve">28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3" w:type="dxa"/>
                                  <w:tcBorders/>
                                  <w:vAlign w:val="center"/>
                                </w:tcPr>
                                <w:p>
                                  <w:pPr>
                                    <w:pStyle w:val="TableContents"/>
                                    <w:bidi w:val="0"/>
                                    <w:spacing w:before="0" w:after="283"/>
                                    <w:jc w:val="left"/>
                                    <w:rPr/>
                                  </w:pPr>
                                  <w:hyperlink w:anchor="tPN4A">
                                    <w:r>
                                      <w:rPr>
                                        <w:rStyle w:val="InternetLink"/>
                                        <w:color w:val="C4B592"/>
                                      </w:rPr>
                                      <w:t>Proposal No. 4:</w:t>
                                    </w:r>
                                  </w:hyperlink>
                                  <w:hyperlink w:anchor="tPN4A">
                                    <w:r>
                                      <w:rPr>
                                        <w:rStyle w:val="InternetLink"/>
                                        <w:color w:val="FEFEFE"/>
                                      </w:rPr>
                                      <w:t xml:space="preserve"> Approval of the Amendment and Restatement of the Lucid Group, Inc. Second Amended and Restated 2021 Stock Incentive Plan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2" w:type="dxa"/>
                                  <w:tcBorders/>
                                  <w:vAlign w:val="center"/>
                                </w:tcPr>
                                <w:p>
                                  <w:pPr>
                                    <w:pStyle w:val="TableContents"/>
                                    <w:bidi w:val="0"/>
                                    <w:spacing w:before="0" w:after="283"/>
                                    <w:jc w:val="right"/>
                                    <w:rPr/>
                                  </w:pPr>
                                  <w:hyperlink w:anchor="tPN4A">
                                    <w:r>
                                      <w:rPr>
                                        <w:rStyle w:val="InternetLink"/>
                                        <w:color w:val="FEFEFE"/>
                                      </w:rPr>
                                      <w:t xml:space="preserve">30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3" w:type="dxa"/>
                                  <w:tcBorders/>
                                  <w:vAlign w:val="center"/>
                                </w:tcPr>
                                <w:p>
                                  <w:pPr>
                                    <w:pStyle w:val="TableContents"/>
                                    <w:bidi w:val="0"/>
                                    <w:spacing w:before="0" w:after="0"/>
                                    <w:jc w:val="left"/>
                                    <w:rPr/>
                                  </w:pPr>
                                  <w:hyperlink w:anchor="tECPI">
                                    <w:r>
                                      <w:rPr>
                                        <w:rStyle w:val="InternetLink"/>
                                        <w:color w:val="FEFEFE"/>
                                      </w:rPr>
                                      <w:t xml:space="preserve">Equity Compensation Plan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2" w:type="dxa"/>
                                  <w:tcBorders/>
                                  <w:vAlign w:val="center"/>
                                </w:tcPr>
                                <w:p>
                                  <w:pPr>
                                    <w:pStyle w:val="TableContents"/>
                                    <w:bidi w:val="0"/>
                                    <w:spacing w:before="0" w:after="283"/>
                                    <w:jc w:val="right"/>
                                    <w:rPr/>
                                  </w:pPr>
                                  <w:hyperlink w:anchor="tECPI">
                                    <w:r>
                                      <w:rPr>
                                        <w:rStyle w:val="InternetLink"/>
                                        <w:color w:val="FEFEFE"/>
                                      </w:rPr>
                                      <w:t xml:space="preserve">32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3" w:type="dxa"/>
                                  <w:tcBorders/>
                                  <w:vAlign w:val="center"/>
                                </w:tcPr>
                                <w:p>
                                  <w:pPr>
                                    <w:pStyle w:val="TableContents"/>
                                    <w:bidi w:val="0"/>
                                    <w:spacing w:before="0" w:after="0"/>
                                    <w:jc w:val="left"/>
                                    <w:rPr/>
                                  </w:pPr>
                                  <w:hyperlink w:anchor="tLEPA">
                                    <w:r>
                                      <w:rPr>
                                        <w:rStyle w:val="InternetLink"/>
                                        <w:color w:val="FEFEFE"/>
                                      </w:rPr>
                                      <w:t xml:space="preserve">Lucid ESG: Principles and Impact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2" w:type="dxa"/>
                                  <w:tcBorders/>
                                  <w:vAlign w:val="center"/>
                                </w:tcPr>
                                <w:p>
                                  <w:pPr>
                                    <w:pStyle w:val="TableContents"/>
                                    <w:bidi w:val="0"/>
                                    <w:spacing w:before="0" w:after="283"/>
                                    <w:jc w:val="right"/>
                                    <w:rPr/>
                                  </w:pPr>
                                  <w:hyperlink w:anchor="tLEPA">
                                    <w:r>
                                      <w:rPr>
                                        <w:rStyle w:val="InternetLink"/>
                                        <w:color w:val="FEFEFE"/>
                                      </w:rPr>
                                      <w:t xml:space="preserve">39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3" w:type="dxa"/>
                                  <w:tcBorders/>
                                  <w:vAlign w:val="center"/>
                                </w:tcPr>
                                <w:p>
                                  <w:pPr>
                                    <w:pStyle w:val="TableContents"/>
                                    <w:bidi w:val="0"/>
                                    <w:spacing w:before="0" w:after="0"/>
                                    <w:jc w:val="left"/>
                                    <w:rPr/>
                                  </w:pPr>
                                  <w:hyperlink w:anchor="tEXOF">
                                    <w:r>
                                      <w:rPr>
                                        <w:rStyle w:val="InternetLink"/>
                                        <w:color w:val="FEFEFE"/>
                                      </w:rPr>
                                      <w:t xml:space="preserve">Executive Officers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2" w:type="dxa"/>
                                  <w:tcBorders/>
                                  <w:vAlign w:val="center"/>
                                </w:tcPr>
                                <w:p>
                                  <w:pPr>
                                    <w:pStyle w:val="TableContents"/>
                                    <w:bidi w:val="0"/>
                                    <w:spacing w:before="0" w:after="283"/>
                                    <w:jc w:val="right"/>
                                    <w:rPr/>
                                  </w:pPr>
                                  <w:hyperlink w:anchor="tEXOF">
                                    <w:r>
                                      <w:rPr>
                                        <w:rStyle w:val="InternetLink"/>
                                        <w:color w:val="FEFEFE"/>
                                      </w:rPr>
                                      <w:t xml:space="preserve">41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3" w:type="dxa"/>
                                  <w:tcBorders/>
                                  <w:vAlign w:val="center"/>
                                </w:tcPr>
                                <w:p>
                                  <w:pPr>
                                    <w:pStyle w:val="TableContents"/>
                                    <w:bidi w:val="0"/>
                                    <w:spacing w:before="0" w:after="0"/>
                                    <w:jc w:val="left"/>
                                    <w:rPr/>
                                  </w:pPr>
                                  <w:hyperlink w:anchor="tCDAA">
                                    <w:r>
                                      <w:rPr>
                                        <w:rStyle w:val="InternetLink"/>
                                        <w:color w:val="FEFEFE"/>
                                      </w:rPr>
                                      <w:t xml:space="preserve">Compensation Discussion and Analysis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2" w:type="dxa"/>
                                  <w:tcBorders/>
                                  <w:vAlign w:val="center"/>
                                </w:tcPr>
                                <w:p>
                                  <w:pPr>
                                    <w:pStyle w:val="TableContents"/>
                                    <w:bidi w:val="0"/>
                                    <w:spacing w:before="0" w:after="283"/>
                                    <w:jc w:val="right"/>
                                    <w:rPr/>
                                  </w:pPr>
                                  <w:hyperlink w:anchor="tCDAA">
                                    <w:r>
                                      <w:rPr>
                                        <w:rStyle w:val="InternetLink"/>
                                        <w:color w:val="FEFEFE"/>
                                      </w:rPr>
                                      <w:t xml:space="preserve">43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3" w:type="dxa"/>
                                  <w:tcBorders/>
                                  <w:vAlign w:val="center"/>
                                </w:tcPr>
                                <w:p>
                                  <w:pPr>
                                    <w:pStyle w:val="TableContents"/>
                                    <w:bidi w:val="0"/>
                                    <w:spacing w:before="0" w:after="0"/>
                                    <w:ind w:left="180" w:right="0" w:hanging="0"/>
                                    <w:jc w:val="left"/>
                                    <w:rPr/>
                                  </w:pPr>
                                  <w:hyperlink w:anchor="tCCR">
                                    <w:r>
                                      <w:rPr>
                                        <w:rStyle w:val="InternetLink"/>
                                        <w:color w:val="FEFEFE"/>
                                      </w:rPr>
                                      <w:t xml:space="preserve">Compensation and Human Capital Committee Report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2" w:type="dxa"/>
                                  <w:tcBorders/>
                                  <w:vAlign w:val="center"/>
                                </w:tcPr>
                                <w:p>
                                  <w:pPr>
                                    <w:pStyle w:val="TableContents"/>
                                    <w:bidi w:val="0"/>
                                    <w:spacing w:before="0" w:after="283"/>
                                    <w:jc w:val="right"/>
                                    <w:rPr/>
                                  </w:pPr>
                                  <w:hyperlink w:anchor="tCCR">
                                    <w:r>
                                      <w:rPr>
                                        <w:rStyle w:val="InternetLink"/>
                                        <w:color w:val="FEFEFE"/>
                                      </w:rPr>
                                      <w:t xml:space="preserve">59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3pt;height:432.35pt;mso-wrap-distance-left:54.05pt;mso-wrap-distance-right:0pt;mso-wrap-distance-top:0pt;mso-wrap-distance-bottom:0pt;margin-top:0pt;mso-position-vertical:top;mso-position-vertical-relative:text;margin-left:54.05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9123"/>
                        <w:gridCol w:w="109"/>
                        <w:gridCol w:w="109"/>
                        <w:gridCol w:w="109"/>
                        <w:gridCol w:w="109"/>
                        <w:gridCol w:w="382"/>
                        <w:gridCol w:w="109"/>
                        <w:gridCol w:w="155"/>
                      </w:tblGrid>
                      <w:tr>
                        <w:trPr/>
                        <w:tc>
                          <w:tcPr>
                            <w:tcW w:w="912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9" w:type="dxa"/>
                            <w:gridSpan w:val="4"/>
                            <w:tcBorders/>
                            <w:vAlign w:val="center"/>
                          </w:tcPr>
                          <w:p>
                            <w:pPr>
                              <w:pStyle w:val="TableContents"/>
                              <w:bidi w:val="0"/>
                              <w:spacing w:before="0" w:after="0"/>
                              <w:jc w:val="center"/>
                              <w:rPr/>
                            </w:pPr>
                            <w:r>
                              <w:rPr/>
                              <w:t xml:space="preserve">Page </w:t>
                            </w:r>
                          </w:p>
                        </w:tc>
                        <w:tc>
                          <w:tcPr>
                            <w:tcW w:w="155" w:type="dxa"/>
                            <w:tcBorders/>
                            <w:vAlign w:val="center"/>
                          </w:tcPr>
                          <w:p>
                            <w:pPr>
                              <w:pStyle w:val="TableContents"/>
                              <w:bidi w:val="0"/>
                              <w:spacing w:before="0" w:after="283"/>
                              <w:jc w:val="left"/>
                              <w:rPr/>
                            </w:pPr>
                            <w:r>
                              <w:rPr/>
                              <w:t>​</w:t>
                            </w:r>
                          </w:p>
                        </w:tc>
                      </w:tr>
                      <w:tr>
                        <w:trPr/>
                        <w:tc>
                          <w:tcPr>
                            <w:tcW w:w="9123" w:type="dxa"/>
                            <w:tcBorders/>
                            <w:vAlign w:val="center"/>
                          </w:tcPr>
                          <w:p>
                            <w:pPr>
                              <w:pStyle w:val="TableContents"/>
                              <w:bidi w:val="0"/>
                              <w:spacing w:before="0" w:after="283"/>
                              <w:jc w:val="left"/>
                              <w:rPr/>
                            </w:pPr>
                            <w:hyperlink w:anchor="tQAAA">
                              <w:r>
                                <w:rPr>
                                  <w:rStyle w:val="InternetLink"/>
                                  <w:color w:val="FEFEFE"/>
                                </w:rPr>
                                <w:t xml:space="preserve">Questions and Answers About These Proxy Materials and </w:t>
                                <w:br/>
                                <w:t xml:space="preserve">Voting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2" w:type="dxa"/>
                            <w:tcBorders/>
                            <w:vAlign w:val="center"/>
                          </w:tcPr>
                          <w:p>
                            <w:pPr>
                              <w:pStyle w:val="TableContents"/>
                              <w:bidi w:val="0"/>
                              <w:spacing w:before="0" w:after="283"/>
                              <w:jc w:val="right"/>
                              <w:rPr/>
                            </w:pPr>
                            <w:hyperlink w:anchor="tQAAA">
                              <w:r>
                                <w:rPr>
                                  <w:rStyle w:val="InternetLink"/>
                                  <w:color w:val="FEFEFE"/>
                                </w:rPr>
                                <w:t xml:space="preserve">1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3" w:type="dxa"/>
                            <w:tcBorders/>
                            <w:vAlign w:val="center"/>
                          </w:tcPr>
                          <w:p>
                            <w:pPr>
                              <w:pStyle w:val="TableContents"/>
                              <w:bidi w:val="0"/>
                              <w:spacing w:before="0" w:after="0"/>
                              <w:jc w:val="left"/>
                              <w:rPr/>
                            </w:pPr>
                            <w:hyperlink w:anchor="tPN1E">
                              <w:r>
                                <w:rPr>
                                  <w:rStyle w:val="InternetLink"/>
                                  <w:color w:val="C4B592"/>
                                </w:rPr>
                                <w:t>Proposal No. 1:</w:t>
                              </w:r>
                            </w:hyperlink>
                            <w:hyperlink w:anchor="tPN1E">
                              <w:r>
                                <w:rPr>
                                  <w:rStyle w:val="InternetLink"/>
                                  <w:color w:val="FEFEFE"/>
                                </w:rPr>
                                <w:t xml:space="preserve"> Election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2" w:type="dxa"/>
                            <w:tcBorders/>
                            <w:vAlign w:val="center"/>
                          </w:tcPr>
                          <w:p>
                            <w:pPr>
                              <w:pStyle w:val="TableContents"/>
                              <w:bidi w:val="0"/>
                              <w:spacing w:before="0" w:after="283"/>
                              <w:jc w:val="right"/>
                              <w:rPr/>
                            </w:pPr>
                            <w:hyperlink w:anchor="tPN1E">
                              <w:r>
                                <w:rPr>
                                  <w:rStyle w:val="InternetLink"/>
                                  <w:color w:val="FEFEFE"/>
                                </w:rPr>
                                <w:t xml:space="preserve">9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3" w:type="dxa"/>
                            <w:tcBorders/>
                            <w:vAlign w:val="center"/>
                          </w:tcPr>
                          <w:p>
                            <w:pPr>
                              <w:pStyle w:val="TableContents"/>
                              <w:bidi w:val="0"/>
                              <w:spacing w:before="0" w:after="283"/>
                              <w:jc w:val="left"/>
                              <w:rPr/>
                            </w:pPr>
                            <w:hyperlink w:anchor="tIRTB">
                              <w:r>
                                <w:rPr>
                                  <w:rStyle w:val="InternetLink"/>
                                  <w:color w:val="FEFEFE"/>
                                </w:rPr>
                                <w:t xml:space="preserve">Information Regarding the Board of Directors and Corporate Governance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2" w:type="dxa"/>
                            <w:tcBorders/>
                            <w:vAlign w:val="center"/>
                          </w:tcPr>
                          <w:p>
                            <w:pPr>
                              <w:pStyle w:val="TableContents"/>
                              <w:bidi w:val="0"/>
                              <w:spacing w:before="0" w:after="283"/>
                              <w:jc w:val="right"/>
                              <w:rPr/>
                            </w:pPr>
                            <w:hyperlink w:anchor="tIRTB">
                              <w:r>
                                <w:rPr>
                                  <w:rStyle w:val="InternetLink"/>
                                  <w:color w:val="FEFEFE"/>
                                </w:rPr>
                                <w:t xml:space="preserve">16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3" w:type="dxa"/>
                            <w:tcBorders/>
                            <w:vAlign w:val="center"/>
                          </w:tcPr>
                          <w:p>
                            <w:pPr>
                              <w:pStyle w:val="TableContents"/>
                              <w:bidi w:val="0"/>
                              <w:spacing w:before="0" w:after="0"/>
                              <w:jc w:val="left"/>
                              <w:rPr/>
                            </w:pPr>
                            <w:hyperlink w:anchor="tROTA">
                              <w:r>
                                <w:rPr>
                                  <w:rStyle w:val="InternetLink"/>
                                  <w:color w:val="FEFEFE"/>
                                </w:rPr>
                                <w:t xml:space="preserve">Report of the Audit Committee of the Board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2" w:type="dxa"/>
                            <w:tcBorders/>
                            <w:vAlign w:val="center"/>
                          </w:tcPr>
                          <w:p>
                            <w:pPr>
                              <w:pStyle w:val="TableContents"/>
                              <w:bidi w:val="0"/>
                              <w:spacing w:before="0" w:after="283"/>
                              <w:jc w:val="right"/>
                              <w:rPr/>
                            </w:pPr>
                            <w:hyperlink w:anchor="tROTA">
                              <w:r>
                                <w:rPr>
                                  <w:rStyle w:val="InternetLink"/>
                                  <w:color w:val="FEFEFE"/>
                                </w:rPr>
                                <w:t xml:space="preserve">24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3" w:type="dxa"/>
                            <w:tcBorders/>
                            <w:vAlign w:val="center"/>
                          </w:tcPr>
                          <w:p>
                            <w:pPr>
                              <w:pStyle w:val="TableContents"/>
                              <w:bidi w:val="0"/>
                              <w:spacing w:before="0" w:after="283"/>
                              <w:jc w:val="left"/>
                              <w:rPr/>
                            </w:pPr>
                            <w:hyperlink w:anchor="tPN2R">
                              <w:r>
                                <w:rPr>
                                  <w:rStyle w:val="InternetLink"/>
                                  <w:color w:val="C4B592"/>
                                </w:rPr>
                                <w:t>Proposal No. 2:</w:t>
                              </w:r>
                            </w:hyperlink>
                            <w:hyperlink w:anchor="tPN2R">
                              <w:r>
                                <w:rPr>
                                  <w:rStyle w:val="InternetLink"/>
                                  <w:color w:val="FEFEFE"/>
                                </w:rPr>
                                <w:t xml:space="preserve"> Ratification of the Selection of the Independent Registered Public Accounting Firm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2" w:type="dxa"/>
                            <w:tcBorders/>
                            <w:vAlign w:val="center"/>
                          </w:tcPr>
                          <w:p>
                            <w:pPr>
                              <w:pStyle w:val="TableContents"/>
                              <w:bidi w:val="0"/>
                              <w:spacing w:before="0" w:after="283"/>
                              <w:jc w:val="right"/>
                              <w:rPr/>
                            </w:pPr>
                            <w:hyperlink w:anchor="tPN2R">
                              <w:r>
                                <w:rPr>
                                  <w:rStyle w:val="InternetLink"/>
                                  <w:color w:val="FEFEFE"/>
                                </w:rPr>
                                <w:t xml:space="preserve">25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3" w:type="dxa"/>
                            <w:tcBorders/>
                            <w:vAlign w:val="center"/>
                          </w:tcPr>
                          <w:p>
                            <w:pPr>
                              <w:pStyle w:val="TableContents"/>
                              <w:bidi w:val="0"/>
                              <w:spacing w:before="0" w:after="283"/>
                              <w:jc w:val="left"/>
                              <w:rPr/>
                            </w:pPr>
                            <w:hyperlink w:anchor="tPN3A">
                              <w:r>
                                <w:rPr>
                                  <w:rStyle w:val="InternetLink"/>
                                  <w:color w:val="C4B592"/>
                                </w:rPr>
                                <w:t>Proposal No. 3:</w:t>
                              </w:r>
                            </w:hyperlink>
                            <w:hyperlink w:anchor="tPN3A">
                              <w:r>
                                <w:rPr>
                                  <w:rStyle w:val="InternetLink"/>
                                  <w:color w:val="FEFEFE"/>
                                </w:rPr>
                                <w:t xml:space="preserve"> Approval, on an Advisory Basis, of the Compensation of Our Named Executive Officers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2" w:type="dxa"/>
                            <w:tcBorders/>
                            <w:vAlign w:val="center"/>
                          </w:tcPr>
                          <w:p>
                            <w:pPr>
                              <w:pStyle w:val="TableContents"/>
                              <w:bidi w:val="0"/>
                              <w:spacing w:before="0" w:after="283"/>
                              <w:jc w:val="right"/>
                              <w:rPr/>
                            </w:pPr>
                            <w:hyperlink w:anchor="tPN3A">
                              <w:r>
                                <w:rPr>
                                  <w:rStyle w:val="InternetLink"/>
                                  <w:color w:val="FEFEFE"/>
                                </w:rPr>
                                <w:t xml:space="preserve">28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3" w:type="dxa"/>
                            <w:tcBorders/>
                            <w:vAlign w:val="center"/>
                          </w:tcPr>
                          <w:p>
                            <w:pPr>
                              <w:pStyle w:val="TableContents"/>
                              <w:bidi w:val="0"/>
                              <w:spacing w:before="0" w:after="283"/>
                              <w:jc w:val="left"/>
                              <w:rPr/>
                            </w:pPr>
                            <w:hyperlink w:anchor="tPN4A">
                              <w:r>
                                <w:rPr>
                                  <w:rStyle w:val="InternetLink"/>
                                  <w:color w:val="C4B592"/>
                                </w:rPr>
                                <w:t>Proposal No. 4:</w:t>
                              </w:r>
                            </w:hyperlink>
                            <w:hyperlink w:anchor="tPN4A">
                              <w:r>
                                <w:rPr>
                                  <w:rStyle w:val="InternetLink"/>
                                  <w:color w:val="FEFEFE"/>
                                </w:rPr>
                                <w:t xml:space="preserve"> Approval of the Amendment and Restatement of the Lucid Group, Inc. Second Amended and Restated 2021 Stock Incentive Plan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2" w:type="dxa"/>
                            <w:tcBorders/>
                            <w:vAlign w:val="center"/>
                          </w:tcPr>
                          <w:p>
                            <w:pPr>
                              <w:pStyle w:val="TableContents"/>
                              <w:bidi w:val="0"/>
                              <w:spacing w:before="0" w:after="283"/>
                              <w:jc w:val="right"/>
                              <w:rPr/>
                            </w:pPr>
                            <w:hyperlink w:anchor="tPN4A">
                              <w:r>
                                <w:rPr>
                                  <w:rStyle w:val="InternetLink"/>
                                  <w:color w:val="FEFEFE"/>
                                </w:rPr>
                                <w:t xml:space="preserve">30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3" w:type="dxa"/>
                            <w:tcBorders/>
                            <w:vAlign w:val="center"/>
                          </w:tcPr>
                          <w:p>
                            <w:pPr>
                              <w:pStyle w:val="TableContents"/>
                              <w:bidi w:val="0"/>
                              <w:spacing w:before="0" w:after="0"/>
                              <w:jc w:val="left"/>
                              <w:rPr/>
                            </w:pPr>
                            <w:hyperlink w:anchor="tECPI">
                              <w:r>
                                <w:rPr>
                                  <w:rStyle w:val="InternetLink"/>
                                  <w:color w:val="FEFEFE"/>
                                </w:rPr>
                                <w:t xml:space="preserve">Equity Compensation Plan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2" w:type="dxa"/>
                            <w:tcBorders/>
                            <w:vAlign w:val="center"/>
                          </w:tcPr>
                          <w:p>
                            <w:pPr>
                              <w:pStyle w:val="TableContents"/>
                              <w:bidi w:val="0"/>
                              <w:spacing w:before="0" w:after="283"/>
                              <w:jc w:val="right"/>
                              <w:rPr/>
                            </w:pPr>
                            <w:hyperlink w:anchor="tECPI">
                              <w:r>
                                <w:rPr>
                                  <w:rStyle w:val="InternetLink"/>
                                  <w:color w:val="FEFEFE"/>
                                </w:rPr>
                                <w:t xml:space="preserve">32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3" w:type="dxa"/>
                            <w:tcBorders/>
                            <w:vAlign w:val="center"/>
                          </w:tcPr>
                          <w:p>
                            <w:pPr>
                              <w:pStyle w:val="TableContents"/>
                              <w:bidi w:val="0"/>
                              <w:spacing w:before="0" w:after="0"/>
                              <w:jc w:val="left"/>
                              <w:rPr/>
                            </w:pPr>
                            <w:hyperlink w:anchor="tLEPA">
                              <w:r>
                                <w:rPr>
                                  <w:rStyle w:val="InternetLink"/>
                                  <w:color w:val="FEFEFE"/>
                                </w:rPr>
                                <w:t xml:space="preserve">Lucid ESG: Principles and Impact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2" w:type="dxa"/>
                            <w:tcBorders/>
                            <w:vAlign w:val="center"/>
                          </w:tcPr>
                          <w:p>
                            <w:pPr>
                              <w:pStyle w:val="TableContents"/>
                              <w:bidi w:val="0"/>
                              <w:spacing w:before="0" w:after="283"/>
                              <w:jc w:val="right"/>
                              <w:rPr/>
                            </w:pPr>
                            <w:hyperlink w:anchor="tLEPA">
                              <w:r>
                                <w:rPr>
                                  <w:rStyle w:val="InternetLink"/>
                                  <w:color w:val="FEFEFE"/>
                                </w:rPr>
                                <w:t xml:space="preserve">39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3" w:type="dxa"/>
                            <w:tcBorders/>
                            <w:vAlign w:val="center"/>
                          </w:tcPr>
                          <w:p>
                            <w:pPr>
                              <w:pStyle w:val="TableContents"/>
                              <w:bidi w:val="0"/>
                              <w:spacing w:before="0" w:after="0"/>
                              <w:jc w:val="left"/>
                              <w:rPr/>
                            </w:pPr>
                            <w:hyperlink w:anchor="tEXOF">
                              <w:r>
                                <w:rPr>
                                  <w:rStyle w:val="InternetLink"/>
                                  <w:color w:val="FEFEFE"/>
                                </w:rPr>
                                <w:t xml:space="preserve">Executive Officers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2" w:type="dxa"/>
                            <w:tcBorders/>
                            <w:vAlign w:val="center"/>
                          </w:tcPr>
                          <w:p>
                            <w:pPr>
                              <w:pStyle w:val="TableContents"/>
                              <w:bidi w:val="0"/>
                              <w:spacing w:before="0" w:after="283"/>
                              <w:jc w:val="right"/>
                              <w:rPr/>
                            </w:pPr>
                            <w:hyperlink w:anchor="tEXOF">
                              <w:r>
                                <w:rPr>
                                  <w:rStyle w:val="InternetLink"/>
                                  <w:color w:val="FEFEFE"/>
                                </w:rPr>
                                <w:t xml:space="preserve">41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3" w:type="dxa"/>
                            <w:tcBorders/>
                            <w:vAlign w:val="center"/>
                          </w:tcPr>
                          <w:p>
                            <w:pPr>
                              <w:pStyle w:val="TableContents"/>
                              <w:bidi w:val="0"/>
                              <w:spacing w:before="0" w:after="0"/>
                              <w:jc w:val="left"/>
                              <w:rPr/>
                            </w:pPr>
                            <w:hyperlink w:anchor="tCDAA">
                              <w:r>
                                <w:rPr>
                                  <w:rStyle w:val="InternetLink"/>
                                  <w:color w:val="FEFEFE"/>
                                </w:rPr>
                                <w:t xml:space="preserve">Compensation Discussion and Analysis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2" w:type="dxa"/>
                            <w:tcBorders/>
                            <w:vAlign w:val="center"/>
                          </w:tcPr>
                          <w:p>
                            <w:pPr>
                              <w:pStyle w:val="TableContents"/>
                              <w:bidi w:val="0"/>
                              <w:spacing w:before="0" w:after="283"/>
                              <w:jc w:val="right"/>
                              <w:rPr/>
                            </w:pPr>
                            <w:hyperlink w:anchor="tCDAA">
                              <w:r>
                                <w:rPr>
                                  <w:rStyle w:val="InternetLink"/>
                                  <w:color w:val="FEFEFE"/>
                                </w:rPr>
                                <w:t xml:space="preserve">43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9123" w:type="dxa"/>
                            <w:tcBorders/>
                            <w:vAlign w:val="center"/>
                          </w:tcPr>
                          <w:p>
                            <w:pPr>
                              <w:pStyle w:val="TableContents"/>
                              <w:bidi w:val="0"/>
                              <w:spacing w:before="0" w:after="0"/>
                              <w:ind w:left="180" w:right="0" w:hanging="0"/>
                              <w:jc w:val="left"/>
                              <w:rPr/>
                            </w:pPr>
                            <w:hyperlink w:anchor="tCCR">
                              <w:r>
                                <w:rPr>
                                  <w:rStyle w:val="InternetLink"/>
                                  <w:color w:val="FEFEFE"/>
                                </w:rPr>
                                <w:t xml:space="preserve">Compensation and Human Capital Committee Report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2" w:type="dxa"/>
                            <w:tcBorders/>
                            <w:vAlign w:val="center"/>
                          </w:tcPr>
                          <w:p>
                            <w:pPr>
                              <w:pStyle w:val="TableContents"/>
                              <w:bidi w:val="0"/>
                              <w:spacing w:before="0" w:after="283"/>
                              <w:jc w:val="right"/>
                              <w:rPr/>
                            </w:pPr>
                            <w:hyperlink w:anchor="tCCR">
                              <w:r>
                                <w:rPr>
                                  <w:rStyle w:val="InternetLink"/>
                                  <w:color w:val="FEFEFE"/>
                                </w:rPr>
                                <w:t xml:space="preserve">59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03200" distR="0" simplePos="0" locked="0" layoutInCell="1" allowOverlap="1" relativeHeight="88">
                <wp:simplePos x="0" y="0"/>
                <wp:positionH relativeFrom="column">
                  <wp:align>left</wp:align>
                </wp:positionH>
                <wp:positionV relativeFrom="line">
                  <wp:posOffset>635</wp:posOffset>
                </wp:positionV>
                <wp:extent cx="3213100" cy="5144770"/>
                <wp:effectExtent l="0" t="0" r="0" b="0"/>
                <wp:wrapSquare wrapText="right"/>
                <wp:docPr id="26" name="Frame17"/>
                <a:graphic xmlns:a="http://schemas.openxmlformats.org/drawingml/2006/main">
                  <a:graphicData uri="http://schemas.microsoft.com/office/word/2010/wordprocessingShape">
                    <wps:wsp>
                      <wps:cNvSpPr txBox="1"/>
                      <wps:spPr>
                        <a:xfrm>
                          <a:off x="0" y="0"/>
                          <a:ext cx="3213100" cy="5144770"/>
                        </a:xfrm>
                        <a:prstGeom prst="rect"/>
                        <a:solidFill>
                          <a:srgbClr val="FFFFFF"/>
                        </a:solidFill>
                      </wps:spPr>
                      <wps:txbx>
                        <w:txbxContent>
                          <w:tbl>
                            <w:tblPr>
                              <w:tblW w:w="7841" w:type="dxa"/>
                              <w:jc w:val="left"/>
                              <w:tblInd w:w="0" w:type="dxa"/>
                              <w:tblLayout w:type="fixed"/>
                              <w:tblCellMar>
                                <w:top w:w="0" w:type="dxa"/>
                                <w:left w:w="0" w:type="dxa"/>
                                <w:bottom w:w="0" w:type="dxa"/>
                                <w:right w:w="0" w:type="dxa"/>
                              </w:tblCellMar>
                            </w:tblPr>
                            <w:tblGrid>
                              <w:gridCol w:w="6601"/>
                              <w:gridCol w:w="109"/>
                              <w:gridCol w:w="109"/>
                              <w:gridCol w:w="109"/>
                              <w:gridCol w:w="109"/>
                              <w:gridCol w:w="541"/>
                              <w:gridCol w:w="109"/>
                              <w:gridCol w:w="154"/>
                            </w:tblGrid>
                            <w:tr>
                              <w:trPr/>
                              <w:tc>
                                <w:tcPr>
                                  <w:tcW w:w="660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68" w:type="dxa"/>
                                  <w:gridSpan w:val="4"/>
                                  <w:tcBorders/>
                                  <w:vAlign w:val="center"/>
                                </w:tcPr>
                                <w:p>
                                  <w:pPr>
                                    <w:pStyle w:val="TableContents"/>
                                    <w:bidi w:val="0"/>
                                    <w:spacing w:before="0" w:after="0"/>
                                    <w:jc w:val="center"/>
                                    <w:rPr/>
                                  </w:pPr>
                                  <w:r>
                                    <w:rPr/>
                                    <w:t xml:space="preserve">Page </w:t>
                                  </w:r>
                                </w:p>
                              </w:tc>
                              <w:tc>
                                <w:tcPr>
                                  <w:tcW w:w="154" w:type="dxa"/>
                                  <w:tcBorders/>
                                  <w:vAlign w:val="center"/>
                                </w:tcPr>
                                <w:p>
                                  <w:pPr>
                                    <w:pStyle w:val="TableContents"/>
                                    <w:bidi w:val="0"/>
                                    <w:spacing w:before="0" w:after="283"/>
                                    <w:jc w:val="left"/>
                                    <w:rPr/>
                                  </w:pPr>
                                  <w:r>
                                    <w:rPr/>
                                    <w:t>​</w:t>
                                  </w:r>
                                </w:p>
                              </w:tc>
                            </w:tr>
                            <w:tr>
                              <w:trPr/>
                              <w:tc>
                                <w:tcPr>
                                  <w:tcW w:w="6601" w:type="dxa"/>
                                  <w:tcBorders/>
                                  <w:vAlign w:val="center"/>
                                </w:tcPr>
                                <w:p>
                                  <w:pPr>
                                    <w:pStyle w:val="TableContents"/>
                                    <w:bidi w:val="0"/>
                                    <w:spacing w:before="0" w:after="0"/>
                                    <w:ind w:left="180" w:right="0" w:hanging="0"/>
                                    <w:jc w:val="left"/>
                                    <w:rPr/>
                                  </w:pPr>
                                  <w:hyperlink w:anchor="t2SCT">
                                    <w:r>
                                      <w:rPr>
                                        <w:rStyle w:val="InternetLink"/>
                                        <w:color w:val="FEFEFE"/>
                                      </w:rPr>
                                      <w:t xml:space="preserve">2023 Summary Compensation Table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2SCT">
                                    <w:r>
                                      <w:rPr>
                                        <w:rStyle w:val="InternetLink"/>
                                        <w:color w:val="FEFEFE"/>
                                      </w:rPr>
                                      <w:t xml:space="preserve">60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6601" w:type="dxa"/>
                                  <w:tcBorders/>
                                  <w:vAlign w:val="center"/>
                                </w:tcPr>
                                <w:p>
                                  <w:pPr>
                                    <w:pStyle w:val="TableContents"/>
                                    <w:bidi w:val="0"/>
                                    <w:spacing w:before="0" w:after="0"/>
                                    <w:ind w:left="180" w:right="0" w:hanging="0"/>
                                    <w:jc w:val="left"/>
                                    <w:rPr/>
                                  </w:pPr>
                                  <w:hyperlink w:anchor="tGOPA">
                                    <w:r>
                                      <w:rPr>
                                        <w:rStyle w:val="InternetLink"/>
                                        <w:color w:val="FEFEFE"/>
                                      </w:rPr>
                                      <w:t xml:space="preserve">Grants of Plan-Based Awards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GOPA">
                                    <w:r>
                                      <w:rPr>
                                        <w:rStyle w:val="InternetLink"/>
                                        <w:color w:val="FEFEFE"/>
                                      </w:rPr>
                                      <w:t xml:space="preserve">62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6601" w:type="dxa"/>
                                  <w:tcBorders/>
                                  <w:vAlign w:val="center"/>
                                </w:tcPr>
                                <w:p>
                                  <w:pPr>
                                    <w:pStyle w:val="TableContents"/>
                                    <w:bidi w:val="0"/>
                                    <w:spacing w:before="0" w:after="0"/>
                                    <w:ind w:left="180" w:right="0" w:hanging="0"/>
                                    <w:jc w:val="left"/>
                                    <w:rPr/>
                                  </w:pPr>
                                  <w:hyperlink w:anchor="tOEAA">
                                    <w:r>
                                      <w:rPr>
                                        <w:rStyle w:val="InternetLink"/>
                                        <w:color w:val="FEFEFE"/>
                                      </w:rPr>
                                      <w:t xml:space="preserve">Outstanding Equity Awards at Fiscal Year-End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OEAA">
                                    <w:r>
                                      <w:rPr>
                                        <w:rStyle w:val="InternetLink"/>
                                        <w:color w:val="FEFEFE"/>
                                      </w:rPr>
                                      <w:t xml:space="preserve">63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6601" w:type="dxa"/>
                                  <w:tcBorders/>
                                  <w:vAlign w:val="center"/>
                                </w:tcPr>
                                <w:p>
                                  <w:pPr>
                                    <w:pStyle w:val="TableContents"/>
                                    <w:bidi w:val="0"/>
                                    <w:spacing w:before="0" w:after="0"/>
                                    <w:ind w:left="180" w:right="0" w:hanging="0"/>
                                    <w:jc w:val="left"/>
                                    <w:rPr/>
                                  </w:pPr>
                                  <w:hyperlink w:anchor="tOEAS">
                                    <w:r>
                                      <w:rPr>
                                        <w:rStyle w:val="InternetLink"/>
                                        <w:color w:val="FEFEFE"/>
                                      </w:rPr>
                                      <w:t xml:space="preserve">Option Exercises and Stock Vested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OEAS">
                                    <w:r>
                                      <w:rPr>
                                        <w:rStyle w:val="InternetLink"/>
                                        <w:color w:val="FEFEFE"/>
                                      </w:rPr>
                                      <w:t xml:space="preserve">65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6601" w:type="dxa"/>
                                  <w:tcBorders/>
                                  <w:vAlign w:val="center"/>
                                </w:tcPr>
                                <w:p>
                                  <w:pPr>
                                    <w:pStyle w:val="TableContents"/>
                                    <w:bidi w:val="0"/>
                                    <w:spacing w:before="0" w:after="0"/>
                                    <w:ind w:left="180" w:right="0" w:hanging="0"/>
                                    <w:jc w:val="left"/>
                                    <w:rPr/>
                                  </w:pPr>
                                  <w:hyperlink w:anchor="tPPUT">
                                    <w:r>
                                      <w:rPr>
                                        <w:rStyle w:val="InternetLink"/>
                                        <w:color w:val="FEFEFE"/>
                                      </w:rPr>
                                      <w:t xml:space="preserve">Potential Payments Upon Termination or Change in Control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PPUT">
                                    <w:r>
                                      <w:rPr>
                                        <w:rStyle w:val="InternetLink"/>
                                        <w:color w:val="FEFEFE"/>
                                      </w:rPr>
                                      <w:t xml:space="preserve">68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6601" w:type="dxa"/>
                                  <w:tcBorders/>
                                  <w:vAlign w:val="center"/>
                                </w:tcPr>
                                <w:p>
                                  <w:pPr>
                                    <w:pStyle w:val="TableContents"/>
                                    <w:bidi w:val="0"/>
                                    <w:spacing w:before="0" w:after="0"/>
                                    <w:jc w:val="left"/>
                                    <w:rPr/>
                                  </w:pPr>
                                  <w:hyperlink w:anchor="tDICO">
                                    <w:r>
                                      <w:rPr>
                                        <w:rStyle w:val="InternetLink"/>
                                        <w:color w:val="FEFEFE"/>
                                      </w:rPr>
                                      <w:t xml:space="preserve">Director Compensation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DICO">
                                    <w:r>
                                      <w:rPr>
                                        <w:rStyle w:val="InternetLink"/>
                                        <w:color w:val="FEFEFE"/>
                                      </w:rPr>
                                      <w:t xml:space="preserve">70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6601" w:type="dxa"/>
                                  <w:tcBorders/>
                                  <w:vAlign w:val="center"/>
                                </w:tcPr>
                                <w:p>
                                  <w:pPr>
                                    <w:pStyle w:val="TableContents"/>
                                    <w:bidi w:val="0"/>
                                    <w:spacing w:before="0" w:after="0"/>
                                    <w:jc w:val="left"/>
                                    <w:rPr/>
                                  </w:pPr>
                                  <w:hyperlink w:anchor="tCPR">
                                    <w:r>
                                      <w:rPr>
                                        <w:rStyle w:val="InternetLink"/>
                                        <w:color w:val="FEFEFE"/>
                                      </w:rPr>
                                      <w:t xml:space="preserve">CEO Pay Ratio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CPR">
                                    <w:r>
                                      <w:rPr>
                                        <w:rStyle w:val="InternetLink"/>
                                        <w:color w:val="FEFEFE"/>
                                      </w:rPr>
                                      <w:t xml:space="preserve">72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6601" w:type="dxa"/>
                                  <w:tcBorders/>
                                  <w:vAlign w:val="center"/>
                                </w:tcPr>
                                <w:p>
                                  <w:pPr>
                                    <w:pStyle w:val="TableContents"/>
                                    <w:bidi w:val="0"/>
                                    <w:spacing w:before="0" w:after="0"/>
                                    <w:jc w:val="left"/>
                                    <w:rPr/>
                                  </w:pPr>
                                  <w:hyperlink w:anchor="tPVP">
                                    <w:r>
                                      <w:rPr>
                                        <w:rStyle w:val="InternetLink"/>
                                        <w:color w:val="FEFEFE"/>
                                      </w:rPr>
                                      <w:t xml:space="preserve">Pay Versus Performance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PVP">
                                    <w:r>
                                      <w:rPr>
                                        <w:rStyle w:val="InternetLink"/>
                                        <w:color w:val="FEFEFE"/>
                                      </w:rPr>
                                      <w:t xml:space="preserve">73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6601" w:type="dxa"/>
                                  <w:tcBorders/>
                                  <w:vAlign w:val="center"/>
                                </w:tcPr>
                                <w:p>
                                  <w:pPr>
                                    <w:pStyle w:val="TableContents"/>
                                    <w:bidi w:val="0"/>
                                    <w:spacing w:before="0" w:after="283"/>
                                    <w:jc w:val="left"/>
                                    <w:rPr/>
                                  </w:pPr>
                                  <w:hyperlink w:anchor="tSOOC">
                                    <w:r>
                                      <w:rPr>
                                        <w:rStyle w:val="InternetLink"/>
                                        <w:color w:val="FEFEFE"/>
                                      </w:rPr>
                                      <w:t xml:space="preserve">Security Ownership of Certain Beneficial Owners and Management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SOOC">
                                    <w:r>
                                      <w:rPr>
                                        <w:rStyle w:val="InternetLink"/>
                                        <w:color w:val="FEFEFE"/>
                                      </w:rPr>
                                      <w:t xml:space="preserve">75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6601" w:type="dxa"/>
                                  <w:tcBorders/>
                                  <w:vAlign w:val="center"/>
                                </w:tcPr>
                                <w:p>
                                  <w:pPr>
                                    <w:pStyle w:val="TableContents"/>
                                    <w:bidi w:val="0"/>
                                    <w:spacing w:before="0" w:after="0"/>
                                    <w:jc w:val="left"/>
                                    <w:rPr/>
                                  </w:pPr>
                                  <w:hyperlink w:anchor="tCRAR">
                                    <w:r>
                                      <w:rPr>
                                        <w:rStyle w:val="InternetLink"/>
                                        <w:color w:val="FEFEFE"/>
                                      </w:rPr>
                                      <w:t xml:space="preserve">Certain Relationships and Related Party Transactions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CRAR">
                                    <w:r>
                                      <w:rPr>
                                        <w:rStyle w:val="InternetLink"/>
                                        <w:color w:val="FEFEFE"/>
                                      </w:rPr>
                                      <w:t xml:space="preserve">77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6601" w:type="dxa"/>
                                  <w:tcBorders/>
                                  <w:vAlign w:val="center"/>
                                </w:tcPr>
                                <w:p>
                                  <w:pPr>
                                    <w:pStyle w:val="TableContents"/>
                                    <w:bidi w:val="0"/>
                                    <w:spacing w:before="0" w:after="283"/>
                                    <w:jc w:val="left"/>
                                    <w:rPr/>
                                  </w:pPr>
                                  <w:hyperlink w:anchor="tHOPM">
                                    <w:r>
                                      <w:rPr>
                                        <w:rStyle w:val="InternetLink"/>
                                        <w:color w:val="FEFEFE"/>
                                      </w:rPr>
                                      <w:t xml:space="preserve">Householding of Proxy Materials; Availability of Annual Report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HOPM">
                                    <w:r>
                                      <w:rPr>
                                        <w:rStyle w:val="InternetLink"/>
                                        <w:color w:val="FEFEFE"/>
                                      </w:rPr>
                                      <w:t xml:space="preserve">81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6601" w:type="dxa"/>
                                  <w:tcBorders/>
                                  <w:vAlign w:val="center"/>
                                </w:tcPr>
                                <w:p>
                                  <w:pPr>
                                    <w:pStyle w:val="TableContents"/>
                                    <w:bidi w:val="0"/>
                                    <w:spacing w:before="0" w:after="0"/>
                                    <w:jc w:val="left"/>
                                    <w:rPr/>
                                  </w:pPr>
                                  <w:hyperlink w:anchor="tOTMA">
                                    <w:r>
                                      <w:rPr>
                                        <w:rStyle w:val="InternetLink"/>
                                        <w:color w:val="FEFEFE"/>
                                      </w:rPr>
                                      <w:t xml:space="preserve">Other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OTMA">
                                    <w:r>
                                      <w:rPr>
                                        <w:rStyle w:val="InternetLink"/>
                                        <w:color w:val="FEFEFE"/>
                                      </w:rPr>
                                      <w:t xml:space="preserve">81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6601" w:type="dxa"/>
                                  <w:tcBorders/>
                                  <w:vAlign w:val="center"/>
                                </w:tcPr>
                                <w:p>
                                  <w:pPr>
                                    <w:pStyle w:val="TableContents"/>
                                    <w:bidi w:val="0"/>
                                    <w:spacing w:before="0" w:after="0"/>
                                    <w:jc w:val="left"/>
                                    <w:rPr/>
                                  </w:pPr>
                                  <w:hyperlink w:anchor="tANXA">
                                    <w:r>
                                      <w:rPr>
                                        <w:rStyle w:val="InternetLink"/>
                                        <w:color w:val="FEFEFE"/>
                                      </w:rPr>
                                      <w:t xml:space="preserve">Annex A — Lucid Group, Inc. Amended and Restated 2021 </w:t>
                                      <w:br/>
                                      <w:t xml:space="preserve">Stock Incentive Plan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ANXA">
                                    <w:r>
                                      <w:rPr>
                                        <w:rStyle w:val="InternetLink"/>
                                        <w:color w:val="FEFEFE"/>
                                      </w:rPr>
                                      <w:t>A-1</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3pt;height:405.1pt;mso-wrap-distance-left:16pt;mso-wrap-distance-right:0pt;mso-wrap-distance-top:0pt;mso-wrap-distance-bottom:0pt;margin-top:0pt;mso-position-vertical:top;mso-position-vertical-relative:text;margin-left:16pt;mso-position-horizontal:left;mso-position-horizontal-relative:text">
                <v:textbox>
                  <w:txbxContent>
                    <w:tbl>
                      <w:tblPr>
                        <w:tblW w:w="7841" w:type="dxa"/>
                        <w:jc w:val="left"/>
                        <w:tblInd w:w="0" w:type="dxa"/>
                        <w:tblLayout w:type="fixed"/>
                        <w:tblCellMar>
                          <w:top w:w="0" w:type="dxa"/>
                          <w:left w:w="0" w:type="dxa"/>
                          <w:bottom w:w="0" w:type="dxa"/>
                          <w:right w:w="0" w:type="dxa"/>
                        </w:tblCellMar>
                      </w:tblPr>
                      <w:tblGrid>
                        <w:gridCol w:w="6601"/>
                        <w:gridCol w:w="109"/>
                        <w:gridCol w:w="109"/>
                        <w:gridCol w:w="109"/>
                        <w:gridCol w:w="109"/>
                        <w:gridCol w:w="541"/>
                        <w:gridCol w:w="109"/>
                        <w:gridCol w:w="154"/>
                      </w:tblGrid>
                      <w:tr>
                        <w:trPr/>
                        <w:tc>
                          <w:tcPr>
                            <w:tcW w:w="660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68" w:type="dxa"/>
                            <w:gridSpan w:val="4"/>
                            <w:tcBorders/>
                            <w:vAlign w:val="center"/>
                          </w:tcPr>
                          <w:p>
                            <w:pPr>
                              <w:pStyle w:val="TableContents"/>
                              <w:bidi w:val="0"/>
                              <w:spacing w:before="0" w:after="0"/>
                              <w:jc w:val="center"/>
                              <w:rPr/>
                            </w:pPr>
                            <w:r>
                              <w:rPr/>
                              <w:t xml:space="preserve">Page </w:t>
                            </w:r>
                          </w:p>
                        </w:tc>
                        <w:tc>
                          <w:tcPr>
                            <w:tcW w:w="154" w:type="dxa"/>
                            <w:tcBorders/>
                            <w:vAlign w:val="center"/>
                          </w:tcPr>
                          <w:p>
                            <w:pPr>
                              <w:pStyle w:val="TableContents"/>
                              <w:bidi w:val="0"/>
                              <w:spacing w:before="0" w:after="283"/>
                              <w:jc w:val="left"/>
                              <w:rPr/>
                            </w:pPr>
                            <w:r>
                              <w:rPr/>
                              <w:t>​</w:t>
                            </w:r>
                          </w:p>
                        </w:tc>
                      </w:tr>
                      <w:tr>
                        <w:trPr/>
                        <w:tc>
                          <w:tcPr>
                            <w:tcW w:w="6601" w:type="dxa"/>
                            <w:tcBorders/>
                            <w:vAlign w:val="center"/>
                          </w:tcPr>
                          <w:p>
                            <w:pPr>
                              <w:pStyle w:val="TableContents"/>
                              <w:bidi w:val="0"/>
                              <w:spacing w:before="0" w:after="0"/>
                              <w:ind w:left="180" w:right="0" w:hanging="0"/>
                              <w:jc w:val="left"/>
                              <w:rPr/>
                            </w:pPr>
                            <w:hyperlink w:anchor="t2SCT">
                              <w:r>
                                <w:rPr>
                                  <w:rStyle w:val="InternetLink"/>
                                  <w:color w:val="FEFEFE"/>
                                </w:rPr>
                                <w:t xml:space="preserve">2023 Summary Compensation Table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2SCT">
                              <w:r>
                                <w:rPr>
                                  <w:rStyle w:val="InternetLink"/>
                                  <w:color w:val="FEFEFE"/>
                                </w:rPr>
                                <w:t xml:space="preserve">60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6601" w:type="dxa"/>
                            <w:tcBorders/>
                            <w:vAlign w:val="center"/>
                          </w:tcPr>
                          <w:p>
                            <w:pPr>
                              <w:pStyle w:val="TableContents"/>
                              <w:bidi w:val="0"/>
                              <w:spacing w:before="0" w:after="0"/>
                              <w:ind w:left="180" w:right="0" w:hanging="0"/>
                              <w:jc w:val="left"/>
                              <w:rPr/>
                            </w:pPr>
                            <w:hyperlink w:anchor="tGOPA">
                              <w:r>
                                <w:rPr>
                                  <w:rStyle w:val="InternetLink"/>
                                  <w:color w:val="FEFEFE"/>
                                </w:rPr>
                                <w:t xml:space="preserve">Grants of Plan-Based Awards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GOPA">
                              <w:r>
                                <w:rPr>
                                  <w:rStyle w:val="InternetLink"/>
                                  <w:color w:val="FEFEFE"/>
                                </w:rPr>
                                <w:t xml:space="preserve">62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6601" w:type="dxa"/>
                            <w:tcBorders/>
                            <w:vAlign w:val="center"/>
                          </w:tcPr>
                          <w:p>
                            <w:pPr>
                              <w:pStyle w:val="TableContents"/>
                              <w:bidi w:val="0"/>
                              <w:spacing w:before="0" w:after="0"/>
                              <w:ind w:left="180" w:right="0" w:hanging="0"/>
                              <w:jc w:val="left"/>
                              <w:rPr/>
                            </w:pPr>
                            <w:hyperlink w:anchor="tOEAA">
                              <w:r>
                                <w:rPr>
                                  <w:rStyle w:val="InternetLink"/>
                                  <w:color w:val="FEFEFE"/>
                                </w:rPr>
                                <w:t xml:space="preserve">Outstanding Equity Awards at Fiscal Year-End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OEAA">
                              <w:r>
                                <w:rPr>
                                  <w:rStyle w:val="InternetLink"/>
                                  <w:color w:val="FEFEFE"/>
                                </w:rPr>
                                <w:t xml:space="preserve">63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6601" w:type="dxa"/>
                            <w:tcBorders/>
                            <w:vAlign w:val="center"/>
                          </w:tcPr>
                          <w:p>
                            <w:pPr>
                              <w:pStyle w:val="TableContents"/>
                              <w:bidi w:val="0"/>
                              <w:spacing w:before="0" w:after="0"/>
                              <w:ind w:left="180" w:right="0" w:hanging="0"/>
                              <w:jc w:val="left"/>
                              <w:rPr/>
                            </w:pPr>
                            <w:hyperlink w:anchor="tOEAS">
                              <w:r>
                                <w:rPr>
                                  <w:rStyle w:val="InternetLink"/>
                                  <w:color w:val="FEFEFE"/>
                                </w:rPr>
                                <w:t xml:space="preserve">Option Exercises and Stock Vested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OEAS">
                              <w:r>
                                <w:rPr>
                                  <w:rStyle w:val="InternetLink"/>
                                  <w:color w:val="FEFEFE"/>
                                </w:rPr>
                                <w:t xml:space="preserve">65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6601" w:type="dxa"/>
                            <w:tcBorders/>
                            <w:vAlign w:val="center"/>
                          </w:tcPr>
                          <w:p>
                            <w:pPr>
                              <w:pStyle w:val="TableContents"/>
                              <w:bidi w:val="0"/>
                              <w:spacing w:before="0" w:after="0"/>
                              <w:ind w:left="180" w:right="0" w:hanging="0"/>
                              <w:jc w:val="left"/>
                              <w:rPr/>
                            </w:pPr>
                            <w:hyperlink w:anchor="tPPUT">
                              <w:r>
                                <w:rPr>
                                  <w:rStyle w:val="InternetLink"/>
                                  <w:color w:val="FEFEFE"/>
                                </w:rPr>
                                <w:t xml:space="preserve">Potential Payments Upon Termination or Change in Control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PPUT">
                              <w:r>
                                <w:rPr>
                                  <w:rStyle w:val="InternetLink"/>
                                  <w:color w:val="FEFEFE"/>
                                </w:rPr>
                                <w:t xml:space="preserve">68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6601" w:type="dxa"/>
                            <w:tcBorders/>
                            <w:vAlign w:val="center"/>
                          </w:tcPr>
                          <w:p>
                            <w:pPr>
                              <w:pStyle w:val="TableContents"/>
                              <w:bidi w:val="0"/>
                              <w:spacing w:before="0" w:after="0"/>
                              <w:jc w:val="left"/>
                              <w:rPr/>
                            </w:pPr>
                            <w:hyperlink w:anchor="tDICO">
                              <w:r>
                                <w:rPr>
                                  <w:rStyle w:val="InternetLink"/>
                                  <w:color w:val="FEFEFE"/>
                                </w:rPr>
                                <w:t xml:space="preserve">Director Compensation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DICO">
                              <w:r>
                                <w:rPr>
                                  <w:rStyle w:val="InternetLink"/>
                                  <w:color w:val="FEFEFE"/>
                                </w:rPr>
                                <w:t xml:space="preserve">70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6601" w:type="dxa"/>
                            <w:tcBorders/>
                            <w:vAlign w:val="center"/>
                          </w:tcPr>
                          <w:p>
                            <w:pPr>
                              <w:pStyle w:val="TableContents"/>
                              <w:bidi w:val="0"/>
                              <w:spacing w:before="0" w:after="0"/>
                              <w:jc w:val="left"/>
                              <w:rPr/>
                            </w:pPr>
                            <w:hyperlink w:anchor="tCPR">
                              <w:r>
                                <w:rPr>
                                  <w:rStyle w:val="InternetLink"/>
                                  <w:color w:val="FEFEFE"/>
                                </w:rPr>
                                <w:t xml:space="preserve">CEO Pay Ratio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CPR">
                              <w:r>
                                <w:rPr>
                                  <w:rStyle w:val="InternetLink"/>
                                  <w:color w:val="FEFEFE"/>
                                </w:rPr>
                                <w:t xml:space="preserve">72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6601" w:type="dxa"/>
                            <w:tcBorders/>
                            <w:vAlign w:val="center"/>
                          </w:tcPr>
                          <w:p>
                            <w:pPr>
                              <w:pStyle w:val="TableContents"/>
                              <w:bidi w:val="0"/>
                              <w:spacing w:before="0" w:after="0"/>
                              <w:jc w:val="left"/>
                              <w:rPr/>
                            </w:pPr>
                            <w:hyperlink w:anchor="tPVP">
                              <w:r>
                                <w:rPr>
                                  <w:rStyle w:val="InternetLink"/>
                                  <w:color w:val="FEFEFE"/>
                                </w:rPr>
                                <w:t xml:space="preserve">Pay Versus Performance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PVP">
                              <w:r>
                                <w:rPr>
                                  <w:rStyle w:val="InternetLink"/>
                                  <w:color w:val="FEFEFE"/>
                                </w:rPr>
                                <w:t xml:space="preserve">73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6601" w:type="dxa"/>
                            <w:tcBorders/>
                            <w:vAlign w:val="center"/>
                          </w:tcPr>
                          <w:p>
                            <w:pPr>
                              <w:pStyle w:val="TableContents"/>
                              <w:bidi w:val="0"/>
                              <w:spacing w:before="0" w:after="283"/>
                              <w:jc w:val="left"/>
                              <w:rPr/>
                            </w:pPr>
                            <w:hyperlink w:anchor="tSOOC">
                              <w:r>
                                <w:rPr>
                                  <w:rStyle w:val="InternetLink"/>
                                  <w:color w:val="FEFEFE"/>
                                </w:rPr>
                                <w:t xml:space="preserve">Security Ownership of Certain Beneficial Owners and Management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SOOC">
                              <w:r>
                                <w:rPr>
                                  <w:rStyle w:val="InternetLink"/>
                                  <w:color w:val="FEFEFE"/>
                                </w:rPr>
                                <w:t xml:space="preserve">75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6601" w:type="dxa"/>
                            <w:tcBorders/>
                            <w:vAlign w:val="center"/>
                          </w:tcPr>
                          <w:p>
                            <w:pPr>
                              <w:pStyle w:val="TableContents"/>
                              <w:bidi w:val="0"/>
                              <w:spacing w:before="0" w:after="0"/>
                              <w:jc w:val="left"/>
                              <w:rPr/>
                            </w:pPr>
                            <w:hyperlink w:anchor="tCRAR">
                              <w:r>
                                <w:rPr>
                                  <w:rStyle w:val="InternetLink"/>
                                  <w:color w:val="FEFEFE"/>
                                </w:rPr>
                                <w:t xml:space="preserve">Certain Relationships and Related Party Transactions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CRAR">
                              <w:r>
                                <w:rPr>
                                  <w:rStyle w:val="InternetLink"/>
                                  <w:color w:val="FEFEFE"/>
                                </w:rPr>
                                <w:t xml:space="preserve">77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6601" w:type="dxa"/>
                            <w:tcBorders/>
                            <w:vAlign w:val="center"/>
                          </w:tcPr>
                          <w:p>
                            <w:pPr>
                              <w:pStyle w:val="TableContents"/>
                              <w:bidi w:val="0"/>
                              <w:spacing w:before="0" w:after="283"/>
                              <w:jc w:val="left"/>
                              <w:rPr/>
                            </w:pPr>
                            <w:hyperlink w:anchor="tHOPM">
                              <w:r>
                                <w:rPr>
                                  <w:rStyle w:val="InternetLink"/>
                                  <w:color w:val="FEFEFE"/>
                                </w:rPr>
                                <w:t xml:space="preserve">Householding of Proxy Materials; Availability of Annual Report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HOPM">
                              <w:r>
                                <w:rPr>
                                  <w:rStyle w:val="InternetLink"/>
                                  <w:color w:val="FEFEFE"/>
                                </w:rPr>
                                <w:t xml:space="preserve">81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6601" w:type="dxa"/>
                            <w:tcBorders/>
                            <w:vAlign w:val="center"/>
                          </w:tcPr>
                          <w:p>
                            <w:pPr>
                              <w:pStyle w:val="TableContents"/>
                              <w:bidi w:val="0"/>
                              <w:spacing w:before="0" w:after="0"/>
                              <w:jc w:val="left"/>
                              <w:rPr/>
                            </w:pPr>
                            <w:hyperlink w:anchor="tOTMA">
                              <w:r>
                                <w:rPr>
                                  <w:rStyle w:val="InternetLink"/>
                                  <w:color w:val="FEFEFE"/>
                                </w:rPr>
                                <w:t xml:space="preserve">Other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OTMA">
                              <w:r>
                                <w:rPr>
                                  <w:rStyle w:val="InternetLink"/>
                                  <w:color w:val="FEFEFE"/>
                                </w:rPr>
                                <w:t xml:space="preserve">81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6601" w:type="dxa"/>
                            <w:tcBorders/>
                            <w:vAlign w:val="center"/>
                          </w:tcPr>
                          <w:p>
                            <w:pPr>
                              <w:pStyle w:val="TableContents"/>
                              <w:bidi w:val="0"/>
                              <w:spacing w:before="0" w:after="0"/>
                              <w:jc w:val="left"/>
                              <w:rPr/>
                            </w:pPr>
                            <w:hyperlink w:anchor="tANXA">
                              <w:r>
                                <w:rPr>
                                  <w:rStyle w:val="InternetLink"/>
                                  <w:color w:val="FEFEFE"/>
                                </w:rPr>
                                <w:t xml:space="preserve">Annex A — Lucid Group, Inc. Amended and Restated 2021 </w:t>
                                <w:br/>
                                <w:t xml:space="preserve">Stock Incentive Plan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1" w:type="dxa"/>
                            <w:tcBorders/>
                            <w:vAlign w:val="center"/>
                          </w:tcPr>
                          <w:p>
                            <w:pPr>
                              <w:pStyle w:val="TableContents"/>
                              <w:bidi w:val="0"/>
                              <w:spacing w:before="0" w:after="283"/>
                              <w:jc w:val="right"/>
                              <w:rPr/>
                            </w:pPr>
                            <w:hyperlink w:anchor="tANXA">
                              <w:r>
                                <w:rPr>
                                  <w:rStyle w:val="InternetLink"/>
                                  <w:color w:val="FEFEFE"/>
                                </w:rPr>
                                <w:t>A-1</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QAAA"/>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283"/>
        <w:ind w:left="720" w:right="0" w:hanging="0"/>
        <w:jc w:val="left"/>
        <w:rPr>
          <w:rFonts w:ascii="Times New Roman;Garamond;serif" w:hAnsi="Times New Roman;Garamond;serif"/>
          <w:b/>
          <w:i w:val="false"/>
          <w:caps w:val="false"/>
          <w:smallCaps w:val="false"/>
          <w:color w:val="000000"/>
          <w:sz w:val="40"/>
        </w:rPr>
      </w:pPr>
      <w:r>
        <w:rPr>
          <w:rFonts w:ascii="Times New Roman;Garamond;serif" w:hAnsi="Times New Roman;Garamond;serif"/>
          <w:b/>
          <w:i w:val="false"/>
          <w:caps w:val="false"/>
          <w:smallCaps w:val="false"/>
          <w:color w:val="000000"/>
          <w:sz w:val="40"/>
        </w:rPr>
        <w:t>Questions and Answers About These Proxy Materials and Voting</w:t>
      </w:r>
      <w:r>
        <w:rPr>
          <w:rFonts w:ascii="Times New Roman;Garamond;serif" w:hAnsi="Times New Roman;Garamond;serif"/>
          <w:b/>
          <w:i w:val="false"/>
          <w:caps w:val="false"/>
          <w:smallCaps w:val="false"/>
          <w:color w:val="000000"/>
          <w:spacing w:val="8"/>
          <w:sz w:val="40"/>
        </w:rPr>
        <w:t xml:space="preserve"> </w:t>
      </w:r>
    </w:p>
    <w:p>
      <w:pPr>
        <w:pStyle w:val="TextBody"/>
        <w:bidi w:val="0"/>
        <w:spacing w:lineRule="atLeast" w:line="200" w:before="40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Why did I receive a one-page notice in the mail regarding the internet availability of proxy materials instead of a full set of proxy materials?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Pursuant to the “Notice and Access” rules adopted by the Securities and Exchange Commission (the “SEC”), we have elected to provide access to our proxy materials over the internet. Accordingly, we are sending an Important Notice Regarding the Availability of Proxy Materials (the “Proxy Availability Notice”) to our stockholders of record as of April 10, 2024. All stockholders will have the ability to access the proxy materials on the website referred to in the Proxy Availability Notice free of charge or request to receive a printed set of the proxy materials for the Annual Meeting. Instructions on how to access the proxy materials over the internet or to request a printed copy may be found in the Proxy Availability Notice. We encourage stockholders to take advantage of the availability of the proxy materials online to help reduce the environmental impact of our annual meetings and reduce our printing and mailing costs.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We expect that this Proxy Statement and the other proxy materials will be available to stockholders on or about April 25, 2024.</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Why are you having a virtual Annual Meeting?</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We believe that a virtual Annual Meeting allows for participation by a broader group of stockholders and reduces the costs to stockholders associated with holding an in-person meeting.</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How can I attend the virtual Annual Meeting?</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Annual Meeting will be held on June 4, 2024 at 9:00 a.m. (Pacific Time) via live webcast.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Only stockholders of record and beneficial owners of shares of our Class A common stock, par value $0.0001 per share (the “Common Stock”), together with stockholders of record and beneficial owners of shares of our Series A convertible preferred stock, par value $0.0001 per share (the “Convertible Preferred Stock”) (who vote on an as converted to Common Stock basis), as of the close of business on April 10, 2024, the Record Date, may participate in the Annual Meeting, including voting and asking questions. You will not be able to attend the Annual Meeting physically in person.</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In order to attend the Annual Meeting, you must register at www.proxydocs.com/LCID. Upon completing your registration, you will receive further instructions via email, including a unique link that will allow you access to the Annual Meeting and to vote and submit questions.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As part of the registration process, you must enter the control number located on your proxy card, voting instruction form, or Proxy Availability Notice. If you are a beneficial owner of shares registered in the name of a broker, bank or other nominee, you will also need to provide the registered name on your account and the name of your broker, bank or other nominee as part of the registration process. If you are having trouble registering online, please use the link “Having trouble registering” at the bottom of the registration page to access the FAQ or email DSMSupport@mediantonline.com.</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Whether or not you plan to attend the Annual Meeting, we urge you to vote and submit your proxy in advance of the meeting by one of the methods described in these proxy materials.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Can I ask questions at the virtual Annual Meeting?</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Stockholders of record and beneficial owners of our Common Stock or Convertible Preferred Stock as of our Record Date who attend and participate in our virtual Annual Meeting will have an opportunity to submit questions live via the internet during a designated portion of the meeting. These stockholders may also submit a question in advance of the Annual Meeting by registering at www.proxydocs.com/LCID. In both cases, stockholders must have available their control number provided on their proxy card, voting instruction form, or Proxy Availability Notice.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What does it mean if I receive more than one Proxy Availability Notice?</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If you receive more than one Proxy Availability Notice, your shares may be registered at the same address but in more than one name or in different accounts. Please follow the voting instructions on each Proxy Availability Notice to ensure that all of your shares are voted.</w:t>
      </w:r>
      <w:r>
        <w:rPr>
          <w:rFonts w:ascii="Helvetica;Arial;sans-serif" w:hAnsi="Helvetica;Arial;sans-serif"/>
          <w:b w:val="false"/>
          <w:i w:val="false"/>
          <w:caps w:val="false"/>
          <w:smallCaps w:val="false"/>
          <w:color w:val="000000"/>
          <w:spacing w:val="4"/>
          <w:sz w:val="18"/>
        </w:rPr>
        <w:t xml:space="preserve"> </w:t>
      </w:r>
    </w:p>
    <w:tbl>
      <w:tblPr>
        <w:tblW w:w="2928" w:type="dxa"/>
        <w:jc w:val="left"/>
        <w:tblInd w:w="720" w:type="dxa"/>
        <w:tblLayout w:type="fixed"/>
        <w:tblCellMar>
          <w:top w:w="0" w:type="dxa"/>
          <w:left w:w="0" w:type="dxa"/>
          <w:bottom w:w="0" w:type="dxa"/>
          <w:right w:w="0" w:type="dxa"/>
        </w:tblCellMar>
      </w:tblPr>
      <w:tblGrid>
        <w:gridCol w:w="124"/>
        <w:gridCol w:w="220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b/>
              </w:rPr>
            </w:pPr>
            <w:r>
              <w:rPr>
                <w:b/>
              </w:rPr>
              <w:t>1</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840" w:after="283"/>
        <w:ind w:left="720" w:right="0" w:hanging="0"/>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Will I receive any other proxy materials by mail?</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We may send you a proxy card, along with a second Proxy Availability Notice, by mail on or after April 25, 2024.</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Who can vote at the Annual Meeting?</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Only stockholders of record of our Common Stock or Convertible Preferred Stock at the close of business on the Record Date of April 10, 2024 will be entitled to vote at the Annual Meeting. On the Record Date, there were 2,307,027,046 shares of Common Stock outstanding and entitled to vote and 100,000 shares of Series A Convertible Preferred Stock outstanding and entitled to vote, which are convertible, in the aggregate, into 279,052,626 shares of Common Stock. Accordingly, on the Record Date, the stockholders of our Common Stock and Convertible Preferred Stock are entitled to an aggregate of 2,586,079,672 votes in respect of such shares of Common Stock and Convertible Preferred Stock (on an as converted to Common Stock basis).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Stockholder of Record: Shares Registered in Your Name</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If, on April 10, 2024, your shares were registered directly in your name with our transfer agent, Equiniti Trust Company or on the Company’s stock ledger, then you are a stockholder of record. As a stockholder of record of Common Stock or Convertible Preferred Stock, you may vote at the Annual Meeting or vote by proxy.</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Whether or not you plan to attend the Annual Meeting, we urge you to vote by proxy over the telephone or on the internet as instructed below (see “How do I vote?”) or complete, date, sign and return the proxy card mailed to you to ensure your vote is counted.</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Beneficial Owner: Shares Registered in the Name of a Broker, Bank or Other Nominee</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If, on April 10, 2024, your shares were held in an account at a brokerage firm, bank, dealer or other similar organization, but not directly in your name, then you are the beneficial owner of shares held in “street name” and the Proxy Availability Notice is being forwarded to you by the organization that holds your account. The organization holding your account is considered to be the stockholder of record for purposes of voting at the Annual Meeting. As a beneficial owner, you have the right to direct your broker, bank or other nominee regarding how to vote the shares in your account. You are also invited to attend the Annual Meeting. You may attend and vote at the Annual Meeting by registering as instructed above (see “How can I attend the virtual Annual Meeting?”).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What am I voting on?</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There are four matters scheduled for a vote: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150"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Election of directors;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89">
                <wp:simplePos x="0" y="0"/>
                <wp:positionH relativeFrom="column">
                  <wp:align>left</wp:align>
                </wp:positionH>
                <wp:positionV relativeFrom="line">
                  <wp:align>top</wp:align>
                </wp:positionV>
                <wp:extent cx="114300" cy="525780"/>
                <wp:effectExtent l="0" t="0" r="0" b="0"/>
                <wp:wrapSquare wrapText="right"/>
                <wp:docPr id="27" name="Frame18"/>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Ratification of the selection of KPMG LLP as our independent registered public accounting firm for the fiscal year ending December 31, 2024;</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90">
                <wp:simplePos x="0" y="0"/>
                <wp:positionH relativeFrom="column">
                  <wp:align>left</wp:align>
                </wp:positionH>
                <wp:positionV relativeFrom="line">
                  <wp:align>top</wp:align>
                </wp:positionV>
                <wp:extent cx="114300" cy="525780"/>
                <wp:effectExtent l="0" t="0" r="0" b="0"/>
                <wp:wrapSquare wrapText="right"/>
                <wp:docPr id="28" name="Frame19"/>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9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Approval, on an advisory basis, of the compensation of our named executive officers; and</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91">
                <wp:simplePos x="0" y="0"/>
                <wp:positionH relativeFrom="column">
                  <wp:align>left</wp:align>
                </wp:positionH>
                <wp:positionV relativeFrom="line">
                  <wp:align>top</wp:align>
                </wp:positionV>
                <wp:extent cx="114300" cy="525780"/>
                <wp:effectExtent l="0" t="0" r="0" b="0"/>
                <wp:wrapSquare wrapText="right"/>
                <wp:docPr id="29" name="Frame20"/>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Approval of the amendment and restatement of the Lucid Group, Inc. Second Amended and Restated 2021 Stock Incentive Plan.</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92">
                <wp:simplePos x="0" y="0"/>
                <wp:positionH relativeFrom="column">
                  <wp:align>left</wp:align>
                </wp:positionH>
                <wp:positionV relativeFrom="line">
                  <wp:align>top</wp:align>
                </wp:positionV>
                <wp:extent cx="114300" cy="525780"/>
                <wp:effectExtent l="0" t="0" r="0" b="0"/>
                <wp:wrapSquare wrapText="right"/>
                <wp:docPr id="30" name="Frame21"/>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9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What if another matter is properly brought before the Annual Meeting?</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Our Board of Directors (the “Board” or the “Board of Directors”) knows of no other matters that will be presented for consideration at the Annual Meeting. If any other matters are properly brought before the Annual Meeting, the persons named in the accompanying proxy will vote the shares for which you grant your proxy on those matters in accordance with their best judgment. </w:t>
      </w:r>
    </w:p>
    <w:tbl>
      <w:tblPr>
        <w:tblW w:w="2928" w:type="dxa"/>
        <w:jc w:val="left"/>
        <w:tblInd w:w="720" w:type="dxa"/>
        <w:tblLayout w:type="fixed"/>
        <w:tblCellMar>
          <w:top w:w="0" w:type="dxa"/>
          <w:left w:w="0" w:type="dxa"/>
          <w:bottom w:w="0" w:type="dxa"/>
          <w:right w:w="0" w:type="dxa"/>
        </w:tblCellMar>
      </w:tblPr>
      <w:tblGrid>
        <w:gridCol w:w="124"/>
        <w:gridCol w:w="22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840" w:after="283"/>
        <w:ind w:left="720" w:right="0" w:hanging="0"/>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What is the Board’s voting recommendation?</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Board recommends that you vote your shares: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160" w:after="0"/>
        <w:ind w:left="900" w:right="0" w:hanging="0"/>
        <w:jc w:val="left"/>
        <w:rPr>
          <w:caps w:val="false"/>
          <w:smallCaps w:val="false"/>
          <w:color w:val="000000"/>
        </w:rPr>
      </w:pPr>
      <w:r>
        <w:rPr>
          <w:caps w:val="false"/>
          <w:smallCaps w:val="false"/>
          <w:color w:val="000000"/>
        </w:rPr>
        <w:t>“</w:t>
      </w:r>
      <w:r>
        <w:rPr>
          <w:rFonts w:ascii="Helvetica;Arial;sans-serif" w:hAnsi="Helvetica;Arial;sans-serif"/>
          <w:b/>
          <w:i w:val="false"/>
          <w:caps w:val="false"/>
          <w:smallCaps w:val="false"/>
          <w:color w:val="000000"/>
          <w:sz w:val="18"/>
        </w:rPr>
        <w:t>For”</w:t>
      </w:r>
      <w:r>
        <w:rPr>
          <w:rFonts w:ascii="Helvetica;Arial;sans-serif" w:hAnsi="Helvetica;Arial;sans-serif"/>
          <w:b w:val="false"/>
          <w:i w:val="false"/>
          <w:caps w:val="false"/>
          <w:smallCaps w:val="false"/>
          <w:color w:val="000000"/>
          <w:sz w:val="18"/>
        </w:rPr>
        <w:t xml:space="preserve"> the election of each of the nominees for director;</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93">
                <wp:simplePos x="0" y="0"/>
                <wp:positionH relativeFrom="column">
                  <wp:align>left</wp:align>
                </wp:positionH>
                <wp:positionV relativeFrom="line">
                  <wp:align>top</wp:align>
                </wp:positionV>
                <wp:extent cx="114300" cy="525780"/>
                <wp:effectExtent l="0" t="0" r="0" b="0"/>
                <wp:wrapSquare wrapText="right"/>
                <wp:docPr id="31" name="Frame22"/>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900" w:right="0" w:hanging="0"/>
        <w:jc w:val="left"/>
        <w:rPr>
          <w:caps w:val="false"/>
          <w:smallCaps w:val="false"/>
          <w:color w:val="000000"/>
        </w:rPr>
      </w:pPr>
      <w:r>
        <w:rPr>
          <w:caps w:val="false"/>
          <w:smallCaps w:val="false"/>
          <w:color w:val="000000"/>
        </w:rPr>
        <w:t>“</w:t>
      </w:r>
      <w:r>
        <w:rPr>
          <w:rFonts w:ascii="Helvetica;Arial;sans-serif" w:hAnsi="Helvetica;Arial;sans-serif"/>
          <w:b/>
          <w:i w:val="false"/>
          <w:caps w:val="false"/>
          <w:smallCaps w:val="false"/>
          <w:color w:val="000000"/>
          <w:sz w:val="18"/>
        </w:rPr>
        <w:t>For”</w:t>
      </w:r>
      <w:r>
        <w:rPr>
          <w:rFonts w:ascii="Helvetica;Arial;sans-serif" w:hAnsi="Helvetica;Arial;sans-serif"/>
          <w:b w:val="false"/>
          <w:i w:val="false"/>
          <w:caps w:val="false"/>
          <w:smallCaps w:val="false"/>
          <w:color w:val="000000"/>
          <w:sz w:val="18"/>
        </w:rPr>
        <w:t xml:space="preserve"> the ratification of KPMG LLP as our independent registered public accounting firm for the fiscal year ending December 31, 2024;</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16840" distB="0" distL="0" distR="0" simplePos="0" locked="0" layoutInCell="1" allowOverlap="1" relativeHeight="94">
                <wp:simplePos x="0" y="0"/>
                <wp:positionH relativeFrom="column">
                  <wp:align>left</wp:align>
                </wp:positionH>
                <wp:positionV relativeFrom="line">
                  <wp:align>top</wp:align>
                </wp:positionV>
                <wp:extent cx="114300" cy="525780"/>
                <wp:effectExtent l="0" t="0" r="0" b="0"/>
                <wp:wrapSquare wrapText="right"/>
                <wp:docPr id="32" name="Frame23"/>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9.2pt;mso-wrap-distance-bottom:0pt;margin-top:9.2pt;mso-position-vertical:top;mso-position-vertical-relative:text;margin-left:9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900" w:right="0" w:hanging="0"/>
        <w:jc w:val="left"/>
        <w:rPr>
          <w:caps w:val="false"/>
          <w:smallCaps w:val="false"/>
          <w:color w:val="000000"/>
        </w:rPr>
      </w:pPr>
      <w:r>
        <w:rPr>
          <w:caps w:val="false"/>
          <w:smallCaps w:val="false"/>
          <w:color w:val="000000"/>
        </w:rPr>
        <w:t>“</w:t>
      </w:r>
      <w:r>
        <w:rPr>
          <w:rFonts w:ascii="Helvetica;Arial;sans-serif" w:hAnsi="Helvetica;Arial;sans-serif"/>
          <w:b/>
          <w:i w:val="false"/>
          <w:caps w:val="false"/>
          <w:smallCaps w:val="false"/>
          <w:color w:val="000000"/>
          <w:sz w:val="18"/>
        </w:rPr>
        <w:t>For”</w:t>
      </w:r>
      <w:r>
        <w:rPr>
          <w:rFonts w:ascii="Helvetica;Arial;sans-serif" w:hAnsi="Helvetica;Arial;sans-serif"/>
          <w:b w:val="false"/>
          <w:i w:val="false"/>
          <w:caps w:val="false"/>
          <w:smallCaps w:val="false"/>
          <w:color w:val="000000"/>
          <w:sz w:val="18"/>
        </w:rPr>
        <w:t xml:space="preserve"> the approval, on an advisory basis, of the compensation of our named executive officers; and</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16840" distB="0" distL="0" distR="0" simplePos="0" locked="0" layoutInCell="1" allowOverlap="1" relativeHeight="95">
                <wp:simplePos x="0" y="0"/>
                <wp:positionH relativeFrom="column">
                  <wp:align>left</wp:align>
                </wp:positionH>
                <wp:positionV relativeFrom="line">
                  <wp:align>top</wp:align>
                </wp:positionV>
                <wp:extent cx="114300" cy="525780"/>
                <wp:effectExtent l="0" t="0" r="0" b="0"/>
                <wp:wrapSquare wrapText="right"/>
                <wp:docPr id="33" name="Frame24"/>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86" w:after="0"/>
        <w:ind w:left="900" w:right="0" w:hanging="0"/>
        <w:jc w:val="left"/>
        <w:rPr>
          <w:caps w:val="false"/>
          <w:smallCaps w:val="false"/>
          <w:color w:val="000000"/>
        </w:rPr>
      </w:pPr>
      <w:r>
        <w:rPr>
          <w:caps w:val="false"/>
          <w:smallCaps w:val="false"/>
          <w:color w:val="000000"/>
        </w:rPr>
        <w:t>“</w:t>
      </w:r>
      <w:r>
        <w:rPr>
          <w:rFonts w:ascii="Helvetica;Arial;sans-serif" w:hAnsi="Helvetica;Arial;sans-serif"/>
          <w:b/>
          <w:i w:val="false"/>
          <w:caps w:val="false"/>
          <w:smallCaps w:val="false"/>
          <w:color w:val="000000"/>
          <w:sz w:val="18"/>
        </w:rPr>
        <w:t>For”</w:t>
      </w:r>
      <w:r>
        <w:rPr>
          <w:rFonts w:ascii="Helvetica;Arial;sans-serif" w:hAnsi="Helvetica;Arial;sans-serif"/>
          <w:b w:val="false"/>
          <w:i w:val="false"/>
          <w:caps w:val="false"/>
          <w:smallCaps w:val="false"/>
          <w:color w:val="000000"/>
          <w:sz w:val="18"/>
        </w:rPr>
        <w:t xml:space="preserve"> the approval of the amendment and restatement of the Lucid Group, Inc. Second Amended and Restated 2021 Stock Incentive Plan.</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18110" distB="0" distL="0" distR="0" simplePos="0" locked="0" layoutInCell="1" allowOverlap="1" relativeHeight="96">
                <wp:simplePos x="0" y="0"/>
                <wp:positionH relativeFrom="column">
                  <wp:align>left</wp:align>
                </wp:positionH>
                <wp:positionV relativeFrom="line">
                  <wp:align>top</wp:align>
                </wp:positionV>
                <wp:extent cx="114300" cy="525780"/>
                <wp:effectExtent l="0" t="0" r="0" b="0"/>
                <wp:wrapSquare wrapText="right"/>
                <wp:docPr id="34" name="Frame25"/>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9.3pt;mso-wrap-distance-bottom:0pt;margin-top:9.3pt;mso-position-vertical:top;mso-position-vertical-relative:text;margin-left:9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How do I vote?</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5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Regarding the election of directors, you may either vote “For” the nominees to the Board or you may “Withhold” your vote for any nominee you specify. For any other matters to be voted on, you may vote “For” or “Against,” or abstain from voting. The procedures for voting depend on whether your shares are registered in your name or are held by a bank, broker or other nominee.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Stockholder of Record: Shares Registered in Your Name</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5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If you are a stockholder of record, you may vote at the Annual Meeting, or vote in advance of the Annual Meeting by proxy over the telephone, by proxy through the internet, or by proxy using a proxy card that you may request or that we may elect to deliver at a later time. Whether or not you plan to attend the Annual Meeting, we urge you to vote in advance by proxy to ensure your vote is counted. You may still attend the Annual Meeting and vote even if you have already voted by proxy. Voting at the Annual Meeting will have the effect of revoking your previously submitted proxy (see “Can I change my vote after submitting my proxy?” below).</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1285"/>
        <w:gridCol w:w="109"/>
        <w:gridCol w:w="109"/>
        <w:gridCol w:w="7703"/>
        <w:gridCol w:w="155"/>
      </w:tblGrid>
      <w:tr>
        <w:trPr/>
        <w:tc>
          <w:tcPr>
            <w:tcW w:w="124" w:type="dxa"/>
            <w:tcBorders/>
            <w:vAlign w:val="center"/>
          </w:tcPr>
          <w:p>
            <w:pPr>
              <w:pStyle w:val="TableContents"/>
              <w:bidi w:val="0"/>
              <w:spacing w:before="0" w:after="283"/>
              <w:jc w:val="left"/>
              <w:rPr/>
            </w:pPr>
            <w:r>
              <w:rPr/>
              <w:t>​</w:t>
            </w:r>
          </w:p>
        </w:tc>
        <w:tc>
          <w:tcPr>
            <w:tcW w:w="1285" w:type="dxa"/>
            <w:tcBorders/>
            <w:vAlign w:val="center"/>
          </w:tcPr>
          <w:p>
            <w:pPr>
              <w:pStyle w:val="TableContents"/>
              <w:bidi w:val="0"/>
              <w:spacing w:before="0" w:after="0"/>
              <w:jc w:val="left"/>
              <w:rPr>
                <w:b/>
              </w:rPr>
            </w:pPr>
            <w:r>
              <w:rPr>
                <w:b/>
              </w:rPr>
              <w:t>By Internet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03" w:type="dxa"/>
            <w:tcBorders/>
            <w:vAlign w:val="center"/>
          </w:tcPr>
          <w:p>
            <w:pPr>
              <w:pStyle w:val="TableContents"/>
              <w:bidi w:val="0"/>
              <w:spacing w:before="0" w:after="283"/>
              <w:jc w:val="left"/>
              <w:rPr/>
            </w:pPr>
            <w:r>
              <w:rPr/>
              <w:t xml:space="preserve">Go to www.proxypush.com/LCID, which is available 24 hours a day, 7 days a week until 11:59 p.m. (Eastern Time) on June 3, 2024, and follow the instructions on the proxy card or in the Proxy Availability Notice. If you vote via the internet, you do not need to return a proxy card by mail.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85" w:type="dxa"/>
            <w:tcBorders/>
            <w:vAlign w:val="center"/>
          </w:tcPr>
          <w:p>
            <w:pPr>
              <w:pStyle w:val="TableContents"/>
              <w:bidi w:val="0"/>
              <w:spacing w:before="0" w:after="0"/>
              <w:jc w:val="left"/>
              <w:rPr>
                <w:b/>
              </w:rPr>
            </w:pPr>
            <w:r>
              <w:rPr>
                <w:b/>
              </w:rPr>
              <w:t>By Telephone</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03" w:type="dxa"/>
            <w:tcBorders/>
            <w:vAlign w:val="center"/>
          </w:tcPr>
          <w:p>
            <w:pPr>
              <w:pStyle w:val="TableContents"/>
              <w:bidi w:val="0"/>
              <w:spacing w:before="0" w:after="283"/>
              <w:jc w:val="left"/>
              <w:rPr/>
            </w:pPr>
            <w:r>
              <w:rPr/>
              <w:t xml:space="preserve">On a touch-tone telephone, dial toll-free 1-866-883-3382, which is available 24 hours a day, 7 days a week until 11:59 p.m. (Eastern Time) on June 3, 2024, and follow the instructions on the proxy card or in the Proxy Availability Notice. If you vote by telephone, you do not need to return a proxy card by mail.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85" w:type="dxa"/>
            <w:tcBorders/>
            <w:vAlign w:val="center"/>
          </w:tcPr>
          <w:p>
            <w:pPr>
              <w:pStyle w:val="TableContents"/>
              <w:bidi w:val="0"/>
              <w:spacing w:before="0" w:after="0"/>
              <w:jc w:val="left"/>
              <w:rPr>
                <w:b/>
              </w:rPr>
            </w:pPr>
            <w:r>
              <w:rPr>
                <w:b/>
              </w:rPr>
              <w:t>By Mail</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03" w:type="dxa"/>
            <w:tcBorders/>
            <w:vAlign w:val="center"/>
          </w:tcPr>
          <w:p>
            <w:pPr>
              <w:pStyle w:val="TableContents"/>
              <w:bidi w:val="0"/>
              <w:spacing w:before="0" w:after="283"/>
              <w:jc w:val="left"/>
              <w:rPr/>
            </w:pPr>
            <w:r>
              <w:rPr/>
              <w:t xml:space="preserve">Complete, sign, date, and mail your proxy card in the enclosed, postage-prepaid envelope. If mailed, your completed and signed proxy card must be received by June 3, 2024.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85" w:type="dxa"/>
            <w:tcBorders/>
            <w:vAlign w:val="center"/>
          </w:tcPr>
          <w:p>
            <w:pPr>
              <w:pStyle w:val="TableContents"/>
              <w:bidi w:val="0"/>
              <w:spacing w:before="0" w:after="0"/>
              <w:jc w:val="left"/>
              <w:rPr>
                <w:b/>
              </w:rPr>
            </w:pPr>
            <w:r>
              <w:rPr>
                <w:b/>
              </w:rPr>
              <w:t>At the Virtual Meeting</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03" w:type="dxa"/>
            <w:tcBorders/>
            <w:vAlign w:val="center"/>
          </w:tcPr>
          <w:p>
            <w:pPr>
              <w:pStyle w:val="TableContents"/>
              <w:bidi w:val="0"/>
              <w:spacing w:before="0" w:after="283"/>
              <w:jc w:val="left"/>
              <w:rPr/>
            </w:pPr>
            <w:r>
              <w:rPr/>
              <w:t>You may also vote by attending the meeting virtually through www.proxydocs.com/LCID. To attend the Annual Meeting and vote your shares, you must register for the Annual Meeting and provide the control number located on your proxy card, voting instruction form, or Proxy Availability Notice. Even if you plan to attend and participate in our virtual Annual Meeting, we encourage you to vote over the internet or by telephone as described above, or by returning a proxy card following your request of paper copies. This will ensure that your vote will be counted if you are unable to, or later decide not to, participate in the virtual Annual Meeting.</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00" w:before="430" w:after="283"/>
        <w:ind w:left="720" w:right="0" w:hanging="0"/>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Beneficial Owner: Shares Registered in the Name of Broker, Bank or Other Nominee</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5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If you are a beneficial owner of shares registered in the name of your broker, bank or other nominee, you should have received a Proxy Availability Notice containing voting instructions from that organization rather than from us. Simply follow the voting instructions in the Proxy Availability Notice to ensure that your vote is counted.</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How many votes do I have?</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5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On each matter to be voted upon, stockholders of Common Stock have one vote for each share of Common Stock they own as of April 10, 2024, the Record Date, and stockholders of Convertible Preferred Stock have one vote for each share of Common Stock in which the Convertible Preferred Stock they own as of the Record Date is convertible into.</w:t>
      </w:r>
    </w:p>
    <w:tbl>
      <w:tblPr>
        <w:tblW w:w="2928" w:type="dxa"/>
        <w:jc w:val="left"/>
        <w:tblInd w:w="720" w:type="dxa"/>
        <w:tblLayout w:type="fixed"/>
        <w:tblCellMar>
          <w:top w:w="0" w:type="dxa"/>
          <w:left w:w="0" w:type="dxa"/>
          <w:bottom w:w="0" w:type="dxa"/>
          <w:right w:w="0" w:type="dxa"/>
        </w:tblCellMar>
      </w:tblPr>
      <w:tblGrid>
        <w:gridCol w:w="124"/>
        <w:gridCol w:w="220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b/>
              </w:rPr>
            </w:pPr>
            <w:r>
              <w:rPr>
                <w:b/>
              </w:rPr>
              <w:t>3</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84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Stockholders of Convertible Preferred Stock are entitled to notice of any meeting of stockholders and to vote together as a single class with stockholders of Common Stock, except as otherwise required by law. In addition, as long as at least 10% of the aggregate number of shares of the Convertible Preferred Stock issued on March 29, 2024 remain outstanding, and subject to certain other conditions, stockholders of Convertible Preferred Stock will be entitled to a separate class vote with respect to, among other things, amendments to the Company’s organizational documents that have an adverse effect on the Convertible Preferred Stock, authorizations or issuances by the Company of capital stock of the Company that ranks senior or equal to the Convertible Preferred Stock with respect to dividends or distributions on liquidation or the terms of which provide for cash dividends (other than the Common Stock), winding-up and dissolution, and decreases in the number of authorized shares of Convertible Preferred Stock.</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What if I return a proxy card or otherwise vote but do not make specific choices?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If you return a signed and dated proxy card or otherwise vote without marking voting selections, your shares will be voted, as applicable, “For” the election of each of the nominees for director, “For” the ratification of KPMG LLP as our independent registered public accounting firm, “For” the approval, on an advisory basis, of the compensation of our named executive officers, and “For” the amendment and restatement of the Lucid Group, Inc. Second Amended and Restated 2021 Stock Incentive Plan. If any other matter is properly presented at the Annual Meeting, your proxy holder (one of the individuals named on your proxy card) will vote your shares using his or her best judgment.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Will my vote be kept confidential?</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Proxies, ballots, and voting tabulations are handled on a confidential basis to protect your voting privacy. This information will not be disclosed, except as required by law.</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Who is paying for this proxy solicitation?</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accompanying proxy is solicited on behalf of the Board for use at the Annual Meeting. Accordingly, we will pay for the entire cost of soliciting proxies. In addition to these proxy materials, our directors and employees may also solicit proxies in person, by telephone or by other means of communication. Our directors and employees will not be paid any additional compensation for soliciting proxies. We may also reimburse brokerage firms, banks and other nominees for the cost of forwarding proxy materials to beneficial owners.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Can I change my vote after submitting my proxy?</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06"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Yes. You can revoke your proxy at any time before the final vote at the Annual Meeting. If you are the record holder of your shares, you may revoke your proxy in any one of the following ways: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67310" distB="0" distL="0" distR="0" simplePos="0" locked="0" layoutInCell="1" allowOverlap="1" relativeHeight="97">
                <wp:simplePos x="0" y="0"/>
                <wp:positionH relativeFrom="column">
                  <wp:align>left</wp:align>
                </wp:positionH>
                <wp:positionV relativeFrom="line">
                  <wp:align>top</wp:align>
                </wp:positionV>
                <wp:extent cx="114300" cy="525780"/>
                <wp:effectExtent l="0" t="0" r="0" b="0"/>
                <wp:wrapSquare wrapText="right"/>
                <wp:docPr id="35" name="Frame26"/>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5.3pt;mso-wrap-distance-bottom:0pt;margin-top:5.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You may grant a subsequent proxy via the internet or telephone.</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80010" distB="0" distL="0" distR="0" simplePos="0" locked="0" layoutInCell="1" allowOverlap="1" relativeHeight="98">
                <wp:simplePos x="0" y="0"/>
                <wp:positionH relativeFrom="column">
                  <wp:align>left</wp:align>
                </wp:positionH>
                <wp:positionV relativeFrom="line">
                  <wp:align>top</wp:align>
                </wp:positionV>
                <wp:extent cx="114300" cy="525780"/>
                <wp:effectExtent l="0" t="0" r="0" b="0"/>
                <wp:wrapSquare wrapText="right"/>
                <wp:docPr id="36" name="Frame27"/>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6.3pt;mso-wrap-distance-bottom:0pt;margin-top:6.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You may submit another properly completed proxy card with a later date.</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80010" distB="0" distL="0" distR="0" simplePos="0" locked="0" layoutInCell="1" allowOverlap="1" relativeHeight="99">
                <wp:simplePos x="0" y="0"/>
                <wp:positionH relativeFrom="column">
                  <wp:align>left</wp:align>
                </wp:positionH>
                <wp:positionV relativeFrom="line">
                  <wp:align>top</wp:align>
                </wp:positionV>
                <wp:extent cx="114300" cy="525780"/>
                <wp:effectExtent l="0" t="0" r="0" b="0"/>
                <wp:wrapSquare wrapText="right"/>
                <wp:docPr id="37" name="Frame28"/>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6.3pt;mso-wrap-distance-bottom:0pt;margin-top:6.3pt;mso-position-vertical:top;mso-position-vertical-relative:text;margin-left:9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You may send a timely written notice that you are revoking your proxy to our Secretary at Lucid Group, Inc., 7373 Gateway Boulevard, Newark, CA 94560, which must be received by June 3, 2024.</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80010" distB="0" distL="0" distR="0" simplePos="0" locked="0" layoutInCell="1" allowOverlap="1" relativeHeight="100">
                <wp:simplePos x="0" y="0"/>
                <wp:positionH relativeFrom="column">
                  <wp:align>left</wp:align>
                </wp:positionH>
                <wp:positionV relativeFrom="line">
                  <wp:align>top</wp:align>
                </wp:positionV>
                <wp:extent cx="114300" cy="525780"/>
                <wp:effectExtent l="0" t="0" r="0" b="0"/>
                <wp:wrapSquare wrapText="right"/>
                <wp:docPr id="38" name="Frame29"/>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6.3pt;mso-wrap-distance-bottom:0pt;margin-top:6.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You may attend and vote at the Annual Meeting. Simply attending the Annual Meeting will not, by itself, revoke your proxy.</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80010" distB="0" distL="0" distR="0" simplePos="0" locked="0" layoutInCell="1" allowOverlap="1" relativeHeight="101">
                <wp:simplePos x="0" y="0"/>
                <wp:positionH relativeFrom="column">
                  <wp:align>left</wp:align>
                </wp:positionH>
                <wp:positionV relativeFrom="line">
                  <wp:align>top</wp:align>
                </wp:positionV>
                <wp:extent cx="114300" cy="525780"/>
                <wp:effectExtent l="0" t="0" r="0" b="0"/>
                <wp:wrapSquare wrapText="right"/>
                <wp:docPr id="39" name="Frame30"/>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6.3pt;mso-wrap-distance-bottom:0pt;margin-top:6.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Your most current proxy card or telephone or internet proxy is the one that is counted, so long as it is provided by the applicable deadline. If your shares are held by your broker, banker or other nominee, you should follow the instructions provided by your broker, bank or other nominee to change your vote or revoke your proxy or you may attend and vote at the Annual Meeting.</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When are stockholder proposals for inclusion in our Proxy Statement for next year’s annual meeting due?</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Stockholders wishing to present proposals for inclusion in our Proxy Statement for the 2025 annual meeting of stockholders (the “2025 Annual Meeting”) pursuant to Rule 14a-8 of the Securities Exchange Act of 1934, as amended (the “Exchange Act”), must submit their proposals so that they are received by us at our principal executive offices no later than December 26, 2024. Proposals should be sent to our Secretary at Lucid Group, Inc., 7373 Gateway Boulevard, Newark, CA 94560.</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When are other proposals and stockholder nominations for the 2025 Annual Meeting due?</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With respect to proposals and nominations not to be included in our Proxy Statement pursuant to Rule 14a-8 of the Exchange Act, our second amended and restated bylaws (our “Bylaws”) provide that stockholders who wish to nominate a director or propose </w:t>
      </w:r>
    </w:p>
    <w:tbl>
      <w:tblPr>
        <w:tblW w:w="2928" w:type="dxa"/>
        <w:jc w:val="left"/>
        <w:tblInd w:w="720" w:type="dxa"/>
        <w:tblLayout w:type="fixed"/>
        <w:tblCellMar>
          <w:top w:w="0" w:type="dxa"/>
          <w:left w:w="0" w:type="dxa"/>
          <w:bottom w:w="0" w:type="dxa"/>
          <w:right w:w="0" w:type="dxa"/>
        </w:tblCellMar>
      </w:tblPr>
      <w:tblGrid>
        <w:gridCol w:w="124"/>
        <w:gridCol w:w="22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84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other business to be brought before the stockholders at an annual meeting of stockholders must notify our Secretary by a written notice, which notice must be received at our principal executive offices not less than 90 days nor more than 120 days prior to the first anniversary date of the immediately preceding year’s annual meeting of stockholders.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Stockholders wishing to present nominations for director or proposals for consideration at the 2025 Annual Meeting under these provisions of our Bylaws (including nominations pursuant to Rule 14a-19 under the Exchange Act) must submit their nominations or proposals so that they are received at our principal executive offices not later than March 6, 2025 and not earlier than February 4, 2025 in order to be considered. In the event that the date of the 2025 Annual Meeting is advanced more than 30 days prior to such anniversary date or delayed more than 70 days after such anniversary date then to be timely such notice must be received by the Company no earlier than 120 days prior to the 2025 Annual Meeting and no later than the later of 70 days prior to the date of the 2025 Annual Meeting or the 10th day following the day on which public announcement of the date of the 2025 Annual Meeting was first made by the Company.</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Nominations or proposals should be sent in writing to our Secretary at Lucid Group, Inc., 7373 Gateway Boulevard, Newark, CA 94560. A stockholder’s notice to nominate a director or bring any other business before the Annual Meeting or the 2025 Annual Meeting must set forth certain information, which is specified in our Bylaws. A complete copy of our Bylaws is included as Exhibit 3.2 to our Current Report on Form 8-K filed with the SEC on March 3, 2023.</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How are votes counted?</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Votes will be counted by the inspector of election appointed for the Annual Meeting, who will separately count votes “For,” votes to “Withhold” and broker non-votes for the proposal to elect directors. With respect to other proposals, the inspector of election will separately count votes “For,” votes “Against,” votes to “Abstain” and broker non-votes (if applicable).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What are “broker non-votes”?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Broker non-votes occur when a beneficial owner of shares held in “street name” does not give instructions to the broker, bank or other nominee holding the shares as to how to vote. Generally, if shares are held in street name, the beneficial owner of the shares is entitled to give voting instructions to the broker, bank or other nominee holding the shares. If the beneficial owner does not provide voting instructions, the broker, bank or other nominee can still vote the shares with respect to matters that are considered to be “routine,” but cannot vote the shares with respect to “non-routine” matters. Under the rules and interpretations of The Nasdaq Stock Market LLC (“Nasdaq”), which generally apply to all brokers, banks or other nominees, on voting matters characterized by Nasdaq as “routine,” Nasdaq member firms have the discretionary authority to vote shares for which their customers do not provide voting instructions. On non-routine proposals, such “uninstructed shares” may not be voted by member firms. Only the proposal to ratify the selection of our independent registered public accounting firm is considered a “routine” matter for this purpose and brokers, banks or other nominees generally have discretionary voting power with respect to such proposal. Broker non-votes will be counted for the purpose of determining whether a quorum is present at the Annual Meeting.</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What is the effect of abstentions, votes to withhold and broker non-votes?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i/>
          <w:caps w:val="false"/>
          <w:smallCaps w:val="false"/>
          <w:color w:val="000000"/>
          <w:sz w:val="18"/>
        </w:rPr>
        <w:t>Abstentions</w:t>
      </w:r>
      <w:r>
        <w:rPr>
          <w:rFonts w:ascii="Helvetica;Arial;sans-serif" w:hAnsi="Helvetica;Arial;sans-serif"/>
          <w:b w:val="false"/>
          <w:i w:val="false"/>
          <w:caps w:val="false"/>
          <w:smallCaps w:val="false"/>
          <w:color w:val="000000"/>
          <w:sz w:val="18"/>
        </w:rPr>
        <w:t>: Under Delaware law (under which we are incorporated), abstentions are counted as shares present and entitled to vote at the Annual Meeting, but they are not counted as shares cast. Our Bylaws provide that a stockholder action (other than the election of directors) shall be decided by the vote of the holders of a majority of the total number of votes of the Company’s capital stock cast on the matter. Therefore, abstentions will have no effect on Proposal No. 2: Ratification of the selection of the independent registered public accounting firm, Proposal No. 3: The approval, on an advisory basis, of the compensation of our named executive officers, or Proposal No. 4: The approval of the amendment and restatement of the Lucid Group, Inc. Second Amended and Restated 2021 Stock Incentive Plan.</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i/>
          <w:caps w:val="false"/>
          <w:smallCaps w:val="false"/>
          <w:color w:val="000000"/>
          <w:sz w:val="18"/>
        </w:rPr>
        <w:t>Votes to Withhold</w:t>
      </w:r>
      <w:r>
        <w:rPr>
          <w:rFonts w:ascii="Helvetica;Arial;sans-serif" w:hAnsi="Helvetica;Arial;sans-serif"/>
          <w:b w:val="false"/>
          <w:i w:val="false"/>
          <w:caps w:val="false"/>
          <w:smallCaps w:val="false"/>
          <w:color w:val="000000"/>
          <w:sz w:val="18"/>
        </w:rPr>
        <w:t>: For Proposal No. 1: Election of Directors, you may vote “For” all or some of the nominees or you may “Withhold” your vote with respect to one or more of the nominees. The nine nominees who receive the most “For” votes cast by the holders of shares either present at the Annual Meeting or represented by proxy will be elected to our Board. Broker non-votes will have no effect on Proposal No. 1: Election of Directors. In an uncontested election, “Withhold” votes will not prevent a candidate from being elected.</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i/>
          <w:caps w:val="false"/>
          <w:smallCaps w:val="false"/>
          <w:color w:val="000000"/>
          <w:sz w:val="18"/>
        </w:rPr>
        <w:t>Broker Non-Votes</w:t>
      </w:r>
      <w:r>
        <w:rPr>
          <w:rFonts w:ascii="Helvetica;Arial;sans-serif" w:hAnsi="Helvetica;Arial;sans-serif"/>
          <w:b w:val="false"/>
          <w:i w:val="false"/>
          <w:caps w:val="false"/>
          <w:smallCaps w:val="false"/>
          <w:color w:val="000000"/>
          <w:sz w:val="18"/>
        </w:rPr>
        <w:t xml:space="preserve">: A “broker non-vote” occurs when a broker, bank or other nominee holding your shares in street name does not vote on a particular matter because you did not provide the broker, bank or other nominee voting instructions and the broker, bank or other nominee lacks discretionary voting authority to vote the shares because the matter is considered “non-routine” under Nasdaq rules. The “non-routine” matters on the agenda for the Annual Meeting are Proposal No. 1: Election of Directors, </w:t>
      </w:r>
    </w:p>
    <w:tbl>
      <w:tblPr>
        <w:tblW w:w="2928" w:type="dxa"/>
        <w:jc w:val="left"/>
        <w:tblInd w:w="720" w:type="dxa"/>
        <w:tblLayout w:type="fixed"/>
        <w:tblCellMar>
          <w:top w:w="0" w:type="dxa"/>
          <w:left w:w="0" w:type="dxa"/>
          <w:bottom w:w="0" w:type="dxa"/>
          <w:right w:w="0" w:type="dxa"/>
        </w:tblCellMar>
      </w:tblPr>
      <w:tblGrid>
        <w:gridCol w:w="124"/>
        <w:gridCol w:w="220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b/>
              </w:rPr>
            </w:pPr>
            <w:r>
              <w:rPr>
                <w:b/>
              </w:rPr>
              <w:t>5</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84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Proposal No. 3: The approval, on an advisory basis, of the compensation of our named executive officers and Proposal No. 4: The approval of the amendment and restatement of the Lucid Group, Inc. Second Amended and Restated 2021 Stock Incentive Plan.</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Broker non-votes will be counted for the purpose of determining whether a quorum is present at the Annual Meeting. However, because broker non-votes are not considered under Delaware law to be entitled to vote at the Annual Meeting, they will have no effect on the outcome of the vote on Proposal No. 1: Election of Directors, Proposal No. 3: The approval, on an advisory basis, of the compensation of our named executive officers, and Proposal No. 4: The approval of the amendment and restatement of the Lucid Group, Inc. Second Amended and Restated 2021 Stock Incentive Plan. As a result, if you hold your shares in street name and you do not instruct your broker, bank or other nominee how to vote your shares on these proposals, no votes will be cast on your behalf on these proposals. Therefore, it is critical that you indicate your vote on this proposal if you want your vote to be counted.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proposal to ratify the selection of KPMG LLP as our independent registered public accounting firm for the fiscal year ending December 31, 2024 should be considered a “routine” matter. Therefore, your broker, bank or other nominee will be able to vote on Proposal No. 2: Ratification of the Selection of the Independent Registered Public Accounting Firm even if it does not receive instructions from you, so long as it holds your shares in its name.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How many votes are needed to approve each proposal?</w:t>
      </w:r>
      <w:r>
        <w:rPr>
          <w:rFonts w:ascii="Helvetica;Arial;sans-serif" w:hAnsi="Helvetica;Arial;sans-serif"/>
          <w:b/>
          <w:i w:val="false"/>
          <w:caps w:val="false"/>
          <w:smallCaps w:val="false"/>
          <w:color w:val="000000"/>
          <w:spacing w:val="3"/>
          <w:sz w:val="16"/>
        </w:rPr>
        <w:t xml:space="preserve"> </w:t>
      </w:r>
    </w:p>
    <w:tbl>
      <w:tblPr>
        <w:tblW w:w="9485" w:type="dxa"/>
        <w:jc w:val="left"/>
        <w:tblInd w:w="720" w:type="dxa"/>
        <w:tblLayout w:type="fixed"/>
        <w:tblCellMar>
          <w:top w:w="0" w:type="dxa"/>
          <w:left w:w="0" w:type="dxa"/>
          <w:bottom w:w="0" w:type="dxa"/>
          <w:right w:w="0" w:type="dxa"/>
        </w:tblCellMar>
      </w:tblPr>
      <w:tblGrid>
        <w:gridCol w:w="124"/>
        <w:gridCol w:w="226"/>
        <w:gridCol w:w="109"/>
        <w:gridCol w:w="109"/>
        <w:gridCol w:w="5591"/>
        <w:gridCol w:w="109"/>
        <w:gridCol w:w="109"/>
        <w:gridCol w:w="1193"/>
        <w:gridCol w:w="109"/>
        <w:gridCol w:w="109"/>
        <w:gridCol w:w="1542"/>
        <w:gridCol w:w="155"/>
      </w:tblGrid>
      <w:tr>
        <w:trPr/>
        <w:tc>
          <w:tcPr>
            <w:tcW w:w="124" w:type="dxa"/>
            <w:tcBorders/>
            <w:shd w:fill="000000" w:val="clear"/>
            <w:vAlign w:val="center"/>
          </w:tcPr>
          <w:p>
            <w:pPr>
              <w:pStyle w:val="TableContents"/>
              <w:bidi w:val="0"/>
              <w:spacing w:before="0" w:after="283"/>
              <w:jc w:val="left"/>
              <w:rPr/>
            </w:pPr>
            <w:r>
              <w:rPr/>
              <w:t>​</w:t>
            </w:r>
          </w:p>
        </w:tc>
        <w:tc>
          <w:tcPr>
            <w:tcW w:w="6035" w:type="dxa"/>
            <w:gridSpan w:val="4"/>
            <w:tcBorders/>
            <w:shd w:fill="000000" w:val="clear"/>
            <w:vAlign w:val="center"/>
          </w:tcPr>
          <w:p>
            <w:pPr>
              <w:pStyle w:val="TableContents"/>
              <w:bidi w:val="0"/>
              <w:spacing w:before="0" w:after="0"/>
              <w:jc w:val="left"/>
              <w:rPr/>
            </w:pPr>
            <w:r>
              <w:rPr/>
              <w:t xml:space="preserve">Proposal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93" w:type="dxa"/>
            <w:tcBorders/>
            <w:shd w:fill="000000" w:val="clear"/>
            <w:vAlign w:val="center"/>
          </w:tcPr>
          <w:p>
            <w:pPr>
              <w:pStyle w:val="TableContents"/>
              <w:bidi w:val="0"/>
              <w:spacing w:before="0" w:after="0"/>
              <w:jc w:val="center"/>
              <w:rPr/>
            </w:pPr>
            <w:r>
              <w:rPr/>
              <w:t xml:space="preserve">Vote Required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42" w:type="dxa"/>
            <w:tcBorders/>
            <w:shd w:fill="000000" w:val="clear"/>
            <w:vAlign w:val="center"/>
          </w:tcPr>
          <w:p>
            <w:pPr>
              <w:pStyle w:val="TableContents"/>
              <w:bidi w:val="0"/>
              <w:spacing w:before="0" w:after="0"/>
              <w:jc w:val="center"/>
              <w:rPr/>
            </w:pPr>
            <w:r>
              <w:rPr/>
              <w:t>Discretionary</w:t>
              <w:br/>
              <w:t xml:space="preserve">Voting Allowed? </w:t>
            </w:r>
          </w:p>
        </w:tc>
        <w:tc>
          <w:tcPr>
            <w:tcW w:w="155"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35" w:type="dxa"/>
            </w:tcMar>
            <w:vAlign w:val="center"/>
          </w:tcPr>
          <w:p>
            <w:pPr>
              <w:pStyle w:val="TableContents"/>
              <w:bidi w:val="0"/>
              <w:spacing w:before="0" w:after="0"/>
              <w:jc w:val="left"/>
              <w:rPr>
                <w:rFonts w:ascii="Times New Roman;Garamond;serif" w:hAnsi="Times New Roman;Garamond;serif"/>
                <w:b/>
                <w:sz w:val="22"/>
              </w:rPr>
            </w:pPr>
            <w:r>
              <w:rPr>
                <w:rFonts w:ascii="Times New Roman;Garamond;serif" w:hAnsi="Times New Roman;Garamond;serif"/>
                <w:b/>
                <w:sz w:val="22"/>
              </w:rPr>
              <w:t>1</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591" w:type="dxa"/>
            <w:tcBorders>
              <w:bottom w:val="single" w:sz="6" w:space="0" w:color="000000"/>
            </w:tcBorders>
            <w:tcMar>
              <w:bottom w:w="135" w:type="dxa"/>
            </w:tcMar>
            <w:vAlign w:val="center"/>
          </w:tcPr>
          <w:p>
            <w:pPr>
              <w:pStyle w:val="TableContents"/>
              <w:bidi w:val="0"/>
              <w:spacing w:before="0" w:after="283"/>
              <w:jc w:val="left"/>
              <w:rPr/>
            </w:pPr>
            <w:r>
              <w:rPr/>
              <w:t xml:space="preserve">Election of Directors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93" w:type="dxa"/>
            <w:tcBorders>
              <w:bottom w:val="single" w:sz="6" w:space="0" w:color="000000"/>
            </w:tcBorders>
            <w:tcMar>
              <w:bottom w:w="135" w:type="dxa"/>
            </w:tcMar>
            <w:vAlign w:val="center"/>
          </w:tcPr>
          <w:p>
            <w:pPr>
              <w:pStyle w:val="TableContents"/>
              <w:bidi w:val="0"/>
              <w:spacing w:before="0" w:after="0"/>
              <w:jc w:val="center"/>
              <w:rPr/>
            </w:pPr>
            <w:r>
              <w:rPr/>
              <w:t xml:space="preserve">Plurality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2" w:type="dxa"/>
            <w:tcBorders>
              <w:bottom w:val="single" w:sz="6" w:space="0" w:color="000000"/>
            </w:tcBorders>
            <w:tcMar>
              <w:bottom w:w="135" w:type="dxa"/>
            </w:tcMar>
            <w:vAlign w:val="center"/>
          </w:tcPr>
          <w:p>
            <w:pPr>
              <w:pStyle w:val="TableContents"/>
              <w:bidi w:val="0"/>
              <w:spacing w:before="0" w:after="0"/>
              <w:jc w:val="center"/>
              <w:rPr/>
            </w:pPr>
            <w:r>
              <w:rPr/>
              <w:t xml:space="preserve">No </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35" w:type="dxa"/>
            </w:tcMar>
            <w:vAlign w:val="center"/>
          </w:tcPr>
          <w:p>
            <w:pPr>
              <w:pStyle w:val="TableContents"/>
              <w:bidi w:val="0"/>
              <w:spacing w:before="0" w:after="0"/>
              <w:jc w:val="left"/>
              <w:rPr>
                <w:rFonts w:ascii="Times New Roman;Garamond;serif" w:hAnsi="Times New Roman;Garamond;serif"/>
                <w:b/>
                <w:sz w:val="22"/>
              </w:rPr>
            </w:pPr>
            <w:r>
              <w:rPr>
                <w:rFonts w:ascii="Times New Roman;Garamond;serif" w:hAnsi="Times New Roman;Garamond;serif"/>
                <w:b/>
                <w:sz w:val="22"/>
              </w:rPr>
              <w:t>2</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5591" w:type="dxa"/>
            <w:tcBorders>
              <w:bottom w:val="single" w:sz="6" w:space="0" w:color="000000"/>
            </w:tcBorders>
            <w:shd w:fill="F7F7F7" w:val="clear"/>
            <w:tcMar>
              <w:bottom w:w="135" w:type="dxa"/>
            </w:tcMar>
            <w:vAlign w:val="center"/>
          </w:tcPr>
          <w:p>
            <w:pPr>
              <w:pStyle w:val="TableContents"/>
              <w:bidi w:val="0"/>
              <w:spacing w:before="0" w:after="283"/>
              <w:jc w:val="left"/>
              <w:rPr/>
            </w:pPr>
            <w:r>
              <w:rPr/>
              <w:t xml:space="preserve">Ratification of the Selection of the Independent Registered Public Accounting Firm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93" w:type="dxa"/>
            <w:tcBorders>
              <w:bottom w:val="single" w:sz="6" w:space="0" w:color="000000"/>
            </w:tcBorders>
            <w:shd w:fill="F7F7F7" w:val="clear"/>
            <w:tcMar>
              <w:bottom w:w="135" w:type="dxa"/>
            </w:tcMar>
            <w:vAlign w:val="center"/>
          </w:tcPr>
          <w:p>
            <w:pPr>
              <w:pStyle w:val="TableContents"/>
              <w:bidi w:val="0"/>
              <w:spacing w:before="0" w:after="0"/>
              <w:jc w:val="center"/>
              <w:rPr/>
            </w:pPr>
            <w:r>
              <w:rPr/>
              <w:t xml:space="preserve">Majority Cast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2" w:type="dxa"/>
            <w:tcBorders>
              <w:bottom w:val="single" w:sz="6" w:space="0" w:color="000000"/>
            </w:tcBorders>
            <w:shd w:fill="F7F7F7" w:val="clear"/>
            <w:tcMar>
              <w:bottom w:w="135" w:type="dxa"/>
            </w:tcMar>
            <w:vAlign w:val="center"/>
          </w:tcPr>
          <w:p>
            <w:pPr>
              <w:pStyle w:val="TableContents"/>
              <w:bidi w:val="0"/>
              <w:spacing w:before="0" w:after="0"/>
              <w:jc w:val="center"/>
              <w:rPr/>
            </w:pPr>
            <w:r>
              <w:rPr/>
              <w:t xml:space="preserve">Yes </w:t>
            </w:r>
          </w:p>
        </w:tc>
        <w:tc>
          <w:tcPr>
            <w:tcW w:w="15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35" w:type="dxa"/>
            </w:tcMar>
            <w:vAlign w:val="center"/>
          </w:tcPr>
          <w:p>
            <w:pPr>
              <w:pStyle w:val="TableContents"/>
              <w:bidi w:val="0"/>
              <w:spacing w:before="0" w:after="0"/>
              <w:jc w:val="left"/>
              <w:rPr>
                <w:rFonts w:ascii="Times New Roman;Garamond;serif" w:hAnsi="Times New Roman;Garamond;serif"/>
                <w:b/>
                <w:sz w:val="22"/>
              </w:rPr>
            </w:pPr>
            <w:r>
              <w:rPr>
                <w:rFonts w:ascii="Times New Roman;Garamond;serif" w:hAnsi="Times New Roman;Garamond;serif"/>
                <w:b/>
                <w:sz w:val="22"/>
              </w:rPr>
              <w:t>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591" w:type="dxa"/>
            <w:tcBorders>
              <w:bottom w:val="single" w:sz="6" w:space="0" w:color="000000"/>
            </w:tcBorders>
            <w:tcMar>
              <w:bottom w:w="135" w:type="dxa"/>
            </w:tcMar>
            <w:vAlign w:val="center"/>
          </w:tcPr>
          <w:p>
            <w:pPr>
              <w:pStyle w:val="TableContents"/>
              <w:bidi w:val="0"/>
              <w:spacing w:before="0" w:after="283"/>
              <w:jc w:val="left"/>
              <w:rPr/>
            </w:pPr>
            <w:r>
              <w:rPr/>
              <w:t xml:space="preserve">The approval, on an advisory basis, of the compensation of our named executive officers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93" w:type="dxa"/>
            <w:tcBorders>
              <w:bottom w:val="single" w:sz="6" w:space="0" w:color="000000"/>
            </w:tcBorders>
            <w:tcMar>
              <w:bottom w:w="135" w:type="dxa"/>
            </w:tcMar>
            <w:vAlign w:val="center"/>
          </w:tcPr>
          <w:p>
            <w:pPr>
              <w:pStyle w:val="TableContents"/>
              <w:bidi w:val="0"/>
              <w:spacing w:before="0" w:after="0"/>
              <w:jc w:val="center"/>
              <w:rPr/>
            </w:pPr>
            <w:r>
              <w:rPr/>
              <w:t xml:space="preserve">Majority Cast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2" w:type="dxa"/>
            <w:tcBorders>
              <w:bottom w:val="single" w:sz="6" w:space="0" w:color="000000"/>
            </w:tcBorders>
            <w:tcMar>
              <w:bottom w:w="135" w:type="dxa"/>
            </w:tcMar>
            <w:vAlign w:val="center"/>
          </w:tcPr>
          <w:p>
            <w:pPr>
              <w:pStyle w:val="TableContents"/>
              <w:bidi w:val="0"/>
              <w:spacing w:before="0" w:after="0"/>
              <w:jc w:val="center"/>
              <w:rPr/>
            </w:pPr>
            <w:r>
              <w:rPr/>
              <w:t xml:space="preserve">No </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35" w:type="dxa"/>
            </w:tcMar>
            <w:vAlign w:val="center"/>
          </w:tcPr>
          <w:p>
            <w:pPr>
              <w:pStyle w:val="TableContents"/>
              <w:bidi w:val="0"/>
              <w:spacing w:before="0" w:after="0"/>
              <w:jc w:val="left"/>
              <w:rPr>
                <w:rFonts w:ascii="Times New Roman;Garamond;serif" w:hAnsi="Times New Roman;Garamond;serif"/>
                <w:b/>
                <w:sz w:val="22"/>
              </w:rPr>
            </w:pPr>
            <w:r>
              <w:rPr>
                <w:rFonts w:ascii="Times New Roman;Garamond;serif" w:hAnsi="Times New Roman;Garamond;serif"/>
                <w:b/>
                <w:sz w:val="22"/>
              </w:rPr>
              <w:t>4</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5591" w:type="dxa"/>
            <w:tcBorders>
              <w:bottom w:val="single" w:sz="6" w:space="0" w:color="000000"/>
            </w:tcBorders>
            <w:shd w:fill="F7F7F7" w:val="clear"/>
            <w:tcMar>
              <w:bottom w:w="135" w:type="dxa"/>
            </w:tcMar>
            <w:vAlign w:val="center"/>
          </w:tcPr>
          <w:p>
            <w:pPr>
              <w:pStyle w:val="TableContents"/>
              <w:bidi w:val="0"/>
              <w:spacing w:lineRule="atLeast" w:line="180" w:before="0" w:after="0"/>
              <w:jc w:val="left"/>
              <w:rPr/>
            </w:pPr>
            <w:r>
              <w:rPr/>
              <w:t xml:space="preserve">The approval of the amendment and restatement of the Lucid Group, Inc. Second Amended and Restated 2021 Stock Incentive Plan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93" w:type="dxa"/>
            <w:tcBorders>
              <w:bottom w:val="single" w:sz="6" w:space="0" w:color="000000"/>
            </w:tcBorders>
            <w:shd w:fill="F7F7F7" w:val="clear"/>
            <w:tcMar>
              <w:bottom w:w="135" w:type="dxa"/>
            </w:tcMar>
            <w:vAlign w:val="center"/>
          </w:tcPr>
          <w:p>
            <w:pPr>
              <w:pStyle w:val="TableContents"/>
              <w:bidi w:val="0"/>
              <w:spacing w:before="0" w:after="0"/>
              <w:jc w:val="center"/>
              <w:rPr/>
            </w:pPr>
            <w:r>
              <w:rPr/>
              <w:t xml:space="preserve">Majority Cast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2" w:type="dxa"/>
            <w:tcBorders>
              <w:bottom w:val="single" w:sz="6" w:space="0" w:color="000000"/>
            </w:tcBorders>
            <w:shd w:fill="F7F7F7" w:val="clear"/>
            <w:tcMar>
              <w:bottom w:w="135" w:type="dxa"/>
            </w:tcMar>
            <w:vAlign w:val="center"/>
          </w:tcPr>
          <w:p>
            <w:pPr>
              <w:pStyle w:val="TableContents"/>
              <w:bidi w:val="0"/>
              <w:spacing w:before="0" w:after="0"/>
              <w:jc w:val="center"/>
              <w:rPr/>
            </w:pPr>
            <w:r>
              <w:rPr/>
              <w:t>No</w:t>
            </w:r>
          </w:p>
        </w:tc>
        <w:tc>
          <w:tcPr>
            <w:tcW w:w="15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244"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 “Plurality,” with regard to the election of directors, means that the nine nominees who receive the most “For” votes cast by the holders of shares either present at the Annual Meeting or represented by proxy will be elected to our Board. A “Majority Cast,” with regard to each of Proposal No.’s 2, 3 and 4 means that, to be approved, a majority of the votes cast on the proposal must be voted “For” the proposal.</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Accordingly:</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152"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i w:val="false"/>
          <w:caps w:val="false"/>
          <w:smallCaps w:val="false"/>
          <w:color w:val="8A6B24"/>
          <w:sz w:val="18"/>
        </w:rPr>
        <w:t>Proposal No. 1:</w:t>
      </w:r>
      <w:r>
        <w:rPr>
          <w:rFonts w:ascii="Helvetica;Arial;sans-serif" w:hAnsi="Helvetica;Arial;sans-serif"/>
          <w:b w:val="false"/>
          <w:i w:val="false"/>
          <w:caps w:val="false"/>
          <w:smallCaps w:val="false"/>
          <w:color w:val="000000"/>
          <w:sz w:val="18"/>
        </w:rPr>
        <w:t xml:space="preserve"> For the election of directors, the nine nominees receiving the most “For” votes from the holders of shares present at the Annual Meeting or represented by proxy and entitled to vote on Proposal No. 1 will be elected as directors to hold office until the 2025 Annual Meeting. Only votes “For” or “Withheld” will affect the outcome. Broker non-votes will have no effect.</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6520" distB="0" distL="0" distR="0" simplePos="0" locked="0" layoutInCell="1" allowOverlap="1" relativeHeight="102">
                <wp:simplePos x="0" y="0"/>
                <wp:positionH relativeFrom="column">
                  <wp:align>left</wp:align>
                </wp:positionH>
                <wp:positionV relativeFrom="line">
                  <wp:align>top</wp:align>
                </wp:positionV>
                <wp:extent cx="114300" cy="525780"/>
                <wp:effectExtent l="0" t="0" r="0" b="0"/>
                <wp:wrapSquare wrapText="right"/>
                <wp:docPr id="40" name="Frame31"/>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2"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i w:val="false"/>
          <w:caps w:val="false"/>
          <w:smallCaps w:val="false"/>
          <w:color w:val="8A6B24"/>
          <w:sz w:val="18"/>
        </w:rPr>
        <w:t>Proposal No. 2:</w:t>
      </w:r>
      <w:r>
        <w:rPr>
          <w:rFonts w:ascii="Helvetica;Arial;sans-serif" w:hAnsi="Helvetica;Arial;sans-serif"/>
          <w:b w:val="false"/>
          <w:i w:val="false"/>
          <w:caps w:val="false"/>
          <w:smallCaps w:val="false"/>
          <w:color w:val="000000"/>
          <w:sz w:val="18"/>
        </w:rPr>
        <w:t xml:space="preserve"> To be approved, a majority of the total votes cast on Proposal No. 2 must be voted “For” the ratification of the selection of KPMG LLP as our independent registered public accounting firm for the fiscal year ending December 31, 2024. Broker non-votes are not applicable with respect to Proposal No. 2 as brokers generally have discretion to vote uninstructed shares on this proposal. Abstentions will have no effect.</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6520" distB="0" distL="0" distR="0" simplePos="0" locked="0" layoutInCell="1" allowOverlap="1" relativeHeight="103">
                <wp:simplePos x="0" y="0"/>
                <wp:positionH relativeFrom="column">
                  <wp:align>left</wp:align>
                </wp:positionH>
                <wp:positionV relativeFrom="line">
                  <wp:align>top</wp:align>
                </wp:positionV>
                <wp:extent cx="114300" cy="525780"/>
                <wp:effectExtent l="0" t="0" r="0" b="0"/>
                <wp:wrapSquare wrapText="right"/>
                <wp:docPr id="41" name="Frame32"/>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2"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i w:val="false"/>
          <w:caps w:val="false"/>
          <w:smallCaps w:val="false"/>
          <w:color w:val="8A6B24"/>
          <w:sz w:val="18"/>
        </w:rPr>
        <w:t>Proposal No. 3:</w:t>
      </w:r>
      <w:r>
        <w:rPr>
          <w:rFonts w:ascii="Helvetica;Arial;sans-serif" w:hAnsi="Helvetica;Arial;sans-serif"/>
          <w:b w:val="false"/>
          <w:i w:val="false"/>
          <w:caps w:val="false"/>
          <w:smallCaps w:val="false"/>
          <w:color w:val="000000"/>
          <w:sz w:val="18"/>
        </w:rPr>
        <w:t xml:space="preserve"> To be approved, a majority of the total votes cast on Proposal No. 3 must be voted “For” the approval, on an advisory basis, of the compensation of our named executive officers. Only votes “For” or “Against” will affect the outcome. Broker non-votes and abstentions will have no effect.</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6520" distB="0" distL="0" distR="0" simplePos="0" locked="0" layoutInCell="1" allowOverlap="1" relativeHeight="104">
                <wp:simplePos x="0" y="0"/>
                <wp:positionH relativeFrom="column">
                  <wp:align>left</wp:align>
                </wp:positionH>
                <wp:positionV relativeFrom="line">
                  <wp:align>top</wp:align>
                </wp:positionV>
                <wp:extent cx="114300" cy="525780"/>
                <wp:effectExtent l="0" t="0" r="0" b="0"/>
                <wp:wrapSquare wrapText="right"/>
                <wp:docPr id="42" name="Frame33"/>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2"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i w:val="false"/>
          <w:caps w:val="false"/>
          <w:smallCaps w:val="false"/>
          <w:color w:val="8A6B24"/>
          <w:sz w:val="18"/>
        </w:rPr>
        <w:t>Proposal No. 4:</w:t>
      </w:r>
      <w:r>
        <w:rPr>
          <w:rFonts w:ascii="Helvetica;Arial;sans-serif" w:hAnsi="Helvetica;Arial;sans-serif"/>
          <w:b w:val="false"/>
          <w:i w:val="false"/>
          <w:caps w:val="false"/>
          <w:smallCaps w:val="false"/>
          <w:color w:val="000000"/>
          <w:sz w:val="18"/>
        </w:rPr>
        <w:t xml:space="preserve"> To be approved, a majority of the total votes cast on Proposal No. 4 must be voted “For” the approval of the amendment and restatement of the Lucid Group, Inc. Second Amended and Restated 2021 Stock Incentive Plan. Only votes “For” or “Against” will affect the outcome. Broker non-votes and abstentions will have no effect.</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6520" distB="0" distL="0" distR="0" simplePos="0" locked="0" layoutInCell="1" allowOverlap="1" relativeHeight="105">
                <wp:simplePos x="0" y="0"/>
                <wp:positionH relativeFrom="column">
                  <wp:align>left</wp:align>
                </wp:positionH>
                <wp:positionV relativeFrom="line">
                  <wp:align>top</wp:align>
                </wp:positionV>
                <wp:extent cx="114300" cy="525780"/>
                <wp:effectExtent l="0" t="0" r="0" b="0"/>
                <wp:wrapSquare wrapText="right"/>
                <wp:docPr id="43" name="Frame34"/>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None of the proposals, if approved, entitles stockholders to appraisal rights under Delaware law or our certificate of incorporation. </w:t>
      </w:r>
    </w:p>
    <w:tbl>
      <w:tblPr>
        <w:tblW w:w="2928" w:type="dxa"/>
        <w:jc w:val="left"/>
        <w:tblInd w:w="720" w:type="dxa"/>
        <w:tblLayout w:type="fixed"/>
        <w:tblCellMar>
          <w:top w:w="0" w:type="dxa"/>
          <w:left w:w="0" w:type="dxa"/>
          <w:bottom w:w="0" w:type="dxa"/>
          <w:right w:w="0" w:type="dxa"/>
        </w:tblCellMar>
      </w:tblPr>
      <w:tblGrid>
        <w:gridCol w:w="124"/>
        <w:gridCol w:w="22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840" w:after="283"/>
        <w:ind w:left="720" w:right="0" w:hanging="0"/>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What is the quorum requirement?</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 quorum of stockholders is necessary to hold a valid stockholder meeting. A quorum will be present if stockholders holding at least a majority of the outstanding shares entitled to vote are present or represented by proxy at the Annual Meeting. On the Record Date, there were an aggregate of 2,586,079,672 shares of Common Stock and Convertible Preferred Stock (on an as converted to Common Stock basis) outstanding and entitled to vote. Virtual attendance at our Annual Meeting constitutes “presence” for purposes of a quorum at the meeting.</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Your shares will be counted toward the quorum only if you submit a valid proxy by mail, over the phone or through the internet (or one is submitted on your behalf by your broker, bank or other nominee) or if you vote at the Annual Meeting. Abstentions, votes to “Withhold” and broker non-votes will be counted toward the quorum requirement. If there is no quorum, then either the chair of the Annual Meeting or the holders of a majority of shares present at the Annual Meeting or represented by proxy may adjourn the meeting to another date. At any adjourned Annual Meeting at which a quorum is present, any business may be transacted that might have been transacted at the Annual Meeting as originally notified. If the adjournment is for more than 30 days, or if after that adjournment a new record date is fixed for the adjourned Annual Meeting, a notice of the adjourned Annual Meeting shall be given to each stockholder of record entitled to vote at the adjourned Annual Meeting.</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How can I find out the results of the voting at the Annual Meeting?</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Preliminary voting results will be announced at the Annual Meeting. In addition, final voting results will be published in a Current Report on Form 8-K that we expect to file with the SEC within four business days after the Annual Meeting. If final voting results are not available to us in time to file a Form 8-K with the SEC within four business days after the Annual Meeting, we intend to file a Form 8-K to publish the preliminary results within four business days after the Annual Meeting and file an additional Form 8-K to publish the final results within four business days after the final results are known to us.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18"/>
        </w:rPr>
      </w:pPr>
      <w:r>
        <w:rPr>
          <w:rFonts w:ascii="Helvetica;Arial;sans-serif" w:hAnsi="Helvetica;Arial;sans-serif"/>
          <w:b/>
          <w:i w:val="false"/>
          <w:caps w:val="false"/>
          <w:smallCaps w:val="false"/>
          <w:color w:val="000000"/>
          <w:sz w:val="18"/>
        </w:rPr>
        <w:t xml:space="preserve">If you have any questions or need assistance in voting your shares, please write to Lucid Investor Relations at investor@lucidmotors.com. </w:t>
      </w:r>
    </w:p>
    <w:tbl>
      <w:tblPr>
        <w:tblW w:w="2928" w:type="dxa"/>
        <w:jc w:val="left"/>
        <w:tblInd w:w="720" w:type="dxa"/>
        <w:tblLayout w:type="fixed"/>
        <w:tblCellMar>
          <w:top w:w="0" w:type="dxa"/>
          <w:left w:w="0" w:type="dxa"/>
          <w:bottom w:w="0" w:type="dxa"/>
          <w:right w:w="0" w:type="dxa"/>
        </w:tblCellMar>
      </w:tblPr>
      <w:tblGrid>
        <w:gridCol w:w="124"/>
        <w:gridCol w:w="220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b/>
              </w:rPr>
            </w:pPr>
            <w:r>
              <w:rPr>
                <w:b/>
              </w:rPr>
              <w:t>7</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283"/>
        <w:ind w:left="720" w:right="0" w:hanging="0"/>
        <w:jc w:val="left"/>
        <w:rPr>
          <w:rFonts w:ascii="Times New Roman;Garamond;serif" w:hAnsi="Times New Roman;Garamond;serif"/>
          <w:b/>
          <w:i w:val="false"/>
          <w:caps w:val="false"/>
          <w:smallCaps w:val="false"/>
          <w:color w:val="000000"/>
          <w:sz w:val="40"/>
        </w:rPr>
      </w:pPr>
      <w:r>
        <w:rPr>
          <w:rFonts w:ascii="Times New Roman;Garamond;serif" w:hAnsi="Times New Roman;Garamond;serif"/>
          <w:b/>
          <w:i w:val="false"/>
          <w:caps w:val="false"/>
          <w:smallCaps w:val="false"/>
          <w:color w:val="000000"/>
          <w:sz w:val="40"/>
        </w:rPr>
        <w:t>Interest of Certain Persons in Matters to Be Acted Upon</w:t>
      </w:r>
      <w:r>
        <w:rPr>
          <w:rFonts w:ascii="Times New Roman;Garamond;serif" w:hAnsi="Times New Roman;Garamond;serif"/>
          <w:b/>
          <w:i w:val="false"/>
          <w:caps w:val="false"/>
          <w:smallCaps w:val="false"/>
          <w:color w:val="000000"/>
          <w:spacing w:val="8"/>
          <w:sz w:val="40"/>
        </w:rPr>
        <w:t xml:space="preserve"> </w:t>
      </w:r>
    </w:p>
    <w:p>
      <w:pPr>
        <w:pStyle w:val="TextBody"/>
        <w:bidi w:val="0"/>
        <w:spacing w:lineRule="atLeast" w:line="240" w:before="40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Employee and non-employee directors will be eligible to receive awards under the Lucid Group, Inc. Second Amended and Restated 2021 Stock Incentive Plan, including as amended and restated pursuant to Proposal No. 4. Accordingly, members of our Board (including as director nominees) and our executive officers have a substantial interest in the approval of the amendment and restatement of the Lucid Group, Inc. Second Amended and Restated 2021 Stock Incentive Plan. The tables below under “Outstanding Equity Awards at Fiscal Year-End” and “Director Compensation” provide information concerning all outstanding awards held by a named executive officer or director as of December 31, 2023, including, but not limited to, awards made under the Lucid Group, Inc. Second Amended and Restated 2021 Stock Incentive Plan.</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Other than disclosed above, none of our directors, director nominees, or executive officers has any special interest in any matter to be voted upon other than election to the Board of Directors.</w:t>
      </w:r>
    </w:p>
    <w:tbl>
      <w:tblPr>
        <w:tblW w:w="2928" w:type="dxa"/>
        <w:jc w:val="left"/>
        <w:tblInd w:w="720" w:type="dxa"/>
        <w:tblLayout w:type="fixed"/>
        <w:tblCellMar>
          <w:top w:w="0" w:type="dxa"/>
          <w:left w:w="0" w:type="dxa"/>
          <w:bottom w:w="0" w:type="dxa"/>
          <w:right w:w="0" w:type="dxa"/>
        </w:tblCellMar>
      </w:tblPr>
      <w:tblGrid>
        <w:gridCol w:w="124"/>
        <w:gridCol w:w="22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PN1E"/>
      <w:bookmarkEnd w:id="5"/>
      <w:r>
        <w:rPr>
          <w:rFonts w:ascii="calibri;arial;sans-serif" w:hAnsi="calibri;arial;sans-serif"/>
          <w:b w:val="false"/>
          <w:i w:val="false"/>
          <w:caps w:val="false"/>
          <w:smallCaps w:val="false"/>
          <w:color w:val="000000"/>
          <w:sz w:val="16"/>
        </w:rPr>
        <w:t xml:space="preserve">​ </w:t>
      </w:r>
    </w:p>
    <w:p>
      <w:pPr>
        <w:pStyle w:val="TextBody"/>
        <w:bidi w:val="0"/>
        <w:spacing w:before="240" w:after="283"/>
        <w:ind w:left="0" w:right="0" w:hanging="0"/>
        <w:jc w:val="right"/>
        <w:rPr>
          <w:caps w:val="false"/>
          <w:smallCaps w:val="false"/>
          <w:color w:val="000000"/>
        </w:rPr>
      </w:pPr>
      <w:r>
        <w:rPr>
          <w:caps w:val="false"/>
          <w:smallCaps w:val="false"/>
          <w:color w:val="000000"/>
        </w:rPr>
        <w:drawing>
          <wp:inline distT="0" distB="0" distL="0" distR="0">
            <wp:extent cx="7210425" cy="2828925"/>
            <wp:effectExtent l="0" t="0" r="0" b="0"/>
            <wp:docPr id="4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7" descr=""/>
                    <pic:cNvPicPr>
                      <a:picLocks noChangeAspect="1" noChangeArrowheads="1"/>
                    </pic:cNvPicPr>
                  </pic:nvPicPr>
                  <pic:blipFill>
                    <a:blip r:embed="rId11"/>
                    <a:stretch>
                      <a:fillRect/>
                    </a:stretch>
                  </pic:blipFill>
                  <pic:spPr bwMode="auto">
                    <a:xfrm>
                      <a:off x="0" y="0"/>
                      <a:ext cx="7210425" cy="28289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jc w:val="right"/>
        <w:rPr>
          <w:caps w:val="false"/>
          <w:smallCaps w:val="false"/>
          <w:color w:val="000000"/>
        </w:rPr>
      </w:pPr>
      <w:r>
        <w:rPr>
          <w:caps w:val="false"/>
          <w:smallCaps w:val="false"/>
          <w:color w:val="000000"/>
        </w:rPr>
        <w:t> ​</w:t>
      </w:r>
    </w:p>
    <w:p>
      <w:pPr>
        <w:pStyle w:val="TextBody"/>
        <w:bidi w:val="0"/>
        <w:spacing w:lineRule="atLeast" w:line="340" w:before="540" w:after="283"/>
        <w:ind w:left="720" w:right="0" w:hanging="0"/>
        <w:jc w:val="left"/>
        <w:rPr>
          <w:rFonts w:ascii="Times New Roman;Garamond;serif" w:hAnsi="Times New Roman;Garamond;serif"/>
          <w:b/>
          <w:i w:val="false"/>
          <w:caps w:val="false"/>
          <w:smallCaps w:val="false"/>
          <w:color w:val="000000"/>
          <w:sz w:val="30"/>
        </w:rPr>
      </w:pPr>
      <w:r>
        <w:rPr>
          <w:rFonts w:ascii="Times New Roman;Garamond;serif" w:hAnsi="Times New Roman;Garamond;serif"/>
          <w:b/>
          <w:i w:val="false"/>
          <w:caps w:val="false"/>
          <w:smallCaps w:val="false"/>
          <w:color w:val="000000"/>
          <w:sz w:val="30"/>
        </w:rPr>
        <w:t xml:space="preserve">Proposal No. 1​ </w:t>
      </w:r>
    </w:p>
    <w:p>
      <w:pPr>
        <w:pStyle w:val="TextBody"/>
        <w:bidi w:val="0"/>
        <w:spacing w:lineRule="atLeast" w:line="440" w:before="34" w:after="283"/>
        <w:jc w:val="left"/>
        <w:rPr>
          <w:rFonts w:ascii="Times New Roman;Garamond;serif" w:hAnsi="Times New Roman;Garamond;serif"/>
          <w:b/>
          <w:i w:val="false"/>
          <w:caps w:val="false"/>
          <w:smallCaps w:val="false"/>
          <w:color w:val="000000"/>
          <w:sz w:val="40"/>
        </w:rPr>
      </w:pPr>
      <w:r>
        <w:rPr>
          <w:rFonts w:ascii="Times New Roman;Garamond;serif" w:hAnsi="Times New Roman;Garamond;serif"/>
          <w:b/>
          <w:i w:val="false"/>
          <w:caps w:val="false"/>
          <w:smallCaps w:val="false"/>
          <w:color w:val="000000"/>
          <w:sz w:val="40"/>
        </w:rPr>
        <w:t>Election of Directors</w:t>
      </w:r>
      <w:r>
        <w:rPr>
          <w:rFonts w:ascii="Times New Roman;Garamond;serif" w:hAnsi="Times New Roman;Garamond;serif"/>
          <w:b/>
          <w:i w:val="false"/>
          <w:caps w:val="false"/>
          <w:smallCaps w:val="false"/>
          <w:color w:val="000000"/>
          <w:spacing w:val="8"/>
          <w:sz w:val="40"/>
        </w:rPr>
        <w:t xml:space="preserve"> </w:t>
      </w:r>
    </w:p>
    <w:p>
      <w:pPr>
        <w:pStyle w:val="TextBody"/>
        <w:bidi w:val="0"/>
        <w:spacing w:lineRule="atLeast" w:line="230" w:before="40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Our Board of Directors is currently composed of nine members. All directors are elected by the stockholders at each annual meeting to serve from the time of their election until the date of the annual meeting of stockholders next following the annual meeting at which such director was elected. The current Board of Directors is comprised of Turqi Alnowaiser, Glenn R. August, Andrew Liveris, Sherif Marakby, Nichelle Maynard-Elliott, Chabi Nouri, Peter Rawlinson, Ori Winitzer and Janet S. Wong. Mr. August will not be standing for reelection at the Annual Meeting. The Board thanks Mr. August for his years of valuable leadership and service to both the Company and the Board.</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Nominating and Corporate Governance Committee of the Board has recommended, and the Board has approved, the nomination of Turqi Alnowaiser, Lisa M. Lambert, Andrew Liveris, Sherif Marakby, Nichelle Maynard-Elliott, Chabi Nouri, Peter Rawlinson, Ori Winitzer and Janet S. Wong, as directors for a one-year term expiring at the 2025 Annual Meeting and until their respective successors are duly elected and qualified, or, if sooner, until the director’s death, resignation or removal. Each of Mr. Alnowaiser, Mr. August, Mr. Liveris, Mr. Marakby, Ms. Maynard-Elliott, Ms. Nouri, Mr. Rawlinson, Mr. Winitzer and Ms. Wong is currently a director of the Company. Ms. Lambert is newly nominated to serve as a director of the Company following the Annual Meeting. Directors are elected by a plurality of the votes of the holders of shares present or represented by proxy and entitled to vote on the election of directors. The nine nominees receiving the highest number of  “For” votes will be elected.</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Proxies cannot be voted for a greater number of persons than the number of nominees named in this Proxy Statement. If any nominee should become unavailable to serve for any reason, it is intended that votes will be cast for a substitute nominee designated by the Nominating and Corporate Governance Committee and approved by the Board. We have no reason to believe that any nominee named will be unable to serve if elected.</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Certain Stockholder Rights to Nominate Directors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Pursuant to the Investor Rights Agreement, dated as of February 22, 2021 and as amended from time to time, by and among the Company, Ayar Third Investment Company (“Ayar”) and certain other parties (the “Investor Rights Agreement”), Ayar has the right to nominate five directors to our Board of Directors.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Ayar’s right to nominate directors to our Board of Directors is subject to its (and its permitted transferees’) continued beneficial ownership of specified amounts of our Common Stock as compared to the Common Stock issued and outstanding as of the record date of each applicable annual or special meeting of stockholders at which directors are to be elected. If Ayar (or its permitted transferees) owns beneficially: (i) 50% or greater of the shares of our Common Stock issued and outstanding as of the record date of such annual or special meeting of stockholders, it has the right to nominate five directors; (ii) less than 50% but greater than or equal to 40% of the shares of our Common Stock issued and outstanding as of the record date of such annual or special meeting of stockholders, it has the right to nominate four directors; (iii) less than 40% but greater than or equal to 30% of the shares of our Common Stock issued and outstanding as of the record date of such annual or special meeting of stockholders, it has the right </w:t>
      </w:r>
    </w:p>
    <w:tbl>
      <w:tblPr>
        <w:tblW w:w="2928" w:type="dxa"/>
        <w:jc w:val="left"/>
        <w:tblInd w:w="720" w:type="dxa"/>
        <w:tblLayout w:type="fixed"/>
        <w:tblCellMar>
          <w:top w:w="0" w:type="dxa"/>
          <w:left w:w="0" w:type="dxa"/>
          <w:bottom w:w="0" w:type="dxa"/>
          <w:right w:w="0" w:type="dxa"/>
        </w:tblCellMar>
      </w:tblPr>
      <w:tblGrid>
        <w:gridCol w:w="124"/>
        <w:gridCol w:w="220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b/>
              </w:rPr>
            </w:pPr>
            <w:r>
              <w:rPr>
                <w:b/>
              </w:rPr>
              <w:t>9</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84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to nominate three directors; (iv) less than 30% but greater than or equal to 20% of the shares of our Common Stock issued and outstanding as of the record date of such annual or special meeting of stockholders, it has the right to nominate two directors; (v) less than 20% but greater than or equal to 10% of the shares of our Common Stock issued and outstanding as of the record date of such annual or special meeting of stockholders, it has the right to nominate one director; (vi) less than 10% of the shares of our Common Stock issued and outstanding as of the record date of such annual or special meeting of stockholders, it will not have the right to nominate any directors pursuant to the Investor Rights Agreement. If the size of our Board is increased or decreased, the number of directors Ayar is entitled to nominate will be increased or decreased in proportion to such increase or decrease in the size of our Board, rounded down to the nearest whole number.</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Further, for so long as Ayar beneficially owns twenty percent (20%) or greater of the shares of our Common Stock issued and outstanding, it has the right to designate the Chairman of our Board. In addition, for so long as Ayar beneficially owns shares of our Common Stock representing at least one-third (33 1∕3%) of the Common Stock then issued and outstanding, Ayar has the right to have at least one Ayar director appointed to serve on each committee of the Board. For additional information, please see the section entitled “Certain Relationships and Related Party Transactions.” In accordance with the Investor Rights Agreement, Turqi Alnowaiser, Andrew Liveris, Sherif Marakby, Nichelle Maynard-Elliott and Ori Winitzer were designated for nomination by Ayar to the Board of Directors and nominated by the Nominating and Corporate Governance Committee and the Board.</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Nominees for Director</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names and ages as of the date of this Proxy Statement of the nominees, length of service with the Company, and Board committee memberships are set forth in the table below.</w:t>
      </w:r>
      <w:r>
        <w:rPr>
          <w:rFonts w:ascii="Helvetica;Arial;sans-serif" w:hAnsi="Helvetica;Arial;sans-serif"/>
          <w:b w:val="false"/>
          <w:i w:val="false"/>
          <w:caps w:val="false"/>
          <w:smallCaps w:val="false"/>
          <w:color w:val="000000"/>
          <w:spacing w:val="4"/>
          <w:sz w:val="18"/>
        </w:rPr>
        <w:t xml:space="preserve"> </w:t>
      </w:r>
    </w:p>
    <w:tbl>
      <w:tblPr>
        <w:tblW w:w="12141" w:type="dxa"/>
        <w:jc w:val="left"/>
        <w:tblInd w:w="720" w:type="dxa"/>
        <w:tblLayout w:type="fixed"/>
        <w:tblCellMar>
          <w:top w:w="0" w:type="dxa"/>
          <w:left w:w="0" w:type="dxa"/>
          <w:bottom w:w="0" w:type="dxa"/>
          <w:right w:w="0" w:type="dxa"/>
        </w:tblCellMar>
      </w:tblPr>
      <w:tblGrid>
        <w:gridCol w:w="124"/>
        <w:gridCol w:w="1606"/>
        <w:gridCol w:w="109"/>
        <w:gridCol w:w="109"/>
        <w:gridCol w:w="511"/>
        <w:gridCol w:w="109"/>
        <w:gridCol w:w="109"/>
        <w:gridCol w:w="886"/>
        <w:gridCol w:w="109"/>
        <w:gridCol w:w="109"/>
        <w:gridCol w:w="826"/>
        <w:gridCol w:w="109"/>
        <w:gridCol w:w="109"/>
        <w:gridCol w:w="1276"/>
        <w:gridCol w:w="109"/>
        <w:gridCol w:w="109"/>
        <w:gridCol w:w="1141"/>
        <w:gridCol w:w="109"/>
        <w:gridCol w:w="109"/>
        <w:gridCol w:w="1471"/>
        <w:gridCol w:w="109"/>
        <w:gridCol w:w="109"/>
        <w:gridCol w:w="1261"/>
        <w:gridCol w:w="109"/>
        <w:gridCol w:w="109"/>
        <w:gridCol w:w="1141"/>
        <w:gridCol w:w="154"/>
      </w:tblGrid>
      <w:tr>
        <w:trPr/>
        <w:tc>
          <w:tcPr>
            <w:tcW w:w="124" w:type="dxa"/>
            <w:tcBorders/>
            <w:shd w:fill="000000" w:val="clear"/>
            <w:vAlign w:val="center"/>
          </w:tcPr>
          <w:p>
            <w:pPr>
              <w:pStyle w:val="TableContents"/>
              <w:bidi w:val="0"/>
              <w:spacing w:before="0" w:after="283"/>
              <w:jc w:val="left"/>
              <w:rPr/>
            </w:pPr>
            <w:r>
              <w:rPr/>
              <w:t>​</w:t>
            </w:r>
          </w:p>
        </w:tc>
        <w:tc>
          <w:tcPr>
            <w:tcW w:w="1606" w:type="dxa"/>
            <w:tcBorders/>
            <w:shd w:fill="000000" w:val="clear"/>
            <w:vAlign w:val="center"/>
          </w:tcPr>
          <w:p>
            <w:pPr>
              <w:pStyle w:val="TableContents"/>
              <w:bidi w:val="0"/>
              <w:spacing w:before="0" w:after="0"/>
              <w:jc w:val="left"/>
              <w:rPr/>
            </w:pPr>
            <w:r>
              <w:rPr/>
              <w:t xml:space="preserve">Name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11" w:type="dxa"/>
            <w:tcBorders/>
            <w:shd w:fill="000000" w:val="clear"/>
            <w:vAlign w:val="center"/>
          </w:tcPr>
          <w:p>
            <w:pPr>
              <w:pStyle w:val="TableContents"/>
              <w:bidi w:val="0"/>
              <w:spacing w:before="0" w:after="0"/>
              <w:jc w:val="center"/>
              <w:rPr/>
            </w:pPr>
            <w:r>
              <w:rPr/>
              <w:t xml:space="preserve">Age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886" w:type="dxa"/>
            <w:tcBorders/>
            <w:shd w:fill="000000" w:val="clear"/>
            <w:vAlign w:val="center"/>
          </w:tcPr>
          <w:p>
            <w:pPr>
              <w:pStyle w:val="TableContents"/>
              <w:bidi w:val="0"/>
              <w:spacing w:before="0" w:after="0"/>
              <w:jc w:val="center"/>
              <w:rPr/>
            </w:pPr>
            <w:r>
              <w:rPr/>
              <w:t>Director</w:t>
              <w:br/>
              <w:t xml:space="preserve">Since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826" w:type="dxa"/>
            <w:tcBorders/>
            <w:shd w:fill="000000" w:val="clear"/>
            <w:vAlign w:val="center"/>
          </w:tcPr>
          <w:p>
            <w:pPr>
              <w:pStyle w:val="TableContents"/>
              <w:bidi w:val="0"/>
              <w:spacing w:before="0" w:after="0"/>
              <w:jc w:val="center"/>
              <w:rPr/>
            </w:pPr>
            <w:r>
              <w:rPr/>
              <w:t>Current</w:t>
              <w:br/>
              <w:t>Term</w:t>
              <w:br/>
              <w:t xml:space="preserve">Expires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76" w:type="dxa"/>
            <w:tcBorders/>
            <w:shd w:fill="000000" w:val="clear"/>
            <w:vAlign w:val="center"/>
          </w:tcPr>
          <w:p>
            <w:pPr>
              <w:pStyle w:val="TableContents"/>
              <w:bidi w:val="0"/>
              <w:spacing w:before="0" w:after="0"/>
              <w:jc w:val="center"/>
              <w:rPr/>
            </w:pPr>
            <w:r>
              <w:rPr/>
              <w:t xml:space="preserve">Independent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41" w:type="dxa"/>
            <w:tcBorders/>
            <w:shd w:fill="000000" w:val="clear"/>
            <w:vAlign w:val="center"/>
          </w:tcPr>
          <w:p>
            <w:pPr>
              <w:pStyle w:val="TableContents"/>
              <w:bidi w:val="0"/>
              <w:spacing w:before="0" w:after="0"/>
              <w:jc w:val="center"/>
              <w:rPr/>
            </w:pPr>
            <w:r>
              <w:rPr/>
              <w:t>Audit</w:t>
              <w:br/>
              <w:t xml:space="preserve">Committee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71" w:type="dxa"/>
            <w:tcBorders/>
            <w:shd w:fill="000000" w:val="clear"/>
            <w:vAlign w:val="center"/>
          </w:tcPr>
          <w:p>
            <w:pPr>
              <w:pStyle w:val="TableContents"/>
              <w:bidi w:val="0"/>
              <w:spacing w:before="0" w:after="0"/>
              <w:jc w:val="center"/>
              <w:rPr/>
            </w:pPr>
            <w:r>
              <w:rPr/>
              <w:t>Compensation</w:t>
              <w:br/>
              <w:t>and</w:t>
              <w:br/>
              <w:t xml:space="preserve">Human </w:t>
              <w:br/>
              <w:t xml:space="preserve">Capital </w:t>
              <w:br/>
              <w:t xml:space="preserve">Committee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61" w:type="dxa"/>
            <w:tcBorders/>
            <w:shd w:fill="000000" w:val="clear"/>
            <w:vAlign w:val="center"/>
          </w:tcPr>
          <w:p>
            <w:pPr>
              <w:pStyle w:val="TableContents"/>
              <w:bidi w:val="0"/>
              <w:spacing w:before="0" w:after="0"/>
              <w:jc w:val="center"/>
              <w:rPr/>
            </w:pPr>
            <w:r>
              <w:rPr/>
              <w:t>Nominating</w:t>
              <w:br/>
              <w:t>and</w:t>
              <w:br/>
              <w:t>Corporate</w:t>
              <w:br/>
              <w:t>Governance</w:t>
              <w:br/>
              <w:t xml:space="preserve">Committee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41" w:type="dxa"/>
            <w:tcBorders/>
            <w:shd w:fill="000000" w:val="clear"/>
            <w:vAlign w:val="center"/>
          </w:tcPr>
          <w:p>
            <w:pPr>
              <w:pStyle w:val="TableContents"/>
              <w:bidi w:val="0"/>
              <w:spacing w:before="0" w:after="0"/>
              <w:jc w:val="center"/>
              <w:rPr/>
            </w:pPr>
            <w:r>
              <w:rPr/>
              <w:t>Executive</w:t>
              <w:br/>
              <w:t xml:space="preserve">Committee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606" w:type="dxa"/>
            <w:tcBorders>
              <w:bottom w:val="single" w:sz="6" w:space="0" w:color="000000"/>
            </w:tcBorders>
            <w:tcMar>
              <w:bottom w:w="145" w:type="dxa"/>
            </w:tcMar>
            <w:vAlign w:val="center"/>
          </w:tcPr>
          <w:p>
            <w:pPr>
              <w:pStyle w:val="TableContents"/>
              <w:bidi w:val="0"/>
              <w:spacing w:lineRule="atLeast" w:line="180" w:before="0" w:after="0"/>
              <w:jc w:val="left"/>
              <w:rPr/>
            </w:pPr>
            <w:r>
              <w:rPr/>
              <w:t xml:space="preserve">Turqi Alnowaiser*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11" w:type="dxa"/>
            <w:tcBorders>
              <w:bottom w:val="single" w:sz="6" w:space="0" w:color="000000"/>
            </w:tcBorders>
            <w:tcMar>
              <w:bottom w:w="145" w:type="dxa"/>
            </w:tcMar>
            <w:vAlign w:val="center"/>
          </w:tcPr>
          <w:p>
            <w:pPr>
              <w:pStyle w:val="TableContents"/>
              <w:bidi w:val="0"/>
              <w:spacing w:lineRule="atLeast" w:line="180" w:before="0" w:after="0"/>
              <w:jc w:val="center"/>
              <w:rPr/>
            </w:pPr>
            <w:r>
              <w:rPr/>
              <w:t xml:space="preserve">47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86" w:type="dxa"/>
            <w:tcBorders>
              <w:bottom w:val="single" w:sz="6" w:space="0" w:color="000000"/>
            </w:tcBorders>
            <w:tcMar>
              <w:bottom w:w="145" w:type="dxa"/>
            </w:tcMar>
            <w:vAlign w:val="center"/>
          </w:tcPr>
          <w:p>
            <w:pPr>
              <w:pStyle w:val="TableContents"/>
              <w:bidi w:val="0"/>
              <w:spacing w:lineRule="atLeast" w:line="180" w:before="0" w:after="0"/>
              <w:jc w:val="center"/>
              <w:rPr/>
            </w:pPr>
            <w:r>
              <w:rPr/>
              <w:t xml:space="preserve">2019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26" w:type="dxa"/>
            <w:tcBorders>
              <w:bottom w:val="single" w:sz="6" w:space="0" w:color="000000"/>
            </w:tcBorders>
            <w:tcMar>
              <w:bottom w:w="145" w:type="dxa"/>
            </w:tcMar>
            <w:vAlign w:val="center"/>
          </w:tcPr>
          <w:p>
            <w:pPr>
              <w:pStyle w:val="TableContents"/>
              <w:bidi w:val="0"/>
              <w:spacing w:lineRule="atLeast" w:line="180" w:before="0" w:after="0"/>
              <w:jc w:val="center"/>
              <w:rPr/>
            </w:pPr>
            <w:r>
              <w:rPr/>
              <w:t xml:space="preserve">2025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6" w:type="dxa"/>
            <w:tcBorders>
              <w:bottom w:val="single" w:sz="6" w:space="0" w:color="000000"/>
            </w:tcBorders>
            <w:tcMar>
              <w:bottom w:w="180" w:type="dxa"/>
            </w:tcMar>
            <w:vAlign w:val="center"/>
          </w:tcPr>
          <w:p>
            <w:pPr>
              <w:pStyle w:val="TableContents"/>
              <w:bidi w:val="0"/>
              <w:spacing w:before="0" w:after="0"/>
              <w:jc w:val="center"/>
              <w:rPr/>
            </w:pPr>
            <w:r>
              <w:rPr/>
              <w:drawing>
                <wp:inline distT="0" distB="0" distL="0" distR="0">
                  <wp:extent cx="85725" cy="104775"/>
                  <wp:effectExtent l="0" t="0" r="0" b="0"/>
                  <wp:docPr id="4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8" descr=""/>
                          <pic:cNvPicPr>
                            <a:picLocks noChangeAspect="1" noChangeArrowheads="1"/>
                          </pic:cNvPicPr>
                        </pic:nvPicPr>
                        <pic:blipFill>
                          <a:blip r:embed="rId12"/>
                          <a:stretch>
                            <a:fillRect/>
                          </a:stretch>
                        </pic:blipFill>
                        <pic:spPr bwMode="auto">
                          <a:xfrm>
                            <a:off x="0" y="0"/>
                            <a:ext cx="85725" cy="10477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4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61" w:type="dxa"/>
            <w:tcBorders>
              <w:bottom w:val="single" w:sz="6" w:space="0" w:color="000000"/>
            </w:tcBorders>
            <w:tcMar>
              <w:bottom w:w="145" w:type="dxa"/>
            </w:tcMar>
            <w:vAlign w:val="center"/>
          </w:tcPr>
          <w:p>
            <w:pPr>
              <w:pStyle w:val="TableContents"/>
              <w:bidi w:val="0"/>
              <w:spacing w:lineRule="atLeast" w:line="180" w:before="0" w:after="0"/>
              <w:jc w:val="center"/>
              <w:rPr/>
            </w:pPr>
            <w:r>
              <w:rPr/>
              <w:t xml:space="preserve">Chair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41" w:type="dxa"/>
            <w:tcBorders>
              <w:bottom w:val="single" w:sz="6" w:space="0" w:color="000000"/>
            </w:tcBorders>
            <w:tcMar>
              <w:bottom w:w="145" w:type="dxa"/>
            </w:tcMar>
            <w:vAlign w:val="center"/>
          </w:tcPr>
          <w:p>
            <w:pPr>
              <w:pStyle w:val="TableContents"/>
              <w:bidi w:val="0"/>
              <w:spacing w:lineRule="atLeast" w:line="180" w:before="0" w:after="0"/>
              <w:jc w:val="center"/>
              <w:rPr/>
            </w:pPr>
            <w:r>
              <w:rPr/>
              <w:t xml:space="preserve">Chair </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606" w:type="dxa"/>
            <w:tcBorders>
              <w:bottom w:val="single" w:sz="6" w:space="0" w:color="000000"/>
            </w:tcBorders>
            <w:shd w:fill="F7F7F7" w:val="clear"/>
            <w:tcMar>
              <w:bottom w:w="145" w:type="dxa"/>
            </w:tcMar>
            <w:vAlign w:val="center"/>
          </w:tcPr>
          <w:p>
            <w:pPr>
              <w:pStyle w:val="TableContents"/>
              <w:bidi w:val="0"/>
              <w:spacing w:lineRule="atLeast" w:line="180" w:before="0" w:after="0"/>
              <w:jc w:val="left"/>
              <w:rPr/>
            </w:pPr>
            <w:r>
              <w:rPr/>
              <w:t xml:space="preserve">Lisa M. Lambert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511" w:type="dxa"/>
            <w:tcBorders>
              <w:bottom w:val="single" w:sz="6" w:space="0" w:color="000000"/>
            </w:tcBorders>
            <w:shd w:fill="F7F7F7" w:val="clear"/>
            <w:tcMar>
              <w:bottom w:w="145" w:type="dxa"/>
            </w:tcMar>
            <w:vAlign w:val="center"/>
          </w:tcPr>
          <w:p>
            <w:pPr>
              <w:pStyle w:val="TableContents"/>
              <w:bidi w:val="0"/>
              <w:spacing w:lineRule="atLeast" w:line="180" w:before="0" w:after="0"/>
              <w:jc w:val="center"/>
              <w:rPr/>
            </w:pPr>
            <w:r>
              <w:rPr/>
              <w:t>56</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886" w:type="dxa"/>
            <w:tcBorders>
              <w:bottom w:val="single" w:sz="6" w:space="0" w:color="000000"/>
            </w:tcBorders>
            <w:shd w:fill="F7F7F7" w:val="clear"/>
            <w:tcMar>
              <w:bottom w:w="145"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826" w:type="dxa"/>
            <w:tcBorders>
              <w:bottom w:val="single" w:sz="6" w:space="0" w:color="000000"/>
            </w:tcBorders>
            <w:shd w:fill="F7F7F7" w:val="clear"/>
            <w:tcMar>
              <w:bottom w:w="145" w:type="dxa"/>
            </w:tcMar>
            <w:vAlign w:val="center"/>
          </w:tcPr>
          <w:p>
            <w:pPr>
              <w:pStyle w:val="TableContents"/>
              <w:bidi w:val="0"/>
              <w:spacing w:lineRule="atLeast" w:line="180" w:before="0" w:after="0"/>
              <w:jc w:val="center"/>
              <w:rPr/>
            </w:pPr>
            <w:r>
              <w:rPr/>
              <w:t>2025</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276" w:type="dxa"/>
            <w:tcBorders>
              <w:bottom w:val="single" w:sz="6" w:space="0" w:color="000000"/>
            </w:tcBorders>
            <w:shd w:fill="F7F7F7" w:val="clear"/>
            <w:tcMar>
              <w:bottom w:w="180" w:type="dxa"/>
            </w:tcMar>
            <w:vAlign w:val="center"/>
          </w:tcPr>
          <w:p>
            <w:pPr>
              <w:pStyle w:val="TableContents"/>
              <w:bidi w:val="0"/>
              <w:spacing w:before="0" w:after="0"/>
              <w:jc w:val="center"/>
              <w:rPr/>
            </w:pPr>
            <w:r>
              <w:rPr/>
              <w:drawing>
                <wp:inline distT="0" distB="0" distL="0" distR="0">
                  <wp:extent cx="85725" cy="104775"/>
                  <wp:effectExtent l="0" t="0" r="0" b="0"/>
                  <wp:docPr id="4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9" descr=""/>
                          <pic:cNvPicPr>
                            <a:picLocks noChangeAspect="1" noChangeArrowheads="1"/>
                          </pic:cNvPicPr>
                        </pic:nvPicPr>
                        <pic:blipFill>
                          <a:blip r:embed="rId13"/>
                          <a:stretch>
                            <a:fillRect/>
                          </a:stretch>
                        </pic:blipFill>
                        <pic:spPr bwMode="auto">
                          <a:xfrm>
                            <a:off x="0" y="0"/>
                            <a:ext cx="85725" cy="104775"/>
                          </a:xfrm>
                          <a:prstGeom prst="rect">
                            <a:avLst/>
                          </a:prstGeom>
                        </pic:spPr>
                      </pic:pic>
                    </a:graphicData>
                  </a:graphic>
                </wp:inline>
              </w:drawing>
            </w: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1" w:type="dxa"/>
            <w:tcBorders>
              <w:bottom w:val="single" w:sz="6" w:space="0" w:color="000000"/>
            </w:tcBorders>
            <w:shd w:fill="F7F7F7" w:val="clear"/>
            <w:tcMar>
              <w:bottom w:w="145"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261" w:type="dxa"/>
            <w:tcBorders>
              <w:bottom w:val="single" w:sz="6" w:space="0" w:color="000000"/>
            </w:tcBorders>
            <w:shd w:fill="F7F7F7" w:val="clear"/>
            <w:tcMar>
              <w:bottom w:w="145"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606" w:type="dxa"/>
            <w:tcBorders>
              <w:bottom w:val="single" w:sz="6" w:space="0" w:color="000000"/>
            </w:tcBorders>
            <w:tcMar>
              <w:bottom w:w="145" w:type="dxa"/>
            </w:tcMar>
            <w:vAlign w:val="center"/>
          </w:tcPr>
          <w:p>
            <w:pPr>
              <w:pStyle w:val="TableContents"/>
              <w:bidi w:val="0"/>
              <w:spacing w:lineRule="atLeast" w:line="180" w:before="0" w:after="0"/>
              <w:jc w:val="left"/>
              <w:rPr/>
            </w:pPr>
            <w:r>
              <w:rPr/>
              <w:t xml:space="preserve">Andrew Liveris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11" w:type="dxa"/>
            <w:tcBorders>
              <w:bottom w:val="single" w:sz="6" w:space="0" w:color="000000"/>
            </w:tcBorders>
            <w:tcMar>
              <w:bottom w:w="145" w:type="dxa"/>
            </w:tcMar>
            <w:vAlign w:val="center"/>
          </w:tcPr>
          <w:p>
            <w:pPr>
              <w:pStyle w:val="TableContents"/>
              <w:bidi w:val="0"/>
              <w:spacing w:lineRule="atLeast" w:line="180" w:before="0" w:after="0"/>
              <w:jc w:val="center"/>
              <w:rPr/>
            </w:pPr>
            <w:r>
              <w:rPr/>
              <w:t xml:space="preserve">69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86" w:type="dxa"/>
            <w:tcBorders>
              <w:bottom w:val="single" w:sz="6" w:space="0" w:color="000000"/>
            </w:tcBorders>
            <w:tcMar>
              <w:bottom w:w="145" w:type="dxa"/>
            </w:tcMar>
            <w:vAlign w:val="center"/>
          </w:tcPr>
          <w:p>
            <w:pPr>
              <w:pStyle w:val="TableContents"/>
              <w:bidi w:val="0"/>
              <w:spacing w:lineRule="atLeast" w:line="180" w:before="0" w:after="0"/>
              <w:jc w:val="center"/>
              <w:rPr/>
            </w:pPr>
            <w:r>
              <w:rPr/>
              <w:t xml:space="preserve">2019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26" w:type="dxa"/>
            <w:tcBorders>
              <w:bottom w:val="single" w:sz="6" w:space="0" w:color="000000"/>
            </w:tcBorders>
            <w:tcMar>
              <w:bottom w:w="145" w:type="dxa"/>
            </w:tcMar>
            <w:vAlign w:val="center"/>
          </w:tcPr>
          <w:p>
            <w:pPr>
              <w:pStyle w:val="TableContents"/>
              <w:bidi w:val="0"/>
              <w:spacing w:lineRule="atLeast" w:line="180" w:before="0" w:after="0"/>
              <w:jc w:val="center"/>
              <w:rPr/>
            </w:pPr>
            <w:r>
              <w:rPr/>
              <w:t xml:space="preserve">2025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6" w:type="dxa"/>
            <w:tcBorders>
              <w:bottom w:val="single" w:sz="6" w:space="0" w:color="000000"/>
            </w:tcBorders>
            <w:tcMar>
              <w:bottom w:w="180" w:type="dxa"/>
            </w:tcMar>
            <w:vAlign w:val="center"/>
          </w:tcPr>
          <w:p>
            <w:pPr>
              <w:pStyle w:val="TableContents"/>
              <w:bidi w:val="0"/>
              <w:spacing w:before="0" w:after="0"/>
              <w:jc w:val="center"/>
              <w:rPr/>
            </w:pPr>
            <w:r>
              <w:rPr/>
              <w:drawing>
                <wp:inline distT="0" distB="0" distL="0" distR="0">
                  <wp:extent cx="85725" cy="104775"/>
                  <wp:effectExtent l="0" t="0" r="0" b="0"/>
                  <wp:docPr id="4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0" descr=""/>
                          <pic:cNvPicPr>
                            <a:picLocks noChangeAspect="1" noChangeArrowheads="1"/>
                          </pic:cNvPicPr>
                        </pic:nvPicPr>
                        <pic:blipFill>
                          <a:blip r:embed="rId14"/>
                          <a:stretch>
                            <a:fillRect/>
                          </a:stretch>
                        </pic:blipFill>
                        <pic:spPr bwMode="auto">
                          <a:xfrm>
                            <a:off x="0" y="0"/>
                            <a:ext cx="85725" cy="10477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4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tcMar>
              <w:bottom w:w="145" w:type="dxa"/>
            </w:tcMar>
            <w:vAlign w:val="center"/>
          </w:tcPr>
          <w:p>
            <w:pPr>
              <w:pStyle w:val="TableContents"/>
              <w:bidi w:val="0"/>
              <w:spacing w:lineRule="atLeast" w:line="180" w:before="0" w:after="0"/>
              <w:jc w:val="center"/>
              <w:rPr/>
            </w:pPr>
            <w:r>
              <w:rPr/>
              <w:t xml:space="preserve">Chair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6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41" w:type="dxa"/>
            <w:tcBorders>
              <w:bottom w:val="single" w:sz="6" w:space="0" w:color="000000"/>
            </w:tcBorders>
            <w:tcMar>
              <w:bottom w:w="180" w:type="dxa"/>
            </w:tcMar>
            <w:vAlign w:val="center"/>
          </w:tcPr>
          <w:p>
            <w:pPr>
              <w:pStyle w:val="TableContents"/>
              <w:bidi w:val="0"/>
              <w:spacing w:before="0" w:after="0"/>
              <w:jc w:val="center"/>
              <w:rPr/>
            </w:pPr>
            <w:r>
              <w:rPr/>
              <w:drawing>
                <wp:inline distT="0" distB="0" distL="0" distR="0">
                  <wp:extent cx="85725" cy="104775"/>
                  <wp:effectExtent l="0" t="0" r="0" b="0"/>
                  <wp:docPr id="4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1" descr=""/>
                          <pic:cNvPicPr>
                            <a:picLocks noChangeAspect="1" noChangeArrowheads="1"/>
                          </pic:cNvPicPr>
                        </pic:nvPicPr>
                        <pic:blipFill>
                          <a:blip r:embed="rId15"/>
                          <a:stretch>
                            <a:fillRect/>
                          </a:stretch>
                        </pic:blipFill>
                        <pic:spPr bwMode="auto">
                          <a:xfrm>
                            <a:off x="0" y="0"/>
                            <a:ext cx="85725" cy="104775"/>
                          </a:xfrm>
                          <a:prstGeom prst="rect">
                            <a:avLst/>
                          </a:prstGeom>
                        </pic:spPr>
                      </pic:pic>
                    </a:graphicData>
                  </a:graphic>
                </wp:inline>
              </w:drawing>
            </w:r>
            <w:r>
              <w:rPr/>
              <w:t xml:space="preserve"> </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606" w:type="dxa"/>
            <w:tcBorders>
              <w:bottom w:val="single" w:sz="6" w:space="0" w:color="000000"/>
            </w:tcBorders>
            <w:shd w:fill="F7F7F7" w:val="clear"/>
            <w:tcMar>
              <w:bottom w:w="145" w:type="dxa"/>
            </w:tcMar>
            <w:vAlign w:val="center"/>
          </w:tcPr>
          <w:p>
            <w:pPr>
              <w:pStyle w:val="TableContents"/>
              <w:bidi w:val="0"/>
              <w:spacing w:lineRule="atLeast" w:line="180" w:before="0" w:after="0"/>
              <w:jc w:val="left"/>
              <w:rPr/>
            </w:pPr>
            <w:r>
              <w:rPr/>
              <w:t xml:space="preserve">Sherif Marakby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511" w:type="dxa"/>
            <w:tcBorders>
              <w:bottom w:val="single" w:sz="6" w:space="0" w:color="000000"/>
            </w:tcBorders>
            <w:shd w:fill="F7F7F7" w:val="clear"/>
            <w:tcMar>
              <w:bottom w:w="145" w:type="dxa"/>
            </w:tcMar>
            <w:vAlign w:val="center"/>
          </w:tcPr>
          <w:p>
            <w:pPr>
              <w:pStyle w:val="TableContents"/>
              <w:bidi w:val="0"/>
              <w:spacing w:lineRule="atLeast" w:line="180" w:before="0" w:after="0"/>
              <w:jc w:val="center"/>
              <w:rPr/>
            </w:pPr>
            <w:r>
              <w:rPr/>
              <w:t xml:space="preserve">58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886" w:type="dxa"/>
            <w:tcBorders>
              <w:bottom w:val="single" w:sz="6" w:space="0" w:color="000000"/>
            </w:tcBorders>
            <w:shd w:fill="F7F7F7" w:val="clear"/>
            <w:tcMar>
              <w:bottom w:w="145" w:type="dxa"/>
            </w:tcMar>
            <w:vAlign w:val="center"/>
          </w:tcPr>
          <w:p>
            <w:pPr>
              <w:pStyle w:val="TableContents"/>
              <w:bidi w:val="0"/>
              <w:spacing w:lineRule="atLeast" w:line="180" w:before="0" w:after="0"/>
              <w:jc w:val="center"/>
              <w:rPr/>
            </w:pPr>
            <w:r>
              <w:rPr/>
              <w:t xml:space="preserve">2023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826" w:type="dxa"/>
            <w:tcBorders>
              <w:bottom w:val="single" w:sz="6" w:space="0" w:color="000000"/>
            </w:tcBorders>
            <w:shd w:fill="F7F7F7" w:val="clear"/>
            <w:tcMar>
              <w:bottom w:w="145" w:type="dxa"/>
            </w:tcMar>
            <w:vAlign w:val="center"/>
          </w:tcPr>
          <w:p>
            <w:pPr>
              <w:pStyle w:val="TableContents"/>
              <w:bidi w:val="0"/>
              <w:spacing w:lineRule="atLeast" w:line="180" w:before="0" w:after="0"/>
              <w:jc w:val="center"/>
              <w:rPr/>
            </w:pPr>
            <w:r>
              <w:rPr/>
              <w:t xml:space="preserve">2025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276" w:type="dxa"/>
            <w:tcBorders>
              <w:bottom w:val="single" w:sz="6" w:space="0" w:color="000000"/>
            </w:tcBorders>
            <w:shd w:fill="F7F7F7" w:val="clear"/>
            <w:tcMar>
              <w:bottom w:w="180" w:type="dxa"/>
            </w:tcMar>
            <w:vAlign w:val="center"/>
          </w:tcPr>
          <w:p>
            <w:pPr>
              <w:pStyle w:val="TableContents"/>
              <w:bidi w:val="0"/>
              <w:spacing w:before="0" w:after="0"/>
              <w:jc w:val="center"/>
              <w:rPr/>
            </w:pPr>
            <w:r>
              <w:rPr/>
              <w:drawing>
                <wp:inline distT="0" distB="0" distL="0" distR="0">
                  <wp:extent cx="85725" cy="104775"/>
                  <wp:effectExtent l="0" t="0" r="0" b="0"/>
                  <wp:docPr id="4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2" descr=""/>
                          <pic:cNvPicPr>
                            <a:picLocks noChangeAspect="1" noChangeArrowheads="1"/>
                          </pic:cNvPicPr>
                        </pic:nvPicPr>
                        <pic:blipFill>
                          <a:blip r:embed="rId16"/>
                          <a:stretch>
                            <a:fillRect/>
                          </a:stretch>
                        </pic:blipFill>
                        <pic:spPr bwMode="auto">
                          <a:xfrm>
                            <a:off x="0" y="0"/>
                            <a:ext cx="85725" cy="104775"/>
                          </a:xfrm>
                          <a:prstGeom prst="rect">
                            <a:avLst/>
                          </a:prstGeom>
                        </pic:spPr>
                      </pic:pic>
                    </a:graphicData>
                  </a:graphic>
                </wp:inline>
              </w:drawing>
            </w: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26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1" w:type="dxa"/>
            <w:tcBorders>
              <w:bottom w:val="single" w:sz="6" w:space="0" w:color="000000"/>
            </w:tcBorders>
            <w:shd w:fill="F7F7F7" w:val="clear"/>
            <w:tcMar>
              <w:bottom w:w="180" w:type="dxa"/>
            </w:tcMar>
            <w:vAlign w:val="center"/>
          </w:tcPr>
          <w:p>
            <w:pPr>
              <w:pStyle w:val="TableContents"/>
              <w:bidi w:val="0"/>
              <w:spacing w:before="0" w:after="0"/>
              <w:jc w:val="center"/>
              <w:rPr/>
            </w:pPr>
            <w:r>
              <w:rPr/>
              <w:drawing>
                <wp:inline distT="0" distB="0" distL="0" distR="0">
                  <wp:extent cx="85725" cy="104775"/>
                  <wp:effectExtent l="0" t="0" r="0" b="0"/>
                  <wp:docPr id="5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3" descr=""/>
                          <pic:cNvPicPr>
                            <a:picLocks noChangeAspect="1" noChangeArrowheads="1"/>
                          </pic:cNvPicPr>
                        </pic:nvPicPr>
                        <pic:blipFill>
                          <a:blip r:embed="rId17"/>
                          <a:stretch>
                            <a:fillRect/>
                          </a:stretch>
                        </pic:blipFill>
                        <pic:spPr bwMode="auto">
                          <a:xfrm>
                            <a:off x="0" y="0"/>
                            <a:ext cx="85725" cy="104775"/>
                          </a:xfrm>
                          <a:prstGeom prst="rect">
                            <a:avLst/>
                          </a:prstGeom>
                        </pic:spPr>
                      </pic:pic>
                    </a:graphicData>
                  </a:graphic>
                </wp:inline>
              </w:drawing>
            </w:r>
            <w:r>
              <w:rPr/>
              <w:t xml:space="preserve"> </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606" w:type="dxa"/>
            <w:tcBorders>
              <w:bottom w:val="single" w:sz="6" w:space="0" w:color="000000"/>
            </w:tcBorders>
            <w:tcMar>
              <w:bottom w:w="145" w:type="dxa"/>
            </w:tcMar>
            <w:vAlign w:val="center"/>
          </w:tcPr>
          <w:p>
            <w:pPr>
              <w:pStyle w:val="TableContents"/>
              <w:bidi w:val="0"/>
              <w:spacing w:lineRule="atLeast" w:line="180" w:before="0" w:after="0"/>
              <w:jc w:val="left"/>
              <w:rPr/>
            </w:pPr>
            <w:r>
              <w:rPr/>
              <w:t xml:space="preserve">Nichelle Maynard-Elliott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11" w:type="dxa"/>
            <w:tcBorders>
              <w:bottom w:val="single" w:sz="6" w:space="0" w:color="000000"/>
            </w:tcBorders>
            <w:tcMar>
              <w:bottom w:w="145" w:type="dxa"/>
            </w:tcMar>
            <w:vAlign w:val="center"/>
          </w:tcPr>
          <w:p>
            <w:pPr>
              <w:pStyle w:val="TableContents"/>
              <w:bidi w:val="0"/>
              <w:spacing w:lineRule="atLeast" w:line="180" w:before="0" w:after="0"/>
              <w:jc w:val="center"/>
              <w:rPr/>
            </w:pPr>
            <w:r>
              <w:rPr/>
              <w:t xml:space="preserve">55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86" w:type="dxa"/>
            <w:tcBorders>
              <w:bottom w:val="single" w:sz="6" w:space="0" w:color="000000"/>
            </w:tcBorders>
            <w:tcMar>
              <w:bottom w:w="145" w:type="dxa"/>
            </w:tcMar>
            <w:vAlign w:val="center"/>
          </w:tcPr>
          <w:p>
            <w:pPr>
              <w:pStyle w:val="TableContents"/>
              <w:bidi w:val="0"/>
              <w:spacing w:lineRule="atLeast" w:line="180" w:before="0" w:after="0"/>
              <w:jc w:val="center"/>
              <w:rPr/>
            </w:pPr>
            <w:r>
              <w:rPr/>
              <w:t xml:space="preserve">2021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26" w:type="dxa"/>
            <w:tcBorders>
              <w:bottom w:val="single" w:sz="6" w:space="0" w:color="000000"/>
            </w:tcBorders>
            <w:tcMar>
              <w:bottom w:w="145" w:type="dxa"/>
            </w:tcMar>
            <w:vAlign w:val="center"/>
          </w:tcPr>
          <w:p>
            <w:pPr>
              <w:pStyle w:val="TableContents"/>
              <w:bidi w:val="0"/>
              <w:spacing w:lineRule="atLeast" w:line="180" w:before="0" w:after="0"/>
              <w:jc w:val="center"/>
              <w:rPr/>
            </w:pPr>
            <w:r>
              <w:rPr/>
              <w:t xml:space="preserve">2025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6" w:type="dxa"/>
            <w:tcBorders>
              <w:bottom w:val="single" w:sz="6" w:space="0" w:color="000000"/>
            </w:tcBorders>
            <w:tcMar>
              <w:bottom w:w="180" w:type="dxa"/>
            </w:tcMar>
            <w:vAlign w:val="center"/>
          </w:tcPr>
          <w:p>
            <w:pPr>
              <w:pStyle w:val="TableContents"/>
              <w:bidi w:val="0"/>
              <w:spacing w:before="0" w:after="0"/>
              <w:jc w:val="center"/>
              <w:rPr/>
            </w:pPr>
            <w:r>
              <w:rPr/>
              <w:drawing>
                <wp:inline distT="0" distB="0" distL="0" distR="0">
                  <wp:extent cx="85725" cy="104775"/>
                  <wp:effectExtent l="0" t="0" r="0" b="0"/>
                  <wp:docPr id="5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4" descr=""/>
                          <pic:cNvPicPr>
                            <a:picLocks noChangeAspect="1" noChangeArrowheads="1"/>
                          </pic:cNvPicPr>
                        </pic:nvPicPr>
                        <pic:blipFill>
                          <a:blip r:embed="rId18"/>
                          <a:stretch>
                            <a:fillRect/>
                          </a:stretch>
                        </pic:blipFill>
                        <pic:spPr bwMode="auto">
                          <a:xfrm>
                            <a:off x="0" y="0"/>
                            <a:ext cx="85725" cy="10477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4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tcMar>
              <w:bottom w:w="180" w:type="dxa"/>
            </w:tcMar>
            <w:vAlign w:val="center"/>
          </w:tcPr>
          <w:p>
            <w:pPr>
              <w:pStyle w:val="TableContents"/>
              <w:bidi w:val="0"/>
              <w:spacing w:before="0" w:after="0"/>
              <w:jc w:val="center"/>
              <w:rPr/>
            </w:pPr>
            <w:r>
              <w:rPr/>
              <w:drawing>
                <wp:inline distT="0" distB="0" distL="0" distR="0">
                  <wp:extent cx="85725" cy="104775"/>
                  <wp:effectExtent l="0" t="0" r="0" b="0"/>
                  <wp:docPr id="5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5" descr=""/>
                          <pic:cNvPicPr>
                            <a:picLocks noChangeAspect="1" noChangeArrowheads="1"/>
                          </pic:cNvPicPr>
                        </pic:nvPicPr>
                        <pic:blipFill>
                          <a:blip r:embed="rId19"/>
                          <a:stretch>
                            <a:fillRect/>
                          </a:stretch>
                        </pic:blipFill>
                        <pic:spPr bwMode="auto">
                          <a:xfrm>
                            <a:off x="0" y="0"/>
                            <a:ext cx="85725" cy="10477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61" w:type="dxa"/>
            <w:tcBorders>
              <w:bottom w:val="single" w:sz="6" w:space="0" w:color="000000"/>
            </w:tcBorders>
            <w:tcMar>
              <w:bottom w:w="180" w:type="dxa"/>
            </w:tcMar>
            <w:vAlign w:val="center"/>
          </w:tcPr>
          <w:p>
            <w:pPr>
              <w:pStyle w:val="TableContents"/>
              <w:bidi w:val="0"/>
              <w:spacing w:before="0" w:after="0"/>
              <w:jc w:val="center"/>
              <w:rPr/>
            </w:pPr>
            <w:r>
              <w:rPr/>
              <w:drawing>
                <wp:inline distT="0" distB="0" distL="0" distR="0">
                  <wp:extent cx="85725" cy="104775"/>
                  <wp:effectExtent l="0" t="0" r="0" b="0"/>
                  <wp:docPr id="5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6" descr=""/>
                          <pic:cNvPicPr>
                            <a:picLocks noChangeAspect="1" noChangeArrowheads="1"/>
                          </pic:cNvPicPr>
                        </pic:nvPicPr>
                        <pic:blipFill>
                          <a:blip r:embed="rId20"/>
                          <a:stretch>
                            <a:fillRect/>
                          </a:stretch>
                        </pic:blipFill>
                        <pic:spPr bwMode="auto">
                          <a:xfrm>
                            <a:off x="0" y="0"/>
                            <a:ext cx="85725" cy="10477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41"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606" w:type="dxa"/>
            <w:tcBorders>
              <w:bottom w:val="single" w:sz="6" w:space="0" w:color="000000"/>
            </w:tcBorders>
            <w:shd w:fill="F7F7F7" w:val="clear"/>
            <w:tcMar>
              <w:bottom w:w="145" w:type="dxa"/>
            </w:tcMar>
            <w:vAlign w:val="center"/>
          </w:tcPr>
          <w:p>
            <w:pPr>
              <w:pStyle w:val="TableContents"/>
              <w:bidi w:val="0"/>
              <w:spacing w:lineRule="atLeast" w:line="180" w:before="0" w:after="0"/>
              <w:jc w:val="left"/>
              <w:rPr/>
            </w:pPr>
            <w:r>
              <w:rPr/>
              <w:t xml:space="preserve">Chabi Nouri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511" w:type="dxa"/>
            <w:tcBorders>
              <w:bottom w:val="single" w:sz="6" w:space="0" w:color="000000"/>
            </w:tcBorders>
            <w:shd w:fill="F7F7F7" w:val="clear"/>
            <w:tcMar>
              <w:bottom w:w="145" w:type="dxa"/>
            </w:tcMar>
            <w:vAlign w:val="center"/>
          </w:tcPr>
          <w:p>
            <w:pPr>
              <w:pStyle w:val="TableContents"/>
              <w:bidi w:val="0"/>
              <w:spacing w:lineRule="atLeast" w:line="180" w:before="0" w:after="0"/>
              <w:jc w:val="center"/>
              <w:rPr/>
            </w:pPr>
            <w:r>
              <w:rPr/>
              <w:t xml:space="preserve">50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886" w:type="dxa"/>
            <w:tcBorders>
              <w:bottom w:val="single" w:sz="6" w:space="0" w:color="000000"/>
            </w:tcBorders>
            <w:shd w:fill="F7F7F7" w:val="clear"/>
            <w:tcMar>
              <w:bottom w:w="145" w:type="dxa"/>
            </w:tcMar>
            <w:vAlign w:val="center"/>
          </w:tcPr>
          <w:p>
            <w:pPr>
              <w:pStyle w:val="TableContents"/>
              <w:bidi w:val="0"/>
              <w:spacing w:lineRule="atLeast" w:line="180" w:before="0" w:after="0"/>
              <w:jc w:val="center"/>
              <w:rPr/>
            </w:pPr>
            <w:r>
              <w:rPr/>
              <w:t xml:space="preserve">2023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826" w:type="dxa"/>
            <w:tcBorders>
              <w:bottom w:val="single" w:sz="6" w:space="0" w:color="000000"/>
            </w:tcBorders>
            <w:shd w:fill="F7F7F7" w:val="clear"/>
            <w:tcMar>
              <w:bottom w:w="145" w:type="dxa"/>
            </w:tcMar>
            <w:vAlign w:val="center"/>
          </w:tcPr>
          <w:p>
            <w:pPr>
              <w:pStyle w:val="TableContents"/>
              <w:bidi w:val="0"/>
              <w:spacing w:lineRule="atLeast" w:line="180" w:before="0" w:after="0"/>
              <w:jc w:val="center"/>
              <w:rPr/>
            </w:pPr>
            <w:r>
              <w:rPr/>
              <w:t xml:space="preserve">2025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276" w:type="dxa"/>
            <w:tcBorders>
              <w:bottom w:val="single" w:sz="6" w:space="0" w:color="000000"/>
            </w:tcBorders>
            <w:shd w:fill="F7F7F7" w:val="clear"/>
            <w:tcMar>
              <w:bottom w:w="180" w:type="dxa"/>
            </w:tcMar>
            <w:vAlign w:val="center"/>
          </w:tcPr>
          <w:p>
            <w:pPr>
              <w:pStyle w:val="TableContents"/>
              <w:bidi w:val="0"/>
              <w:spacing w:before="0" w:after="0"/>
              <w:jc w:val="center"/>
              <w:rPr/>
            </w:pPr>
            <w:r>
              <w:rPr/>
              <w:drawing>
                <wp:inline distT="0" distB="0" distL="0" distR="0">
                  <wp:extent cx="85725" cy="104775"/>
                  <wp:effectExtent l="0" t="0" r="0" b="0"/>
                  <wp:docPr id="5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7" descr=""/>
                          <pic:cNvPicPr>
                            <a:picLocks noChangeAspect="1" noChangeArrowheads="1"/>
                          </pic:cNvPicPr>
                        </pic:nvPicPr>
                        <pic:blipFill>
                          <a:blip r:embed="rId21"/>
                          <a:stretch>
                            <a:fillRect/>
                          </a:stretch>
                        </pic:blipFill>
                        <pic:spPr bwMode="auto">
                          <a:xfrm>
                            <a:off x="0" y="0"/>
                            <a:ext cx="85725" cy="104775"/>
                          </a:xfrm>
                          <a:prstGeom prst="rect">
                            <a:avLst/>
                          </a:prstGeom>
                        </pic:spPr>
                      </pic:pic>
                    </a:graphicData>
                  </a:graphic>
                </wp:inline>
              </w:drawing>
            </w: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26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1" w:type="dxa"/>
            <w:tcBorders>
              <w:bottom w:val="single" w:sz="6" w:space="0" w:color="000000"/>
            </w:tcBorders>
            <w:shd w:fill="F7F7F7" w:val="clear"/>
            <w:tcMar>
              <w:bottom w:w="180" w:type="dxa"/>
            </w:tcMar>
            <w:vAlign w:val="center"/>
          </w:tcPr>
          <w:p>
            <w:pPr>
              <w:pStyle w:val="TableContents"/>
              <w:bidi w:val="0"/>
              <w:spacing w:before="0" w:after="0"/>
              <w:jc w:val="center"/>
              <w:rPr/>
            </w:pPr>
            <w:r>
              <w:rPr/>
              <w:drawing>
                <wp:inline distT="0" distB="0" distL="0" distR="0">
                  <wp:extent cx="85725" cy="104775"/>
                  <wp:effectExtent l="0" t="0" r="0" b="0"/>
                  <wp:docPr id="5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8" descr=""/>
                          <pic:cNvPicPr>
                            <a:picLocks noChangeAspect="1" noChangeArrowheads="1"/>
                          </pic:cNvPicPr>
                        </pic:nvPicPr>
                        <pic:blipFill>
                          <a:blip r:embed="rId22"/>
                          <a:stretch>
                            <a:fillRect/>
                          </a:stretch>
                        </pic:blipFill>
                        <pic:spPr bwMode="auto">
                          <a:xfrm>
                            <a:off x="0" y="0"/>
                            <a:ext cx="85725" cy="104775"/>
                          </a:xfrm>
                          <a:prstGeom prst="rect">
                            <a:avLst/>
                          </a:prstGeom>
                        </pic:spPr>
                      </pic:pic>
                    </a:graphicData>
                  </a:graphic>
                </wp:inline>
              </w:drawing>
            </w:r>
            <w:r>
              <w:rPr/>
              <w:t xml:space="preserve"> </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606" w:type="dxa"/>
            <w:tcBorders>
              <w:bottom w:val="single" w:sz="6" w:space="0" w:color="000000"/>
            </w:tcBorders>
            <w:tcMar>
              <w:bottom w:w="145" w:type="dxa"/>
            </w:tcMar>
            <w:vAlign w:val="center"/>
          </w:tcPr>
          <w:p>
            <w:pPr>
              <w:pStyle w:val="TableContents"/>
              <w:bidi w:val="0"/>
              <w:spacing w:lineRule="atLeast" w:line="180" w:before="0" w:after="0"/>
              <w:jc w:val="left"/>
              <w:rPr/>
            </w:pPr>
            <w:r>
              <w:rPr/>
              <w:t xml:space="preserve">Peter Rawlinson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11" w:type="dxa"/>
            <w:tcBorders>
              <w:bottom w:val="single" w:sz="6" w:space="0" w:color="000000"/>
            </w:tcBorders>
            <w:tcMar>
              <w:bottom w:w="145" w:type="dxa"/>
            </w:tcMar>
            <w:vAlign w:val="center"/>
          </w:tcPr>
          <w:p>
            <w:pPr>
              <w:pStyle w:val="TableContents"/>
              <w:bidi w:val="0"/>
              <w:spacing w:lineRule="atLeast" w:line="180" w:before="0" w:after="0"/>
              <w:jc w:val="center"/>
              <w:rPr/>
            </w:pPr>
            <w:r>
              <w:rPr/>
              <w:t xml:space="preserve">66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86" w:type="dxa"/>
            <w:tcBorders>
              <w:bottom w:val="single" w:sz="6" w:space="0" w:color="000000"/>
            </w:tcBorders>
            <w:tcMar>
              <w:bottom w:w="145" w:type="dxa"/>
            </w:tcMar>
            <w:vAlign w:val="center"/>
          </w:tcPr>
          <w:p>
            <w:pPr>
              <w:pStyle w:val="TableContents"/>
              <w:bidi w:val="0"/>
              <w:spacing w:lineRule="atLeast" w:line="180" w:before="0" w:after="0"/>
              <w:jc w:val="center"/>
              <w:rPr/>
            </w:pPr>
            <w:r>
              <w:rPr/>
              <w:t xml:space="preserve">2019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26" w:type="dxa"/>
            <w:tcBorders>
              <w:bottom w:val="single" w:sz="6" w:space="0" w:color="000000"/>
            </w:tcBorders>
            <w:tcMar>
              <w:bottom w:w="145" w:type="dxa"/>
            </w:tcMar>
            <w:vAlign w:val="center"/>
          </w:tcPr>
          <w:p>
            <w:pPr>
              <w:pStyle w:val="TableContents"/>
              <w:bidi w:val="0"/>
              <w:spacing w:lineRule="atLeast" w:line="180" w:before="0" w:after="0"/>
              <w:jc w:val="center"/>
              <w:rPr/>
            </w:pPr>
            <w:r>
              <w:rPr/>
              <w:t xml:space="preserve">2025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6"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4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6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41" w:type="dxa"/>
            <w:tcBorders>
              <w:bottom w:val="single" w:sz="6" w:space="0" w:color="000000"/>
            </w:tcBorders>
            <w:tcMar>
              <w:bottom w:w="180" w:type="dxa"/>
            </w:tcMar>
            <w:vAlign w:val="center"/>
          </w:tcPr>
          <w:p>
            <w:pPr>
              <w:pStyle w:val="TableContents"/>
              <w:bidi w:val="0"/>
              <w:spacing w:before="0" w:after="0"/>
              <w:jc w:val="center"/>
              <w:rPr/>
            </w:pPr>
            <w:r>
              <w:rPr/>
              <w:drawing>
                <wp:inline distT="0" distB="0" distL="0" distR="0">
                  <wp:extent cx="85725" cy="104775"/>
                  <wp:effectExtent l="0" t="0" r="0" b="0"/>
                  <wp:docPr id="5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9" descr=""/>
                          <pic:cNvPicPr>
                            <a:picLocks noChangeAspect="1" noChangeArrowheads="1"/>
                          </pic:cNvPicPr>
                        </pic:nvPicPr>
                        <pic:blipFill>
                          <a:blip r:embed="rId23"/>
                          <a:stretch>
                            <a:fillRect/>
                          </a:stretch>
                        </pic:blipFill>
                        <pic:spPr bwMode="auto">
                          <a:xfrm>
                            <a:off x="0" y="0"/>
                            <a:ext cx="85725" cy="104775"/>
                          </a:xfrm>
                          <a:prstGeom prst="rect">
                            <a:avLst/>
                          </a:prstGeom>
                        </pic:spPr>
                      </pic:pic>
                    </a:graphicData>
                  </a:graphic>
                </wp:inline>
              </w:drawing>
            </w:r>
            <w:r>
              <w:rPr/>
              <w:t xml:space="preserve"> </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606" w:type="dxa"/>
            <w:tcBorders>
              <w:bottom w:val="single" w:sz="6" w:space="0" w:color="000000"/>
            </w:tcBorders>
            <w:shd w:fill="F7F7F7" w:val="clear"/>
            <w:tcMar>
              <w:bottom w:w="145" w:type="dxa"/>
            </w:tcMar>
            <w:vAlign w:val="center"/>
          </w:tcPr>
          <w:p>
            <w:pPr>
              <w:pStyle w:val="TableContents"/>
              <w:bidi w:val="0"/>
              <w:spacing w:lineRule="atLeast" w:line="180" w:before="0" w:after="0"/>
              <w:jc w:val="left"/>
              <w:rPr/>
            </w:pPr>
            <w:r>
              <w:rPr/>
              <w:t xml:space="preserve">Ori Winitzer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511" w:type="dxa"/>
            <w:tcBorders>
              <w:bottom w:val="single" w:sz="6" w:space="0" w:color="000000"/>
            </w:tcBorders>
            <w:shd w:fill="F7F7F7" w:val="clear"/>
            <w:tcMar>
              <w:bottom w:w="145" w:type="dxa"/>
            </w:tcMar>
            <w:vAlign w:val="center"/>
          </w:tcPr>
          <w:p>
            <w:pPr>
              <w:pStyle w:val="TableContents"/>
              <w:bidi w:val="0"/>
              <w:spacing w:lineRule="atLeast" w:line="180" w:before="0" w:after="0"/>
              <w:jc w:val="center"/>
              <w:rPr/>
            </w:pPr>
            <w:r>
              <w:rPr/>
              <w:t xml:space="preserve">48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886" w:type="dxa"/>
            <w:tcBorders>
              <w:bottom w:val="single" w:sz="6" w:space="0" w:color="000000"/>
            </w:tcBorders>
            <w:shd w:fill="F7F7F7" w:val="clear"/>
            <w:tcMar>
              <w:bottom w:w="145" w:type="dxa"/>
            </w:tcMar>
            <w:vAlign w:val="center"/>
          </w:tcPr>
          <w:p>
            <w:pPr>
              <w:pStyle w:val="TableContents"/>
              <w:bidi w:val="0"/>
              <w:spacing w:lineRule="atLeast" w:line="180" w:before="0" w:after="0"/>
              <w:jc w:val="center"/>
              <w:rPr/>
            </w:pPr>
            <w:r>
              <w:rPr/>
              <w:t xml:space="preserve">2023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826" w:type="dxa"/>
            <w:tcBorders>
              <w:bottom w:val="single" w:sz="6" w:space="0" w:color="000000"/>
            </w:tcBorders>
            <w:shd w:fill="F7F7F7" w:val="clear"/>
            <w:tcMar>
              <w:bottom w:w="145" w:type="dxa"/>
            </w:tcMar>
            <w:vAlign w:val="center"/>
          </w:tcPr>
          <w:p>
            <w:pPr>
              <w:pStyle w:val="TableContents"/>
              <w:bidi w:val="0"/>
              <w:spacing w:lineRule="atLeast" w:line="180" w:before="0" w:after="0"/>
              <w:jc w:val="center"/>
              <w:rPr/>
            </w:pPr>
            <w:r>
              <w:rPr/>
              <w:t xml:space="preserve">2025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276" w:type="dxa"/>
            <w:tcBorders>
              <w:bottom w:val="single" w:sz="6" w:space="0" w:color="000000"/>
            </w:tcBorders>
            <w:shd w:fill="F7F7F7" w:val="clear"/>
            <w:tcMar>
              <w:bottom w:w="180" w:type="dxa"/>
            </w:tcMar>
            <w:vAlign w:val="center"/>
          </w:tcPr>
          <w:p>
            <w:pPr>
              <w:pStyle w:val="TableContents"/>
              <w:bidi w:val="0"/>
              <w:spacing w:before="0" w:after="0"/>
              <w:jc w:val="center"/>
              <w:rPr/>
            </w:pPr>
            <w:r>
              <w:rPr/>
              <w:drawing>
                <wp:inline distT="0" distB="0" distL="0" distR="0">
                  <wp:extent cx="85725" cy="104775"/>
                  <wp:effectExtent l="0" t="0" r="0" b="0"/>
                  <wp:docPr id="5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0" descr=""/>
                          <pic:cNvPicPr>
                            <a:picLocks noChangeAspect="1" noChangeArrowheads="1"/>
                          </pic:cNvPicPr>
                        </pic:nvPicPr>
                        <pic:blipFill>
                          <a:blip r:embed="rId24"/>
                          <a:stretch>
                            <a:fillRect/>
                          </a:stretch>
                        </pic:blipFill>
                        <pic:spPr bwMode="auto">
                          <a:xfrm>
                            <a:off x="0" y="0"/>
                            <a:ext cx="85725" cy="104775"/>
                          </a:xfrm>
                          <a:prstGeom prst="rect">
                            <a:avLst/>
                          </a:prstGeom>
                        </pic:spPr>
                      </pic:pic>
                    </a:graphicData>
                  </a:graphic>
                </wp:inline>
              </w:drawing>
            </w: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1" w:type="dxa"/>
            <w:tcBorders>
              <w:bottom w:val="single" w:sz="6" w:space="0" w:color="000000"/>
            </w:tcBorders>
            <w:shd w:fill="F7F7F7" w:val="clear"/>
            <w:tcMar>
              <w:bottom w:w="180" w:type="dxa"/>
            </w:tcMar>
            <w:vAlign w:val="center"/>
          </w:tcPr>
          <w:p>
            <w:pPr>
              <w:pStyle w:val="TableContents"/>
              <w:bidi w:val="0"/>
              <w:spacing w:before="0" w:after="0"/>
              <w:jc w:val="center"/>
              <w:rPr/>
            </w:pPr>
            <w:r>
              <w:rPr/>
              <w:drawing>
                <wp:inline distT="0" distB="0" distL="0" distR="0">
                  <wp:extent cx="85725" cy="104775"/>
                  <wp:effectExtent l="0" t="0" r="0" b="0"/>
                  <wp:docPr id="5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1" descr=""/>
                          <pic:cNvPicPr>
                            <a:picLocks noChangeAspect="1" noChangeArrowheads="1"/>
                          </pic:cNvPicPr>
                        </pic:nvPicPr>
                        <pic:blipFill>
                          <a:blip r:embed="rId25"/>
                          <a:stretch>
                            <a:fillRect/>
                          </a:stretch>
                        </pic:blipFill>
                        <pic:spPr bwMode="auto">
                          <a:xfrm>
                            <a:off x="0" y="0"/>
                            <a:ext cx="85725" cy="104775"/>
                          </a:xfrm>
                          <a:prstGeom prst="rect">
                            <a:avLst/>
                          </a:prstGeom>
                        </pic:spPr>
                      </pic:pic>
                    </a:graphicData>
                  </a:graphic>
                </wp:inline>
              </w:drawing>
            </w: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shd w:fill="F7F7F7" w:val="clear"/>
            <w:tcMar>
              <w:bottom w:w="180" w:type="dxa"/>
            </w:tcMar>
            <w:vAlign w:val="center"/>
          </w:tcPr>
          <w:p>
            <w:pPr>
              <w:pStyle w:val="TableContents"/>
              <w:bidi w:val="0"/>
              <w:spacing w:before="0" w:after="0"/>
              <w:jc w:val="center"/>
              <w:rPr/>
            </w:pPr>
            <w:r>
              <w:rPr/>
              <w:drawing>
                <wp:inline distT="0" distB="0" distL="0" distR="0">
                  <wp:extent cx="85725" cy="104775"/>
                  <wp:effectExtent l="0" t="0" r="0" b="0"/>
                  <wp:docPr id="5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2" descr=""/>
                          <pic:cNvPicPr>
                            <a:picLocks noChangeAspect="1" noChangeArrowheads="1"/>
                          </pic:cNvPicPr>
                        </pic:nvPicPr>
                        <pic:blipFill>
                          <a:blip r:embed="rId26"/>
                          <a:stretch>
                            <a:fillRect/>
                          </a:stretch>
                        </pic:blipFill>
                        <pic:spPr bwMode="auto">
                          <a:xfrm>
                            <a:off x="0" y="0"/>
                            <a:ext cx="85725" cy="104775"/>
                          </a:xfrm>
                          <a:prstGeom prst="rect">
                            <a:avLst/>
                          </a:prstGeom>
                        </pic:spPr>
                      </pic:pic>
                    </a:graphicData>
                  </a:graphic>
                </wp:inline>
              </w:drawing>
            </w: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26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606" w:type="dxa"/>
            <w:tcBorders>
              <w:bottom w:val="single" w:sz="6" w:space="0" w:color="000000"/>
            </w:tcBorders>
            <w:tcMar>
              <w:bottom w:w="145" w:type="dxa"/>
            </w:tcMar>
            <w:vAlign w:val="center"/>
          </w:tcPr>
          <w:p>
            <w:pPr>
              <w:pStyle w:val="TableContents"/>
              <w:bidi w:val="0"/>
              <w:spacing w:lineRule="atLeast" w:line="180" w:before="0" w:after="0"/>
              <w:jc w:val="left"/>
              <w:rPr/>
            </w:pPr>
            <w:r>
              <w:rPr/>
              <w:t xml:space="preserve">Janet S. Wong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11" w:type="dxa"/>
            <w:tcBorders>
              <w:bottom w:val="single" w:sz="6" w:space="0" w:color="000000"/>
            </w:tcBorders>
            <w:tcMar>
              <w:bottom w:w="145" w:type="dxa"/>
            </w:tcMar>
            <w:vAlign w:val="center"/>
          </w:tcPr>
          <w:p>
            <w:pPr>
              <w:pStyle w:val="TableContents"/>
              <w:bidi w:val="0"/>
              <w:spacing w:lineRule="atLeast" w:line="180" w:before="0" w:after="0"/>
              <w:jc w:val="center"/>
              <w:rPr/>
            </w:pPr>
            <w:r>
              <w:rPr/>
              <w:t xml:space="preserve">65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86" w:type="dxa"/>
            <w:tcBorders>
              <w:bottom w:val="single" w:sz="6" w:space="0" w:color="000000"/>
            </w:tcBorders>
            <w:tcMar>
              <w:bottom w:w="145" w:type="dxa"/>
            </w:tcMar>
            <w:vAlign w:val="center"/>
          </w:tcPr>
          <w:p>
            <w:pPr>
              <w:pStyle w:val="TableContents"/>
              <w:bidi w:val="0"/>
              <w:spacing w:lineRule="atLeast" w:line="180" w:before="0" w:after="0"/>
              <w:jc w:val="center"/>
              <w:rPr/>
            </w:pPr>
            <w:r>
              <w:rPr/>
              <w:t xml:space="preserve">2021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26" w:type="dxa"/>
            <w:tcBorders>
              <w:bottom w:val="single" w:sz="6" w:space="0" w:color="000000"/>
            </w:tcBorders>
            <w:tcMar>
              <w:bottom w:w="145" w:type="dxa"/>
            </w:tcMar>
            <w:vAlign w:val="center"/>
          </w:tcPr>
          <w:p>
            <w:pPr>
              <w:pStyle w:val="TableContents"/>
              <w:bidi w:val="0"/>
              <w:spacing w:lineRule="atLeast" w:line="180" w:before="0" w:after="0"/>
              <w:jc w:val="center"/>
              <w:rPr/>
            </w:pPr>
            <w:r>
              <w:rPr/>
              <w:t xml:space="preserve">2025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6" w:type="dxa"/>
            <w:tcBorders>
              <w:bottom w:val="single" w:sz="6" w:space="0" w:color="000000"/>
            </w:tcBorders>
            <w:tcMar>
              <w:bottom w:w="180" w:type="dxa"/>
            </w:tcMar>
            <w:vAlign w:val="center"/>
          </w:tcPr>
          <w:p>
            <w:pPr>
              <w:pStyle w:val="TableContents"/>
              <w:bidi w:val="0"/>
              <w:spacing w:before="0" w:after="0"/>
              <w:jc w:val="center"/>
              <w:rPr/>
            </w:pPr>
            <w:r>
              <w:rPr/>
              <w:drawing>
                <wp:inline distT="0" distB="0" distL="0" distR="0">
                  <wp:extent cx="85725" cy="104775"/>
                  <wp:effectExtent l="0" t="0" r="0" b="0"/>
                  <wp:docPr id="6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3" descr=""/>
                          <pic:cNvPicPr>
                            <a:picLocks noChangeAspect="1" noChangeArrowheads="1"/>
                          </pic:cNvPicPr>
                        </pic:nvPicPr>
                        <pic:blipFill>
                          <a:blip r:embed="rId27"/>
                          <a:stretch>
                            <a:fillRect/>
                          </a:stretch>
                        </pic:blipFill>
                        <pic:spPr bwMode="auto">
                          <a:xfrm>
                            <a:off x="0" y="0"/>
                            <a:ext cx="85725" cy="10477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41" w:type="dxa"/>
            <w:tcBorders>
              <w:bottom w:val="single" w:sz="6" w:space="0" w:color="000000"/>
            </w:tcBorders>
            <w:tcMar>
              <w:bottom w:w="180" w:type="dxa"/>
            </w:tcMar>
            <w:vAlign w:val="center"/>
          </w:tcPr>
          <w:p>
            <w:pPr>
              <w:pStyle w:val="TableContents"/>
              <w:bidi w:val="0"/>
              <w:spacing w:lineRule="atLeast" w:line="180" w:before="0" w:after="0"/>
              <w:jc w:val="center"/>
              <w:rPr/>
            </w:pPr>
            <w:r>
              <w:rPr/>
              <w:t xml:space="preserve">Chair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71" w:type="dxa"/>
            <w:tcBorders>
              <w:bottom w:val="single" w:sz="6" w:space="0" w:color="000000"/>
            </w:tcBorders>
            <w:tcMar>
              <w:bottom w:w="180"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61" w:type="dxa"/>
            <w:tcBorders>
              <w:bottom w:val="single" w:sz="6" w:space="0" w:color="000000"/>
            </w:tcBorders>
            <w:tcMar>
              <w:bottom w:w="180"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41" w:type="dxa"/>
            <w:tcBorders>
              <w:bottom w:val="single" w:sz="6" w:space="0" w:color="000000"/>
            </w:tcBorders>
            <w:tcMar>
              <w:bottom w:w="180"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40" w:after="0"/>
        <w:ind w:left="77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 xml:space="preserve">Chairman of the Board </w:t>
      </w:r>
      <w:r>
        <mc:AlternateContent>
          <mc:Choice Requires="wps">
            <w:drawing>
              <wp:anchor behindDoc="0" distT="215900" distB="0" distL="0" distR="0" simplePos="0" locked="0" layoutInCell="1" allowOverlap="1" relativeHeight="106">
                <wp:simplePos x="0" y="0"/>
                <wp:positionH relativeFrom="column">
                  <wp:align>left</wp:align>
                </wp:positionH>
                <wp:positionV relativeFrom="line">
                  <wp:align>top</wp:align>
                </wp:positionV>
                <wp:extent cx="37465" cy="270510"/>
                <wp:effectExtent l="0" t="0" r="0" b="0"/>
                <wp:wrapSquare wrapText="right"/>
                <wp:docPr id="61" name="Frame35"/>
                <a:graphic xmlns:a="http://schemas.openxmlformats.org/drawingml/2006/main">
                  <a:graphicData uri="http://schemas.microsoft.com/office/word/2010/wordprocessingShape">
                    <wps:wsp>
                      <wps:cNvSpPr txBox="1"/>
                      <wps:spPr>
                        <a:xfrm>
                          <a:off x="0" y="0"/>
                          <a:ext cx="37465" cy="270510"/>
                        </a:xfrm>
                        <a:prstGeom prst="rect"/>
                        <a:solidFill>
                          <a:srgbClr val="FFFFFF"/>
                        </a:solidFill>
                      </wps:spPr>
                      <wps:txbx>
                        <w:txbxContent>
                          <w:p>
                            <w:pPr>
                              <w:pStyle w:val="TextBody"/>
                              <w:bidi w:val="0"/>
                              <w:spacing w:lineRule="atLeast" w:line="142" w:before="0" w:after="283"/>
                              <w:jc w:val="left"/>
                              <w:rPr>
                                <w:sz w:val="12"/>
                              </w:rPr>
                            </w:pPr>
                            <w:r>
                              <w:rPr>
                                <w:sz w:val="12"/>
                              </w:rPr>
                              <w:t>*</w:t>
                              <w:br/>
                            </w:r>
                          </w:p>
                        </w:txbxContent>
                      </wps:txbx>
                      <wps:bodyPr anchor="t" lIns="0" tIns="0" rIns="0" bIns="0">
                        <a:noAutofit/>
                      </wps:bodyPr>
                    </wps:wsp>
                  </a:graphicData>
                </a:graphic>
              </wp:anchor>
            </w:drawing>
          </mc:Choice>
          <mc:Fallback>
            <w:pict>
              <v:rect style="position:absolute;rotation:-0;width:2.95pt;height:21.3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12"/>
                        </w:rPr>
                        <w:t>*</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10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50" w:before="84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 brief biography of each nominee and each continuing director is also set forth below, which includes information, as of the date of this Proxy Statement, regarding specific and particular experience, qualifications, attributes or skills of each nominee that led the Nominating and Corporate Governance Committee and the Board to believe that the director should serve on the Board:</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Director Nominees</w:t>
      </w:r>
      <w:r>
        <w:rPr>
          <w:rFonts w:ascii="Helvetica;Arial;sans-serif" w:hAnsi="Helvetica;Arial;sans-serif"/>
          <w:b/>
          <w:i w:val="false"/>
          <w:caps w:val="false"/>
          <w:smallCaps w:val="false"/>
          <w:color w:val="000000"/>
          <w:spacing w:val="3"/>
          <w:sz w:val="16"/>
        </w:rPr>
        <w:t xml:space="preserve"> </w:t>
      </w:r>
    </w:p>
    <w:tbl>
      <w:tblPr>
        <w:tblW w:w="9485" w:type="dxa"/>
        <w:jc w:val="left"/>
        <w:tblInd w:w="720" w:type="dxa"/>
        <w:tblLayout w:type="fixed"/>
        <w:tblCellMar>
          <w:top w:w="0" w:type="dxa"/>
          <w:left w:w="0" w:type="dxa"/>
          <w:bottom w:w="0" w:type="dxa"/>
          <w:right w:w="0" w:type="dxa"/>
        </w:tblCellMar>
      </w:tblPr>
      <w:tblGrid>
        <w:gridCol w:w="124"/>
        <w:gridCol w:w="2576"/>
        <w:gridCol w:w="109"/>
        <w:gridCol w:w="109"/>
        <w:gridCol w:w="6412"/>
        <w:gridCol w:w="155"/>
      </w:tblGrid>
      <w:tr>
        <w:trPr/>
        <w:tc>
          <w:tcPr>
            <w:tcW w:w="124" w:type="dxa"/>
            <w:tcBorders/>
            <w:vAlign w:val="center"/>
          </w:tcPr>
          <w:p>
            <w:pPr>
              <w:pStyle w:val="TableContents"/>
              <w:bidi w:val="0"/>
              <w:spacing w:before="0" w:after="283"/>
              <w:jc w:val="left"/>
              <w:rPr/>
            </w:pPr>
            <w:r>
              <w:rPr/>
              <w:t>​</w:t>
            </w:r>
          </w:p>
        </w:tc>
        <w:tc>
          <w:tcPr>
            <w:tcW w:w="2576" w:type="dxa"/>
            <w:tcBorders/>
            <w:vAlign w:val="center"/>
          </w:tcPr>
          <w:p>
            <w:pPr>
              <w:pStyle w:val="TableContents"/>
              <w:bidi w:val="0"/>
              <w:spacing w:before="0" w:after="0"/>
              <w:jc w:val="left"/>
              <w:rPr/>
            </w:pPr>
            <w:r>
              <w:rPr/>
              <w:drawing>
                <wp:inline distT="0" distB="0" distL="0" distR="0">
                  <wp:extent cx="1571625" cy="1571625"/>
                  <wp:effectExtent l="0" t="0" r="0" b="0"/>
                  <wp:docPr id="6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4" descr=""/>
                          <pic:cNvPicPr>
                            <a:picLocks noChangeAspect="1" noChangeArrowheads="1"/>
                          </pic:cNvPicPr>
                        </pic:nvPicPr>
                        <pic:blipFill>
                          <a:blip r:embed="rId28"/>
                          <a:stretch>
                            <a:fillRect/>
                          </a:stretch>
                        </pic:blipFill>
                        <pic:spPr bwMode="auto">
                          <a:xfrm>
                            <a:off x="0" y="0"/>
                            <a:ext cx="1571625" cy="1571625"/>
                          </a:xfrm>
                          <a:prstGeom prst="rect">
                            <a:avLst/>
                          </a:prstGeom>
                        </pic:spPr>
                      </pic:pic>
                    </a:graphicData>
                  </a:graphic>
                </wp:inline>
              </w:drawing>
            </w:r>
            <w:r>
              <w:rPr/>
              <w:t xml:space="preserve"> </w:t>
            </w:r>
          </w:p>
          <w:p>
            <w:pPr>
              <w:pStyle w:val="TableContents"/>
              <w:bidi w:val="0"/>
              <w:spacing w:lineRule="atLeast" w:line="270" w:before="220" w:after="283"/>
              <w:jc w:val="left"/>
              <w:rPr>
                <w:b/>
                <w:sz w:val="24"/>
              </w:rPr>
            </w:pPr>
            <w:r>
              <w:rPr>
                <w:b/>
                <w:sz w:val="24"/>
              </w:rPr>
              <w:t xml:space="preserve">Turqi Alnowaiser​ </w:t>
            </w:r>
          </w:p>
          <w:p>
            <w:pPr>
              <w:pStyle w:val="TableContents"/>
              <w:bidi w:val="0"/>
              <w:spacing w:lineRule="atLeast" w:line="190" w:before="180" w:after="283"/>
              <w:jc w:val="left"/>
              <w:rPr>
                <w:sz w:val="16"/>
              </w:rPr>
            </w:pPr>
            <w:r>
              <w:rPr>
                <w:sz w:val="16"/>
              </w:rPr>
              <w:t>Chairman of the Lucid Board of Directors</w:t>
            </w:r>
          </w:p>
          <w:p>
            <w:pPr>
              <w:pStyle w:val="TableContents"/>
              <w:bidi w:val="0"/>
              <w:spacing w:lineRule="atLeast" w:line="190" w:before="180" w:after="283"/>
              <w:jc w:val="left"/>
              <w:rPr>
                <w:sz w:val="16"/>
              </w:rPr>
            </w:pPr>
            <w:r>
              <w:rPr>
                <w:sz w:val="16"/>
              </w:rPr>
              <w:t>Age: 47</w:t>
              <w:br/>
              <w:t xml:space="preserve">Director Since: 2019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12" w:type="dxa"/>
            <w:tcBorders/>
            <w:vAlign w:val="center"/>
          </w:tcPr>
          <w:p>
            <w:pPr>
              <w:pStyle w:val="TableContents"/>
              <w:bidi w:val="0"/>
              <w:spacing w:lineRule="atLeast" w:line="210" w:before="0" w:after="0"/>
              <w:jc w:val="left"/>
              <w:rPr/>
            </w:pPr>
            <w:r>
              <w:rPr>
                <w:b/>
              </w:rPr>
              <w:t>Turqi Alnowaiser</w:t>
            </w:r>
            <w:r>
              <w:rPr/>
              <w:t xml:space="preserve"> has served as a member of our Board of Directors since April 2019 and as Chairman of our Board since April 2023. Mr. Alnowaiser has served as Deputy Governor and Head of the International Investments Division at the Public Investment Fund of the Kingdom of Saudi Arabia, one of the largest sovereign wealth funds in the world, since June 2021, and has served as Head of International Investments at the Public Investment Fund since October 2016. Mr. Alnowaiser previously served as Senior Advisor at the Public Investment Fund from October 2015 to September 2016, prior to which he held several executive roles at Saudi Fransi Capital, a leading financial services firm based in Saudi Arabia, including as Head of Asset Management. Before his career at Saudi Fransi Capital, Mr. Alnowaiser specialized in developing, managing, and regulating various financial products across asset classes at Morgan Stanley, the Capital Market Authority of Saudi Arabia, and the Saudi Industrial Development Fund. Mr. Alnowaiser has served on the board of directors of Uber Technologies, a ride-sharing company, since November 2023 and on the board of directors of Hapag-Lloyd AG, an international shipping and container transportation company, since February 2018. Mr. Alnowaiser holds a B.A. in International Business from King Saud University and an M.B.A. from the University of San Francisco.</w:t>
            </w:r>
          </w:p>
          <w:p>
            <w:pPr>
              <w:pStyle w:val="TableContents"/>
              <w:bidi w:val="0"/>
              <w:spacing w:lineRule="atLeast" w:line="210" w:before="180" w:after="283"/>
              <w:jc w:val="left"/>
              <w:rPr>
                <w:b/>
                <w:color w:val="8A6B24"/>
              </w:rPr>
            </w:pPr>
            <w:r>
              <w:rPr>
                <w:b/>
                <w:color w:val="8A6B24"/>
              </w:rPr>
              <w:t>Skills and Qualifications:</w:t>
            </w:r>
          </w:p>
          <w:p>
            <w:pPr>
              <w:pStyle w:val="TableContents"/>
              <w:bidi w:val="0"/>
              <w:spacing w:lineRule="atLeast" w:line="210" w:before="120" w:after="283"/>
              <w:jc w:val="left"/>
              <w:rPr/>
            </w:pPr>
            <w:r>
              <w:rPr/>
              <w:t>We believe Mr. Alnowaiser is qualified to serve as a director due to his extensive investing experience, his leading global enterprises, and his experience in overseeing Lucid’s growth as Chairman of our Board of Directors.</w:t>
            </w:r>
          </w:p>
        </w:tc>
        <w:tc>
          <w:tcPr>
            <w:tcW w:w="155" w:type="dxa"/>
            <w:tcBorders/>
            <w:vAlign w:val="center"/>
          </w:tcPr>
          <w:p>
            <w:pPr>
              <w:pStyle w:val="TableContents"/>
              <w:bidi w:val="0"/>
              <w:spacing w:before="0" w:after="283"/>
              <w:jc w:val="left"/>
              <w:rPr/>
            </w:pPr>
            <w:r>
              <w:rPr/>
              <w:t>​</w:t>
            </w:r>
          </w:p>
        </w:tc>
      </w:tr>
    </w:tbl>
    <w:tbl>
      <w:tblPr>
        <w:tblW w:w="9485" w:type="dxa"/>
        <w:jc w:val="left"/>
        <w:tblInd w:w="720" w:type="dxa"/>
        <w:tblLayout w:type="fixed"/>
        <w:tblCellMar>
          <w:top w:w="0" w:type="dxa"/>
          <w:left w:w="0" w:type="dxa"/>
          <w:bottom w:w="28" w:type="dxa"/>
          <w:right w:w="0" w:type="dxa"/>
        </w:tblCellMar>
      </w:tblPr>
      <w:tblGrid>
        <w:gridCol w:w="124"/>
        <w:gridCol w:w="2532"/>
        <w:gridCol w:w="109"/>
        <w:gridCol w:w="109"/>
        <w:gridCol w:w="6456"/>
        <w:gridCol w:w="155"/>
      </w:tblGrid>
      <w:tr>
        <w:trPr/>
        <w:tc>
          <w:tcPr>
            <w:tcW w:w="124" w:type="dxa"/>
            <w:tcBorders>
              <w:bottom w:val="single" w:sz="6" w:space="0" w:color="000000"/>
            </w:tcBorders>
            <w:vAlign w:val="center"/>
          </w:tcPr>
          <w:p>
            <w:pPr>
              <w:pStyle w:val="TableContents"/>
              <w:bidi w:val="0"/>
              <w:spacing w:before="0" w:after="283"/>
              <w:jc w:val="left"/>
              <w:rPr/>
            </w:pPr>
            <w:r>
              <w:rPr/>
              <w:t>​</w:t>
            </w:r>
          </w:p>
        </w:tc>
        <w:tc>
          <w:tcPr>
            <w:tcW w:w="2532" w:type="dxa"/>
            <w:tcBorders>
              <w:bottom w:val="single" w:sz="6" w:space="0" w:color="000000"/>
            </w:tcBorders>
            <w:tcMar>
              <w:bottom w:w="360" w:type="dxa"/>
            </w:tcMar>
            <w:vAlign w:val="center"/>
          </w:tcPr>
          <w:p>
            <w:pPr>
              <w:pStyle w:val="TableContents"/>
              <w:bidi w:val="0"/>
              <w:spacing w:before="0" w:after="0"/>
              <w:jc w:val="both"/>
              <w:rPr/>
            </w:pPr>
            <w:r>
              <w:rPr/>
              <w:drawing>
                <wp:inline distT="0" distB="0" distL="0" distR="0">
                  <wp:extent cx="1552575" cy="1552575"/>
                  <wp:effectExtent l="0" t="0" r="0" b="0"/>
                  <wp:docPr id="6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5" descr=""/>
                          <pic:cNvPicPr>
                            <a:picLocks noChangeAspect="1" noChangeArrowheads="1"/>
                          </pic:cNvPicPr>
                        </pic:nvPicPr>
                        <pic:blipFill>
                          <a:blip r:embed="rId29"/>
                          <a:stretch>
                            <a:fillRect/>
                          </a:stretch>
                        </pic:blipFill>
                        <pic:spPr bwMode="auto">
                          <a:xfrm>
                            <a:off x="0" y="0"/>
                            <a:ext cx="1552575" cy="1552575"/>
                          </a:xfrm>
                          <a:prstGeom prst="rect">
                            <a:avLst/>
                          </a:prstGeom>
                        </pic:spPr>
                      </pic:pic>
                    </a:graphicData>
                  </a:graphic>
                </wp:inline>
              </w:drawing>
            </w:r>
            <w:r>
              <w:rPr/>
              <w:t xml:space="preserve"> </w:t>
            </w:r>
          </w:p>
          <w:p>
            <w:pPr>
              <w:pStyle w:val="TableContents"/>
              <w:bidi w:val="0"/>
              <w:spacing w:lineRule="atLeast" w:line="260" w:before="400" w:after="283"/>
              <w:jc w:val="left"/>
              <w:rPr>
                <w:b/>
                <w:sz w:val="24"/>
              </w:rPr>
            </w:pPr>
            <w:r>
              <w:rPr>
                <w:b/>
                <w:sz w:val="24"/>
              </w:rPr>
              <w:t>Lisa M. Lambert</w:t>
            </w:r>
          </w:p>
          <w:p>
            <w:pPr>
              <w:pStyle w:val="TableContents"/>
              <w:bidi w:val="0"/>
              <w:spacing w:lineRule="atLeast" w:line="180" w:before="180" w:after="283"/>
              <w:jc w:val="left"/>
              <w:rPr>
                <w:sz w:val="16"/>
              </w:rPr>
            </w:pPr>
            <w:r>
              <w:rPr>
                <w:sz w:val="16"/>
              </w:rPr>
              <w:t xml:space="preserve">Director Nominee </w:t>
            </w:r>
          </w:p>
          <w:p>
            <w:pPr>
              <w:pStyle w:val="TableContents"/>
              <w:bidi w:val="0"/>
              <w:spacing w:lineRule="atLeast" w:line="180" w:before="180" w:after="283"/>
              <w:jc w:val="left"/>
              <w:rPr>
                <w:sz w:val="16"/>
              </w:rPr>
            </w:pPr>
            <w:r>
              <w:rPr>
                <w:sz w:val="16"/>
              </w:rPr>
              <w:t>Age: 56</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6456" w:type="dxa"/>
            <w:tcBorders>
              <w:bottom w:val="single" w:sz="6" w:space="0" w:color="000000"/>
            </w:tcBorders>
            <w:tcMar>
              <w:bottom w:w="360" w:type="dxa"/>
            </w:tcMar>
            <w:vAlign w:val="center"/>
          </w:tcPr>
          <w:p>
            <w:pPr>
              <w:pStyle w:val="TableContents"/>
              <w:bidi w:val="0"/>
              <w:spacing w:lineRule="atLeast" w:line="200" w:before="0" w:after="0"/>
              <w:jc w:val="left"/>
              <w:rPr/>
            </w:pPr>
            <w:r>
              <w:rPr>
                <w:b/>
              </w:rPr>
              <w:t>Lisa M. Lambert</w:t>
            </w:r>
            <w:r>
              <w:rPr/>
              <w:t xml:space="preserve"> was nominated to serve as a member of our Board of Directors for the term beginning at our Annual Meeting. Ms. Lambert has served as Chief Investment Officer, Private Markets of George Kaiser Family Foundation since December 2023. Between July 2023 and November 2023, Ms. Lambert served as Interim CEO of Vital Energy Technology. Between January 2018 and July 2023, Ms. Lambert served as Chief Technology and Innovation Officer at National Grid Plc and Founder and President of National Grid Partners. Prior to that, she served as the Managing Partner of the Westly Group from May 2016 to January 2018. Between June 1997 and May 2016, Ms. Lambert served in various leadership positions at Intel Corporation, including most recently as Vice President and Managing Director of the Software and Services Fund for Intel Capital, and Founder and Managing Director of the Intel Capital Diversity Fund. She has served on the board of directors of Vital Energy, Inc. since August 2020 and on the board of directors for UL Solutions, Inc. since July 2021. Ms. Lambert has served on the board of directors for several private companies associated with her investment responsibilities, mostly recently on the board of directors for Cyolo from June 2022 to June 2023, for Pathr.ai from April 2021 to June 2023, and Pixeom from December 2018 to November 2019. Ms. Lambert is the founder and chair of UPWARD, a non-profit advancing the careers of executive women. Ms. Lambert holds a B.S. in management information systems from Pennsylvania State University and an M.B.A. from Harvard University. </w:t>
            </w:r>
          </w:p>
          <w:p>
            <w:pPr>
              <w:pStyle w:val="TableContents"/>
              <w:bidi w:val="0"/>
              <w:spacing w:lineRule="atLeast" w:line="200" w:before="180" w:after="283"/>
              <w:jc w:val="left"/>
              <w:rPr>
                <w:b/>
                <w:color w:val="8A6B24"/>
              </w:rPr>
            </w:pPr>
            <w:r>
              <w:rPr>
                <w:b/>
                <w:color w:val="8A6B24"/>
              </w:rPr>
              <w:t>Skills and Qualifications</w:t>
            </w:r>
          </w:p>
          <w:p>
            <w:pPr>
              <w:pStyle w:val="TableContents"/>
              <w:bidi w:val="0"/>
              <w:spacing w:lineRule="atLeast" w:line="200" w:before="120" w:after="283"/>
              <w:jc w:val="left"/>
              <w:rPr/>
            </w:pPr>
            <w:r>
              <w:rPr/>
              <w:t>We believe Ms. Lambert is qualified to serve as a director due to her extensive experience overseeing a wide range of public companies and her deep financial knowledge.</w:t>
            </w:r>
          </w:p>
        </w:tc>
        <w:tc>
          <w:tcPr>
            <w:tcW w:w="155" w:type="dxa"/>
            <w:tcBorders>
              <w:bottom w:val="single" w:sz="6" w:space="0" w:color="000000"/>
            </w:tcBorders>
            <w:vAlign w:val="center"/>
          </w:tcPr>
          <w:p>
            <w:pPr>
              <w:pStyle w:val="TableContents"/>
              <w:bidi w:val="0"/>
              <w:spacing w:before="0" w:after="283"/>
              <w:jc w:val="left"/>
              <w:rPr/>
            </w:pPr>
            <w:r>
              <w:rPr/>
              <w:t>​</w:t>
            </w:r>
          </w:p>
        </w:tc>
      </w:tr>
    </w:tbl>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11</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85" w:type="dxa"/>
        <w:jc w:val="left"/>
        <w:tblInd w:w="720" w:type="dxa"/>
        <w:tblLayout w:type="fixed"/>
        <w:tblCellMar>
          <w:top w:w="0" w:type="dxa"/>
          <w:left w:w="0" w:type="dxa"/>
          <w:bottom w:w="0" w:type="dxa"/>
          <w:right w:w="0" w:type="dxa"/>
        </w:tblCellMar>
      </w:tblPr>
      <w:tblGrid>
        <w:gridCol w:w="124"/>
        <w:gridCol w:w="2533"/>
        <w:gridCol w:w="109"/>
        <w:gridCol w:w="109"/>
        <w:gridCol w:w="6455"/>
        <w:gridCol w:w="155"/>
      </w:tblGrid>
      <w:tr>
        <w:trPr/>
        <w:tc>
          <w:tcPr>
            <w:tcW w:w="124" w:type="dxa"/>
            <w:tcBorders/>
            <w:vAlign w:val="center"/>
          </w:tcPr>
          <w:p>
            <w:pPr>
              <w:pStyle w:val="TableContents"/>
              <w:bidi w:val="0"/>
              <w:spacing w:before="0" w:after="283"/>
              <w:jc w:val="left"/>
              <w:rPr/>
            </w:pPr>
            <w:r>
              <w:rPr/>
              <w:t>​</w:t>
            </w:r>
          </w:p>
        </w:tc>
        <w:tc>
          <w:tcPr>
            <w:tcW w:w="2533" w:type="dxa"/>
            <w:tcBorders/>
            <w:vAlign w:val="center"/>
          </w:tcPr>
          <w:p>
            <w:pPr>
              <w:pStyle w:val="TableContents"/>
              <w:bidi w:val="0"/>
              <w:spacing w:before="0" w:after="0"/>
              <w:jc w:val="both"/>
              <w:rPr/>
            </w:pPr>
            <w:r>
              <w:rPr/>
              <w:drawing>
                <wp:inline distT="0" distB="0" distL="0" distR="0">
                  <wp:extent cx="1552575" cy="1552575"/>
                  <wp:effectExtent l="0" t="0" r="0" b="0"/>
                  <wp:docPr id="6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6" descr=""/>
                          <pic:cNvPicPr>
                            <a:picLocks noChangeAspect="1" noChangeArrowheads="1"/>
                          </pic:cNvPicPr>
                        </pic:nvPicPr>
                        <pic:blipFill>
                          <a:blip r:embed="rId30"/>
                          <a:stretch>
                            <a:fillRect/>
                          </a:stretch>
                        </pic:blipFill>
                        <pic:spPr bwMode="auto">
                          <a:xfrm>
                            <a:off x="0" y="0"/>
                            <a:ext cx="1552575" cy="1552575"/>
                          </a:xfrm>
                          <a:prstGeom prst="rect">
                            <a:avLst/>
                          </a:prstGeom>
                        </pic:spPr>
                      </pic:pic>
                    </a:graphicData>
                  </a:graphic>
                </wp:inline>
              </w:drawing>
            </w:r>
            <w:r>
              <w:rPr/>
              <w:t xml:space="preserve"> </w:t>
            </w:r>
          </w:p>
          <w:p>
            <w:pPr>
              <w:pStyle w:val="TableContents"/>
              <w:bidi w:val="0"/>
              <w:spacing w:lineRule="atLeast" w:line="260" w:before="520" w:after="283"/>
              <w:jc w:val="left"/>
              <w:rPr>
                <w:b/>
                <w:sz w:val="24"/>
              </w:rPr>
            </w:pPr>
            <w:r>
              <w:rPr>
                <w:b/>
                <w:sz w:val="24"/>
              </w:rPr>
              <w:t>Andrew Liveris</w:t>
            </w:r>
          </w:p>
          <w:p>
            <w:pPr>
              <w:pStyle w:val="TableContents"/>
              <w:bidi w:val="0"/>
              <w:spacing w:lineRule="atLeast" w:line="180" w:before="180" w:after="283"/>
              <w:jc w:val="left"/>
              <w:rPr>
                <w:sz w:val="16"/>
              </w:rPr>
            </w:pPr>
            <w:r>
              <w:rPr>
                <w:sz w:val="16"/>
              </w:rPr>
              <w:t>Board Member</w:t>
            </w:r>
          </w:p>
          <w:p>
            <w:pPr>
              <w:pStyle w:val="TableContents"/>
              <w:bidi w:val="0"/>
              <w:spacing w:lineRule="atLeast" w:line="180" w:before="180" w:after="283"/>
              <w:jc w:val="left"/>
              <w:rPr>
                <w:sz w:val="16"/>
              </w:rPr>
            </w:pPr>
            <w:r>
              <w:rPr>
                <w:sz w:val="16"/>
              </w:rPr>
              <w:t>Age: 69</w:t>
              <w:br/>
              <w:t xml:space="preserve">Director Since: 2019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55" w:type="dxa"/>
            <w:tcBorders/>
            <w:vAlign w:val="center"/>
          </w:tcPr>
          <w:p>
            <w:pPr>
              <w:pStyle w:val="TableContents"/>
              <w:bidi w:val="0"/>
              <w:spacing w:lineRule="atLeast" w:line="220" w:before="0" w:after="0"/>
              <w:jc w:val="left"/>
              <w:rPr/>
            </w:pPr>
            <w:r>
              <w:rPr>
                <w:b/>
              </w:rPr>
              <w:t>Andrew Liveris</w:t>
            </w:r>
            <w:r>
              <w:rPr/>
              <w:t xml:space="preserve"> has served as a member of our Board of Directors since April 2019. Previously, Mr. Liveris served as the Chairman and CEO of The Dow Chemical Company, a chemical corporation, from November 2004 to July 2018 and as the Executive Chairman of Dow DuPont Inc., a chemical corporation from September 2017 to July 2018. Mr. Liveris also serves on the boards of directors of International Business Machines Corp., a technology company, Saudi Aramco, an integrated energy and chemicals company, NOVONIX Limited, a battery materials and technology company, and WorleyParsons Limited, an engineering company, since September 2018. Furthermore, Mr. Liveris was appointed as the President of the 2032 Brisbane Olympics Organizing Committee. Mr. Liveris holds a B.S. in Chemical Engineering from the University of Queensland and received an honorary Ph.D. in Science from his alma mater in 2005. Mr. Liveris was appointed as a special advisor to the Public Investment Fund and to NEOM.</w:t>
            </w:r>
          </w:p>
          <w:p>
            <w:pPr>
              <w:pStyle w:val="TableContents"/>
              <w:bidi w:val="0"/>
              <w:spacing w:lineRule="atLeast" w:line="220" w:before="180" w:after="283"/>
              <w:jc w:val="left"/>
              <w:rPr>
                <w:b/>
                <w:color w:val="8A6B24"/>
              </w:rPr>
            </w:pPr>
            <w:r>
              <w:rPr>
                <w:b/>
                <w:color w:val="8A6B24"/>
              </w:rPr>
              <w:t>Skills and Qualifications</w:t>
            </w:r>
          </w:p>
          <w:p>
            <w:pPr>
              <w:pStyle w:val="TableContents"/>
              <w:bidi w:val="0"/>
              <w:spacing w:lineRule="atLeast" w:line="220" w:before="120" w:after="283"/>
              <w:jc w:val="left"/>
              <w:rPr/>
            </w:pPr>
            <w:r>
              <w:rPr/>
              <w:t>We believe Mr. Liveris is qualified to serve as a director due to his decades of experience leading and overseeing large, complex global industrial enterprises, his knowledge of the technology, energy and chemical sectors, his extensive public policy expertise in the business/government interface, and his experience overseeing our growth as a member of our Board of Directors since 2019.</w:t>
            </w:r>
          </w:p>
        </w:tc>
        <w:tc>
          <w:tcPr>
            <w:tcW w:w="155" w:type="dxa"/>
            <w:tcBorders/>
            <w:vAlign w:val="center"/>
          </w:tcPr>
          <w:p>
            <w:pPr>
              <w:pStyle w:val="TableContents"/>
              <w:bidi w:val="0"/>
              <w:spacing w:before="0" w:after="283"/>
              <w:jc w:val="left"/>
              <w:rPr/>
            </w:pPr>
            <w:r>
              <w:rPr/>
              <w:t>​</w:t>
            </w:r>
          </w:p>
        </w:tc>
      </w:tr>
    </w:tbl>
    <w:tbl>
      <w:tblPr>
        <w:tblW w:w="9485" w:type="dxa"/>
        <w:jc w:val="left"/>
        <w:tblInd w:w="720" w:type="dxa"/>
        <w:tblLayout w:type="fixed"/>
        <w:tblCellMar>
          <w:top w:w="0" w:type="dxa"/>
          <w:left w:w="0" w:type="dxa"/>
          <w:bottom w:w="28" w:type="dxa"/>
          <w:right w:w="0" w:type="dxa"/>
        </w:tblCellMar>
      </w:tblPr>
      <w:tblGrid>
        <w:gridCol w:w="124"/>
        <w:gridCol w:w="2533"/>
        <w:gridCol w:w="109"/>
        <w:gridCol w:w="109"/>
        <w:gridCol w:w="6455"/>
        <w:gridCol w:w="155"/>
      </w:tblGrid>
      <w:tr>
        <w:trPr/>
        <w:tc>
          <w:tcPr>
            <w:tcW w:w="124" w:type="dxa"/>
            <w:tcBorders>
              <w:bottom w:val="single" w:sz="6" w:space="0" w:color="000000"/>
            </w:tcBorders>
            <w:vAlign w:val="center"/>
          </w:tcPr>
          <w:p>
            <w:pPr>
              <w:pStyle w:val="TableContents"/>
              <w:bidi w:val="0"/>
              <w:spacing w:before="0" w:after="283"/>
              <w:jc w:val="left"/>
              <w:rPr/>
            </w:pPr>
            <w:r>
              <w:rPr/>
              <w:t>​</w:t>
            </w:r>
          </w:p>
        </w:tc>
        <w:tc>
          <w:tcPr>
            <w:tcW w:w="2533" w:type="dxa"/>
            <w:tcBorders>
              <w:bottom w:val="single" w:sz="6" w:space="0" w:color="000000"/>
            </w:tcBorders>
            <w:tcMar>
              <w:bottom w:w="360" w:type="dxa"/>
            </w:tcMar>
            <w:vAlign w:val="center"/>
          </w:tcPr>
          <w:p>
            <w:pPr>
              <w:pStyle w:val="TableContents"/>
              <w:bidi w:val="0"/>
              <w:spacing w:before="0" w:after="0"/>
              <w:jc w:val="both"/>
              <w:rPr/>
            </w:pPr>
            <w:r>
              <w:rPr/>
              <w:drawing>
                <wp:inline distT="0" distB="0" distL="0" distR="0">
                  <wp:extent cx="1552575" cy="1552575"/>
                  <wp:effectExtent l="0" t="0" r="0" b="0"/>
                  <wp:docPr id="6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7" descr=""/>
                          <pic:cNvPicPr>
                            <a:picLocks noChangeAspect="1" noChangeArrowheads="1"/>
                          </pic:cNvPicPr>
                        </pic:nvPicPr>
                        <pic:blipFill>
                          <a:blip r:embed="rId31"/>
                          <a:stretch>
                            <a:fillRect/>
                          </a:stretch>
                        </pic:blipFill>
                        <pic:spPr bwMode="auto">
                          <a:xfrm>
                            <a:off x="0" y="0"/>
                            <a:ext cx="1552575" cy="1552575"/>
                          </a:xfrm>
                          <a:prstGeom prst="rect">
                            <a:avLst/>
                          </a:prstGeom>
                        </pic:spPr>
                      </pic:pic>
                    </a:graphicData>
                  </a:graphic>
                </wp:inline>
              </w:drawing>
            </w:r>
            <w:r>
              <w:rPr/>
              <w:t xml:space="preserve"> </w:t>
            </w:r>
          </w:p>
          <w:p>
            <w:pPr>
              <w:pStyle w:val="TableContents"/>
              <w:bidi w:val="0"/>
              <w:spacing w:lineRule="atLeast" w:line="260" w:before="400" w:after="283"/>
              <w:jc w:val="left"/>
              <w:rPr>
                <w:b/>
                <w:sz w:val="24"/>
              </w:rPr>
            </w:pPr>
            <w:r>
              <w:rPr>
                <w:b/>
                <w:sz w:val="24"/>
              </w:rPr>
              <w:t>Sherif Marakby</w:t>
            </w:r>
          </w:p>
          <w:p>
            <w:pPr>
              <w:pStyle w:val="TableContents"/>
              <w:bidi w:val="0"/>
              <w:spacing w:lineRule="atLeast" w:line="180" w:before="180" w:after="283"/>
              <w:jc w:val="left"/>
              <w:rPr>
                <w:sz w:val="16"/>
              </w:rPr>
            </w:pPr>
            <w:r>
              <w:rPr>
                <w:sz w:val="16"/>
              </w:rPr>
              <w:t>Board Member</w:t>
            </w:r>
          </w:p>
          <w:p>
            <w:pPr>
              <w:pStyle w:val="TableContents"/>
              <w:bidi w:val="0"/>
              <w:spacing w:lineRule="atLeast" w:line="180" w:before="180" w:after="283"/>
              <w:jc w:val="left"/>
              <w:rPr>
                <w:sz w:val="16"/>
              </w:rPr>
            </w:pPr>
            <w:r>
              <w:rPr>
                <w:sz w:val="16"/>
              </w:rPr>
              <w:t>Age: 58</w:t>
              <w:br/>
              <w:t xml:space="preserve">Director Since: 2023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6455" w:type="dxa"/>
            <w:tcBorders>
              <w:bottom w:val="single" w:sz="6" w:space="0" w:color="000000"/>
            </w:tcBorders>
            <w:tcMar>
              <w:bottom w:w="360" w:type="dxa"/>
            </w:tcMar>
            <w:vAlign w:val="center"/>
          </w:tcPr>
          <w:p>
            <w:pPr>
              <w:pStyle w:val="TableContents"/>
              <w:bidi w:val="0"/>
              <w:spacing w:lineRule="atLeast" w:line="220" w:before="0" w:after="0"/>
              <w:jc w:val="left"/>
              <w:rPr/>
            </w:pPr>
            <w:r>
              <w:rPr>
                <w:b/>
              </w:rPr>
              <w:t>Sherif Marakby</w:t>
            </w:r>
            <w:r>
              <w:rPr/>
              <w:t xml:space="preserve"> has been a member of our Board of Directors since April 2023. Mr. Marakby has served as an advisor to MemryX Inc., an automotive and consumer products company, since July 2022. Previously, Mr. Marakby served as Executive Vice President, corporate research and development of Magna International, one of the largest tier 1 suppliers to the automotive industry in the world, from July 2020 to October 2021. Mr. Marakby also served in various leadership positions at Ford Motor Company over a nearly 30-year career at Ford, including most recently as President and CEO, Ford Autonomous Vehicles LLC, from July 2018 to October 2019, and Vice President, Autonomous Vehicles and Electrification, from 2017 to 2018. In addition, Mr. Marakby served as Vice President of Global Vehicle Programs at Uber Technologies, a ride-sharing company, from April 2016 to April 2017. Mr. Marakby has served on the board of directors of American Battery Technology Company, a critical minerals and lithium-ion battery recycling company, since February 2022. Mr. Marakby holds a B.S. in Electrical Engineering from the University of Petroleum &amp; Minerals (or King Fahd University of Petroleum &amp; Minerals) in Dhahran, Saudi Arabia, an M.S. in Electrical Engineering from the University of Maryland College Park, and a M.B.A. from the University of Michigan.</w:t>
            </w:r>
          </w:p>
          <w:p>
            <w:pPr>
              <w:pStyle w:val="TableContents"/>
              <w:bidi w:val="0"/>
              <w:spacing w:lineRule="atLeast" w:line="220" w:before="180" w:after="283"/>
              <w:jc w:val="left"/>
              <w:rPr>
                <w:b/>
                <w:color w:val="8A6B24"/>
              </w:rPr>
            </w:pPr>
            <w:r>
              <w:rPr>
                <w:b/>
                <w:color w:val="8A6B24"/>
              </w:rPr>
              <w:t>Skills and Qualifications</w:t>
            </w:r>
          </w:p>
          <w:p>
            <w:pPr>
              <w:pStyle w:val="TableContents"/>
              <w:bidi w:val="0"/>
              <w:spacing w:lineRule="atLeast" w:line="220" w:before="120" w:after="283"/>
              <w:jc w:val="left"/>
              <w:rPr/>
            </w:pPr>
            <w:r>
              <w:rPr/>
              <w:t>We believe Mr. Marakby is qualified to serve as a director due to his significant experience in the automotive, OEM, electrification and technology innovation fields.</w:t>
            </w:r>
          </w:p>
        </w:tc>
        <w:tc>
          <w:tcPr>
            <w:tcW w:w="155" w:type="dxa"/>
            <w:tcBorders>
              <w:bottom w:val="single" w:sz="6" w:space="0" w:color="000000"/>
            </w:tcBorders>
            <w:vAlign w:val="center"/>
          </w:tcPr>
          <w:p>
            <w:pPr>
              <w:pStyle w:val="TableContents"/>
              <w:bidi w:val="0"/>
              <w:spacing w:before="0" w:after="283"/>
              <w:jc w:val="left"/>
              <w:rPr/>
            </w:pPr>
            <w:r>
              <w:rPr/>
              <w:t>​</w:t>
            </w:r>
          </w:p>
        </w:tc>
      </w:tr>
    </w:tbl>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12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85" w:type="dxa"/>
        <w:jc w:val="left"/>
        <w:tblInd w:w="720" w:type="dxa"/>
        <w:tblLayout w:type="fixed"/>
        <w:tblCellMar>
          <w:top w:w="0" w:type="dxa"/>
          <w:left w:w="0" w:type="dxa"/>
          <w:bottom w:w="0" w:type="dxa"/>
          <w:right w:w="0" w:type="dxa"/>
        </w:tblCellMar>
      </w:tblPr>
      <w:tblGrid>
        <w:gridCol w:w="124"/>
        <w:gridCol w:w="2536"/>
        <w:gridCol w:w="109"/>
        <w:gridCol w:w="109"/>
        <w:gridCol w:w="6452"/>
        <w:gridCol w:w="155"/>
      </w:tblGrid>
      <w:tr>
        <w:trPr/>
        <w:tc>
          <w:tcPr>
            <w:tcW w:w="124" w:type="dxa"/>
            <w:tcBorders/>
            <w:vAlign w:val="center"/>
          </w:tcPr>
          <w:p>
            <w:pPr>
              <w:pStyle w:val="TableContents"/>
              <w:bidi w:val="0"/>
              <w:spacing w:before="0" w:after="283"/>
              <w:jc w:val="left"/>
              <w:rPr/>
            </w:pPr>
            <w:r>
              <w:rPr/>
              <w:t>​</w:t>
            </w:r>
          </w:p>
        </w:tc>
        <w:tc>
          <w:tcPr>
            <w:tcW w:w="2536" w:type="dxa"/>
            <w:tcBorders/>
            <w:vAlign w:val="center"/>
          </w:tcPr>
          <w:p>
            <w:pPr>
              <w:pStyle w:val="TableContents"/>
              <w:bidi w:val="0"/>
              <w:spacing w:before="0" w:after="0"/>
              <w:jc w:val="both"/>
              <w:rPr/>
            </w:pPr>
            <w:r>
              <w:rPr/>
              <w:drawing>
                <wp:inline distT="0" distB="0" distL="0" distR="0">
                  <wp:extent cx="1552575" cy="1552575"/>
                  <wp:effectExtent l="0" t="0" r="0" b="0"/>
                  <wp:docPr id="6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8" descr=""/>
                          <pic:cNvPicPr>
                            <a:picLocks noChangeAspect="1" noChangeArrowheads="1"/>
                          </pic:cNvPicPr>
                        </pic:nvPicPr>
                        <pic:blipFill>
                          <a:blip r:embed="rId32"/>
                          <a:stretch>
                            <a:fillRect/>
                          </a:stretch>
                        </pic:blipFill>
                        <pic:spPr bwMode="auto">
                          <a:xfrm>
                            <a:off x="0" y="0"/>
                            <a:ext cx="1552575" cy="1552575"/>
                          </a:xfrm>
                          <a:prstGeom prst="rect">
                            <a:avLst/>
                          </a:prstGeom>
                        </pic:spPr>
                      </pic:pic>
                    </a:graphicData>
                  </a:graphic>
                </wp:inline>
              </w:drawing>
            </w:r>
            <w:r>
              <w:rPr/>
              <w:t xml:space="preserve"> </w:t>
            </w:r>
          </w:p>
          <w:p>
            <w:pPr>
              <w:pStyle w:val="TableContents"/>
              <w:bidi w:val="0"/>
              <w:spacing w:lineRule="atLeast" w:line="280" w:before="372" w:after="283"/>
              <w:jc w:val="left"/>
              <w:rPr>
                <w:b/>
                <w:sz w:val="24"/>
              </w:rPr>
            </w:pPr>
            <w:r>
              <w:rPr>
                <w:b/>
                <w:sz w:val="24"/>
              </w:rPr>
              <w:t>Nichelle Maynard-Elliott</w:t>
            </w:r>
          </w:p>
          <w:p>
            <w:pPr>
              <w:pStyle w:val="TableContents"/>
              <w:bidi w:val="0"/>
              <w:spacing w:lineRule="atLeast" w:line="160" w:before="260" w:after="283"/>
              <w:jc w:val="left"/>
              <w:rPr>
                <w:sz w:val="16"/>
              </w:rPr>
            </w:pPr>
            <w:r>
              <w:rPr>
                <w:sz w:val="16"/>
              </w:rPr>
              <w:t>Board Member</w:t>
            </w:r>
          </w:p>
          <w:p>
            <w:pPr>
              <w:pStyle w:val="TableContents"/>
              <w:bidi w:val="0"/>
              <w:spacing w:lineRule="atLeast" w:line="220" w:before="180" w:after="283"/>
              <w:jc w:val="left"/>
              <w:rPr>
                <w:sz w:val="16"/>
              </w:rPr>
            </w:pPr>
            <w:r>
              <w:rPr>
                <w:sz w:val="16"/>
              </w:rPr>
              <w:t>Age: 55</w:t>
              <w:br/>
              <w:t xml:space="preserve">Director Since: 2021​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52" w:type="dxa"/>
            <w:tcBorders/>
            <w:vAlign w:val="center"/>
          </w:tcPr>
          <w:p>
            <w:pPr>
              <w:pStyle w:val="TableContents"/>
              <w:bidi w:val="0"/>
              <w:spacing w:lineRule="atLeast" w:line="220" w:before="0" w:after="0"/>
              <w:jc w:val="left"/>
              <w:rPr/>
            </w:pPr>
            <w:r>
              <w:rPr>
                <w:b/>
              </w:rPr>
              <w:t>Nichelle Maynard-Elliott</w:t>
            </w:r>
            <w:r>
              <w:rPr/>
              <w:t xml:space="preserve"> has been a member of our Board of Directors since July 2021. Ms. Maynard-Elliott has served as a director of Xerox Holdings Corporation since May 2021 and Element Solutions Inc., a specialty chemicals company since August 2018. She previously served as the Executive Director, M&amp;A, for Praxair, Inc., a leading industrial gas and engineering company, from July 2011 to May 2019, and as Assistant General Counsel and Senior Counsel at Praxair from July 2007 to 2011 and 2003 to 2007, respectively. Ms. Maynard-Elliott has served as trustee of The Advisors’ Inner Circle Fund III, including four of its affiliated funds and director of Chiron Capital Allocation Fund Ltd since June 2021. She holds a B.A. in Economics from Brown University and a J.D. from Columbia University School of Law.</w:t>
            </w:r>
          </w:p>
          <w:p>
            <w:pPr>
              <w:pStyle w:val="TableContents"/>
              <w:bidi w:val="0"/>
              <w:spacing w:lineRule="atLeast" w:line="220" w:before="180" w:after="283"/>
              <w:jc w:val="left"/>
              <w:rPr>
                <w:b/>
                <w:color w:val="8A6B24"/>
              </w:rPr>
            </w:pPr>
            <w:r>
              <w:rPr>
                <w:b/>
                <w:color w:val="8A6B24"/>
              </w:rPr>
              <w:t>Skills and Qualifications</w:t>
            </w:r>
          </w:p>
          <w:p>
            <w:pPr>
              <w:pStyle w:val="TableContents"/>
              <w:bidi w:val="0"/>
              <w:spacing w:lineRule="atLeast" w:line="220" w:before="120" w:after="283"/>
              <w:jc w:val="left"/>
              <w:rPr/>
            </w:pPr>
            <w:r>
              <w:rPr/>
              <w:t>We believe Ms. Maynard-Elliott is qualified to serve as a director because of her experience overseeing complex enterprises as a public company director, her experience evaluating business strategies and investment opportunities, and her extensive legal and financial management expertise.</w:t>
            </w:r>
          </w:p>
        </w:tc>
        <w:tc>
          <w:tcPr>
            <w:tcW w:w="155" w:type="dxa"/>
            <w:tcBorders/>
            <w:vAlign w:val="center"/>
          </w:tcPr>
          <w:p>
            <w:pPr>
              <w:pStyle w:val="TableContents"/>
              <w:bidi w:val="0"/>
              <w:spacing w:before="0" w:after="283"/>
              <w:jc w:val="left"/>
              <w:rPr/>
            </w:pPr>
            <w:r>
              <w:rPr/>
              <w:t>​</w:t>
            </w:r>
          </w:p>
        </w:tc>
      </w:tr>
    </w:tbl>
    <w:tbl>
      <w:tblPr>
        <w:tblW w:w="9485" w:type="dxa"/>
        <w:jc w:val="left"/>
        <w:tblInd w:w="720" w:type="dxa"/>
        <w:tblLayout w:type="fixed"/>
        <w:tblCellMar>
          <w:top w:w="0" w:type="dxa"/>
          <w:left w:w="0" w:type="dxa"/>
          <w:bottom w:w="28" w:type="dxa"/>
          <w:right w:w="0" w:type="dxa"/>
        </w:tblCellMar>
      </w:tblPr>
      <w:tblGrid>
        <w:gridCol w:w="124"/>
        <w:gridCol w:w="2533"/>
        <w:gridCol w:w="109"/>
        <w:gridCol w:w="109"/>
        <w:gridCol w:w="6455"/>
        <w:gridCol w:w="155"/>
      </w:tblGrid>
      <w:tr>
        <w:trPr/>
        <w:tc>
          <w:tcPr>
            <w:tcW w:w="124" w:type="dxa"/>
            <w:tcBorders>
              <w:bottom w:val="single" w:sz="6" w:space="0" w:color="000000"/>
            </w:tcBorders>
            <w:vAlign w:val="center"/>
          </w:tcPr>
          <w:p>
            <w:pPr>
              <w:pStyle w:val="TableContents"/>
              <w:bidi w:val="0"/>
              <w:spacing w:before="0" w:after="283"/>
              <w:jc w:val="left"/>
              <w:rPr/>
            </w:pPr>
            <w:r>
              <w:rPr/>
              <w:t>​</w:t>
            </w:r>
          </w:p>
        </w:tc>
        <w:tc>
          <w:tcPr>
            <w:tcW w:w="2533" w:type="dxa"/>
            <w:tcBorders>
              <w:bottom w:val="single" w:sz="6" w:space="0" w:color="000000"/>
            </w:tcBorders>
            <w:tcMar>
              <w:bottom w:w="360" w:type="dxa"/>
            </w:tcMar>
            <w:vAlign w:val="center"/>
          </w:tcPr>
          <w:p>
            <w:pPr>
              <w:pStyle w:val="TableContents"/>
              <w:bidi w:val="0"/>
              <w:spacing w:before="0" w:after="0"/>
              <w:jc w:val="both"/>
              <w:rPr/>
            </w:pPr>
            <w:r>
              <w:rPr/>
              <w:drawing>
                <wp:inline distT="0" distB="0" distL="0" distR="0">
                  <wp:extent cx="1552575" cy="1552575"/>
                  <wp:effectExtent l="0" t="0" r="0" b="0"/>
                  <wp:docPr id="6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9" descr=""/>
                          <pic:cNvPicPr>
                            <a:picLocks noChangeAspect="1" noChangeArrowheads="1"/>
                          </pic:cNvPicPr>
                        </pic:nvPicPr>
                        <pic:blipFill>
                          <a:blip r:embed="rId33"/>
                          <a:stretch>
                            <a:fillRect/>
                          </a:stretch>
                        </pic:blipFill>
                        <pic:spPr bwMode="auto">
                          <a:xfrm>
                            <a:off x="0" y="0"/>
                            <a:ext cx="1552575" cy="1552575"/>
                          </a:xfrm>
                          <a:prstGeom prst="rect">
                            <a:avLst/>
                          </a:prstGeom>
                        </pic:spPr>
                      </pic:pic>
                    </a:graphicData>
                  </a:graphic>
                </wp:inline>
              </w:drawing>
            </w:r>
            <w:r>
              <w:rPr/>
              <w:t xml:space="preserve"> </w:t>
            </w:r>
          </w:p>
          <w:p>
            <w:pPr>
              <w:pStyle w:val="TableContents"/>
              <w:bidi w:val="0"/>
              <w:spacing w:lineRule="atLeast" w:line="280" w:before="400" w:after="283"/>
              <w:jc w:val="left"/>
              <w:rPr>
                <w:b/>
                <w:sz w:val="24"/>
              </w:rPr>
            </w:pPr>
            <w:r>
              <w:rPr>
                <w:b/>
                <w:sz w:val="24"/>
              </w:rPr>
              <w:t>Chabi Nouri</w:t>
            </w:r>
          </w:p>
          <w:p>
            <w:pPr>
              <w:pStyle w:val="TableContents"/>
              <w:bidi w:val="0"/>
              <w:spacing w:lineRule="atLeast" w:line="200" w:before="260" w:after="283"/>
              <w:jc w:val="left"/>
              <w:rPr>
                <w:sz w:val="16"/>
              </w:rPr>
            </w:pPr>
            <w:r>
              <w:rPr>
                <w:sz w:val="16"/>
              </w:rPr>
              <w:t>Board Member</w:t>
            </w:r>
          </w:p>
          <w:p>
            <w:pPr>
              <w:pStyle w:val="TableContents"/>
              <w:bidi w:val="0"/>
              <w:spacing w:lineRule="atLeast" w:line="220" w:before="180" w:after="283"/>
              <w:jc w:val="left"/>
              <w:rPr>
                <w:sz w:val="16"/>
              </w:rPr>
            </w:pPr>
            <w:r>
              <w:rPr>
                <w:sz w:val="16"/>
              </w:rPr>
              <w:t>Age: 50</w:t>
              <w:br/>
              <w:t xml:space="preserve">Director Since: 2023​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6455" w:type="dxa"/>
            <w:tcBorders>
              <w:bottom w:val="single" w:sz="6" w:space="0" w:color="000000"/>
            </w:tcBorders>
            <w:tcMar>
              <w:bottom w:w="360" w:type="dxa"/>
            </w:tcMar>
            <w:vAlign w:val="center"/>
          </w:tcPr>
          <w:p>
            <w:pPr>
              <w:pStyle w:val="TableContents"/>
              <w:bidi w:val="0"/>
              <w:spacing w:lineRule="atLeast" w:line="220" w:before="0" w:after="0"/>
              <w:jc w:val="left"/>
              <w:rPr/>
            </w:pPr>
            <w:r>
              <w:rPr>
                <w:b/>
              </w:rPr>
              <w:t>Chabi Nouri</w:t>
            </w:r>
            <w:r>
              <w:rPr/>
              <w:t xml:space="preserve"> has been a member of our Board of Directors since April 2023. Ms. Chabi has served as co-manager of a private equity fund focused on Lifestyle, Impact, Innovation franchise within Mirabaud Asset Management since March 2022. She previously served as the global Chief Executive Officer at Piaget, a luxury watch and jewelry brand, a branch of Richemont Group, from April 2017 to June 2021 and as Piaget’s Chief Marketing Officer from October 2014 to March 2017. Prior to Piaget, Ms. Nouri served in various leadership positions at British American Tobacco Plc where she led globally the Vogue Cigarettes brand, and at Cartier International in merchandising, retail and product development, where she led globally High Jewellery and the Creative Jewellery. Ms. Nouri has also served as a non-executive director and a member of the ESG committee of Watches of Switzerland Group PLC, a luxury watch retailer, since May 2022. She holds a M.A. in Marketing and Economics from the University of Fribourg and has earned certificates from MIT and IMD on the Digital future and ESG.</w:t>
            </w:r>
          </w:p>
          <w:p>
            <w:pPr>
              <w:pStyle w:val="TableContents"/>
              <w:bidi w:val="0"/>
              <w:spacing w:lineRule="atLeast" w:line="220" w:before="180" w:after="283"/>
              <w:jc w:val="left"/>
              <w:rPr>
                <w:b/>
                <w:color w:val="8A6B24"/>
              </w:rPr>
            </w:pPr>
            <w:r>
              <w:rPr>
                <w:b/>
                <w:color w:val="8A6B24"/>
              </w:rPr>
              <w:t>Skills and Qualifications</w:t>
            </w:r>
          </w:p>
          <w:p>
            <w:pPr>
              <w:pStyle w:val="TableContents"/>
              <w:bidi w:val="0"/>
              <w:spacing w:lineRule="atLeast" w:line="220" w:before="120" w:after="283"/>
              <w:jc w:val="left"/>
              <w:rPr/>
            </w:pPr>
            <w:r>
              <w:rPr/>
              <w:t>We believe Ms. Nouri is qualified to serve as a director because of her extensive experience in the luxury and consumer goods industries through her various roles at leading international luxury brands.</w:t>
            </w:r>
          </w:p>
        </w:tc>
        <w:tc>
          <w:tcPr>
            <w:tcW w:w="155" w:type="dxa"/>
            <w:tcBorders>
              <w:bottom w:val="single" w:sz="6" w:space="0" w:color="000000"/>
            </w:tcBorders>
            <w:vAlign w:val="center"/>
          </w:tcPr>
          <w:p>
            <w:pPr>
              <w:pStyle w:val="TableContents"/>
              <w:bidi w:val="0"/>
              <w:spacing w:before="0" w:after="283"/>
              <w:jc w:val="left"/>
              <w:rPr/>
            </w:pPr>
            <w:r>
              <w:rPr/>
              <w:t>​</w:t>
            </w:r>
          </w:p>
        </w:tc>
      </w:tr>
    </w:tbl>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13</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85" w:type="dxa"/>
        <w:jc w:val="left"/>
        <w:tblInd w:w="720" w:type="dxa"/>
        <w:tblLayout w:type="fixed"/>
        <w:tblCellMar>
          <w:top w:w="0" w:type="dxa"/>
          <w:left w:w="0" w:type="dxa"/>
          <w:bottom w:w="0" w:type="dxa"/>
          <w:right w:w="0" w:type="dxa"/>
        </w:tblCellMar>
      </w:tblPr>
      <w:tblGrid>
        <w:gridCol w:w="124"/>
        <w:gridCol w:w="2534"/>
        <w:gridCol w:w="109"/>
        <w:gridCol w:w="109"/>
        <w:gridCol w:w="6454"/>
        <w:gridCol w:w="155"/>
      </w:tblGrid>
      <w:tr>
        <w:trPr/>
        <w:tc>
          <w:tcPr>
            <w:tcW w:w="124" w:type="dxa"/>
            <w:tcBorders/>
            <w:vAlign w:val="center"/>
          </w:tcPr>
          <w:p>
            <w:pPr>
              <w:pStyle w:val="TableContents"/>
              <w:bidi w:val="0"/>
              <w:spacing w:before="0" w:after="283"/>
              <w:jc w:val="left"/>
              <w:rPr/>
            </w:pPr>
            <w:r>
              <w:rPr/>
              <w:t>​</w:t>
            </w:r>
          </w:p>
        </w:tc>
        <w:tc>
          <w:tcPr>
            <w:tcW w:w="2534" w:type="dxa"/>
            <w:tcBorders/>
            <w:vAlign w:val="center"/>
          </w:tcPr>
          <w:p>
            <w:pPr>
              <w:pStyle w:val="TableContents"/>
              <w:bidi w:val="0"/>
              <w:spacing w:before="0" w:after="0"/>
              <w:jc w:val="both"/>
              <w:rPr/>
            </w:pPr>
            <w:r>
              <w:rPr/>
              <w:drawing>
                <wp:inline distT="0" distB="0" distL="0" distR="0">
                  <wp:extent cx="1552575" cy="1552575"/>
                  <wp:effectExtent l="0" t="0" r="0" b="0"/>
                  <wp:docPr id="6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0" descr=""/>
                          <pic:cNvPicPr>
                            <a:picLocks noChangeAspect="1" noChangeArrowheads="1"/>
                          </pic:cNvPicPr>
                        </pic:nvPicPr>
                        <pic:blipFill>
                          <a:blip r:embed="rId34"/>
                          <a:stretch>
                            <a:fillRect/>
                          </a:stretch>
                        </pic:blipFill>
                        <pic:spPr bwMode="auto">
                          <a:xfrm>
                            <a:off x="0" y="0"/>
                            <a:ext cx="1552575" cy="1552575"/>
                          </a:xfrm>
                          <a:prstGeom prst="rect">
                            <a:avLst/>
                          </a:prstGeom>
                        </pic:spPr>
                      </pic:pic>
                    </a:graphicData>
                  </a:graphic>
                </wp:inline>
              </w:drawing>
            </w:r>
            <w:r>
              <w:rPr/>
              <w:t xml:space="preserve"> </w:t>
            </w:r>
          </w:p>
          <w:p>
            <w:pPr>
              <w:pStyle w:val="TableContents"/>
              <w:bidi w:val="0"/>
              <w:spacing w:lineRule="atLeast" w:line="260" w:before="400" w:after="283"/>
              <w:jc w:val="left"/>
              <w:rPr>
                <w:b/>
                <w:sz w:val="24"/>
              </w:rPr>
            </w:pPr>
            <w:r>
              <w:rPr>
                <w:b/>
                <w:sz w:val="24"/>
              </w:rPr>
              <w:t>Peter Rawlinson</w:t>
            </w:r>
          </w:p>
          <w:p>
            <w:pPr>
              <w:pStyle w:val="TableContents"/>
              <w:bidi w:val="0"/>
              <w:spacing w:lineRule="atLeast" w:line="180" w:before="180" w:after="283"/>
              <w:jc w:val="left"/>
              <w:rPr>
                <w:sz w:val="16"/>
              </w:rPr>
            </w:pPr>
            <w:r>
              <w:rPr>
                <w:sz w:val="16"/>
              </w:rPr>
              <w:t>Chief Executive Officer</w:t>
              <w:br/>
              <w:t>and Chief Technology</w:t>
              <w:br/>
              <w:t>Officer</w:t>
            </w:r>
          </w:p>
          <w:p>
            <w:pPr>
              <w:pStyle w:val="TableContents"/>
              <w:bidi w:val="0"/>
              <w:spacing w:lineRule="atLeast" w:line="180" w:before="180" w:after="283"/>
              <w:jc w:val="left"/>
              <w:rPr>
                <w:sz w:val="16"/>
              </w:rPr>
            </w:pPr>
            <w:r>
              <w:rPr>
                <w:sz w:val="16"/>
              </w:rPr>
              <w:t>Age: 66</w:t>
              <w:br/>
              <w:t xml:space="preserve">Director Since: 2019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54" w:type="dxa"/>
            <w:tcBorders/>
            <w:vAlign w:val="center"/>
          </w:tcPr>
          <w:p>
            <w:pPr>
              <w:pStyle w:val="TableContents"/>
              <w:bidi w:val="0"/>
              <w:spacing w:lineRule="atLeast" w:line="220" w:before="0" w:after="0"/>
              <w:jc w:val="left"/>
              <w:rPr/>
            </w:pPr>
            <w:r>
              <w:rPr>
                <w:b/>
              </w:rPr>
              <w:t>Peter Rawlinson</w:t>
            </w:r>
            <w:r>
              <w:rPr/>
              <w:t xml:space="preserve"> has served as our Chief Executive Officer and Chief Technology Officer and as a member of our Board of Directors since April 2019. He previously served as our Chief Technology Officer from 2013 to April 2019. Prior to joining our company, Mr. Rawlinson was Vice President of Vehicle Engineering and Chief Engineer of the Model S at Tesla, Inc., an electric vehicle company, where he led the engineering of the Model S from a clean sheet to production readiness while building the engineering team. Mr. Rawlinson was formerly Head of Vehicle Engineering at Corus Automotive, an advanced engineering consulting firm, Chief Engineer of Advanced Engineering at Lotus Cars, and Principal Engineer of Advanced Body Structures at Jaguar Cars. Mr. Rawlinson holds a BSc from Imperial College, University of London.</w:t>
            </w:r>
          </w:p>
          <w:p>
            <w:pPr>
              <w:pStyle w:val="TableContents"/>
              <w:bidi w:val="0"/>
              <w:spacing w:lineRule="atLeast" w:line="220" w:before="180" w:after="283"/>
              <w:jc w:val="left"/>
              <w:rPr>
                <w:b/>
                <w:color w:val="8A6B24"/>
              </w:rPr>
            </w:pPr>
            <w:r>
              <w:rPr>
                <w:b/>
                <w:color w:val="8A6B24"/>
              </w:rPr>
              <w:t>Skills and Qualifications</w:t>
            </w:r>
          </w:p>
          <w:p>
            <w:pPr>
              <w:pStyle w:val="TableContents"/>
              <w:bidi w:val="0"/>
              <w:spacing w:lineRule="atLeast" w:line="220" w:before="120" w:after="283"/>
              <w:jc w:val="left"/>
              <w:rPr/>
            </w:pPr>
            <w:r>
              <w:rPr/>
              <w:t>We believe Mr. Rawlinson is qualified to serve as a director due to his experience as our Chief Executive Officer and Chief Technology Officer, as well as his extensive technical and operational expertise and experience in the automotive industry and the electric vehicle industry.</w:t>
            </w:r>
          </w:p>
        </w:tc>
        <w:tc>
          <w:tcPr>
            <w:tcW w:w="155" w:type="dxa"/>
            <w:tcBorders/>
            <w:vAlign w:val="center"/>
          </w:tcPr>
          <w:p>
            <w:pPr>
              <w:pStyle w:val="TableContents"/>
              <w:bidi w:val="0"/>
              <w:spacing w:before="0" w:after="283"/>
              <w:jc w:val="left"/>
              <w:rPr/>
            </w:pPr>
            <w:r>
              <w:rPr/>
              <w:t>​</w:t>
            </w:r>
          </w:p>
        </w:tc>
      </w:tr>
    </w:tbl>
    <w:tbl>
      <w:tblPr>
        <w:tblW w:w="9485" w:type="dxa"/>
        <w:jc w:val="left"/>
        <w:tblInd w:w="720" w:type="dxa"/>
        <w:tblLayout w:type="fixed"/>
        <w:tblCellMar>
          <w:top w:w="0" w:type="dxa"/>
          <w:left w:w="0" w:type="dxa"/>
          <w:bottom w:w="28" w:type="dxa"/>
          <w:right w:w="0" w:type="dxa"/>
        </w:tblCellMar>
      </w:tblPr>
      <w:tblGrid>
        <w:gridCol w:w="124"/>
        <w:gridCol w:w="2534"/>
        <w:gridCol w:w="109"/>
        <w:gridCol w:w="109"/>
        <w:gridCol w:w="6454"/>
        <w:gridCol w:w="155"/>
      </w:tblGrid>
      <w:tr>
        <w:trPr/>
        <w:tc>
          <w:tcPr>
            <w:tcW w:w="124" w:type="dxa"/>
            <w:tcBorders>
              <w:bottom w:val="single" w:sz="6" w:space="0" w:color="000000"/>
            </w:tcBorders>
            <w:vAlign w:val="center"/>
          </w:tcPr>
          <w:p>
            <w:pPr>
              <w:pStyle w:val="TableContents"/>
              <w:bidi w:val="0"/>
              <w:spacing w:before="0" w:after="283"/>
              <w:jc w:val="left"/>
              <w:rPr/>
            </w:pPr>
            <w:r>
              <w:rPr/>
              <w:t>​</w:t>
            </w:r>
          </w:p>
        </w:tc>
        <w:tc>
          <w:tcPr>
            <w:tcW w:w="2534" w:type="dxa"/>
            <w:tcBorders>
              <w:bottom w:val="single" w:sz="6" w:space="0" w:color="000000"/>
            </w:tcBorders>
            <w:tcMar>
              <w:bottom w:w="360" w:type="dxa"/>
            </w:tcMar>
            <w:vAlign w:val="center"/>
          </w:tcPr>
          <w:p>
            <w:pPr>
              <w:pStyle w:val="TableContents"/>
              <w:bidi w:val="0"/>
              <w:spacing w:before="0" w:after="0"/>
              <w:jc w:val="both"/>
              <w:rPr/>
            </w:pPr>
            <w:r>
              <w:rPr/>
              <w:drawing>
                <wp:inline distT="0" distB="0" distL="0" distR="0">
                  <wp:extent cx="1552575" cy="1552575"/>
                  <wp:effectExtent l="0" t="0" r="0" b="0"/>
                  <wp:docPr id="6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1" descr=""/>
                          <pic:cNvPicPr>
                            <a:picLocks noChangeAspect="1" noChangeArrowheads="1"/>
                          </pic:cNvPicPr>
                        </pic:nvPicPr>
                        <pic:blipFill>
                          <a:blip r:embed="rId35"/>
                          <a:stretch>
                            <a:fillRect/>
                          </a:stretch>
                        </pic:blipFill>
                        <pic:spPr bwMode="auto">
                          <a:xfrm>
                            <a:off x="0" y="0"/>
                            <a:ext cx="1552575" cy="1552575"/>
                          </a:xfrm>
                          <a:prstGeom prst="rect">
                            <a:avLst/>
                          </a:prstGeom>
                        </pic:spPr>
                      </pic:pic>
                    </a:graphicData>
                  </a:graphic>
                </wp:inline>
              </w:drawing>
            </w:r>
            <w:r>
              <w:rPr/>
              <w:t xml:space="preserve"> </w:t>
            </w:r>
          </w:p>
          <w:p>
            <w:pPr>
              <w:pStyle w:val="TableContents"/>
              <w:bidi w:val="0"/>
              <w:spacing w:lineRule="atLeast" w:line="260" w:before="400" w:after="283"/>
              <w:jc w:val="left"/>
              <w:rPr>
                <w:b/>
                <w:sz w:val="24"/>
              </w:rPr>
            </w:pPr>
            <w:r>
              <w:rPr>
                <w:b/>
                <w:sz w:val="24"/>
              </w:rPr>
              <w:t>Ori Winitzer</w:t>
            </w:r>
          </w:p>
          <w:p>
            <w:pPr>
              <w:pStyle w:val="TableContents"/>
              <w:bidi w:val="0"/>
              <w:spacing w:lineRule="atLeast" w:line="180" w:before="180" w:after="283"/>
              <w:jc w:val="left"/>
              <w:rPr>
                <w:sz w:val="16"/>
              </w:rPr>
            </w:pPr>
            <w:r>
              <w:rPr>
                <w:sz w:val="16"/>
              </w:rPr>
              <w:t>Board Member</w:t>
            </w:r>
          </w:p>
          <w:p>
            <w:pPr>
              <w:pStyle w:val="TableContents"/>
              <w:bidi w:val="0"/>
              <w:spacing w:lineRule="atLeast" w:line="180" w:before="180" w:after="283"/>
              <w:jc w:val="left"/>
              <w:rPr>
                <w:sz w:val="16"/>
              </w:rPr>
            </w:pPr>
            <w:r>
              <w:rPr>
                <w:sz w:val="16"/>
              </w:rPr>
              <w:t>Age: 48</w:t>
              <w:br/>
              <w:t xml:space="preserve">Director Since: 2023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6454" w:type="dxa"/>
            <w:tcBorders>
              <w:bottom w:val="single" w:sz="6" w:space="0" w:color="000000"/>
            </w:tcBorders>
            <w:tcMar>
              <w:bottom w:w="360" w:type="dxa"/>
            </w:tcMar>
            <w:vAlign w:val="center"/>
          </w:tcPr>
          <w:p>
            <w:pPr>
              <w:pStyle w:val="TableContents"/>
              <w:bidi w:val="0"/>
              <w:spacing w:lineRule="atLeast" w:line="220" w:before="0" w:after="0"/>
              <w:jc w:val="left"/>
              <w:rPr/>
            </w:pPr>
            <w:r>
              <w:rPr>
                <w:b/>
              </w:rPr>
              <w:t>Ori Winitzer</w:t>
            </w:r>
            <w:r>
              <w:rPr/>
              <w:t xml:space="preserve"> been a member of our Board of Directors since April 2023. Mr. Winitzer is a founding member and has served as Partner of Integrated Media Company, a TPG Inc. platform dedicated to the digital media ecosystem, since October 2018. He previously served as Senior Managing Director at Guggenheim Partners, a global investment and advisory firm, from July 2017 to September 2018, where he led the digital media practice. Prior to Guggenheim Partners, Mr. Winitzer served in various investment banking positions at LionTree LLC and Rothschild &amp; Co. Mr. Winitzer has been serving as a director of Savvy Games Fund, a games and esports company, since July 2022. He has also been serving as a director of FootballCo, a family of media properties dedicated to football (soccer), since October 2020, and as Co-Chairman since September 2021. Mr. Winitzer holds a B.A. in History and French from the University of Wisconsin — Madison and a M.B.A. from Columbia University.</w:t>
            </w:r>
          </w:p>
          <w:p>
            <w:pPr>
              <w:pStyle w:val="TableContents"/>
              <w:bidi w:val="0"/>
              <w:spacing w:lineRule="atLeast" w:line="220" w:before="180" w:after="283"/>
              <w:jc w:val="left"/>
              <w:rPr>
                <w:b/>
                <w:color w:val="8A6B24"/>
              </w:rPr>
            </w:pPr>
            <w:r>
              <w:rPr>
                <w:b/>
                <w:color w:val="8A6B24"/>
              </w:rPr>
              <w:t>Skills and Qualifications</w:t>
            </w:r>
          </w:p>
          <w:p>
            <w:pPr>
              <w:pStyle w:val="TableContents"/>
              <w:bidi w:val="0"/>
              <w:spacing w:lineRule="atLeast" w:line="220" w:before="120" w:after="283"/>
              <w:jc w:val="left"/>
              <w:rPr/>
            </w:pPr>
            <w:r>
              <w:rPr/>
              <w:t>We believe Mr. Winitzer is qualified to serve as a director due to his extensive experience in investment and advisory roles as well as his deep financial knowledge.</w:t>
            </w:r>
          </w:p>
        </w:tc>
        <w:tc>
          <w:tcPr>
            <w:tcW w:w="155" w:type="dxa"/>
            <w:tcBorders>
              <w:bottom w:val="single" w:sz="6" w:space="0" w:color="000000"/>
            </w:tcBorders>
            <w:vAlign w:val="center"/>
          </w:tcPr>
          <w:p>
            <w:pPr>
              <w:pStyle w:val="TableContents"/>
              <w:bidi w:val="0"/>
              <w:spacing w:before="0" w:after="283"/>
              <w:jc w:val="left"/>
              <w:rPr/>
            </w:pPr>
            <w:r>
              <w:rPr/>
              <w:t>​</w:t>
            </w:r>
          </w:p>
        </w:tc>
      </w:tr>
    </w:tbl>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14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85" w:type="dxa"/>
        <w:jc w:val="left"/>
        <w:tblInd w:w="720" w:type="dxa"/>
        <w:tblLayout w:type="fixed"/>
        <w:tblCellMar>
          <w:top w:w="0" w:type="dxa"/>
          <w:left w:w="0" w:type="dxa"/>
          <w:bottom w:w="28" w:type="dxa"/>
          <w:right w:w="0" w:type="dxa"/>
        </w:tblCellMar>
      </w:tblPr>
      <w:tblGrid>
        <w:gridCol w:w="124"/>
        <w:gridCol w:w="2532"/>
        <w:gridCol w:w="109"/>
        <w:gridCol w:w="109"/>
        <w:gridCol w:w="6456"/>
        <w:gridCol w:w="155"/>
      </w:tblGrid>
      <w:tr>
        <w:trPr/>
        <w:tc>
          <w:tcPr>
            <w:tcW w:w="124" w:type="dxa"/>
            <w:tcBorders>
              <w:bottom w:val="single" w:sz="6" w:space="0" w:color="000000"/>
            </w:tcBorders>
            <w:vAlign w:val="center"/>
          </w:tcPr>
          <w:p>
            <w:pPr>
              <w:pStyle w:val="TableContents"/>
              <w:bidi w:val="0"/>
              <w:spacing w:before="0" w:after="283"/>
              <w:jc w:val="left"/>
              <w:rPr/>
            </w:pPr>
            <w:r>
              <w:rPr/>
              <w:t>​</w:t>
            </w:r>
          </w:p>
        </w:tc>
        <w:tc>
          <w:tcPr>
            <w:tcW w:w="2532" w:type="dxa"/>
            <w:tcBorders>
              <w:bottom w:val="single" w:sz="6" w:space="0" w:color="000000"/>
            </w:tcBorders>
            <w:tcMar>
              <w:bottom w:w="360" w:type="dxa"/>
            </w:tcMar>
            <w:vAlign w:val="center"/>
          </w:tcPr>
          <w:p>
            <w:pPr>
              <w:pStyle w:val="TableContents"/>
              <w:bidi w:val="0"/>
              <w:spacing w:before="0" w:after="0"/>
              <w:jc w:val="both"/>
              <w:rPr/>
            </w:pPr>
            <w:r>
              <w:rPr/>
              <w:drawing>
                <wp:inline distT="0" distB="0" distL="0" distR="0">
                  <wp:extent cx="1552575" cy="1552575"/>
                  <wp:effectExtent l="0" t="0" r="0" b="0"/>
                  <wp:docPr id="7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2" descr=""/>
                          <pic:cNvPicPr>
                            <a:picLocks noChangeAspect="1" noChangeArrowheads="1"/>
                          </pic:cNvPicPr>
                        </pic:nvPicPr>
                        <pic:blipFill>
                          <a:blip r:embed="rId36"/>
                          <a:stretch>
                            <a:fillRect/>
                          </a:stretch>
                        </pic:blipFill>
                        <pic:spPr bwMode="auto">
                          <a:xfrm>
                            <a:off x="0" y="0"/>
                            <a:ext cx="1552575" cy="1552575"/>
                          </a:xfrm>
                          <a:prstGeom prst="rect">
                            <a:avLst/>
                          </a:prstGeom>
                        </pic:spPr>
                      </pic:pic>
                    </a:graphicData>
                  </a:graphic>
                </wp:inline>
              </w:drawing>
            </w:r>
            <w:r>
              <w:rPr/>
              <w:t xml:space="preserve"> </w:t>
            </w:r>
          </w:p>
          <w:p>
            <w:pPr>
              <w:pStyle w:val="TableContents"/>
              <w:bidi w:val="0"/>
              <w:spacing w:lineRule="atLeast" w:line="260" w:before="400" w:after="283"/>
              <w:jc w:val="left"/>
              <w:rPr>
                <w:b/>
                <w:sz w:val="24"/>
              </w:rPr>
            </w:pPr>
            <w:r>
              <w:rPr>
                <w:b/>
                <w:sz w:val="24"/>
              </w:rPr>
              <w:t>Janet S. Wong</w:t>
            </w:r>
          </w:p>
          <w:p>
            <w:pPr>
              <w:pStyle w:val="TableContents"/>
              <w:bidi w:val="0"/>
              <w:spacing w:lineRule="atLeast" w:line="180" w:before="180" w:after="283"/>
              <w:jc w:val="left"/>
              <w:rPr>
                <w:sz w:val="16"/>
              </w:rPr>
            </w:pPr>
            <w:r>
              <w:rPr>
                <w:sz w:val="16"/>
              </w:rPr>
              <w:t>Board Member</w:t>
            </w:r>
          </w:p>
          <w:p>
            <w:pPr>
              <w:pStyle w:val="TableContents"/>
              <w:bidi w:val="0"/>
              <w:spacing w:lineRule="atLeast" w:line="180" w:before="180" w:after="283"/>
              <w:jc w:val="left"/>
              <w:rPr>
                <w:sz w:val="16"/>
              </w:rPr>
            </w:pPr>
            <w:r>
              <w:rPr>
                <w:sz w:val="16"/>
              </w:rPr>
              <w:t>Age: 65</w:t>
              <w:br/>
              <w:t xml:space="preserve">Director Since: 2021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6456" w:type="dxa"/>
            <w:tcBorders>
              <w:bottom w:val="single" w:sz="6" w:space="0" w:color="000000"/>
            </w:tcBorders>
            <w:tcMar>
              <w:bottom w:w="360" w:type="dxa"/>
            </w:tcMar>
            <w:vAlign w:val="center"/>
          </w:tcPr>
          <w:p>
            <w:pPr>
              <w:pStyle w:val="TableContents"/>
              <w:bidi w:val="0"/>
              <w:spacing w:lineRule="atLeast" w:line="220" w:before="0" w:after="0"/>
              <w:jc w:val="left"/>
              <w:rPr/>
            </w:pPr>
            <w:r>
              <w:rPr>
                <w:b/>
              </w:rPr>
              <w:t>Janet S. Wong</w:t>
            </w:r>
            <w:r>
              <w:rPr/>
              <w:t xml:space="preserve"> has been a member of our Board of Directors since July 2021. Ms. Wong is a licensed Certified Public Accountant with more than 30 years of public accounting experience. She is a partner (retired) with KPMG LLP, an international professional services firm, where she served as a National Industry Practice Lead Partner. Ms. Wong has served as a director of Enviva Inc., a global energy company, since May 2015 and a director of Lumentum Holdings Inc., a manufacturer of innovative optical and photonic products as well as developer of next-generation technologies since September 2020. She previously served as a director of Shine Technologies, a private company focusing on nuclear technology and clean energy, from April 2021 to August 2022 and a director of Allegiance Bancshares, Inc., a commercial banking organization, from April 2020 to October 2022. In addition, she served on the advisory board of Big Controls Inc., a business intelligence and analytics company, from May 2016 to May 2020. She also serves on the non-profit boards of the Louisiana Tech University Foundation and of the Tri-Cities Chapter of the National Association of Corporate Directors. Ms. Wong is an established thought leader on board governance, risk and regulatory matters (including cyber, M&amp;A, and strategy). She holds a Master of Professional Accountancy from Louisiana Tech University and a Master of Taxation from Golden Gate University. She is a NACD (National Association of Corporate Directors) Certified® Director, a professional credential supporting her qualifications and experience as a corporate board director. Ms. Wong has completed Executive Education Programs at Harvard Business School and Stanford Law School.</w:t>
            </w:r>
          </w:p>
          <w:p>
            <w:pPr>
              <w:pStyle w:val="TableContents"/>
              <w:bidi w:val="0"/>
              <w:spacing w:lineRule="atLeast" w:line="220" w:before="180" w:after="283"/>
              <w:jc w:val="left"/>
              <w:rPr>
                <w:b/>
                <w:color w:val="8A6B24"/>
              </w:rPr>
            </w:pPr>
            <w:r>
              <w:rPr>
                <w:b/>
                <w:color w:val="8A6B24"/>
              </w:rPr>
              <w:t>Skills and Qualifications</w:t>
            </w:r>
          </w:p>
          <w:p>
            <w:pPr>
              <w:pStyle w:val="TableContents"/>
              <w:bidi w:val="0"/>
              <w:spacing w:lineRule="atLeast" w:line="220" w:before="120" w:after="283"/>
              <w:jc w:val="left"/>
              <w:rPr/>
            </w:pPr>
            <w:r>
              <w:rPr/>
              <w:t>We believe Ms. Wong is qualified to serve as a director because of her many years of public accounting experience serving global companies, her deep financial and enterprise risk management expertise, and her experience advising sophisticated enterprises in the consumer markets, energy, manufacturing, and technology sectors as well as her governance experience serving public company and private company boards.</w:t>
            </w:r>
          </w:p>
        </w:tc>
        <w:tc>
          <w:tcPr>
            <w:tcW w:w="155"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lineRule="atLeast" w:line="200" w:before="250" w:after="283"/>
        <w:ind w:left="720" w:right="0" w:hanging="0"/>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Vote Required</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For the election of directors, the nines nominees receiving the most “For” votes from the holders of shares present at the Annual Meeting or represented by proxy and entitled to vote on Proposal No. 1 will be elected as directors to hold office until the 2025 Annual Meeting and until their respective successors are duly elected and qualified, or, if sooner, until the director’s death, resignation or removal. Only votes “For” or “Withheld” will affect the outcome. Broker non-votes will have no effect.</w:t>
      </w:r>
      <w:r>
        <w:rPr>
          <w:rFonts w:ascii="Helvetica;Arial;sans-serif" w:hAnsi="Helvetica;Arial;sans-serif"/>
          <w:b w:val="false"/>
          <w:i w:val="false"/>
          <w:caps w:val="false"/>
          <w:smallCaps w:val="false"/>
          <w:color w:val="000000"/>
          <w:spacing w:val="4"/>
          <w:sz w:val="18"/>
        </w:rPr>
        <w:t xml:space="preserve"> </w:t>
      </w:r>
    </w:p>
    <w:tbl>
      <w:tblPr>
        <w:tblW w:w="7374" w:type="dxa"/>
        <w:jc w:val="left"/>
        <w:tblInd w:w="720" w:type="dxa"/>
        <w:tblLayout w:type="fixed"/>
        <w:tblCellMar>
          <w:top w:w="0" w:type="dxa"/>
          <w:left w:w="0" w:type="dxa"/>
          <w:bottom w:w="0" w:type="dxa"/>
          <w:right w:w="0" w:type="dxa"/>
        </w:tblCellMar>
      </w:tblPr>
      <w:tblGrid>
        <w:gridCol w:w="124"/>
        <w:gridCol w:w="7096"/>
        <w:gridCol w:w="154"/>
      </w:tblGrid>
      <w:tr>
        <w:trPr/>
        <w:tc>
          <w:tcPr>
            <w:tcW w:w="124" w:type="dxa"/>
            <w:tcBorders/>
            <w:shd w:fill="000000" w:val="clear"/>
            <w:vAlign w:val="center"/>
          </w:tcPr>
          <w:p>
            <w:pPr>
              <w:pStyle w:val="TableContents"/>
              <w:bidi w:val="0"/>
              <w:spacing w:before="0" w:after="283"/>
              <w:jc w:val="left"/>
              <w:rPr/>
            </w:pPr>
            <w:r>
              <w:rPr/>
              <w:t>​</w:t>
            </w:r>
          </w:p>
        </w:tc>
        <w:tc>
          <w:tcPr>
            <w:tcW w:w="7096" w:type="dxa"/>
            <w:tcBorders/>
            <w:shd w:fill="000000" w:val="clear"/>
            <w:vAlign w:val="center"/>
          </w:tcPr>
          <w:p>
            <w:pPr>
              <w:pStyle w:val="TableContents"/>
              <w:bidi w:val="0"/>
              <w:spacing w:before="0" w:after="0"/>
              <w:jc w:val="center"/>
              <w:rPr/>
            </w:pPr>
            <w:r>
              <w:rPr/>
              <w:t xml:space="preserve">THE BOARD OF DIRECTORS RECOMMENDS A VOTE </w:t>
              <w:br/>
              <w:t>“FOR” EACH NAMED DIRECTOR NOMINEE (PROPOSAL NO. 1)</w:t>
            </w:r>
          </w:p>
        </w:tc>
        <w:tc>
          <w:tcPr>
            <w:tcW w:w="154" w:type="dxa"/>
            <w:tcBorders/>
            <w:shd w:fill="000000" w:val="clear"/>
            <w:vAlign w:val="center"/>
          </w:tcPr>
          <w:p>
            <w:pPr>
              <w:pStyle w:val="TableContents"/>
              <w:bidi w:val="0"/>
              <w:spacing w:before="0" w:after="283"/>
              <w:jc w:val="left"/>
              <w:rPr/>
            </w:pPr>
            <w:r>
              <w:rPr/>
              <w:t>​</w:t>
            </w:r>
          </w:p>
        </w:tc>
      </w:tr>
    </w:tbl>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15</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IRTB"/>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430" w:before="840" w:after="283"/>
        <w:ind w:left="720" w:right="0" w:hanging="0"/>
        <w:jc w:val="left"/>
        <w:rPr>
          <w:rFonts w:ascii="Times New Roman;Garamond;serif" w:hAnsi="Times New Roman;Garamond;serif"/>
          <w:b/>
          <w:i w:val="false"/>
          <w:caps w:val="false"/>
          <w:smallCaps w:val="false"/>
          <w:color w:val="000000"/>
          <w:sz w:val="40"/>
        </w:rPr>
      </w:pPr>
      <w:r>
        <w:rPr>
          <w:rFonts w:ascii="Times New Roman;Garamond;serif" w:hAnsi="Times New Roman;Garamond;serif"/>
          <w:b/>
          <w:i w:val="false"/>
          <w:caps w:val="false"/>
          <w:smallCaps w:val="false"/>
          <w:color w:val="000000"/>
          <w:sz w:val="40"/>
        </w:rPr>
        <w:t>I</w:t>
      </w:r>
      <w:r>
        <w:rPr>
          <w:rFonts w:ascii="Times New Roman;Garamond;serif" w:hAnsi="Times New Roman;Garamond;serif"/>
          <w:b/>
          <w:i w:val="false"/>
          <w:caps w:val="false"/>
          <w:smallCaps w:val="false"/>
          <w:color w:val="000000"/>
          <w:sz w:val="40"/>
        </w:rPr>
        <w:t>NFORMATION</w:t>
      </w:r>
      <w:r>
        <w:rPr>
          <w:rFonts w:ascii="Times New Roman;Garamond;serif" w:hAnsi="Times New Roman;Garamond;serif"/>
          <w:b/>
          <w:i w:val="false"/>
          <w:caps w:val="false"/>
          <w:smallCaps w:val="false"/>
          <w:color w:val="000000"/>
          <w:sz w:val="40"/>
        </w:rPr>
        <w:t xml:space="preserve"> R</w:t>
      </w:r>
      <w:r>
        <w:rPr>
          <w:rFonts w:ascii="Times New Roman;Garamond;serif" w:hAnsi="Times New Roman;Garamond;serif"/>
          <w:b/>
          <w:i w:val="false"/>
          <w:caps w:val="false"/>
          <w:smallCaps w:val="false"/>
          <w:color w:val="000000"/>
          <w:sz w:val="40"/>
        </w:rPr>
        <w:t>EGARDING THE</w:t>
      </w:r>
      <w:r>
        <w:rPr>
          <w:rFonts w:ascii="Times New Roman;Garamond;serif" w:hAnsi="Times New Roman;Garamond;serif"/>
          <w:b/>
          <w:i w:val="false"/>
          <w:caps w:val="false"/>
          <w:smallCaps w:val="false"/>
          <w:color w:val="000000"/>
          <w:sz w:val="40"/>
        </w:rPr>
        <w:t xml:space="preserve"> B</w:t>
      </w:r>
      <w:r>
        <w:rPr>
          <w:rFonts w:ascii="Times New Roman;Garamond;serif" w:hAnsi="Times New Roman;Garamond;serif"/>
          <w:b/>
          <w:i w:val="false"/>
          <w:caps w:val="false"/>
          <w:smallCaps w:val="false"/>
          <w:color w:val="000000"/>
          <w:sz w:val="40"/>
        </w:rPr>
        <w:t>OARD OF</w:t>
      </w:r>
      <w:r>
        <w:rPr>
          <w:rFonts w:ascii="Times New Roman;Garamond;serif" w:hAnsi="Times New Roman;Garamond;serif"/>
          <w:b/>
          <w:i w:val="false"/>
          <w:caps w:val="false"/>
          <w:smallCaps w:val="false"/>
          <w:color w:val="000000"/>
          <w:sz w:val="40"/>
        </w:rPr>
        <w:t xml:space="preserve"> D</w:t>
      </w:r>
      <w:r>
        <w:rPr>
          <w:rFonts w:ascii="Times New Roman;Garamond;serif" w:hAnsi="Times New Roman;Garamond;serif"/>
          <w:b/>
          <w:i w:val="false"/>
          <w:caps w:val="false"/>
          <w:smallCaps w:val="false"/>
          <w:color w:val="000000"/>
          <w:sz w:val="40"/>
        </w:rPr>
        <w:t>IRECTORS AND</w:t>
      </w:r>
      <w:r>
        <w:rPr>
          <w:rFonts w:ascii="Times New Roman;Garamond;serif" w:hAnsi="Times New Roman;Garamond;serif"/>
          <w:b/>
          <w:i w:val="false"/>
          <w:caps w:val="false"/>
          <w:smallCaps w:val="false"/>
          <w:color w:val="000000"/>
          <w:sz w:val="40"/>
        </w:rPr>
        <w:t xml:space="preserve"> C</w:t>
      </w:r>
      <w:r>
        <w:rPr>
          <w:rFonts w:ascii="Times New Roman;Garamond;serif" w:hAnsi="Times New Roman;Garamond;serif"/>
          <w:b/>
          <w:i w:val="false"/>
          <w:caps w:val="false"/>
          <w:smallCaps w:val="false"/>
          <w:color w:val="000000"/>
          <w:sz w:val="40"/>
        </w:rPr>
        <w:t>ORPORATE</w:t>
      </w:r>
      <w:r>
        <w:rPr>
          <w:rFonts w:ascii="Times New Roman;Garamond;serif" w:hAnsi="Times New Roman;Garamond;serif"/>
          <w:b/>
          <w:i w:val="false"/>
          <w:caps w:val="false"/>
          <w:smallCaps w:val="false"/>
          <w:color w:val="000000"/>
          <w:sz w:val="40"/>
        </w:rPr>
        <w:t xml:space="preserve"> G</w:t>
      </w:r>
      <w:r>
        <w:rPr>
          <w:rFonts w:ascii="Times New Roman;Garamond;serif" w:hAnsi="Times New Roman;Garamond;serif"/>
          <w:b/>
          <w:i w:val="false"/>
          <w:caps w:val="false"/>
          <w:smallCaps w:val="false"/>
          <w:color w:val="000000"/>
          <w:sz w:val="40"/>
        </w:rPr>
        <w:t>OVERNANCE</w:t>
      </w:r>
      <w:r>
        <w:rPr>
          <w:rFonts w:ascii="Times New Roman;Garamond;serif" w:hAnsi="Times New Roman;Garamond;serif"/>
          <w:b/>
          <w:i w:val="false"/>
          <w:caps w:val="false"/>
          <w:smallCaps w:val="false"/>
          <w:color w:val="000000"/>
          <w:spacing w:val="8"/>
          <w:sz w:val="40"/>
        </w:rPr>
        <w:t xml:space="preserve"> </w:t>
      </w:r>
    </w:p>
    <w:p>
      <w:pPr>
        <w:pStyle w:val="TextBody"/>
        <w:bidi w:val="0"/>
        <w:spacing w:lineRule="atLeast" w:line="230" w:before="40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This section describes key corporate governance guidelines and practices that we have adopted. Complete copies of our Corporate Governance Guidelines, the charters of the committees of the Board and our Code of Business Conduct and Ethics, described below, can be found in the Governance section of the Investors section of our website at https://ir.lucidmotors.com/​governance/documents-and-charters. Alternatively, you can request a copy of any of these documents free of charge by writing to: Secretary at Lucid Group, Inc., 7373 Gateway Boulevard, Newark, CA 94560. Information on or accessible through our website is not incorporated by reference in this Proxy Statement.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Controlled Company</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Our Common Stock is listed on Nasdaq. As Ayar controls more than 50% of our combined voting power, we are a “controlled company” for purposes of Nasdaq’s rules and corporate governance standards and, as a result, qualify for exemptions from certain corporate governance requirements. Although, as of the date of this Proxy Statement, we do not utilize any of these exemptions, we may elect to utilize one or more of these exemptions for so long as we remain a “controlled company.” In the event that we cease to be a “controlled company” and our shares continue to be listed on Nasdaq, we will be required to comply with these provisions within the applicable transition periods.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Board Composition</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Our Board of Directors consists of nine members. Turqi Alnowaiser is the Chairman of our Board. The primary responsibilities of our Board are to provide oversight, strategic guidance, counseling and direction to management. Our Board meets on a regular basis and additionally, as required. In accordance with the Investor Rights Agreement, Turqi Alnowaiser, Andrew Liveris, Sherif Marakby, Nichelle Maynard-Elliott and Ori Winitzer were designated for nomination by Ayar to the Board of Directors and nominated by the Nominating and Corporate Governance Committee and the Board.</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All directors will be elected at each annual meeting of our stockholders. Each director’s term continues until the election and qualification of their successor, or such director’s earlier death, resignation or removal.</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Director Independence</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Board has affirmatively determined that all of the nominees, other than Peter Rawlinson, are independent directors within the meaning of the applicable Nasdaq listing standards and that each such nominee is free of any relationship that would impair his or her individual exercise of independent judgment with regard to our Company (the “Independent Directors”). In making these determinations, our Board of Directors considered the current and prior relationships that each Independent Director has with our Company and all other facts and circumstances our Board of Directors deemed relevant in determining their independence, including the beneficial ownership of our capital stock by each Independent Director, and the transactions involving them described in the section entitled “Certain Relationships and Related Party Transactions.” There are no family relationships among any current director, director nominee and/or any of our executive officers.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Board Leadership Structure</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Board reviews its leadership structure periodically as part of its annual self-assessment process. In addition, the Board continues to monitor developments in corporate governance as well as the approaches our peers undertake.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The Board believes that it is important to retain the flexibility to allocate the responsibilities of the offices of Chairman of the Board and Chief Executive Officer in any manner that it determines to be in the best interests of the Company at any point in time. Our Chairman of the Board is currently Turqi Alnowaiser. The Chairman of the Board and our Chief Executive Officer are currently separate. Our Board of Directors does not currently have a policy as to whether the role of Chairman of the Board and the Chief Executive Officer should be separate. Our Board of Directors believes that the Company and its stockholders are best served by maintaining the flexibility to determine whether the Chairman of the Board and Chief Executive Officer positions should be separated or combined at a given point in time in order to provide appropriate leadership for us at that time. At any time the Company is not availing itself of the “controlled company” exceptions under Nasdaq rules, in order to maintain the independent integrity of the Board, if the Chairman of the Board is not an independent director, the Board shall appoint a lead director who must be independent. Our Corporate Governance Guidelines note that all directors are elected by the stockholders and all have an </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16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84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equal voice. The Chairman of the Board and the Chief Executive Officer are free, as is the Board of Directors as a whole, to call upon any one or more directors to provide leadership in a given situation should a special need arise.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Additionally, pursuant to the Investor Rights Agreement, and subject to Ayar’s continued beneficial ownership of specified amounts of our Common Stock (as described above), Ayar is entitled to select the Chairman of the Board.</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Board of Directors, including each of its committees, also has complete and open access to any member of the Company’s management and the authority to retain independent advisors as the Board or such committee deems appropriate. In addition, all members of the Audit Committee, the Nominating and Corporate Governance Committee and the Compensation and Human Capital Committee are Independent Directors, and the committee chairs have authority to hold executive sessions without management and non-Independent Directors present.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Board Diversity</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2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We are committed to diversity and inclusion, and the highly diverse nature of our Board reflects that commitment. We believe that a variety of experiences and viewpoints contribute to a more effective decision-making process.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Board Diversity Matrix below reports self-identified diversity statistics for the Board in the format required by Nasdaq’s rules.</w:t>
      </w:r>
      <w:r>
        <w:rPr>
          <w:rFonts w:ascii="Helvetica;Arial;sans-serif" w:hAnsi="Helvetica;Arial;sans-serif"/>
          <w:b w:val="false"/>
          <w:i w:val="false"/>
          <w:caps w:val="false"/>
          <w:smallCaps w:val="false"/>
          <w:color w:val="000000"/>
          <w:spacing w:val="4"/>
          <w:sz w:val="18"/>
        </w:rPr>
        <w:t xml:space="preserve"> </w:t>
      </w:r>
    </w:p>
    <w:tbl>
      <w:tblPr>
        <w:tblW w:w="9261" w:type="dxa"/>
        <w:jc w:val="left"/>
        <w:tblInd w:w="720" w:type="dxa"/>
        <w:tblLayout w:type="fixed"/>
        <w:tblCellMar>
          <w:top w:w="0" w:type="dxa"/>
          <w:left w:w="0" w:type="dxa"/>
          <w:bottom w:w="28" w:type="dxa"/>
          <w:right w:w="0" w:type="dxa"/>
        </w:tblCellMar>
      </w:tblPr>
      <w:tblGrid>
        <w:gridCol w:w="124"/>
        <w:gridCol w:w="4396"/>
        <w:gridCol w:w="109"/>
        <w:gridCol w:w="109"/>
        <w:gridCol w:w="167"/>
        <w:gridCol w:w="167"/>
        <w:gridCol w:w="349"/>
        <w:gridCol w:w="170"/>
        <w:gridCol w:w="109"/>
        <w:gridCol w:w="109"/>
        <w:gridCol w:w="114"/>
        <w:gridCol w:w="114"/>
        <w:gridCol w:w="301"/>
        <w:gridCol w:w="114"/>
        <w:gridCol w:w="109"/>
        <w:gridCol w:w="109"/>
        <w:gridCol w:w="256"/>
        <w:gridCol w:w="256"/>
        <w:gridCol w:w="533"/>
        <w:gridCol w:w="258"/>
        <w:gridCol w:w="109"/>
        <w:gridCol w:w="109"/>
        <w:gridCol w:w="180"/>
        <w:gridCol w:w="180"/>
        <w:gridCol w:w="374"/>
        <w:gridCol w:w="182"/>
        <w:gridCol w:w="154"/>
      </w:tblGrid>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8983" w:type="dxa"/>
            <w:gridSpan w:val="25"/>
            <w:tcBorders>
              <w:bottom w:val="single" w:sz="2" w:space="0" w:color="FEFEFE"/>
            </w:tcBorders>
            <w:shd w:fill="000000" w:val="clear"/>
            <w:tcMar>
              <w:bottom w:w="100" w:type="dxa"/>
            </w:tcMar>
            <w:vAlign w:val="center"/>
          </w:tcPr>
          <w:p>
            <w:pPr>
              <w:pStyle w:val="TableContents"/>
              <w:bidi w:val="0"/>
              <w:spacing w:before="0" w:after="0"/>
              <w:jc w:val="center"/>
              <w:rPr/>
            </w:pPr>
            <w:r>
              <w:rPr/>
              <w:t xml:space="preserve">Board Diversity Matrix (as of April 2, 2024) </w:t>
            </w:r>
          </w:p>
        </w:tc>
        <w:tc>
          <w:tcPr>
            <w:tcW w:w="154" w:type="dxa"/>
            <w:tcBorders>
              <w:bottom w:val="single" w:sz="2" w:space="0" w:color="000000"/>
            </w:tcBorders>
            <w:shd w:fill="000000" w:val="clear"/>
            <w:vAlign w:val="center"/>
          </w:tcPr>
          <w:p>
            <w:pPr>
              <w:pStyle w:val="TableContents"/>
              <w:bidi w:val="0"/>
              <w:spacing w:before="0" w:after="283"/>
              <w:jc w:val="left"/>
              <w:rPr/>
            </w:pPr>
            <w:r>
              <w:rPr/>
              <w:t>​</w:t>
            </w:r>
          </w:p>
        </w:tc>
      </w:tr>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4396" w:type="dxa"/>
            <w:tcBorders>
              <w:bottom w:val="single" w:sz="2" w:space="0" w:color="FEFEFE"/>
            </w:tcBorders>
            <w:shd w:fill="000000" w:val="clear"/>
            <w:tcMar>
              <w:bottom w:w="100" w:type="dxa"/>
            </w:tcMar>
            <w:vAlign w:val="center"/>
          </w:tcPr>
          <w:p>
            <w:pPr>
              <w:pStyle w:val="TableContents"/>
              <w:bidi w:val="0"/>
              <w:spacing w:before="0" w:after="0"/>
              <w:jc w:val="left"/>
              <w:rPr/>
            </w:pPr>
            <w:r>
              <w:rPr/>
              <w:t xml:space="preserve">Total Number of Directors </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4369" w:type="dxa"/>
            <w:gridSpan w:val="22"/>
            <w:tcBorders>
              <w:bottom w:val="single" w:sz="2" w:space="0" w:color="FEFEFE"/>
            </w:tcBorders>
            <w:shd w:fill="000000" w:val="clear"/>
            <w:tcMar>
              <w:bottom w:w="100" w:type="dxa"/>
            </w:tcMar>
            <w:vAlign w:val="center"/>
          </w:tcPr>
          <w:p>
            <w:pPr>
              <w:pStyle w:val="TableContents"/>
              <w:bidi w:val="0"/>
              <w:spacing w:before="0" w:after="0"/>
              <w:jc w:val="center"/>
              <w:rPr/>
            </w:pPr>
            <w:r>
              <w:rPr/>
              <w:t xml:space="preserve">9 </w:t>
            </w:r>
          </w:p>
        </w:tc>
        <w:tc>
          <w:tcPr>
            <w:tcW w:w="154" w:type="dxa"/>
            <w:tcBorders>
              <w:bottom w:val="single" w:sz="2" w:space="0" w:color="000000"/>
            </w:tcBorders>
            <w:shd w:fill="000000" w:val="clear"/>
            <w:vAlign w:val="center"/>
          </w:tcPr>
          <w:p>
            <w:pPr>
              <w:pStyle w:val="TableContents"/>
              <w:bidi w:val="0"/>
              <w:spacing w:before="0" w:after="283"/>
              <w:jc w:val="left"/>
              <w:rPr/>
            </w:pPr>
            <w:r>
              <w:rPr/>
              <w:t>​</w:t>
            </w:r>
          </w:p>
        </w:tc>
      </w:tr>
      <w:tr>
        <w:trPr/>
        <w:tc>
          <w:tcPr>
            <w:tcW w:w="124" w:type="dxa"/>
            <w:tcBorders/>
            <w:shd w:fill="000000" w:val="clear"/>
            <w:tcMar>
              <w:bottom w:w="0" w:type="dxa"/>
            </w:tcMar>
            <w:vAlign w:val="center"/>
          </w:tcPr>
          <w:p>
            <w:pPr>
              <w:pStyle w:val="TableContents"/>
              <w:bidi w:val="0"/>
              <w:spacing w:before="0" w:after="283"/>
              <w:jc w:val="left"/>
              <w:rPr/>
            </w:pPr>
            <w:r>
              <w:rPr/>
              <w:t>​</w:t>
            </w:r>
          </w:p>
        </w:tc>
        <w:tc>
          <w:tcPr>
            <w:tcW w:w="4396"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853" w:type="dxa"/>
            <w:gridSpan w:val="4"/>
            <w:tcBorders/>
            <w:shd w:fill="000000" w:val="clear"/>
            <w:tcMar>
              <w:bottom w:w="0" w:type="dxa"/>
            </w:tcMar>
            <w:vAlign w:val="center"/>
          </w:tcPr>
          <w:p>
            <w:pPr>
              <w:pStyle w:val="TableContents"/>
              <w:bidi w:val="0"/>
              <w:spacing w:before="0" w:after="0"/>
              <w:jc w:val="center"/>
              <w:rPr/>
            </w:pPr>
            <w:r>
              <w:rPr/>
              <w:t xml:space="preserve">Female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643" w:type="dxa"/>
            <w:gridSpan w:val="4"/>
            <w:tcBorders/>
            <w:shd w:fill="000000" w:val="clear"/>
            <w:tcMar>
              <w:bottom w:w="0" w:type="dxa"/>
            </w:tcMar>
            <w:vAlign w:val="center"/>
          </w:tcPr>
          <w:p>
            <w:pPr>
              <w:pStyle w:val="TableContents"/>
              <w:bidi w:val="0"/>
              <w:spacing w:before="0" w:after="0"/>
              <w:jc w:val="center"/>
              <w:rPr/>
            </w:pPr>
            <w:r>
              <w:rPr/>
              <w:t xml:space="preserve">Male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303" w:type="dxa"/>
            <w:gridSpan w:val="4"/>
            <w:tcBorders/>
            <w:shd w:fill="000000" w:val="clear"/>
            <w:tcMar>
              <w:bottom w:w="0" w:type="dxa"/>
            </w:tcMar>
            <w:vAlign w:val="center"/>
          </w:tcPr>
          <w:p>
            <w:pPr>
              <w:pStyle w:val="TableContents"/>
              <w:bidi w:val="0"/>
              <w:spacing w:before="0" w:after="0"/>
              <w:jc w:val="center"/>
              <w:rPr/>
            </w:pPr>
            <w:r>
              <w:rPr/>
              <w:t xml:space="preserve">Non-Binary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916" w:type="dxa"/>
            <w:gridSpan w:val="4"/>
            <w:tcBorders/>
            <w:shd w:fill="000000" w:val="clear"/>
            <w:tcMar>
              <w:bottom w:w="0" w:type="dxa"/>
            </w:tcMar>
            <w:vAlign w:val="center"/>
          </w:tcPr>
          <w:p>
            <w:pPr>
              <w:pStyle w:val="TableContents"/>
              <w:bidi w:val="0"/>
              <w:spacing w:before="0" w:after="0"/>
              <w:jc w:val="center"/>
              <w:rPr/>
            </w:pPr>
            <w:r>
              <w:rPr/>
              <w:t>Did Not</w:t>
              <w:br/>
              <w:t>Disclose</w:t>
              <w:br/>
              <w:t xml:space="preserve">Gender </w:t>
            </w:r>
          </w:p>
        </w:tc>
        <w:tc>
          <w:tcPr>
            <w:tcW w:w="154" w:type="dxa"/>
            <w:tcBorders/>
            <w:shd w:fill="000000"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4396" w:type="dxa"/>
            <w:tcBorders>
              <w:bottom w:val="single" w:sz="6" w:space="0" w:color="000000"/>
            </w:tcBorders>
            <w:tcMar>
              <w:bottom w:w="85" w:type="dxa"/>
            </w:tcMar>
            <w:vAlign w:val="center"/>
          </w:tcPr>
          <w:p>
            <w:pPr>
              <w:pStyle w:val="TableContents"/>
              <w:bidi w:val="0"/>
              <w:spacing w:before="0" w:after="283"/>
              <w:jc w:val="left"/>
              <w:rPr/>
            </w:pPr>
            <w:r>
              <w:rPr/>
              <w:t>Part I: Gender Identity</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7" w:type="dxa"/>
            <w:tcBorders>
              <w:bottom w:val="single" w:sz="6" w:space="0" w:color="000000"/>
            </w:tcBorders>
            <w:vAlign w:val="center"/>
          </w:tcPr>
          <w:p>
            <w:pPr>
              <w:pStyle w:val="TableContents"/>
              <w:bidi w:val="0"/>
              <w:spacing w:before="0" w:after="283"/>
              <w:jc w:val="left"/>
              <w:rPr/>
            </w:pPr>
            <w:r>
              <w:rPr/>
              <w:t>​</w:t>
            </w:r>
          </w:p>
        </w:tc>
        <w:tc>
          <w:tcPr>
            <w:tcW w:w="167" w:type="dxa"/>
            <w:tcBorders>
              <w:bottom w:val="single" w:sz="6" w:space="0" w:color="000000"/>
            </w:tcBorders>
            <w:vAlign w:val="center"/>
          </w:tcPr>
          <w:p>
            <w:pPr>
              <w:pStyle w:val="TableContents"/>
              <w:bidi w:val="0"/>
              <w:spacing w:before="0" w:after="283"/>
              <w:jc w:val="right"/>
              <w:rPr/>
            </w:pPr>
            <w:r>
              <w:rPr/>
              <w:t>​</w:t>
            </w:r>
          </w:p>
        </w:tc>
        <w:tc>
          <w:tcPr>
            <w:tcW w:w="349" w:type="dxa"/>
            <w:tcBorders>
              <w:bottom w:val="single" w:sz="6" w:space="0" w:color="000000"/>
            </w:tcBorders>
            <w:vAlign w:val="center"/>
          </w:tcPr>
          <w:p>
            <w:pPr>
              <w:pStyle w:val="TableContents"/>
              <w:bidi w:val="0"/>
              <w:spacing w:before="0" w:after="283"/>
              <w:jc w:val="right"/>
              <w:rPr/>
            </w:pPr>
            <w:r>
              <w:rPr/>
              <w:t>​</w:t>
            </w:r>
          </w:p>
        </w:tc>
        <w:tc>
          <w:tcPr>
            <w:tcW w:w="170"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4" w:type="dxa"/>
            <w:tcBorders>
              <w:bottom w:val="single" w:sz="6" w:space="0" w:color="000000"/>
            </w:tcBorders>
            <w:vAlign w:val="center"/>
          </w:tcPr>
          <w:p>
            <w:pPr>
              <w:pStyle w:val="TableContents"/>
              <w:bidi w:val="0"/>
              <w:spacing w:before="0" w:after="283"/>
              <w:jc w:val="left"/>
              <w:rPr/>
            </w:pPr>
            <w:r>
              <w:rPr/>
              <w:t>​</w:t>
            </w:r>
          </w:p>
        </w:tc>
        <w:tc>
          <w:tcPr>
            <w:tcW w:w="114" w:type="dxa"/>
            <w:tcBorders>
              <w:bottom w:val="single" w:sz="6" w:space="0" w:color="000000"/>
            </w:tcBorders>
            <w:vAlign w:val="center"/>
          </w:tcPr>
          <w:p>
            <w:pPr>
              <w:pStyle w:val="TableContents"/>
              <w:bidi w:val="0"/>
              <w:spacing w:before="0" w:after="283"/>
              <w:jc w:val="right"/>
              <w:rPr/>
            </w:pPr>
            <w:r>
              <w:rPr/>
              <w:t>​</w:t>
            </w:r>
          </w:p>
        </w:tc>
        <w:tc>
          <w:tcPr>
            <w:tcW w:w="301" w:type="dxa"/>
            <w:tcBorders>
              <w:bottom w:val="single" w:sz="6" w:space="0" w:color="000000"/>
            </w:tcBorders>
            <w:vAlign w:val="center"/>
          </w:tcPr>
          <w:p>
            <w:pPr>
              <w:pStyle w:val="TableContents"/>
              <w:bidi w:val="0"/>
              <w:spacing w:before="0" w:after="283"/>
              <w:jc w:val="right"/>
              <w:rPr/>
            </w:pPr>
            <w:r>
              <w:rPr/>
              <w:t>​</w:t>
            </w:r>
          </w:p>
        </w:tc>
        <w:tc>
          <w:tcPr>
            <w:tcW w:w="114"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56" w:type="dxa"/>
            <w:tcBorders>
              <w:bottom w:val="single" w:sz="6" w:space="0" w:color="000000"/>
            </w:tcBorders>
            <w:vAlign w:val="center"/>
          </w:tcPr>
          <w:p>
            <w:pPr>
              <w:pStyle w:val="TableContents"/>
              <w:bidi w:val="0"/>
              <w:spacing w:before="0" w:after="283"/>
              <w:jc w:val="left"/>
              <w:rPr/>
            </w:pPr>
            <w:r>
              <w:rPr/>
              <w:t>​</w:t>
            </w:r>
          </w:p>
        </w:tc>
        <w:tc>
          <w:tcPr>
            <w:tcW w:w="256" w:type="dxa"/>
            <w:tcBorders>
              <w:bottom w:val="single" w:sz="6" w:space="0" w:color="000000"/>
            </w:tcBorders>
            <w:vAlign w:val="center"/>
          </w:tcPr>
          <w:p>
            <w:pPr>
              <w:pStyle w:val="TableContents"/>
              <w:bidi w:val="0"/>
              <w:spacing w:before="0" w:after="283"/>
              <w:jc w:val="right"/>
              <w:rPr/>
            </w:pPr>
            <w:r>
              <w:rPr/>
              <w:t>​</w:t>
            </w:r>
          </w:p>
        </w:tc>
        <w:tc>
          <w:tcPr>
            <w:tcW w:w="533" w:type="dxa"/>
            <w:tcBorders>
              <w:bottom w:val="single" w:sz="6" w:space="0" w:color="000000"/>
            </w:tcBorders>
            <w:vAlign w:val="center"/>
          </w:tcPr>
          <w:p>
            <w:pPr>
              <w:pStyle w:val="TableContents"/>
              <w:bidi w:val="0"/>
              <w:spacing w:before="0" w:after="283"/>
              <w:jc w:val="right"/>
              <w:rPr/>
            </w:pPr>
            <w:r>
              <w:rPr/>
              <w:t>​</w:t>
            </w:r>
          </w:p>
        </w:tc>
        <w:tc>
          <w:tcPr>
            <w:tcW w:w="258"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80" w:type="dxa"/>
            <w:tcBorders>
              <w:bottom w:val="single" w:sz="6" w:space="0" w:color="000000"/>
            </w:tcBorders>
            <w:vAlign w:val="center"/>
          </w:tcPr>
          <w:p>
            <w:pPr>
              <w:pStyle w:val="TableContents"/>
              <w:bidi w:val="0"/>
              <w:spacing w:before="0" w:after="283"/>
              <w:jc w:val="left"/>
              <w:rPr/>
            </w:pPr>
            <w:r>
              <w:rPr/>
              <w:t>​</w:t>
            </w:r>
          </w:p>
        </w:tc>
        <w:tc>
          <w:tcPr>
            <w:tcW w:w="180" w:type="dxa"/>
            <w:tcBorders>
              <w:bottom w:val="single" w:sz="6" w:space="0" w:color="000000"/>
            </w:tcBorders>
            <w:vAlign w:val="center"/>
          </w:tcPr>
          <w:p>
            <w:pPr>
              <w:pStyle w:val="TableContents"/>
              <w:bidi w:val="0"/>
              <w:spacing w:before="0" w:after="283"/>
              <w:jc w:val="right"/>
              <w:rPr/>
            </w:pPr>
            <w:r>
              <w:rPr/>
              <w:t>​</w:t>
            </w:r>
          </w:p>
        </w:tc>
        <w:tc>
          <w:tcPr>
            <w:tcW w:w="374" w:type="dxa"/>
            <w:tcBorders>
              <w:bottom w:val="single" w:sz="6" w:space="0" w:color="000000"/>
            </w:tcBorders>
            <w:vAlign w:val="center"/>
          </w:tcPr>
          <w:p>
            <w:pPr>
              <w:pStyle w:val="TableContents"/>
              <w:bidi w:val="0"/>
              <w:spacing w:before="0" w:after="283"/>
              <w:jc w:val="right"/>
              <w:rPr/>
            </w:pPr>
            <w:r>
              <w:rPr/>
              <w:t>​</w:t>
            </w:r>
          </w:p>
        </w:tc>
        <w:tc>
          <w:tcPr>
            <w:tcW w:w="182"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vAlign w:val="center"/>
          </w:tcPr>
          <w:p>
            <w:pPr>
              <w:pStyle w:val="TableContents"/>
              <w:bidi w:val="0"/>
              <w:spacing w:before="0" w:after="283"/>
              <w:jc w:val="left"/>
              <w:rPr/>
            </w:pPr>
            <w:r>
              <w:rPr/>
              <w:t>​</w:t>
            </w:r>
          </w:p>
        </w:tc>
        <w:tc>
          <w:tcPr>
            <w:tcW w:w="4396" w:type="dxa"/>
            <w:tcBorders>
              <w:bottom w:val="single" w:sz="6" w:space="0" w:color="000000"/>
            </w:tcBorders>
            <w:shd w:fill="F7F7F7" w:val="clear"/>
            <w:tcMar>
              <w:bottom w:w="85" w:type="dxa"/>
            </w:tcMar>
            <w:vAlign w:val="center"/>
          </w:tcPr>
          <w:p>
            <w:pPr>
              <w:pStyle w:val="TableContents"/>
              <w:bidi w:val="0"/>
              <w:spacing w:before="0" w:after="283"/>
              <w:jc w:val="left"/>
              <w:rPr/>
            </w:pPr>
            <w:r>
              <w:rPr/>
              <w:t xml:space="preserve">Directors </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67" w:type="dxa"/>
            <w:tcBorders>
              <w:bottom w:val="single" w:sz="6" w:space="0" w:color="000000"/>
            </w:tcBorders>
            <w:shd w:fill="F7F7F7" w:val="clear"/>
            <w:vAlign w:val="center"/>
          </w:tcPr>
          <w:p>
            <w:pPr>
              <w:pStyle w:val="TableContents"/>
              <w:bidi w:val="0"/>
              <w:spacing w:before="0" w:after="283"/>
              <w:jc w:val="left"/>
              <w:rPr/>
            </w:pPr>
            <w:r>
              <w:rPr/>
              <w:t>​</w:t>
            </w:r>
          </w:p>
        </w:tc>
        <w:tc>
          <w:tcPr>
            <w:tcW w:w="167" w:type="dxa"/>
            <w:tcBorders>
              <w:bottom w:val="single" w:sz="6" w:space="0" w:color="000000"/>
            </w:tcBorders>
            <w:shd w:fill="F7F7F7" w:val="clear"/>
            <w:tcMar>
              <w:bottom w:w="85" w:type="dxa"/>
            </w:tcMar>
            <w:vAlign w:val="center"/>
          </w:tcPr>
          <w:p>
            <w:pPr>
              <w:pStyle w:val="TableContents"/>
              <w:bidi w:val="0"/>
              <w:spacing w:before="0" w:after="283"/>
              <w:jc w:val="right"/>
              <w:rPr/>
            </w:pPr>
            <w:r>
              <w:rPr/>
              <w:t>​</w:t>
            </w:r>
          </w:p>
        </w:tc>
        <w:tc>
          <w:tcPr>
            <w:tcW w:w="349" w:type="dxa"/>
            <w:tcBorders>
              <w:bottom w:val="single" w:sz="6" w:space="0" w:color="000000"/>
            </w:tcBorders>
            <w:shd w:fill="F7F7F7" w:val="clear"/>
            <w:tcMar>
              <w:bottom w:w="85" w:type="dxa"/>
            </w:tcMar>
            <w:vAlign w:val="center"/>
          </w:tcPr>
          <w:p>
            <w:pPr>
              <w:pStyle w:val="TableContents"/>
              <w:bidi w:val="0"/>
              <w:spacing w:before="0" w:after="283"/>
              <w:jc w:val="right"/>
              <w:rPr/>
            </w:pPr>
            <w:r>
              <w:rPr/>
              <w:t xml:space="preserve">3 </w:t>
            </w:r>
          </w:p>
        </w:tc>
        <w:tc>
          <w:tcPr>
            <w:tcW w:w="170"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14" w:type="dxa"/>
            <w:tcBorders>
              <w:bottom w:val="single" w:sz="6" w:space="0" w:color="000000"/>
            </w:tcBorders>
            <w:shd w:fill="F7F7F7" w:val="cle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85" w:type="dxa"/>
            </w:tcMar>
            <w:vAlign w:val="center"/>
          </w:tcPr>
          <w:p>
            <w:pPr>
              <w:pStyle w:val="TableContents"/>
              <w:bidi w:val="0"/>
              <w:spacing w:before="0" w:after="283"/>
              <w:jc w:val="right"/>
              <w:rPr/>
            </w:pPr>
            <w:r>
              <w:rPr/>
              <w:t>​</w:t>
            </w:r>
          </w:p>
        </w:tc>
        <w:tc>
          <w:tcPr>
            <w:tcW w:w="301" w:type="dxa"/>
            <w:tcBorders>
              <w:bottom w:val="single" w:sz="6" w:space="0" w:color="000000"/>
            </w:tcBorders>
            <w:shd w:fill="F7F7F7" w:val="clear"/>
            <w:tcMar>
              <w:bottom w:w="85" w:type="dxa"/>
            </w:tcMar>
            <w:vAlign w:val="center"/>
          </w:tcPr>
          <w:p>
            <w:pPr>
              <w:pStyle w:val="TableContents"/>
              <w:bidi w:val="0"/>
              <w:spacing w:before="0" w:after="283"/>
              <w:jc w:val="right"/>
              <w:rPr/>
            </w:pPr>
            <w:r>
              <w:rPr/>
              <w:t xml:space="preserve">6 </w:t>
            </w:r>
          </w:p>
        </w:tc>
        <w:tc>
          <w:tcPr>
            <w:tcW w:w="114"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256" w:type="dxa"/>
            <w:tcBorders>
              <w:bottom w:val="single" w:sz="6" w:space="0" w:color="000000"/>
            </w:tcBorders>
            <w:shd w:fill="F7F7F7" w:val="clear"/>
            <w:vAlign w:val="center"/>
          </w:tcPr>
          <w:p>
            <w:pPr>
              <w:pStyle w:val="TableContents"/>
              <w:bidi w:val="0"/>
              <w:spacing w:before="0" w:after="283"/>
              <w:jc w:val="left"/>
              <w:rPr/>
            </w:pPr>
            <w:r>
              <w:rPr/>
              <w:t>​</w:t>
            </w:r>
          </w:p>
        </w:tc>
        <w:tc>
          <w:tcPr>
            <w:tcW w:w="256" w:type="dxa"/>
            <w:tcBorders>
              <w:bottom w:val="single" w:sz="6" w:space="0" w:color="000000"/>
            </w:tcBorders>
            <w:shd w:fill="F7F7F7" w:val="clear"/>
            <w:tcMar>
              <w:bottom w:w="85" w:type="dxa"/>
            </w:tcMar>
            <w:vAlign w:val="center"/>
          </w:tcPr>
          <w:p>
            <w:pPr>
              <w:pStyle w:val="TableContents"/>
              <w:bidi w:val="0"/>
              <w:spacing w:before="0" w:after="283"/>
              <w:jc w:val="right"/>
              <w:rPr/>
            </w:pPr>
            <w:r>
              <w:rPr/>
              <w:t>​</w:t>
            </w:r>
          </w:p>
        </w:tc>
        <w:tc>
          <w:tcPr>
            <w:tcW w:w="533" w:type="dxa"/>
            <w:tcBorders>
              <w:bottom w:val="single" w:sz="6" w:space="0" w:color="000000"/>
            </w:tcBorders>
            <w:shd w:fill="F7F7F7" w:val="clear"/>
            <w:tcMar>
              <w:bottom w:w="85" w:type="dxa"/>
            </w:tcMar>
            <w:vAlign w:val="center"/>
          </w:tcPr>
          <w:p>
            <w:pPr>
              <w:pStyle w:val="TableContents"/>
              <w:bidi w:val="0"/>
              <w:spacing w:before="0" w:after="283"/>
              <w:jc w:val="right"/>
              <w:rPr/>
            </w:pPr>
            <w:r>
              <w:rPr/>
              <w:t>0</w:t>
            </w:r>
          </w:p>
        </w:tc>
        <w:tc>
          <w:tcPr>
            <w:tcW w:w="258"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80" w:type="dxa"/>
            <w:tcBorders>
              <w:bottom w:val="single" w:sz="6" w:space="0" w:color="000000"/>
            </w:tcBorders>
            <w:shd w:fill="F7F7F7" w:val="clear"/>
            <w:vAlign w:val="center"/>
          </w:tcPr>
          <w:p>
            <w:pPr>
              <w:pStyle w:val="TableContents"/>
              <w:bidi w:val="0"/>
              <w:spacing w:before="0" w:after="283"/>
              <w:jc w:val="left"/>
              <w:rPr/>
            </w:pPr>
            <w:r>
              <w:rPr/>
              <w:t>​</w:t>
            </w:r>
          </w:p>
        </w:tc>
        <w:tc>
          <w:tcPr>
            <w:tcW w:w="180" w:type="dxa"/>
            <w:tcBorders>
              <w:bottom w:val="single" w:sz="6" w:space="0" w:color="000000"/>
            </w:tcBorders>
            <w:shd w:fill="F7F7F7" w:val="clear"/>
            <w:tcMar>
              <w:bottom w:w="85" w:type="dxa"/>
            </w:tcMar>
            <w:vAlign w:val="center"/>
          </w:tcPr>
          <w:p>
            <w:pPr>
              <w:pStyle w:val="TableContents"/>
              <w:bidi w:val="0"/>
              <w:spacing w:before="0" w:after="283"/>
              <w:jc w:val="right"/>
              <w:rPr/>
            </w:pPr>
            <w:r>
              <w:rPr/>
              <w:t>​</w:t>
            </w:r>
          </w:p>
        </w:tc>
        <w:tc>
          <w:tcPr>
            <w:tcW w:w="374" w:type="dxa"/>
            <w:tcBorders>
              <w:bottom w:val="single" w:sz="6" w:space="0" w:color="000000"/>
            </w:tcBorders>
            <w:shd w:fill="F7F7F7" w:val="clear"/>
            <w:tcMar>
              <w:bottom w:w="85" w:type="dxa"/>
            </w:tcMar>
            <w:vAlign w:val="center"/>
          </w:tcPr>
          <w:p>
            <w:pPr>
              <w:pStyle w:val="TableContents"/>
              <w:bidi w:val="0"/>
              <w:spacing w:before="0" w:after="283"/>
              <w:jc w:val="right"/>
              <w:rPr/>
            </w:pPr>
            <w:r>
              <w:rPr/>
              <w:t>0</w:t>
            </w:r>
          </w:p>
        </w:tc>
        <w:tc>
          <w:tcPr>
            <w:tcW w:w="182" w:type="dxa"/>
            <w:tcBorders>
              <w:bottom w:val="single" w:sz="6" w:space="0" w:color="000000"/>
            </w:tcBorders>
            <w:shd w:fill="F7F7F7" w:val="clear"/>
            <w:vAlign w:val="center"/>
          </w:tcPr>
          <w:p>
            <w:pPr>
              <w:pStyle w:val="TableContents"/>
              <w:bidi w:val="0"/>
              <w:spacing w:before="0" w:after="283"/>
              <w:jc w:val="left"/>
              <w:rPr/>
            </w:pPr>
            <w:r>
              <w:rPr/>
              <w:t>​</w:t>
            </w:r>
          </w:p>
        </w:tc>
        <w:tc>
          <w:tcPr>
            <w:tcW w:w="154" w:type="dxa"/>
            <w:tcBorders>
              <w:bottom w:val="single" w:sz="6" w:space="0" w:color="000000"/>
            </w:tcBorders>
            <w:shd w:fill="F7F7F7"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4396" w:type="dxa"/>
            <w:tcBorders>
              <w:bottom w:val="single" w:sz="6" w:space="0" w:color="000000"/>
            </w:tcBorders>
            <w:tcMar>
              <w:bottom w:w="85" w:type="dxa"/>
            </w:tcMar>
            <w:vAlign w:val="center"/>
          </w:tcPr>
          <w:p>
            <w:pPr>
              <w:pStyle w:val="TableContents"/>
              <w:bidi w:val="0"/>
              <w:spacing w:before="0" w:after="283"/>
              <w:jc w:val="left"/>
              <w:rPr/>
            </w:pPr>
            <w:r>
              <w:rPr/>
              <w:t>Part II: Demographic Background</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7" w:type="dxa"/>
            <w:tcBorders>
              <w:bottom w:val="single" w:sz="6" w:space="0" w:color="000000"/>
            </w:tcBorders>
            <w:vAlign w:val="center"/>
          </w:tcPr>
          <w:p>
            <w:pPr>
              <w:pStyle w:val="TableContents"/>
              <w:bidi w:val="0"/>
              <w:spacing w:before="0" w:after="283"/>
              <w:jc w:val="left"/>
              <w:rPr/>
            </w:pPr>
            <w:r>
              <w:rPr/>
              <w:t>​</w:t>
            </w:r>
          </w:p>
        </w:tc>
        <w:tc>
          <w:tcPr>
            <w:tcW w:w="167" w:type="dxa"/>
            <w:tcBorders>
              <w:bottom w:val="single" w:sz="6" w:space="0" w:color="000000"/>
            </w:tcBorders>
            <w:vAlign w:val="center"/>
          </w:tcPr>
          <w:p>
            <w:pPr>
              <w:pStyle w:val="TableContents"/>
              <w:bidi w:val="0"/>
              <w:spacing w:before="0" w:after="283"/>
              <w:jc w:val="right"/>
              <w:rPr/>
            </w:pPr>
            <w:r>
              <w:rPr/>
              <w:t>​</w:t>
            </w:r>
          </w:p>
        </w:tc>
        <w:tc>
          <w:tcPr>
            <w:tcW w:w="349" w:type="dxa"/>
            <w:tcBorders>
              <w:bottom w:val="single" w:sz="6" w:space="0" w:color="000000"/>
            </w:tcBorders>
            <w:vAlign w:val="center"/>
          </w:tcPr>
          <w:p>
            <w:pPr>
              <w:pStyle w:val="TableContents"/>
              <w:bidi w:val="0"/>
              <w:spacing w:before="0" w:after="283"/>
              <w:jc w:val="right"/>
              <w:rPr/>
            </w:pPr>
            <w:r>
              <w:rPr/>
              <w:t>​</w:t>
            </w:r>
          </w:p>
        </w:tc>
        <w:tc>
          <w:tcPr>
            <w:tcW w:w="170"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4" w:type="dxa"/>
            <w:tcBorders>
              <w:bottom w:val="single" w:sz="6" w:space="0" w:color="000000"/>
            </w:tcBorders>
            <w:vAlign w:val="center"/>
          </w:tcPr>
          <w:p>
            <w:pPr>
              <w:pStyle w:val="TableContents"/>
              <w:bidi w:val="0"/>
              <w:spacing w:before="0" w:after="283"/>
              <w:jc w:val="left"/>
              <w:rPr/>
            </w:pPr>
            <w:r>
              <w:rPr/>
              <w:t>​</w:t>
            </w:r>
          </w:p>
        </w:tc>
        <w:tc>
          <w:tcPr>
            <w:tcW w:w="114" w:type="dxa"/>
            <w:tcBorders>
              <w:bottom w:val="single" w:sz="6" w:space="0" w:color="000000"/>
            </w:tcBorders>
            <w:vAlign w:val="center"/>
          </w:tcPr>
          <w:p>
            <w:pPr>
              <w:pStyle w:val="TableContents"/>
              <w:bidi w:val="0"/>
              <w:spacing w:before="0" w:after="283"/>
              <w:jc w:val="right"/>
              <w:rPr/>
            </w:pPr>
            <w:r>
              <w:rPr/>
              <w:t>​</w:t>
            </w:r>
          </w:p>
        </w:tc>
        <w:tc>
          <w:tcPr>
            <w:tcW w:w="301" w:type="dxa"/>
            <w:tcBorders>
              <w:bottom w:val="single" w:sz="6" w:space="0" w:color="000000"/>
            </w:tcBorders>
            <w:vAlign w:val="center"/>
          </w:tcPr>
          <w:p>
            <w:pPr>
              <w:pStyle w:val="TableContents"/>
              <w:bidi w:val="0"/>
              <w:spacing w:before="0" w:after="283"/>
              <w:jc w:val="right"/>
              <w:rPr/>
            </w:pPr>
            <w:r>
              <w:rPr/>
              <w:t>​</w:t>
            </w:r>
          </w:p>
        </w:tc>
        <w:tc>
          <w:tcPr>
            <w:tcW w:w="114"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56" w:type="dxa"/>
            <w:tcBorders>
              <w:bottom w:val="single" w:sz="6" w:space="0" w:color="000000"/>
            </w:tcBorders>
            <w:vAlign w:val="center"/>
          </w:tcPr>
          <w:p>
            <w:pPr>
              <w:pStyle w:val="TableContents"/>
              <w:bidi w:val="0"/>
              <w:spacing w:before="0" w:after="283"/>
              <w:jc w:val="left"/>
              <w:rPr/>
            </w:pPr>
            <w:r>
              <w:rPr/>
              <w:t>​</w:t>
            </w:r>
          </w:p>
        </w:tc>
        <w:tc>
          <w:tcPr>
            <w:tcW w:w="256" w:type="dxa"/>
            <w:tcBorders>
              <w:bottom w:val="single" w:sz="6" w:space="0" w:color="000000"/>
            </w:tcBorders>
            <w:vAlign w:val="center"/>
          </w:tcPr>
          <w:p>
            <w:pPr>
              <w:pStyle w:val="TableContents"/>
              <w:bidi w:val="0"/>
              <w:spacing w:before="0" w:after="283"/>
              <w:jc w:val="right"/>
              <w:rPr/>
            </w:pPr>
            <w:r>
              <w:rPr/>
              <w:t>​</w:t>
            </w:r>
          </w:p>
        </w:tc>
        <w:tc>
          <w:tcPr>
            <w:tcW w:w="533" w:type="dxa"/>
            <w:tcBorders>
              <w:bottom w:val="single" w:sz="6" w:space="0" w:color="000000"/>
            </w:tcBorders>
            <w:vAlign w:val="center"/>
          </w:tcPr>
          <w:p>
            <w:pPr>
              <w:pStyle w:val="TableContents"/>
              <w:bidi w:val="0"/>
              <w:spacing w:before="0" w:after="283"/>
              <w:jc w:val="right"/>
              <w:rPr/>
            </w:pPr>
            <w:r>
              <w:rPr/>
              <w:t>​</w:t>
            </w:r>
          </w:p>
        </w:tc>
        <w:tc>
          <w:tcPr>
            <w:tcW w:w="258"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80" w:type="dxa"/>
            <w:tcBorders>
              <w:bottom w:val="single" w:sz="6" w:space="0" w:color="000000"/>
            </w:tcBorders>
            <w:vAlign w:val="center"/>
          </w:tcPr>
          <w:p>
            <w:pPr>
              <w:pStyle w:val="TableContents"/>
              <w:bidi w:val="0"/>
              <w:spacing w:before="0" w:after="283"/>
              <w:jc w:val="left"/>
              <w:rPr/>
            </w:pPr>
            <w:r>
              <w:rPr/>
              <w:t>​</w:t>
            </w:r>
          </w:p>
        </w:tc>
        <w:tc>
          <w:tcPr>
            <w:tcW w:w="180" w:type="dxa"/>
            <w:tcBorders>
              <w:bottom w:val="single" w:sz="6" w:space="0" w:color="000000"/>
            </w:tcBorders>
            <w:vAlign w:val="center"/>
          </w:tcPr>
          <w:p>
            <w:pPr>
              <w:pStyle w:val="TableContents"/>
              <w:bidi w:val="0"/>
              <w:spacing w:before="0" w:after="283"/>
              <w:jc w:val="right"/>
              <w:rPr/>
            </w:pPr>
            <w:r>
              <w:rPr/>
              <w:t>​</w:t>
            </w:r>
          </w:p>
        </w:tc>
        <w:tc>
          <w:tcPr>
            <w:tcW w:w="374" w:type="dxa"/>
            <w:tcBorders>
              <w:bottom w:val="single" w:sz="6" w:space="0" w:color="000000"/>
            </w:tcBorders>
            <w:vAlign w:val="center"/>
          </w:tcPr>
          <w:p>
            <w:pPr>
              <w:pStyle w:val="TableContents"/>
              <w:bidi w:val="0"/>
              <w:spacing w:before="0" w:after="283"/>
              <w:jc w:val="right"/>
              <w:rPr/>
            </w:pPr>
            <w:r>
              <w:rPr/>
              <w:t>​</w:t>
            </w:r>
          </w:p>
        </w:tc>
        <w:tc>
          <w:tcPr>
            <w:tcW w:w="182"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vAlign w:val="center"/>
          </w:tcPr>
          <w:p>
            <w:pPr>
              <w:pStyle w:val="TableContents"/>
              <w:bidi w:val="0"/>
              <w:spacing w:before="0" w:after="283"/>
              <w:jc w:val="left"/>
              <w:rPr/>
            </w:pPr>
            <w:r>
              <w:rPr/>
              <w:t>​</w:t>
            </w:r>
          </w:p>
        </w:tc>
        <w:tc>
          <w:tcPr>
            <w:tcW w:w="4396" w:type="dxa"/>
            <w:tcBorders>
              <w:bottom w:val="single" w:sz="6" w:space="0" w:color="000000"/>
            </w:tcBorders>
            <w:shd w:fill="F7F7F7" w:val="clear"/>
            <w:tcMar>
              <w:bottom w:w="85" w:type="dxa"/>
            </w:tcMar>
            <w:vAlign w:val="center"/>
          </w:tcPr>
          <w:p>
            <w:pPr>
              <w:pStyle w:val="TableContents"/>
              <w:bidi w:val="0"/>
              <w:spacing w:before="0" w:after="283"/>
              <w:jc w:val="left"/>
              <w:rPr/>
            </w:pPr>
            <w:r>
              <w:rPr/>
              <w:t xml:space="preserve">African American or Black </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67" w:type="dxa"/>
            <w:tcBorders>
              <w:bottom w:val="single" w:sz="6" w:space="0" w:color="000000"/>
            </w:tcBorders>
            <w:shd w:fill="F7F7F7" w:val="clear"/>
            <w:vAlign w:val="center"/>
          </w:tcPr>
          <w:p>
            <w:pPr>
              <w:pStyle w:val="TableContents"/>
              <w:bidi w:val="0"/>
              <w:spacing w:before="0" w:after="283"/>
              <w:jc w:val="left"/>
              <w:rPr/>
            </w:pPr>
            <w:r>
              <w:rPr/>
              <w:t>​</w:t>
            </w:r>
          </w:p>
        </w:tc>
        <w:tc>
          <w:tcPr>
            <w:tcW w:w="167" w:type="dxa"/>
            <w:tcBorders>
              <w:bottom w:val="single" w:sz="6" w:space="0" w:color="000000"/>
            </w:tcBorders>
            <w:shd w:fill="F7F7F7" w:val="clear"/>
            <w:tcMar>
              <w:bottom w:w="85" w:type="dxa"/>
            </w:tcMar>
            <w:vAlign w:val="center"/>
          </w:tcPr>
          <w:p>
            <w:pPr>
              <w:pStyle w:val="TableContents"/>
              <w:bidi w:val="0"/>
              <w:spacing w:before="0" w:after="283"/>
              <w:jc w:val="right"/>
              <w:rPr/>
            </w:pPr>
            <w:r>
              <w:rPr/>
              <w:t>​</w:t>
            </w:r>
          </w:p>
        </w:tc>
        <w:tc>
          <w:tcPr>
            <w:tcW w:w="349" w:type="dxa"/>
            <w:tcBorders>
              <w:bottom w:val="single" w:sz="6" w:space="0" w:color="000000"/>
            </w:tcBorders>
            <w:shd w:fill="F7F7F7" w:val="clear"/>
            <w:tcMar>
              <w:bottom w:w="85" w:type="dxa"/>
            </w:tcMar>
            <w:vAlign w:val="center"/>
          </w:tcPr>
          <w:p>
            <w:pPr>
              <w:pStyle w:val="TableContents"/>
              <w:bidi w:val="0"/>
              <w:spacing w:before="0" w:after="283"/>
              <w:jc w:val="right"/>
              <w:rPr/>
            </w:pPr>
            <w:r>
              <w:rPr/>
              <w:t xml:space="preserve">1 </w:t>
            </w:r>
          </w:p>
        </w:tc>
        <w:tc>
          <w:tcPr>
            <w:tcW w:w="170"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14" w:type="dxa"/>
            <w:tcBorders>
              <w:bottom w:val="single" w:sz="6" w:space="0" w:color="000000"/>
            </w:tcBorders>
            <w:shd w:fill="F7F7F7" w:val="cle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85" w:type="dxa"/>
            </w:tcMar>
            <w:vAlign w:val="center"/>
          </w:tcPr>
          <w:p>
            <w:pPr>
              <w:pStyle w:val="TableContents"/>
              <w:bidi w:val="0"/>
              <w:spacing w:before="0" w:after="283"/>
              <w:jc w:val="right"/>
              <w:rPr/>
            </w:pPr>
            <w:r>
              <w:rPr/>
              <w:t>​</w:t>
            </w:r>
          </w:p>
        </w:tc>
        <w:tc>
          <w:tcPr>
            <w:tcW w:w="301" w:type="dxa"/>
            <w:tcBorders>
              <w:bottom w:val="single" w:sz="6" w:space="0" w:color="000000"/>
            </w:tcBorders>
            <w:shd w:fill="F7F7F7" w:val="clear"/>
            <w:tcMar>
              <w:bottom w:w="85" w:type="dxa"/>
            </w:tcMar>
            <w:vAlign w:val="center"/>
          </w:tcPr>
          <w:p>
            <w:pPr>
              <w:pStyle w:val="TableContents"/>
              <w:bidi w:val="0"/>
              <w:spacing w:before="0" w:after="283"/>
              <w:jc w:val="right"/>
              <w:rPr/>
            </w:pPr>
            <w:r>
              <w:rPr/>
              <w:t>0</w:t>
            </w:r>
          </w:p>
        </w:tc>
        <w:tc>
          <w:tcPr>
            <w:tcW w:w="114"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256" w:type="dxa"/>
            <w:tcBorders>
              <w:bottom w:val="single" w:sz="6" w:space="0" w:color="000000"/>
            </w:tcBorders>
            <w:shd w:fill="F7F7F7" w:val="clear"/>
            <w:vAlign w:val="center"/>
          </w:tcPr>
          <w:p>
            <w:pPr>
              <w:pStyle w:val="TableContents"/>
              <w:bidi w:val="0"/>
              <w:spacing w:before="0" w:after="283"/>
              <w:jc w:val="left"/>
              <w:rPr/>
            </w:pPr>
            <w:r>
              <w:rPr/>
              <w:t>​</w:t>
            </w:r>
          </w:p>
        </w:tc>
        <w:tc>
          <w:tcPr>
            <w:tcW w:w="256" w:type="dxa"/>
            <w:tcBorders>
              <w:bottom w:val="single" w:sz="6" w:space="0" w:color="000000"/>
            </w:tcBorders>
            <w:shd w:fill="F7F7F7" w:val="clear"/>
            <w:tcMar>
              <w:bottom w:w="85" w:type="dxa"/>
            </w:tcMar>
            <w:vAlign w:val="center"/>
          </w:tcPr>
          <w:p>
            <w:pPr>
              <w:pStyle w:val="TableContents"/>
              <w:bidi w:val="0"/>
              <w:spacing w:before="0" w:after="283"/>
              <w:jc w:val="right"/>
              <w:rPr/>
            </w:pPr>
            <w:r>
              <w:rPr/>
              <w:t>​</w:t>
            </w:r>
          </w:p>
        </w:tc>
        <w:tc>
          <w:tcPr>
            <w:tcW w:w="533" w:type="dxa"/>
            <w:tcBorders>
              <w:bottom w:val="single" w:sz="6" w:space="0" w:color="000000"/>
            </w:tcBorders>
            <w:shd w:fill="F7F7F7" w:val="clear"/>
            <w:tcMar>
              <w:bottom w:w="85" w:type="dxa"/>
            </w:tcMar>
            <w:vAlign w:val="center"/>
          </w:tcPr>
          <w:p>
            <w:pPr>
              <w:pStyle w:val="TableContents"/>
              <w:bidi w:val="0"/>
              <w:spacing w:before="0" w:after="283"/>
              <w:jc w:val="right"/>
              <w:rPr/>
            </w:pPr>
            <w:r>
              <w:rPr/>
              <w:t>0</w:t>
            </w:r>
          </w:p>
        </w:tc>
        <w:tc>
          <w:tcPr>
            <w:tcW w:w="258"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80" w:type="dxa"/>
            <w:tcBorders>
              <w:bottom w:val="single" w:sz="6" w:space="0" w:color="000000"/>
            </w:tcBorders>
            <w:shd w:fill="F7F7F7" w:val="clear"/>
            <w:vAlign w:val="center"/>
          </w:tcPr>
          <w:p>
            <w:pPr>
              <w:pStyle w:val="TableContents"/>
              <w:bidi w:val="0"/>
              <w:spacing w:before="0" w:after="283"/>
              <w:jc w:val="left"/>
              <w:rPr/>
            </w:pPr>
            <w:r>
              <w:rPr/>
              <w:t>​</w:t>
            </w:r>
          </w:p>
        </w:tc>
        <w:tc>
          <w:tcPr>
            <w:tcW w:w="180" w:type="dxa"/>
            <w:tcBorders>
              <w:bottom w:val="single" w:sz="6" w:space="0" w:color="000000"/>
            </w:tcBorders>
            <w:shd w:fill="F7F7F7" w:val="clear"/>
            <w:tcMar>
              <w:bottom w:w="85" w:type="dxa"/>
            </w:tcMar>
            <w:vAlign w:val="center"/>
          </w:tcPr>
          <w:p>
            <w:pPr>
              <w:pStyle w:val="TableContents"/>
              <w:bidi w:val="0"/>
              <w:spacing w:before="0" w:after="283"/>
              <w:jc w:val="right"/>
              <w:rPr/>
            </w:pPr>
            <w:r>
              <w:rPr/>
              <w:t>​</w:t>
            </w:r>
          </w:p>
        </w:tc>
        <w:tc>
          <w:tcPr>
            <w:tcW w:w="374" w:type="dxa"/>
            <w:tcBorders>
              <w:bottom w:val="single" w:sz="6" w:space="0" w:color="000000"/>
            </w:tcBorders>
            <w:shd w:fill="F7F7F7" w:val="clear"/>
            <w:tcMar>
              <w:bottom w:w="85" w:type="dxa"/>
            </w:tcMar>
            <w:vAlign w:val="center"/>
          </w:tcPr>
          <w:p>
            <w:pPr>
              <w:pStyle w:val="TableContents"/>
              <w:bidi w:val="0"/>
              <w:spacing w:before="0" w:after="283"/>
              <w:jc w:val="right"/>
              <w:rPr/>
            </w:pPr>
            <w:r>
              <w:rPr/>
              <w:t>0</w:t>
            </w:r>
          </w:p>
        </w:tc>
        <w:tc>
          <w:tcPr>
            <w:tcW w:w="182" w:type="dxa"/>
            <w:tcBorders>
              <w:bottom w:val="single" w:sz="6" w:space="0" w:color="000000"/>
            </w:tcBorders>
            <w:shd w:fill="F7F7F7" w:val="clear"/>
            <w:vAlign w:val="center"/>
          </w:tcPr>
          <w:p>
            <w:pPr>
              <w:pStyle w:val="TableContents"/>
              <w:bidi w:val="0"/>
              <w:spacing w:before="0" w:after="283"/>
              <w:jc w:val="left"/>
              <w:rPr/>
            </w:pPr>
            <w:r>
              <w:rPr/>
              <w:t>​</w:t>
            </w:r>
          </w:p>
        </w:tc>
        <w:tc>
          <w:tcPr>
            <w:tcW w:w="154" w:type="dxa"/>
            <w:tcBorders>
              <w:bottom w:val="single" w:sz="6" w:space="0" w:color="000000"/>
            </w:tcBorders>
            <w:shd w:fill="F7F7F7"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4396" w:type="dxa"/>
            <w:tcBorders>
              <w:bottom w:val="single" w:sz="6" w:space="0" w:color="000000"/>
            </w:tcBorders>
            <w:tcMar>
              <w:bottom w:w="85" w:type="dxa"/>
            </w:tcMar>
            <w:vAlign w:val="center"/>
          </w:tcPr>
          <w:p>
            <w:pPr>
              <w:pStyle w:val="TableContents"/>
              <w:bidi w:val="0"/>
              <w:spacing w:before="0" w:after="283"/>
              <w:jc w:val="left"/>
              <w:rPr/>
            </w:pPr>
            <w:r>
              <w:rPr/>
              <w:t xml:space="preserve">Alaskan Native or Native American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7" w:type="dxa"/>
            <w:tcBorders>
              <w:bottom w:val="single" w:sz="6" w:space="0" w:color="000000"/>
            </w:tcBorders>
            <w:vAlign w:val="center"/>
          </w:tcPr>
          <w:p>
            <w:pPr>
              <w:pStyle w:val="TableContents"/>
              <w:bidi w:val="0"/>
              <w:spacing w:before="0" w:after="283"/>
              <w:jc w:val="left"/>
              <w:rPr/>
            </w:pPr>
            <w:r>
              <w:rPr/>
              <w:t>​</w:t>
            </w:r>
          </w:p>
        </w:tc>
        <w:tc>
          <w:tcPr>
            <w:tcW w:w="167" w:type="dxa"/>
            <w:tcBorders>
              <w:bottom w:val="single" w:sz="6" w:space="0" w:color="000000"/>
            </w:tcBorders>
            <w:tcMar>
              <w:bottom w:w="85" w:type="dxa"/>
            </w:tcMar>
            <w:vAlign w:val="center"/>
          </w:tcPr>
          <w:p>
            <w:pPr>
              <w:pStyle w:val="TableContents"/>
              <w:bidi w:val="0"/>
              <w:spacing w:before="0" w:after="283"/>
              <w:jc w:val="right"/>
              <w:rPr/>
            </w:pPr>
            <w:r>
              <w:rPr/>
              <w:t>​</w:t>
            </w:r>
          </w:p>
        </w:tc>
        <w:tc>
          <w:tcPr>
            <w:tcW w:w="349" w:type="dxa"/>
            <w:tcBorders>
              <w:bottom w:val="single" w:sz="6" w:space="0" w:color="000000"/>
            </w:tcBorders>
            <w:tcMar>
              <w:bottom w:w="85" w:type="dxa"/>
            </w:tcMar>
            <w:vAlign w:val="center"/>
          </w:tcPr>
          <w:p>
            <w:pPr>
              <w:pStyle w:val="TableContents"/>
              <w:bidi w:val="0"/>
              <w:spacing w:before="0" w:after="283"/>
              <w:jc w:val="right"/>
              <w:rPr/>
            </w:pPr>
            <w:r>
              <w:rPr/>
              <w:t>0</w:t>
            </w:r>
          </w:p>
        </w:tc>
        <w:tc>
          <w:tcPr>
            <w:tcW w:w="170"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4" w:type="dxa"/>
            <w:tcBorders>
              <w:bottom w:val="single" w:sz="6" w:space="0" w:color="000000"/>
            </w:tcBorders>
            <w:vAlign w:val="center"/>
          </w:tcPr>
          <w:p>
            <w:pPr>
              <w:pStyle w:val="TableContents"/>
              <w:bidi w:val="0"/>
              <w:spacing w:before="0" w:after="283"/>
              <w:jc w:val="left"/>
              <w:rPr/>
            </w:pPr>
            <w:r>
              <w:rPr/>
              <w:t>​</w:t>
            </w:r>
          </w:p>
        </w:tc>
        <w:tc>
          <w:tcPr>
            <w:tcW w:w="114" w:type="dxa"/>
            <w:tcBorders>
              <w:bottom w:val="single" w:sz="6" w:space="0" w:color="000000"/>
            </w:tcBorders>
            <w:tcMar>
              <w:bottom w:w="85" w:type="dxa"/>
            </w:tcMar>
            <w:vAlign w:val="center"/>
          </w:tcPr>
          <w:p>
            <w:pPr>
              <w:pStyle w:val="TableContents"/>
              <w:bidi w:val="0"/>
              <w:spacing w:before="0" w:after="283"/>
              <w:jc w:val="right"/>
              <w:rPr/>
            </w:pPr>
            <w:r>
              <w:rPr/>
              <w:t>​</w:t>
            </w:r>
          </w:p>
        </w:tc>
        <w:tc>
          <w:tcPr>
            <w:tcW w:w="301" w:type="dxa"/>
            <w:tcBorders>
              <w:bottom w:val="single" w:sz="6" w:space="0" w:color="000000"/>
            </w:tcBorders>
            <w:tcMar>
              <w:bottom w:w="85" w:type="dxa"/>
            </w:tcMar>
            <w:vAlign w:val="center"/>
          </w:tcPr>
          <w:p>
            <w:pPr>
              <w:pStyle w:val="TableContents"/>
              <w:bidi w:val="0"/>
              <w:spacing w:before="0" w:after="283"/>
              <w:jc w:val="right"/>
              <w:rPr/>
            </w:pPr>
            <w:r>
              <w:rPr/>
              <w:t>0</w:t>
            </w:r>
          </w:p>
        </w:tc>
        <w:tc>
          <w:tcPr>
            <w:tcW w:w="114"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56" w:type="dxa"/>
            <w:tcBorders>
              <w:bottom w:val="single" w:sz="6" w:space="0" w:color="000000"/>
            </w:tcBorders>
            <w:vAlign w:val="center"/>
          </w:tcPr>
          <w:p>
            <w:pPr>
              <w:pStyle w:val="TableContents"/>
              <w:bidi w:val="0"/>
              <w:spacing w:before="0" w:after="283"/>
              <w:jc w:val="left"/>
              <w:rPr/>
            </w:pPr>
            <w:r>
              <w:rPr/>
              <w:t>​</w:t>
            </w:r>
          </w:p>
        </w:tc>
        <w:tc>
          <w:tcPr>
            <w:tcW w:w="256" w:type="dxa"/>
            <w:tcBorders>
              <w:bottom w:val="single" w:sz="6" w:space="0" w:color="000000"/>
            </w:tcBorders>
            <w:tcMar>
              <w:bottom w:w="85" w:type="dxa"/>
            </w:tcMar>
            <w:vAlign w:val="center"/>
          </w:tcPr>
          <w:p>
            <w:pPr>
              <w:pStyle w:val="TableContents"/>
              <w:bidi w:val="0"/>
              <w:spacing w:before="0" w:after="283"/>
              <w:jc w:val="right"/>
              <w:rPr/>
            </w:pPr>
            <w:r>
              <w:rPr/>
              <w:t>​</w:t>
            </w:r>
          </w:p>
        </w:tc>
        <w:tc>
          <w:tcPr>
            <w:tcW w:w="533" w:type="dxa"/>
            <w:tcBorders>
              <w:bottom w:val="single" w:sz="6" w:space="0" w:color="000000"/>
            </w:tcBorders>
            <w:tcMar>
              <w:bottom w:w="85" w:type="dxa"/>
            </w:tcMar>
            <w:vAlign w:val="center"/>
          </w:tcPr>
          <w:p>
            <w:pPr>
              <w:pStyle w:val="TableContents"/>
              <w:bidi w:val="0"/>
              <w:spacing w:before="0" w:after="283"/>
              <w:jc w:val="right"/>
              <w:rPr/>
            </w:pPr>
            <w:r>
              <w:rPr/>
              <w:t>0</w:t>
            </w:r>
          </w:p>
        </w:tc>
        <w:tc>
          <w:tcPr>
            <w:tcW w:w="258"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80" w:type="dxa"/>
            <w:tcBorders>
              <w:bottom w:val="single" w:sz="6" w:space="0" w:color="000000"/>
            </w:tcBorders>
            <w:vAlign w:val="center"/>
          </w:tcPr>
          <w:p>
            <w:pPr>
              <w:pStyle w:val="TableContents"/>
              <w:bidi w:val="0"/>
              <w:spacing w:before="0" w:after="283"/>
              <w:jc w:val="left"/>
              <w:rPr/>
            </w:pPr>
            <w:r>
              <w:rPr/>
              <w:t>​</w:t>
            </w:r>
          </w:p>
        </w:tc>
        <w:tc>
          <w:tcPr>
            <w:tcW w:w="180" w:type="dxa"/>
            <w:tcBorders>
              <w:bottom w:val="single" w:sz="6" w:space="0" w:color="000000"/>
            </w:tcBorders>
            <w:tcMar>
              <w:bottom w:w="85" w:type="dxa"/>
            </w:tcMar>
            <w:vAlign w:val="center"/>
          </w:tcPr>
          <w:p>
            <w:pPr>
              <w:pStyle w:val="TableContents"/>
              <w:bidi w:val="0"/>
              <w:spacing w:before="0" w:after="283"/>
              <w:jc w:val="right"/>
              <w:rPr/>
            </w:pPr>
            <w:r>
              <w:rPr/>
              <w:t>​</w:t>
            </w:r>
          </w:p>
        </w:tc>
        <w:tc>
          <w:tcPr>
            <w:tcW w:w="374" w:type="dxa"/>
            <w:tcBorders>
              <w:bottom w:val="single" w:sz="6" w:space="0" w:color="000000"/>
            </w:tcBorders>
            <w:tcMar>
              <w:bottom w:w="85" w:type="dxa"/>
            </w:tcMar>
            <w:vAlign w:val="center"/>
          </w:tcPr>
          <w:p>
            <w:pPr>
              <w:pStyle w:val="TableContents"/>
              <w:bidi w:val="0"/>
              <w:spacing w:before="0" w:after="283"/>
              <w:jc w:val="right"/>
              <w:rPr/>
            </w:pPr>
            <w:r>
              <w:rPr/>
              <w:t>0</w:t>
            </w:r>
          </w:p>
        </w:tc>
        <w:tc>
          <w:tcPr>
            <w:tcW w:w="182"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vAlign w:val="center"/>
          </w:tcPr>
          <w:p>
            <w:pPr>
              <w:pStyle w:val="TableContents"/>
              <w:bidi w:val="0"/>
              <w:spacing w:before="0" w:after="283"/>
              <w:jc w:val="left"/>
              <w:rPr/>
            </w:pPr>
            <w:r>
              <w:rPr/>
              <w:t>​</w:t>
            </w:r>
          </w:p>
        </w:tc>
        <w:tc>
          <w:tcPr>
            <w:tcW w:w="4396" w:type="dxa"/>
            <w:tcBorders>
              <w:bottom w:val="single" w:sz="6" w:space="0" w:color="000000"/>
            </w:tcBorders>
            <w:shd w:fill="F7F7F7" w:val="clear"/>
            <w:tcMar>
              <w:bottom w:w="85" w:type="dxa"/>
            </w:tcMar>
            <w:vAlign w:val="center"/>
          </w:tcPr>
          <w:p>
            <w:pPr>
              <w:pStyle w:val="TableContents"/>
              <w:bidi w:val="0"/>
              <w:spacing w:before="0" w:after="283"/>
              <w:jc w:val="left"/>
              <w:rPr/>
            </w:pPr>
            <w:r>
              <w:rPr/>
              <w:t xml:space="preserve">Asian </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67" w:type="dxa"/>
            <w:tcBorders>
              <w:bottom w:val="single" w:sz="6" w:space="0" w:color="000000"/>
            </w:tcBorders>
            <w:shd w:fill="F7F7F7" w:val="clear"/>
            <w:vAlign w:val="center"/>
          </w:tcPr>
          <w:p>
            <w:pPr>
              <w:pStyle w:val="TableContents"/>
              <w:bidi w:val="0"/>
              <w:spacing w:before="0" w:after="283"/>
              <w:jc w:val="left"/>
              <w:rPr/>
            </w:pPr>
            <w:r>
              <w:rPr/>
              <w:t>​</w:t>
            </w:r>
          </w:p>
        </w:tc>
        <w:tc>
          <w:tcPr>
            <w:tcW w:w="167" w:type="dxa"/>
            <w:tcBorders>
              <w:bottom w:val="single" w:sz="6" w:space="0" w:color="000000"/>
            </w:tcBorders>
            <w:shd w:fill="F7F7F7" w:val="clear"/>
            <w:tcMar>
              <w:bottom w:w="85" w:type="dxa"/>
            </w:tcMar>
            <w:vAlign w:val="center"/>
          </w:tcPr>
          <w:p>
            <w:pPr>
              <w:pStyle w:val="TableContents"/>
              <w:bidi w:val="0"/>
              <w:spacing w:before="0" w:after="283"/>
              <w:jc w:val="right"/>
              <w:rPr/>
            </w:pPr>
            <w:r>
              <w:rPr/>
              <w:t>​</w:t>
            </w:r>
          </w:p>
        </w:tc>
        <w:tc>
          <w:tcPr>
            <w:tcW w:w="349" w:type="dxa"/>
            <w:tcBorders>
              <w:bottom w:val="single" w:sz="6" w:space="0" w:color="000000"/>
            </w:tcBorders>
            <w:shd w:fill="F7F7F7" w:val="clear"/>
            <w:tcMar>
              <w:bottom w:w="85" w:type="dxa"/>
            </w:tcMar>
            <w:vAlign w:val="center"/>
          </w:tcPr>
          <w:p>
            <w:pPr>
              <w:pStyle w:val="TableContents"/>
              <w:bidi w:val="0"/>
              <w:spacing w:before="0" w:after="283"/>
              <w:jc w:val="right"/>
              <w:rPr/>
            </w:pPr>
            <w:r>
              <w:rPr/>
              <w:t>1</w:t>
            </w:r>
          </w:p>
        </w:tc>
        <w:tc>
          <w:tcPr>
            <w:tcW w:w="170"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14" w:type="dxa"/>
            <w:tcBorders>
              <w:bottom w:val="single" w:sz="6" w:space="0" w:color="000000"/>
            </w:tcBorders>
            <w:shd w:fill="F7F7F7" w:val="cle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85" w:type="dxa"/>
            </w:tcMar>
            <w:vAlign w:val="center"/>
          </w:tcPr>
          <w:p>
            <w:pPr>
              <w:pStyle w:val="TableContents"/>
              <w:bidi w:val="0"/>
              <w:spacing w:before="0" w:after="283"/>
              <w:jc w:val="right"/>
              <w:rPr/>
            </w:pPr>
            <w:r>
              <w:rPr/>
              <w:t>​</w:t>
            </w:r>
          </w:p>
        </w:tc>
        <w:tc>
          <w:tcPr>
            <w:tcW w:w="301" w:type="dxa"/>
            <w:tcBorders>
              <w:bottom w:val="single" w:sz="6" w:space="0" w:color="000000"/>
            </w:tcBorders>
            <w:shd w:fill="F7F7F7" w:val="clear"/>
            <w:tcMar>
              <w:bottom w:w="85" w:type="dxa"/>
            </w:tcMar>
            <w:vAlign w:val="center"/>
          </w:tcPr>
          <w:p>
            <w:pPr>
              <w:pStyle w:val="TableContents"/>
              <w:bidi w:val="0"/>
              <w:spacing w:before="0" w:after="283"/>
              <w:jc w:val="right"/>
              <w:rPr/>
            </w:pPr>
            <w:r>
              <w:rPr/>
              <w:t>1</w:t>
            </w:r>
          </w:p>
        </w:tc>
        <w:tc>
          <w:tcPr>
            <w:tcW w:w="114"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256" w:type="dxa"/>
            <w:tcBorders>
              <w:bottom w:val="single" w:sz="6" w:space="0" w:color="000000"/>
            </w:tcBorders>
            <w:shd w:fill="F7F7F7" w:val="clear"/>
            <w:vAlign w:val="center"/>
          </w:tcPr>
          <w:p>
            <w:pPr>
              <w:pStyle w:val="TableContents"/>
              <w:bidi w:val="0"/>
              <w:spacing w:before="0" w:after="283"/>
              <w:jc w:val="left"/>
              <w:rPr/>
            </w:pPr>
            <w:r>
              <w:rPr/>
              <w:t>​</w:t>
            </w:r>
          </w:p>
        </w:tc>
        <w:tc>
          <w:tcPr>
            <w:tcW w:w="256" w:type="dxa"/>
            <w:tcBorders>
              <w:bottom w:val="single" w:sz="6" w:space="0" w:color="000000"/>
            </w:tcBorders>
            <w:shd w:fill="F7F7F7" w:val="clear"/>
            <w:tcMar>
              <w:bottom w:w="85" w:type="dxa"/>
            </w:tcMar>
            <w:vAlign w:val="center"/>
          </w:tcPr>
          <w:p>
            <w:pPr>
              <w:pStyle w:val="TableContents"/>
              <w:bidi w:val="0"/>
              <w:spacing w:before="0" w:after="283"/>
              <w:jc w:val="right"/>
              <w:rPr/>
            </w:pPr>
            <w:r>
              <w:rPr/>
              <w:t>​</w:t>
            </w:r>
          </w:p>
        </w:tc>
        <w:tc>
          <w:tcPr>
            <w:tcW w:w="533" w:type="dxa"/>
            <w:tcBorders>
              <w:bottom w:val="single" w:sz="6" w:space="0" w:color="000000"/>
            </w:tcBorders>
            <w:shd w:fill="F7F7F7" w:val="clear"/>
            <w:tcMar>
              <w:bottom w:w="85" w:type="dxa"/>
            </w:tcMar>
            <w:vAlign w:val="center"/>
          </w:tcPr>
          <w:p>
            <w:pPr>
              <w:pStyle w:val="TableContents"/>
              <w:bidi w:val="0"/>
              <w:spacing w:before="0" w:after="283"/>
              <w:jc w:val="right"/>
              <w:rPr/>
            </w:pPr>
            <w:r>
              <w:rPr/>
              <w:t>0</w:t>
            </w:r>
          </w:p>
        </w:tc>
        <w:tc>
          <w:tcPr>
            <w:tcW w:w="258"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80" w:type="dxa"/>
            <w:tcBorders>
              <w:bottom w:val="single" w:sz="6" w:space="0" w:color="000000"/>
            </w:tcBorders>
            <w:shd w:fill="F7F7F7" w:val="clear"/>
            <w:vAlign w:val="center"/>
          </w:tcPr>
          <w:p>
            <w:pPr>
              <w:pStyle w:val="TableContents"/>
              <w:bidi w:val="0"/>
              <w:spacing w:before="0" w:after="283"/>
              <w:jc w:val="left"/>
              <w:rPr/>
            </w:pPr>
            <w:r>
              <w:rPr/>
              <w:t>​</w:t>
            </w:r>
          </w:p>
        </w:tc>
        <w:tc>
          <w:tcPr>
            <w:tcW w:w="180" w:type="dxa"/>
            <w:tcBorders>
              <w:bottom w:val="single" w:sz="6" w:space="0" w:color="000000"/>
            </w:tcBorders>
            <w:shd w:fill="F7F7F7" w:val="clear"/>
            <w:tcMar>
              <w:bottom w:w="85" w:type="dxa"/>
            </w:tcMar>
            <w:vAlign w:val="center"/>
          </w:tcPr>
          <w:p>
            <w:pPr>
              <w:pStyle w:val="TableContents"/>
              <w:bidi w:val="0"/>
              <w:spacing w:before="0" w:after="283"/>
              <w:jc w:val="right"/>
              <w:rPr/>
            </w:pPr>
            <w:r>
              <w:rPr/>
              <w:t>​</w:t>
            </w:r>
          </w:p>
        </w:tc>
        <w:tc>
          <w:tcPr>
            <w:tcW w:w="374" w:type="dxa"/>
            <w:tcBorders>
              <w:bottom w:val="single" w:sz="6" w:space="0" w:color="000000"/>
            </w:tcBorders>
            <w:shd w:fill="F7F7F7" w:val="clear"/>
            <w:tcMar>
              <w:bottom w:w="85" w:type="dxa"/>
            </w:tcMar>
            <w:vAlign w:val="center"/>
          </w:tcPr>
          <w:p>
            <w:pPr>
              <w:pStyle w:val="TableContents"/>
              <w:bidi w:val="0"/>
              <w:spacing w:before="0" w:after="283"/>
              <w:jc w:val="right"/>
              <w:rPr/>
            </w:pPr>
            <w:r>
              <w:rPr/>
              <w:t>0</w:t>
            </w:r>
          </w:p>
        </w:tc>
        <w:tc>
          <w:tcPr>
            <w:tcW w:w="182" w:type="dxa"/>
            <w:tcBorders>
              <w:bottom w:val="single" w:sz="6" w:space="0" w:color="000000"/>
            </w:tcBorders>
            <w:shd w:fill="F7F7F7" w:val="clear"/>
            <w:vAlign w:val="center"/>
          </w:tcPr>
          <w:p>
            <w:pPr>
              <w:pStyle w:val="TableContents"/>
              <w:bidi w:val="0"/>
              <w:spacing w:before="0" w:after="283"/>
              <w:jc w:val="left"/>
              <w:rPr/>
            </w:pPr>
            <w:r>
              <w:rPr/>
              <w:t>​</w:t>
            </w:r>
          </w:p>
        </w:tc>
        <w:tc>
          <w:tcPr>
            <w:tcW w:w="154" w:type="dxa"/>
            <w:tcBorders>
              <w:bottom w:val="single" w:sz="6" w:space="0" w:color="000000"/>
            </w:tcBorders>
            <w:shd w:fill="F7F7F7"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4396" w:type="dxa"/>
            <w:tcBorders>
              <w:bottom w:val="single" w:sz="6" w:space="0" w:color="000000"/>
            </w:tcBorders>
            <w:tcMar>
              <w:bottom w:w="85" w:type="dxa"/>
            </w:tcMar>
            <w:vAlign w:val="center"/>
          </w:tcPr>
          <w:p>
            <w:pPr>
              <w:pStyle w:val="TableContents"/>
              <w:bidi w:val="0"/>
              <w:spacing w:before="0" w:after="283"/>
              <w:jc w:val="left"/>
              <w:rPr/>
            </w:pPr>
            <w:r>
              <w:rPr/>
              <w:t xml:space="preserve">Hispanic or Latinx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7" w:type="dxa"/>
            <w:tcBorders>
              <w:bottom w:val="single" w:sz="6" w:space="0" w:color="000000"/>
            </w:tcBorders>
            <w:vAlign w:val="center"/>
          </w:tcPr>
          <w:p>
            <w:pPr>
              <w:pStyle w:val="TableContents"/>
              <w:bidi w:val="0"/>
              <w:spacing w:before="0" w:after="283"/>
              <w:jc w:val="left"/>
              <w:rPr/>
            </w:pPr>
            <w:r>
              <w:rPr/>
              <w:t>​</w:t>
            </w:r>
          </w:p>
        </w:tc>
        <w:tc>
          <w:tcPr>
            <w:tcW w:w="167" w:type="dxa"/>
            <w:tcBorders>
              <w:bottom w:val="single" w:sz="6" w:space="0" w:color="000000"/>
            </w:tcBorders>
            <w:tcMar>
              <w:bottom w:w="85" w:type="dxa"/>
            </w:tcMar>
            <w:vAlign w:val="center"/>
          </w:tcPr>
          <w:p>
            <w:pPr>
              <w:pStyle w:val="TableContents"/>
              <w:bidi w:val="0"/>
              <w:spacing w:before="0" w:after="283"/>
              <w:jc w:val="right"/>
              <w:rPr/>
            </w:pPr>
            <w:r>
              <w:rPr/>
              <w:t>​</w:t>
            </w:r>
          </w:p>
        </w:tc>
        <w:tc>
          <w:tcPr>
            <w:tcW w:w="349" w:type="dxa"/>
            <w:tcBorders>
              <w:bottom w:val="single" w:sz="6" w:space="0" w:color="000000"/>
            </w:tcBorders>
            <w:tcMar>
              <w:bottom w:w="85" w:type="dxa"/>
            </w:tcMar>
            <w:vAlign w:val="center"/>
          </w:tcPr>
          <w:p>
            <w:pPr>
              <w:pStyle w:val="TableContents"/>
              <w:bidi w:val="0"/>
              <w:spacing w:before="0" w:after="283"/>
              <w:jc w:val="right"/>
              <w:rPr/>
            </w:pPr>
            <w:r>
              <w:rPr/>
              <w:t>0</w:t>
            </w:r>
          </w:p>
        </w:tc>
        <w:tc>
          <w:tcPr>
            <w:tcW w:w="170"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4" w:type="dxa"/>
            <w:tcBorders>
              <w:bottom w:val="single" w:sz="6" w:space="0" w:color="000000"/>
            </w:tcBorders>
            <w:vAlign w:val="center"/>
          </w:tcPr>
          <w:p>
            <w:pPr>
              <w:pStyle w:val="TableContents"/>
              <w:bidi w:val="0"/>
              <w:spacing w:before="0" w:after="283"/>
              <w:jc w:val="left"/>
              <w:rPr/>
            </w:pPr>
            <w:r>
              <w:rPr/>
              <w:t>​</w:t>
            </w:r>
          </w:p>
        </w:tc>
        <w:tc>
          <w:tcPr>
            <w:tcW w:w="114" w:type="dxa"/>
            <w:tcBorders>
              <w:bottom w:val="single" w:sz="6" w:space="0" w:color="000000"/>
            </w:tcBorders>
            <w:tcMar>
              <w:bottom w:w="85" w:type="dxa"/>
            </w:tcMar>
            <w:vAlign w:val="center"/>
          </w:tcPr>
          <w:p>
            <w:pPr>
              <w:pStyle w:val="TableContents"/>
              <w:bidi w:val="0"/>
              <w:spacing w:before="0" w:after="283"/>
              <w:jc w:val="right"/>
              <w:rPr/>
            </w:pPr>
            <w:r>
              <w:rPr/>
              <w:t>​</w:t>
            </w:r>
          </w:p>
        </w:tc>
        <w:tc>
          <w:tcPr>
            <w:tcW w:w="301" w:type="dxa"/>
            <w:tcBorders>
              <w:bottom w:val="single" w:sz="6" w:space="0" w:color="000000"/>
            </w:tcBorders>
            <w:tcMar>
              <w:bottom w:w="85" w:type="dxa"/>
            </w:tcMar>
            <w:vAlign w:val="center"/>
          </w:tcPr>
          <w:p>
            <w:pPr>
              <w:pStyle w:val="TableContents"/>
              <w:bidi w:val="0"/>
              <w:spacing w:before="0" w:after="283"/>
              <w:jc w:val="right"/>
              <w:rPr/>
            </w:pPr>
            <w:r>
              <w:rPr/>
              <w:t>0</w:t>
            </w:r>
          </w:p>
        </w:tc>
        <w:tc>
          <w:tcPr>
            <w:tcW w:w="114"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56" w:type="dxa"/>
            <w:tcBorders>
              <w:bottom w:val="single" w:sz="6" w:space="0" w:color="000000"/>
            </w:tcBorders>
            <w:vAlign w:val="center"/>
          </w:tcPr>
          <w:p>
            <w:pPr>
              <w:pStyle w:val="TableContents"/>
              <w:bidi w:val="0"/>
              <w:spacing w:before="0" w:after="283"/>
              <w:jc w:val="left"/>
              <w:rPr/>
            </w:pPr>
            <w:r>
              <w:rPr/>
              <w:t>​</w:t>
            </w:r>
          </w:p>
        </w:tc>
        <w:tc>
          <w:tcPr>
            <w:tcW w:w="256" w:type="dxa"/>
            <w:tcBorders>
              <w:bottom w:val="single" w:sz="6" w:space="0" w:color="000000"/>
            </w:tcBorders>
            <w:tcMar>
              <w:bottom w:w="85" w:type="dxa"/>
            </w:tcMar>
            <w:vAlign w:val="center"/>
          </w:tcPr>
          <w:p>
            <w:pPr>
              <w:pStyle w:val="TableContents"/>
              <w:bidi w:val="0"/>
              <w:spacing w:before="0" w:after="283"/>
              <w:jc w:val="right"/>
              <w:rPr/>
            </w:pPr>
            <w:r>
              <w:rPr/>
              <w:t>​</w:t>
            </w:r>
          </w:p>
        </w:tc>
        <w:tc>
          <w:tcPr>
            <w:tcW w:w="533" w:type="dxa"/>
            <w:tcBorders>
              <w:bottom w:val="single" w:sz="6" w:space="0" w:color="000000"/>
            </w:tcBorders>
            <w:tcMar>
              <w:bottom w:w="85" w:type="dxa"/>
            </w:tcMar>
            <w:vAlign w:val="center"/>
          </w:tcPr>
          <w:p>
            <w:pPr>
              <w:pStyle w:val="TableContents"/>
              <w:bidi w:val="0"/>
              <w:spacing w:before="0" w:after="283"/>
              <w:jc w:val="right"/>
              <w:rPr/>
            </w:pPr>
            <w:r>
              <w:rPr/>
              <w:t>0</w:t>
            </w:r>
          </w:p>
        </w:tc>
        <w:tc>
          <w:tcPr>
            <w:tcW w:w="258"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80" w:type="dxa"/>
            <w:tcBorders>
              <w:bottom w:val="single" w:sz="6" w:space="0" w:color="000000"/>
            </w:tcBorders>
            <w:vAlign w:val="center"/>
          </w:tcPr>
          <w:p>
            <w:pPr>
              <w:pStyle w:val="TableContents"/>
              <w:bidi w:val="0"/>
              <w:spacing w:before="0" w:after="283"/>
              <w:jc w:val="left"/>
              <w:rPr/>
            </w:pPr>
            <w:r>
              <w:rPr/>
              <w:t>​</w:t>
            </w:r>
          </w:p>
        </w:tc>
        <w:tc>
          <w:tcPr>
            <w:tcW w:w="180" w:type="dxa"/>
            <w:tcBorders>
              <w:bottom w:val="single" w:sz="6" w:space="0" w:color="000000"/>
            </w:tcBorders>
            <w:tcMar>
              <w:bottom w:w="85" w:type="dxa"/>
            </w:tcMar>
            <w:vAlign w:val="center"/>
          </w:tcPr>
          <w:p>
            <w:pPr>
              <w:pStyle w:val="TableContents"/>
              <w:bidi w:val="0"/>
              <w:spacing w:before="0" w:after="283"/>
              <w:jc w:val="right"/>
              <w:rPr/>
            </w:pPr>
            <w:r>
              <w:rPr/>
              <w:t>​</w:t>
            </w:r>
          </w:p>
        </w:tc>
        <w:tc>
          <w:tcPr>
            <w:tcW w:w="374" w:type="dxa"/>
            <w:tcBorders>
              <w:bottom w:val="single" w:sz="6" w:space="0" w:color="000000"/>
            </w:tcBorders>
            <w:tcMar>
              <w:bottom w:w="85" w:type="dxa"/>
            </w:tcMar>
            <w:vAlign w:val="center"/>
          </w:tcPr>
          <w:p>
            <w:pPr>
              <w:pStyle w:val="TableContents"/>
              <w:bidi w:val="0"/>
              <w:spacing w:before="0" w:after="283"/>
              <w:jc w:val="right"/>
              <w:rPr/>
            </w:pPr>
            <w:r>
              <w:rPr/>
              <w:t>0</w:t>
            </w:r>
          </w:p>
        </w:tc>
        <w:tc>
          <w:tcPr>
            <w:tcW w:w="182"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vAlign w:val="center"/>
          </w:tcPr>
          <w:p>
            <w:pPr>
              <w:pStyle w:val="TableContents"/>
              <w:bidi w:val="0"/>
              <w:spacing w:before="0" w:after="283"/>
              <w:jc w:val="left"/>
              <w:rPr/>
            </w:pPr>
            <w:r>
              <w:rPr/>
              <w:t>​</w:t>
            </w:r>
          </w:p>
        </w:tc>
        <w:tc>
          <w:tcPr>
            <w:tcW w:w="4396" w:type="dxa"/>
            <w:tcBorders>
              <w:bottom w:val="single" w:sz="6" w:space="0" w:color="000000"/>
            </w:tcBorders>
            <w:shd w:fill="F7F7F7" w:val="clear"/>
            <w:tcMar>
              <w:bottom w:w="85" w:type="dxa"/>
            </w:tcMar>
            <w:vAlign w:val="center"/>
          </w:tcPr>
          <w:p>
            <w:pPr>
              <w:pStyle w:val="TableContents"/>
              <w:bidi w:val="0"/>
              <w:spacing w:before="0" w:after="283"/>
              <w:jc w:val="left"/>
              <w:rPr/>
            </w:pPr>
            <w:r>
              <w:rPr/>
              <w:t xml:space="preserve">Native Hawaiian or Pacific Islander </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67" w:type="dxa"/>
            <w:tcBorders>
              <w:bottom w:val="single" w:sz="6" w:space="0" w:color="000000"/>
            </w:tcBorders>
            <w:shd w:fill="F7F7F7" w:val="clear"/>
            <w:vAlign w:val="center"/>
          </w:tcPr>
          <w:p>
            <w:pPr>
              <w:pStyle w:val="TableContents"/>
              <w:bidi w:val="0"/>
              <w:spacing w:before="0" w:after="283"/>
              <w:jc w:val="left"/>
              <w:rPr/>
            </w:pPr>
            <w:r>
              <w:rPr/>
              <w:t>​</w:t>
            </w:r>
          </w:p>
        </w:tc>
        <w:tc>
          <w:tcPr>
            <w:tcW w:w="167" w:type="dxa"/>
            <w:tcBorders>
              <w:bottom w:val="single" w:sz="6" w:space="0" w:color="000000"/>
            </w:tcBorders>
            <w:shd w:fill="F7F7F7" w:val="clear"/>
            <w:tcMar>
              <w:bottom w:w="85" w:type="dxa"/>
            </w:tcMar>
            <w:vAlign w:val="center"/>
          </w:tcPr>
          <w:p>
            <w:pPr>
              <w:pStyle w:val="TableContents"/>
              <w:bidi w:val="0"/>
              <w:spacing w:before="0" w:after="283"/>
              <w:jc w:val="right"/>
              <w:rPr/>
            </w:pPr>
            <w:r>
              <w:rPr/>
              <w:t>​</w:t>
            </w:r>
          </w:p>
        </w:tc>
        <w:tc>
          <w:tcPr>
            <w:tcW w:w="349" w:type="dxa"/>
            <w:tcBorders>
              <w:bottom w:val="single" w:sz="6" w:space="0" w:color="000000"/>
            </w:tcBorders>
            <w:shd w:fill="F7F7F7" w:val="clear"/>
            <w:tcMar>
              <w:bottom w:w="85" w:type="dxa"/>
            </w:tcMar>
            <w:vAlign w:val="center"/>
          </w:tcPr>
          <w:p>
            <w:pPr>
              <w:pStyle w:val="TableContents"/>
              <w:bidi w:val="0"/>
              <w:spacing w:before="0" w:after="283"/>
              <w:jc w:val="right"/>
              <w:rPr/>
            </w:pPr>
            <w:r>
              <w:rPr/>
              <w:t>0</w:t>
            </w:r>
          </w:p>
        </w:tc>
        <w:tc>
          <w:tcPr>
            <w:tcW w:w="170"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14" w:type="dxa"/>
            <w:tcBorders>
              <w:bottom w:val="single" w:sz="6" w:space="0" w:color="000000"/>
            </w:tcBorders>
            <w:shd w:fill="F7F7F7" w:val="cle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85" w:type="dxa"/>
            </w:tcMar>
            <w:vAlign w:val="center"/>
          </w:tcPr>
          <w:p>
            <w:pPr>
              <w:pStyle w:val="TableContents"/>
              <w:bidi w:val="0"/>
              <w:spacing w:before="0" w:after="283"/>
              <w:jc w:val="right"/>
              <w:rPr/>
            </w:pPr>
            <w:r>
              <w:rPr/>
              <w:t>​</w:t>
            </w:r>
          </w:p>
        </w:tc>
        <w:tc>
          <w:tcPr>
            <w:tcW w:w="301" w:type="dxa"/>
            <w:tcBorders>
              <w:bottom w:val="single" w:sz="6" w:space="0" w:color="000000"/>
            </w:tcBorders>
            <w:shd w:fill="F7F7F7" w:val="clear"/>
            <w:tcMar>
              <w:bottom w:w="85" w:type="dxa"/>
            </w:tcMar>
            <w:vAlign w:val="center"/>
          </w:tcPr>
          <w:p>
            <w:pPr>
              <w:pStyle w:val="TableContents"/>
              <w:bidi w:val="0"/>
              <w:spacing w:before="0" w:after="283"/>
              <w:jc w:val="right"/>
              <w:rPr/>
            </w:pPr>
            <w:r>
              <w:rPr/>
              <w:t>0</w:t>
            </w:r>
          </w:p>
        </w:tc>
        <w:tc>
          <w:tcPr>
            <w:tcW w:w="114"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256" w:type="dxa"/>
            <w:tcBorders>
              <w:bottom w:val="single" w:sz="6" w:space="0" w:color="000000"/>
            </w:tcBorders>
            <w:shd w:fill="F7F7F7" w:val="clear"/>
            <w:vAlign w:val="center"/>
          </w:tcPr>
          <w:p>
            <w:pPr>
              <w:pStyle w:val="TableContents"/>
              <w:bidi w:val="0"/>
              <w:spacing w:before="0" w:after="283"/>
              <w:jc w:val="left"/>
              <w:rPr/>
            </w:pPr>
            <w:r>
              <w:rPr/>
              <w:t>​</w:t>
            </w:r>
          </w:p>
        </w:tc>
        <w:tc>
          <w:tcPr>
            <w:tcW w:w="256" w:type="dxa"/>
            <w:tcBorders>
              <w:bottom w:val="single" w:sz="6" w:space="0" w:color="000000"/>
            </w:tcBorders>
            <w:shd w:fill="F7F7F7" w:val="clear"/>
            <w:tcMar>
              <w:bottom w:w="85" w:type="dxa"/>
            </w:tcMar>
            <w:vAlign w:val="center"/>
          </w:tcPr>
          <w:p>
            <w:pPr>
              <w:pStyle w:val="TableContents"/>
              <w:bidi w:val="0"/>
              <w:spacing w:before="0" w:after="283"/>
              <w:jc w:val="right"/>
              <w:rPr/>
            </w:pPr>
            <w:r>
              <w:rPr/>
              <w:t>​</w:t>
            </w:r>
          </w:p>
        </w:tc>
        <w:tc>
          <w:tcPr>
            <w:tcW w:w="533" w:type="dxa"/>
            <w:tcBorders>
              <w:bottom w:val="single" w:sz="6" w:space="0" w:color="000000"/>
            </w:tcBorders>
            <w:shd w:fill="F7F7F7" w:val="clear"/>
            <w:tcMar>
              <w:bottom w:w="85" w:type="dxa"/>
            </w:tcMar>
            <w:vAlign w:val="center"/>
          </w:tcPr>
          <w:p>
            <w:pPr>
              <w:pStyle w:val="TableContents"/>
              <w:bidi w:val="0"/>
              <w:spacing w:before="0" w:after="283"/>
              <w:jc w:val="right"/>
              <w:rPr/>
            </w:pPr>
            <w:r>
              <w:rPr/>
              <w:t>0</w:t>
            </w:r>
          </w:p>
        </w:tc>
        <w:tc>
          <w:tcPr>
            <w:tcW w:w="258"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80" w:type="dxa"/>
            <w:tcBorders>
              <w:bottom w:val="single" w:sz="6" w:space="0" w:color="000000"/>
            </w:tcBorders>
            <w:shd w:fill="F7F7F7" w:val="clear"/>
            <w:vAlign w:val="center"/>
          </w:tcPr>
          <w:p>
            <w:pPr>
              <w:pStyle w:val="TableContents"/>
              <w:bidi w:val="0"/>
              <w:spacing w:before="0" w:after="283"/>
              <w:jc w:val="left"/>
              <w:rPr/>
            </w:pPr>
            <w:r>
              <w:rPr/>
              <w:t>​</w:t>
            </w:r>
          </w:p>
        </w:tc>
        <w:tc>
          <w:tcPr>
            <w:tcW w:w="180" w:type="dxa"/>
            <w:tcBorders>
              <w:bottom w:val="single" w:sz="6" w:space="0" w:color="000000"/>
            </w:tcBorders>
            <w:shd w:fill="F7F7F7" w:val="clear"/>
            <w:tcMar>
              <w:bottom w:w="85" w:type="dxa"/>
            </w:tcMar>
            <w:vAlign w:val="center"/>
          </w:tcPr>
          <w:p>
            <w:pPr>
              <w:pStyle w:val="TableContents"/>
              <w:bidi w:val="0"/>
              <w:spacing w:before="0" w:after="283"/>
              <w:jc w:val="right"/>
              <w:rPr/>
            </w:pPr>
            <w:r>
              <w:rPr/>
              <w:t>​</w:t>
            </w:r>
          </w:p>
        </w:tc>
        <w:tc>
          <w:tcPr>
            <w:tcW w:w="374" w:type="dxa"/>
            <w:tcBorders>
              <w:bottom w:val="single" w:sz="6" w:space="0" w:color="000000"/>
            </w:tcBorders>
            <w:shd w:fill="F7F7F7" w:val="clear"/>
            <w:tcMar>
              <w:bottom w:w="85" w:type="dxa"/>
            </w:tcMar>
            <w:vAlign w:val="center"/>
          </w:tcPr>
          <w:p>
            <w:pPr>
              <w:pStyle w:val="TableContents"/>
              <w:bidi w:val="0"/>
              <w:spacing w:before="0" w:after="283"/>
              <w:jc w:val="right"/>
              <w:rPr/>
            </w:pPr>
            <w:r>
              <w:rPr/>
              <w:t>0</w:t>
            </w:r>
          </w:p>
        </w:tc>
        <w:tc>
          <w:tcPr>
            <w:tcW w:w="182" w:type="dxa"/>
            <w:tcBorders>
              <w:bottom w:val="single" w:sz="6" w:space="0" w:color="000000"/>
            </w:tcBorders>
            <w:shd w:fill="F7F7F7" w:val="clear"/>
            <w:vAlign w:val="center"/>
          </w:tcPr>
          <w:p>
            <w:pPr>
              <w:pStyle w:val="TableContents"/>
              <w:bidi w:val="0"/>
              <w:spacing w:before="0" w:after="283"/>
              <w:jc w:val="left"/>
              <w:rPr/>
            </w:pPr>
            <w:r>
              <w:rPr/>
              <w:t>​</w:t>
            </w:r>
          </w:p>
        </w:tc>
        <w:tc>
          <w:tcPr>
            <w:tcW w:w="154" w:type="dxa"/>
            <w:tcBorders>
              <w:bottom w:val="single" w:sz="6" w:space="0" w:color="000000"/>
            </w:tcBorders>
            <w:shd w:fill="F7F7F7"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4396" w:type="dxa"/>
            <w:tcBorders>
              <w:bottom w:val="single" w:sz="6" w:space="0" w:color="000000"/>
            </w:tcBorders>
            <w:tcMar>
              <w:bottom w:w="85" w:type="dxa"/>
            </w:tcMar>
            <w:vAlign w:val="center"/>
          </w:tcPr>
          <w:p>
            <w:pPr>
              <w:pStyle w:val="TableContents"/>
              <w:bidi w:val="0"/>
              <w:spacing w:before="0" w:after="283"/>
              <w:jc w:val="left"/>
              <w:rPr/>
            </w:pPr>
            <w:r>
              <w:rPr/>
              <w:t xml:space="preserve">White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7" w:type="dxa"/>
            <w:tcBorders>
              <w:bottom w:val="single" w:sz="6" w:space="0" w:color="000000"/>
            </w:tcBorders>
            <w:vAlign w:val="center"/>
          </w:tcPr>
          <w:p>
            <w:pPr>
              <w:pStyle w:val="TableContents"/>
              <w:bidi w:val="0"/>
              <w:spacing w:before="0" w:after="283"/>
              <w:jc w:val="left"/>
              <w:rPr/>
            </w:pPr>
            <w:r>
              <w:rPr/>
              <w:t>​</w:t>
            </w:r>
          </w:p>
        </w:tc>
        <w:tc>
          <w:tcPr>
            <w:tcW w:w="167" w:type="dxa"/>
            <w:tcBorders>
              <w:bottom w:val="single" w:sz="6" w:space="0" w:color="000000"/>
            </w:tcBorders>
            <w:tcMar>
              <w:bottom w:w="85" w:type="dxa"/>
            </w:tcMar>
            <w:vAlign w:val="center"/>
          </w:tcPr>
          <w:p>
            <w:pPr>
              <w:pStyle w:val="TableContents"/>
              <w:bidi w:val="0"/>
              <w:spacing w:before="0" w:after="283"/>
              <w:jc w:val="right"/>
              <w:rPr/>
            </w:pPr>
            <w:r>
              <w:rPr/>
              <w:t>​</w:t>
            </w:r>
          </w:p>
        </w:tc>
        <w:tc>
          <w:tcPr>
            <w:tcW w:w="349" w:type="dxa"/>
            <w:tcBorders>
              <w:bottom w:val="single" w:sz="6" w:space="0" w:color="000000"/>
            </w:tcBorders>
            <w:tcMar>
              <w:bottom w:w="85" w:type="dxa"/>
            </w:tcMar>
            <w:vAlign w:val="center"/>
          </w:tcPr>
          <w:p>
            <w:pPr>
              <w:pStyle w:val="TableContents"/>
              <w:bidi w:val="0"/>
              <w:spacing w:before="0" w:after="283"/>
              <w:jc w:val="right"/>
              <w:rPr/>
            </w:pPr>
            <w:r>
              <w:rPr/>
              <w:t>1</w:t>
            </w:r>
          </w:p>
        </w:tc>
        <w:tc>
          <w:tcPr>
            <w:tcW w:w="170"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4" w:type="dxa"/>
            <w:tcBorders>
              <w:bottom w:val="single" w:sz="6" w:space="0" w:color="000000"/>
            </w:tcBorders>
            <w:vAlign w:val="center"/>
          </w:tcPr>
          <w:p>
            <w:pPr>
              <w:pStyle w:val="TableContents"/>
              <w:bidi w:val="0"/>
              <w:spacing w:before="0" w:after="283"/>
              <w:jc w:val="left"/>
              <w:rPr/>
            </w:pPr>
            <w:r>
              <w:rPr/>
              <w:t>​</w:t>
            </w:r>
          </w:p>
        </w:tc>
        <w:tc>
          <w:tcPr>
            <w:tcW w:w="114" w:type="dxa"/>
            <w:tcBorders>
              <w:bottom w:val="single" w:sz="6" w:space="0" w:color="000000"/>
            </w:tcBorders>
            <w:tcMar>
              <w:bottom w:w="85" w:type="dxa"/>
            </w:tcMar>
            <w:vAlign w:val="center"/>
          </w:tcPr>
          <w:p>
            <w:pPr>
              <w:pStyle w:val="TableContents"/>
              <w:bidi w:val="0"/>
              <w:spacing w:before="0" w:after="283"/>
              <w:jc w:val="right"/>
              <w:rPr/>
            </w:pPr>
            <w:r>
              <w:rPr/>
              <w:t>​</w:t>
            </w:r>
          </w:p>
        </w:tc>
        <w:tc>
          <w:tcPr>
            <w:tcW w:w="301" w:type="dxa"/>
            <w:tcBorders>
              <w:bottom w:val="single" w:sz="6" w:space="0" w:color="000000"/>
            </w:tcBorders>
            <w:tcMar>
              <w:bottom w:w="85" w:type="dxa"/>
            </w:tcMar>
            <w:vAlign w:val="center"/>
          </w:tcPr>
          <w:p>
            <w:pPr>
              <w:pStyle w:val="TableContents"/>
              <w:bidi w:val="0"/>
              <w:spacing w:before="0" w:after="283"/>
              <w:jc w:val="right"/>
              <w:rPr/>
            </w:pPr>
            <w:r>
              <w:rPr/>
              <w:t xml:space="preserve">4 </w:t>
            </w:r>
          </w:p>
        </w:tc>
        <w:tc>
          <w:tcPr>
            <w:tcW w:w="114"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56" w:type="dxa"/>
            <w:tcBorders>
              <w:bottom w:val="single" w:sz="6" w:space="0" w:color="000000"/>
            </w:tcBorders>
            <w:vAlign w:val="center"/>
          </w:tcPr>
          <w:p>
            <w:pPr>
              <w:pStyle w:val="TableContents"/>
              <w:bidi w:val="0"/>
              <w:spacing w:before="0" w:after="283"/>
              <w:jc w:val="left"/>
              <w:rPr/>
            </w:pPr>
            <w:r>
              <w:rPr/>
              <w:t>​</w:t>
            </w:r>
          </w:p>
        </w:tc>
        <w:tc>
          <w:tcPr>
            <w:tcW w:w="256" w:type="dxa"/>
            <w:tcBorders>
              <w:bottom w:val="single" w:sz="6" w:space="0" w:color="000000"/>
            </w:tcBorders>
            <w:tcMar>
              <w:bottom w:w="85" w:type="dxa"/>
            </w:tcMar>
            <w:vAlign w:val="center"/>
          </w:tcPr>
          <w:p>
            <w:pPr>
              <w:pStyle w:val="TableContents"/>
              <w:bidi w:val="0"/>
              <w:spacing w:before="0" w:after="283"/>
              <w:jc w:val="right"/>
              <w:rPr/>
            </w:pPr>
            <w:r>
              <w:rPr/>
              <w:t>​</w:t>
            </w:r>
          </w:p>
        </w:tc>
        <w:tc>
          <w:tcPr>
            <w:tcW w:w="533" w:type="dxa"/>
            <w:tcBorders>
              <w:bottom w:val="single" w:sz="6" w:space="0" w:color="000000"/>
            </w:tcBorders>
            <w:tcMar>
              <w:bottom w:w="85" w:type="dxa"/>
            </w:tcMar>
            <w:vAlign w:val="center"/>
          </w:tcPr>
          <w:p>
            <w:pPr>
              <w:pStyle w:val="TableContents"/>
              <w:bidi w:val="0"/>
              <w:spacing w:before="0" w:after="283"/>
              <w:jc w:val="right"/>
              <w:rPr/>
            </w:pPr>
            <w:r>
              <w:rPr/>
              <w:t>0</w:t>
            </w:r>
          </w:p>
        </w:tc>
        <w:tc>
          <w:tcPr>
            <w:tcW w:w="258"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80" w:type="dxa"/>
            <w:tcBorders>
              <w:bottom w:val="single" w:sz="6" w:space="0" w:color="000000"/>
            </w:tcBorders>
            <w:vAlign w:val="center"/>
          </w:tcPr>
          <w:p>
            <w:pPr>
              <w:pStyle w:val="TableContents"/>
              <w:bidi w:val="0"/>
              <w:spacing w:before="0" w:after="283"/>
              <w:jc w:val="left"/>
              <w:rPr/>
            </w:pPr>
            <w:r>
              <w:rPr/>
              <w:t>​</w:t>
            </w:r>
          </w:p>
        </w:tc>
        <w:tc>
          <w:tcPr>
            <w:tcW w:w="180" w:type="dxa"/>
            <w:tcBorders>
              <w:bottom w:val="single" w:sz="6" w:space="0" w:color="000000"/>
            </w:tcBorders>
            <w:tcMar>
              <w:bottom w:w="85" w:type="dxa"/>
            </w:tcMar>
            <w:vAlign w:val="center"/>
          </w:tcPr>
          <w:p>
            <w:pPr>
              <w:pStyle w:val="TableContents"/>
              <w:bidi w:val="0"/>
              <w:spacing w:before="0" w:after="283"/>
              <w:jc w:val="right"/>
              <w:rPr/>
            </w:pPr>
            <w:r>
              <w:rPr/>
              <w:t>​</w:t>
            </w:r>
          </w:p>
        </w:tc>
        <w:tc>
          <w:tcPr>
            <w:tcW w:w="374" w:type="dxa"/>
            <w:tcBorders>
              <w:bottom w:val="single" w:sz="6" w:space="0" w:color="000000"/>
            </w:tcBorders>
            <w:tcMar>
              <w:bottom w:w="85" w:type="dxa"/>
            </w:tcMar>
            <w:vAlign w:val="center"/>
          </w:tcPr>
          <w:p>
            <w:pPr>
              <w:pStyle w:val="TableContents"/>
              <w:bidi w:val="0"/>
              <w:spacing w:before="0" w:after="283"/>
              <w:jc w:val="right"/>
              <w:rPr/>
            </w:pPr>
            <w:r>
              <w:rPr/>
              <w:t>0</w:t>
            </w:r>
          </w:p>
        </w:tc>
        <w:tc>
          <w:tcPr>
            <w:tcW w:w="182"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vAlign w:val="center"/>
          </w:tcPr>
          <w:p>
            <w:pPr>
              <w:pStyle w:val="TableContents"/>
              <w:bidi w:val="0"/>
              <w:spacing w:before="0" w:after="283"/>
              <w:jc w:val="left"/>
              <w:rPr/>
            </w:pPr>
            <w:r>
              <w:rPr/>
              <w:t>​</w:t>
            </w:r>
          </w:p>
        </w:tc>
        <w:tc>
          <w:tcPr>
            <w:tcW w:w="4396" w:type="dxa"/>
            <w:tcBorders>
              <w:bottom w:val="single" w:sz="6" w:space="0" w:color="000000"/>
            </w:tcBorders>
            <w:shd w:fill="F7F7F7" w:val="clear"/>
            <w:tcMar>
              <w:bottom w:w="85" w:type="dxa"/>
            </w:tcMar>
            <w:vAlign w:val="center"/>
          </w:tcPr>
          <w:p>
            <w:pPr>
              <w:pStyle w:val="TableContents"/>
              <w:bidi w:val="0"/>
              <w:spacing w:before="0" w:after="283"/>
              <w:jc w:val="left"/>
              <w:rPr/>
            </w:pPr>
            <w:r>
              <w:rPr/>
              <w:t xml:space="preserve">Two or More Races or Ethnicities </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67" w:type="dxa"/>
            <w:tcBorders>
              <w:bottom w:val="single" w:sz="6" w:space="0" w:color="000000"/>
            </w:tcBorders>
            <w:shd w:fill="F7F7F7" w:val="clear"/>
            <w:vAlign w:val="center"/>
          </w:tcPr>
          <w:p>
            <w:pPr>
              <w:pStyle w:val="TableContents"/>
              <w:bidi w:val="0"/>
              <w:spacing w:before="0" w:after="283"/>
              <w:jc w:val="left"/>
              <w:rPr/>
            </w:pPr>
            <w:r>
              <w:rPr/>
              <w:t>​</w:t>
            </w:r>
          </w:p>
        </w:tc>
        <w:tc>
          <w:tcPr>
            <w:tcW w:w="167" w:type="dxa"/>
            <w:tcBorders>
              <w:bottom w:val="single" w:sz="6" w:space="0" w:color="000000"/>
            </w:tcBorders>
            <w:shd w:fill="F7F7F7" w:val="clear"/>
            <w:tcMar>
              <w:bottom w:w="85" w:type="dxa"/>
            </w:tcMar>
            <w:vAlign w:val="center"/>
          </w:tcPr>
          <w:p>
            <w:pPr>
              <w:pStyle w:val="TableContents"/>
              <w:bidi w:val="0"/>
              <w:spacing w:before="0" w:after="283"/>
              <w:jc w:val="right"/>
              <w:rPr/>
            </w:pPr>
            <w:r>
              <w:rPr/>
              <w:t>​</w:t>
            </w:r>
          </w:p>
        </w:tc>
        <w:tc>
          <w:tcPr>
            <w:tcW w:w="349" w:type="dxa"/>
            <w:tcBorders>
              <w:bottom w:val="single" w:sz="6" w:space="0" w:color="000000"/>
            </w:tcBorders>
            <w:shd w:fill="F7F7F7" w:val="clear"/>
            <w:tcMar>
              <w:bottom w:w="85" w:type="dxa"/>
            </w:tcMar>
            <w:vAlign w:val="center"/>
          </w:tcPr>
          <w:p>
            <w:pPr>
              <w:pStyle w:val="TableContents"/>
              <w:bidi w:val="0"/>
              <w:spacing w:before="0" w:after="283"/>
              <w:jc w:val="right"/>
              <w:rPr/>
            </w:pPr>
            <w:r>
              <w:rPr/>
              <w:t>0</w:t>
            </w:r>
          </w:p>
        </w:tc>
        <w:tc>
          <w:tcPr>
            <w:tcW w:w="170"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14" w:type="dxa"/>
            <w:tcBorders>
              <w:bottom w:val="single" w:sz="6" w:space="0" w:color="000000"/>
            </w:tcBorders>
            <w:shd w:fill="F7F7F7" w:val="cle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85" w:type="dxa"/>
            </w:tcMar>
            <w:vAlign w:val="center"/>
          </w:tcPr>
          <w:p>
            <w:pPr>
              <w:pStyle w:val="TableContents"/>
              <w:bidi w:val="0"/>
              <w:spacing w:before="0" w:after="283"/>
              <w:jc w:val="right"/>
              <w:rPr/>
            </w:pPr>
            <w:r>
              <w:rPr/>
              <w:t>​</w:t>
            </w:r>
          </w:p>
        </w:tc>
        <w:tc>
          <w:tcPr>
            <w:tcW w:w="301" w:type="dxa"/>
            <w:tcBorders>
              <w:bottom w:val="single" w:sz="6" w:space="0" w:color="000000"/>
            </w:tcBorders>
            <w:shd w:fill="F7F7F7" w:val="clear"/>
            <w:tcMar>
              <w:bottom w:w="85" w:type="dxa"/>
            </w:tcMar>
            <w:vAlign w:val="center"/>
          </w:tcPr>
          <w:p>
            <w:pPr>
              <w:pStyle w:val="TableContents"/>
              <w:bidi w:val="0"/>
              <w:spacing w:before="0" w:after="283"/>
              <w:jc w:val="right"/>
              <w:rPr/>
            </w:pPr>
            <w:r>
              <w:rPr/>
              <w:t>1</w:t>
            </w:r>
          </w:p>
        </w:tc>
        <w:tc>
          <w:tcPr>
            <w:tcW w:w="114"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256" w:type="dxa"/>
            <w:tcBorders>
              <w:bottom w:val="single" w:sz="6" w:space="0" w:color="000000"/>
            </w:tcBorders>
            <w:shd w:fill="F7F7F7" w:val="clear"/>
            <w:vAlign w:val="center"/>
          </w:tcPr>
          <w:p>
            <w:pPr>
              <w:pStyle w:val="TableContents"/>
              <w:bidi w:val="0"/>
              <w:spacing w:before="0" w:after="283"/>
              <w:jc w:val="left"/>
              <w:rPr/>
            </w:pPr>
            <w:r>
              <w:rPr/>
              <w:t>​</w:t>
            </w:r>
          </w:p>
        </w:tc>
        <w:tc>
          <w:tcPr>
            <w:tcW w:w="256" w:type="dxa"/>
            <w:tcBorders>
              <w:bottom w:val="single" w:sz="6" w:space="0" w:color="000000"/>
            </w:tcBorders>
            <w:shd w:fill="F7F7F7" w:val="clear"/>
            <w:tcMar>
              <w:bottom w:w="85" w:type="dxa"/>
            </w:tcMar>
            <w:vAlign w:val="center"/>
          </w:tcPr>
          <w:p>
            <w:pPr>
              <w:pStyle w:val="TableContents"/>
              <w:bidi w:val="0"/>
              <w:spacing w:before="0" w:after="283"/>
              <w:jc w:val="right"/>
              <w:rPr/>
            </w:pPr>
            <w:r>
              <w:rPr/>
              <w:t>​</w:t>
            </w:r>
          </w:p>
        </w:tc>
        <w:tc>
          <w:tcPr>
            <w:tcW w:w="533" w:type="dxa"/>
            <w:tcBorders>
              <w:bottom w:val="single" w:sz="6" w:space="0" w:color="000000"/>
            </w:tcBorders>
            <w:shd w:fill="F7F7F7" w:val="clear"/>
            <w:tcMar>
              <w:bottom w:w="85" w:type="dxa"/>
            </w:tcMar>
            <w:vAlign w:val="center"/>
          </w:tcPr>
          <w:p>
            <w:pPr>
              <w:pStyle w:val="TableContents"/>
              <w:bidi w:val="0"/>
              <w:spacing w:before="0" w:after="283"/>
              <w:jc w:val="right"/>
              <w:rPr/>
            </w:pPr>
            <w:r>
              <w:rPr/>
              <w:t>0</w:t>
            </w:r>
          </w:p>
        </w:tc>
        <w:tc>
          <w:tcPr>
            <w:tcW w:w="258"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80" w:type="dxa"/>
            <w:tcBorders>
              <w:bottom w:val="single" w:sz="6" w:space="0" w:color="000000"/>
            </w:tcBorders>
            <w:shd w:fill="F7F7F7" w:val="clear"/>
            <w:vAlign w:val="center"/>
          </w:tcPr>
          <w:p>
            <w:pPr>
              <w:pStyle w:val="TableContents"/>
              <w:bidi w:val="0"/>
              <w:spacing w:before="0" w:after="283"/>
              <w:jc w:val="left"/>
              <w:rPr/>
            </w:pPr>
            <w:r>
              <w:rPr/>
              <w:t>​</w:t>
            </w:r>
          </w:p>
        </w:tc>
        <w:tc>
          <w:tcPr>
            <w:tcW w:w="180" w:type="dxa"/>
            <w:tcBorders>
              <w:bottom w:val="single" w:sz="6" w:space="0" w:color="000000"/>
            </w:tcBorders>
            <w:shd w:fill="F7F7F7" w:val="clear"/>
            <w:tcMar>
              <w:bottom w:w="85" w:type="dxa"/>
            </w:tcMar>
            <w:vAlign w:val="center"/>
          </w:tcPr>
          <w:p>
            <w:pPr>
              <w:pStyle w:val="TableContents"/>
              <w:bidi w:val="0"/>
              <w:spacing w:before="0" w:after="283"/>
              <w:jc w:val="right"/>
              <w:rPr/>
            </w:pPr>
            <w:r>
              <w:rPr/>
              <w:t>​</w:t>
            </w:r>
          </w:p>
        </w:tc>
        <w:tc>
          <w:tcPr>
            <w:tcW w:w="374" w:type="dxa"/>
            <w:tcBorders>
              <w:bottom w:val="single" w:sz="6" w:space="0" w:color="000000"/>
            </w:tcBorders>
            <w:shd w:fill="F7F7F7" w:val="clear"/>
            <w:tcMar>
              <w:bottom w:w="85" w:type="dxa"/>
            </w:tcMar>
            <w:vAlign w:val="center"/>
          </w:tcPr>
          <w:p>
            <w:pPr>
              <w:pStyle w:val="TableContents"/>
              <w:bidi w:val="0"/>
              <w:spacing w:before="0" w:after="283"/>
              <w:jc w:val="right"/>
              <w:rPr/>
            </w:pPr>
            <w:r>
              <w:rPr/>
              <w:t>0</w:t>
            </w:r>
          </w:p>
        </w:tc>
        <w:tc>
          <w:tcPr>
            <w:tcW w:w="182" w:type="dxa"/>
            <w:tcBorders>
              <w:bottom w:val="single" w:sz="6" w:space="0" w:color="000000"/>
            </w:tcBorders>
            <w:shd w:fill="F7F7F7" w:val="clear"/>
            <w:vAlign w:val="center"/>
          </w:tcPr>
          <w:p>
            <w:pPr>
              <w:pStyle w:val="TableContents"/>
              <w:bidi w:val="0"/>
              <w:spacing w:before="0" w:after="283"/>
              <w:jc w:val="left"/>
              <w:rPr/>
            </w:pPr>
            <w:r>
              <w:rPr/>
              <w:t>​</w:t>
            </w:r>
          </w:p>
        </w:tc>
        <w:tc>
          <w:tcPr>
            <w:tcW w:w="154" w:type="dxa"/>
            <w:tcBorders>
              <w:bottom w:val="single" w:sz="6" w:space="0" w:color="000000"/>
            </w:tcBorders>
            <w:shd w:fill="F7F7F7"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4396" w:type="dxa"/>
            <w:tcBorders>
              <w:bottom w:val="single" w:sz="6" w:space="0" w:color="000000"/>
            </w:tcBorders>
            <w:tcMar>
              <w:bottom w:w="85" w:type="dxa"/>
            </w:tcMar>
            <w:vAlign w:val="center"/>
          </w:tcPr>
          <w:p>
            <w:pPr>
              <w:pStyle w:val="TableContents"/>
              <w:bidi w:val="0"/>
              <w:spacing w:before="0" w:after="283"/>
              <w:jc w:val="left"/>
              <w:rPr/>
            </w:pPr>
            <w:r>
              <w:rPr/>
              <w:t xml:space="preserve">LGBTQ+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4369" w:type="dxa"/>
            <w:gridSpan w:val="22"/>
            <w:tcBorders>
              <w:bottom w:val="single" w:sz="6" w:space="0" w:color="000000"/>
            </w:tcBorders>
            <w:tcMar>
              <w:bottom w:w="85" w:type="dxa"/>
            </w:tcMar>
            <w:vAlign w:val="center"/>
          </w:tcPr>
          <w:p>
            <w:pPr>
              <w:pStyle w:val="TableContents"/>
              <w:bidi w:val="0"/>
              <w:spacing w:before="0" w:after="0"/>
              <w:jc w:val="center"/>
              <w:rPr/>
            </w:pPr>
            <w:r>
              <w:rPr/>
              <w:t xml:space="preserve">0 </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vAlign w:val="center"/>
          </w:tcPr>
          <w:p>
            <w:pPr>
              <w:pStyle w:val="TableContents"/>
              <w:bidi w:val="0"/>
              <w:spacing w:before="0" w:after="283"/>
              <w:jc w:val="left"/>
              <w:rPr/>
            </w:pPr>
            <w:r>
              <w:rPr/>
              <w:t>​</w:t>
            </w:r>
          </w:p>
        </w:tc>
        <w:tc>
          <w:tcPr>
            <w:tcW w:w="4396" w:type="dxa"/>
            <w:tcBorders>
              <w:bottom w:val="single" w:sz="6" w:space="0" w:color="000000"/>
            </w:tcBorders>
            <w:shd w:fill="F7F7F7" w:val="clear"/>
            <w:tcMar>
              <w:bottom w:w="85" w:type="dxa"/>
            </w:tcMar>
            <w:vAlign w:val="center"/>
          </w:tcPr>
          <w:p>
            <w:pPr>
              <w:pStyle w:val="TableContents"/>
              <w:bidi w:val="0"/>
              <w:spacing w:before="0" w:after="283"/>
              <w:jc w:val="left"/>
              <w:rPr/>
            </w:pPr>
            <w:r>
              <w:rPr/>
              <w:t xml:space="preserve">Did Not Disclose Demographic Background </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4369" w:type="dxa"/>
            <w:gridSpan w:val="22"/>
            <w:tcBorders>
              <w:bottom w:val="single" w:sz="6" w:space="0" w:color="000000"/>
            </w:tcBorders>
            <w:shd w:fill="F7F7F7" w:val="clear"/>
            <w:tcMar>
              <w:bottom w:w="85" w:type="dxa"/>
            </w:tcMar>
            <w:vAlign w:val="center"/>
          </w:tcPr>
          <w:p>
            <w:pPr>
              <w:pStyle w:val="TableContents"/>
              <w:bidi w:val="0"/>
              <w:spacing w:before="0" w:after="0"/>
              <w:jc w:val="center"/>
              <w:rPr/>
            </w:pPr>
            <w:r>
              <w:rPr/>
              <w:t>0</w:t>
            </w:r>
          </w:p>
        </w:tc>
        <w:tc>
          <w:tcPr>
            <w:tcW w:w="154" w:type="dxa"/>
            <w:tcBorders>
              <w:bottom w:val="single" w:sz="6" w:space="0" w:color="000000"/>
            </w:tcBorders>
            <w:shd w:fill="F7F7F7" w:val="clear"/>
            <w:vAlign w:val="center"/>
          </w:tcPr>
          <w:p>
            <w:pPr>
              <w:pStyle w:val="TableContents"/>
              <w:bidi w:val="0"/>
              <w:spacing w:before="0" w:after="283"/>
              <w:jc w:val="left"/>
              <w:rPr/>
            </w:pPr>
            <w:r>
              <w:rPr/>
              <w:t>​</w:t>
            </w:r>
          </w:p>
        </w:tc>
      </w:tr>
    </w:tbl>
    <w:p>
      <w:pPr>
        <w:pStyle w:val="TextBody"/>
        <w:bidi w:val="0"/>
        <w:spacing w:lineRule="atLeast" w:line="200" w:before="240" w:after="283"/>
        <w:ind w:left="720" w:right="0" w:hanging="0"/>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Role of the Board in Risk Oversight</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One of the Board’s key functions is informed oversight of our risk management process. The Board believes that its current leadership structure facilitates its risk oversight responsibilities. In particular, the Board believes the majority-independent Board and independent Board committees provide a well-functioning and effective balance to an experienced Chief Executive Officer. The Board does not have a standing risk management committee, but rather administers this oversight function directly through the Board as a whole, as well as through various Board standing committees that address risks inherent in their respective areas of oversight. For example, the Board acts as the ultimate decision-making body of the Company and advises and oversees management, who is responsible for the day-to-day operations and management of the Company. The Audit Committee monitors compliance with legal and regulatory requirements, monitors cybersecurity and privacy risks, and reviews our policies and practices with respect to risk assessment and risk management, including discussing with management our major financial risk exposures and the steps that have been taken to monitor and control such exposures. The Nominating and Corporate Governance Committee monitors the effectiveness of our Corporate Governance Guidelines and policies. The Compensation and Human Capital Committee assesses and monitors whether any of our compensation policies and programs has the potential to encourage excessive risk-taking.</w:t>
      </w:r>
      <w:r>
        <w:rPr>
          <w:rFonts w:ascii="Helvetica;Arial;sans-serif" w:hAnsi="Helvetica;Arial;sans-serif"/>
          <w:b w:val="false"/>
          <w:i w:val="false"/>
          <w:caps w:val="false"/>
          <w:smallCaps w:val="false"/>
          <w:color w:val="000000"/>
          <w:spacing w:val="4"/>
          <w:sz w:val="18"/>
        </w:rPr>
        <w:t xml:space="preserve"> </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17</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84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It is the responsibility of the committee chairs to report findings regarding material risk exposures to the Board as quickly as possible. Our Chief Executive Officer, Chief Financial Officer, Interim Chief Financial Officer, Chief Operating Officer, and General Counsel coordinate between the Board and management with regard to the determination and implementation of responses to any problematic risk management issues.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Meetings of the Board of Directors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Board oversees our business. It establishes overall policies and standards and reviews the performance of management. During the fiscal year ended December 31, 2023, the Board held 9 meetings. Each Board member attended 75% or more of the aggregate meetings of the Board and of the committees on which they served during the period for which they were a director or committee member. Our directors are encouraged to attend our annual meetings of stockholders, but we do not currently have a policy relating to director attendance.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Our Independent Directors meet from time to time in executive session. The Board and each of our standing independent committees typically hold an executive session of non-management directors (all of whom are Independent Directors) as a part of every regularly scheduled quarterly meeting.</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Information Regarding Committees of the Board of Directors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Board has a number of committees that perform certain functions for the Board. The current committees of the Board are the Audit Committee, the Compensation and Human Capital Committee, the Nominating and Corporate Governance Committee and the Executive Committee. Below is a description of each committee of the Board. Each of the committees has authority to engage legal counsel or other experts or consultants, as it deems appropriate to carry out its responsibilities. The Board has determined that each member of the Audit Committee, the Compensation and Human Capital Committee and the Nominating and Corporate Governance Committee meets the applicable Nasdaq listing standards and that each member is free of any relationship that would impair his or her individual exercise of independent judgment with regard to our Company.</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Audit Committee</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Board has a separately designated standing Audit Committee established in accordance with Section 3(a)(58) of the Exchange Act. The Audit Committee was established by the Board to assist the Board in its oversight of the integrity of our financial statements and internal controls, and our compliance with legal and regulatory requirements. In addition, the Audit Committee is responsible for the oversight of the qualification, independence and performance of our independent registered public accounting firm as well as the appointment of our independent registered public accounting firm.</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For the term ending at the Annual Meeting, our Audit Committee consists of Janet S. Wong, Glenn R. August and Ori Winitzer, with Janet S. Wong serving as chairperson. Our Board has determined (i) that each of Janet S. Wong, Glenn R. August, and Ori Winitzer satisfied the requirements for independence and financial literacy under the rules and regulations of Nasdaq and the SEC and (ii) that Janet S. Wong qualifies as an “audit committee financial expert” as defined in the SEC rules and regulations and satisfies the financial sophistication requirements of Nasdaq. In making that determination, the Board relied on the past business experience of Janet S. Wong. Please see the description of the business experience for Janet S. Wong under the heading “Nominees for Director.” This designation does not impose any duties, obligations or liabilities that are greater than are generally imposed on members of our Audit Committee and our Board of Directors. Our Audit Committee is directly responsible for, among other things: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146"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selecting and hiring our independent registered public accounting firm;</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2710" distB="0" distL="0" distR="0" simplePos="0" locked="0" layoutInCell="1" allowOverlap="1" relativeHeight="107">
                <wp:simplePos x="0" y="0"/>
                <wp:positionH relativeFrom="column">
                  <wp:align>left</wp:align>
                </wp:positionH>
                <wp:positionV relativeFrom="line">
                  <wp:align>top</wp:align>
                </wp:positionV>
                <wp:extent cx="114300" cy="525780"/>
                <wp:effectExtent l="0" t="0" r="0" b="0"/>
                <wp:wrapSquare wrapText="right"/>
                <wp:docPr id="71" name="Frame36"/>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evaluating the performance and independence of our independent registered public accounting firm;</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80010" distB="0" distL="0" distR="0" simplePos="0" locked="0" layoutInCell="1" allowOverlap="1" relativeHeight="108">
                <wp:simplePos x="0" y="0"/>
                <wp:positionH relativeFrom="column">
                  <wp:align>left</wp:align>
                </wp:positionH>
                <wp:positionV relativeFrom="line">
                  <wp:align>top</wp:align>
                </wp:positionV>
                <wp:extent cx="114300" cy="525780"/>
                <wp:effectExtent l="0" t="0" r="0" b="0"/>
                <wp:wrapSquare wrapText="right"/>
                <wp:docPr id="72" name="Frame37"/>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6.3pt;mso-wrap-distance-bottom:0pt;margin-top:6.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pre-approving the audit and any non-audit services to be performed by our registered public accounting firm;</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80010" distB="0" distL="0" distR="0" simplePos="0" locked="0" layoutInCell="1" allowOverlap="1" relativeHeight="109">
                <wp:simplePos x="0" y="0"/>
                <wp:positionH relativeFrom="column">
                  <wp:align>left</wp:align>
                </wp:positionH>
                <wp:positionV relativeFrom="line">
                  <wp:align>top</wp:align>
                </wp:positionV>
                <wp:extent cx="114300" cy="525780"/>
                <wp:effectExtent l="0" t="0" r="0" b="0"/>
                <wp:wrapSquare wrapText="right"/>
                <wp:docPr id="73" name="Frame38"/>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6.3pt;mso-wrap-distance-bottom:0pt;margin-top:6.3pt;mso-position-vertical:top;mso-position-vertical-relative:text;margin-left:9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reviewing the integrity of our financial statements and related disclosures and reviewing our critical accounting policies and practices;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80010" distB="0" distL="0" distR="0" simplePos="0" locked="0" layoutInCell="1" allowOverlap="1" relativeHeight="110">
                <wp:simplePos x="0" y="0"/>
                <wp:positionH relativeFrom="column">
                  <wp:align>left</wp:align>
                </wp:positionH>
                <wp:positionV relativeFrom="line">
                  <wp:align>top</wp:align>
                </wp:positionV>
                <wp:extent cx="114300" cy="525780"/>
                <wp:effectExtent l="0" t="0" r="0" b="0"/>
                <wp:wrapSquare wrapText="right"/>
                <wp:docPr id="74" name="Frame39"/>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6.3pt;mso-wrap-distance-bottom:0pt;margin-top:6.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reviewing the adequacy and effectiveness of our internal control policies and procedures and our disclosure controls and procedures;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80010" distB="0" distL="0" distR="0" simplePos="0" locked="0" layoutInCell="1" allowOverlap="1" relativeHeight="111">
                <wp:simplePos x="0" y="0"/>
                <wp:positionH relativeFrom="column">
                  <wp:align>left</wp:align>
                </wp:positionH>
                <wp:positionV relativeFrom="line">
                  <wp:align>top</wp:align>
                </wp:positionV>
                <wp:extent cx="114300" cy="525780"/>
                <wp:effectExtent l="0" t="0" r="0" b="0"/>
                <wp:wrapSquare wrapText="right"/>
                <wp:docPr id="75" name="Frame40"/>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6.3pt;mso-wrap-distance-bottom:0pt;margin-top:6.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overseeing procedures for the treatment of complaints relating to accounting, internal accounting controls or audit matters;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80010" distB="0" distL="0" distR="0" simplePos="0" locked="0" layoutInCell="1" allowOverlap="1" relativeHeight="112">
                <wp:simplePos x="0" y="0"/>
                <wp:positionH relativeFrom="column">
                  <wp:align>left</wp:align>
                </wp:positionH>
                <wp:positionV relativeFrom="line">
                  <wp:align>top</wp:align>
                </wp:positionV>
                <wp:extent cx="114300" cy="525780"/>
                <wp:effectExtent l="0" t="0" r="0" b="0"/>
                <wp:wrapSquare wrapText="right"/>
                <wp:docPr id="76" name="Frame41"/>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6.3pt;mso-wrap-distance-bottom:0pt;margin-top:6.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reviewing and discussing with management and the registered public accounting firm the results of the annual audit, our quarterly financial statements and our publicly filed reports;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80010" distB="0" distL="0" distR="0" simplePos="0" locked="0" layoutInCell="1" allowOverlap="1" relativeHeight="113">
                <wp:simplePos x="0" y="0"/>
                <wp:positionH relativeFrom="column">
                  <wp:align>left</wp:align>
                </wp:positionH>
                <wp:positionV relativeFrom="line">
                  <wp:align>top</wp:align>
                </wp:positionV>
                <wp:extent cx="114300" cy="525780"/>
                <wp:effectExtent l="0" t="0" r="0" b="0"/>
                <wp:wrapSquare wrapText="right"/>
                <wp:docPr id="77" name="Frame42"/>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6.3pt;mso-wrap-distance-bottom:0pt;margin-top:6.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18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840" w:after="283"/>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establishing procedures for employees to anonymously submit concerns about questionable accounting or audit matters;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114">
                <wp:simplePos x="0" y="0"/>
                <wp:positionH relativeFrom="column">
                  <wp:align>left</wp:align>
                </wp:positionH>
                <wp:positionV relativeFrom="line">
                  <wp:posOffset>635</wp:posOffset>
                </wp:positionV>
                <wp:extent cx="114300" cy="525780"/>
                <wp:effectExtent l="0" t="0" r="0" b="0"/>
                <wp:wrapSquare wrapText="right"/>
                <wp:docPr id="78" name="Frame43"/>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reviewing our policies and practices with respect to risk assessment and risk management, including discussing with management our major financial risk exposures and the steps that have been taken to monitor and control such exposures;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2710" distB="0" distL="0" distR="0" simplePos="0" locked="0" layoutInCell="1" allowOverlap="1" relativeHeight="115">
                <wp:simplePos x="0" y="0"/>
                <wp:positionH relativeFrom="column">
                  <wp:align>left</wp:align>
                </wp:positionH>
                <wp:positionV relativeFrom="line">
                  <wp:align>top</wp:align>
                </wp:positionV>
                <wp:extent cx="114300" cy="525780"/>
                <wp:effectExtent l="0" t="0" r="0" b="0"/>
                <wp:wrapSquare wrapText="right"/>
                <wp:docPr id="79" name="Frame44"/>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reviewing and approving in advance any proposed related-person transactions;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2710" distB="0" distL="0" distR="0" simplePos="0" locked="0" layoutInCell="1" allowOverlap="1" relativeHeight="116">
                <wp:simplePos x="0" y="0"/>
                <wp:positionH relativeFrom="column">
                  <wp:align>left</wp:align>
                </wp:positionH>
                <wp:positionV relativeFrom="line">
                  <wp:align>top</wp:align>
                </wp:positionV>
                <wp:extent cx="114300" cy="525780"/>
                <wp:effectExtent l="0" t="0" r="0" b="0"/>
                <wp:wrapSquare wrapText="right"/>
                <wp:docPr id="80" name="Frame45"/>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reviewing key cybersecurity, privacy, and other information technology risks; and</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2710" distB="0" distL="0" distR="0" simplePos="0" locked="0" layoutInCell="1" allowOverlap="1" relativeHeight="117">
                <wp:simplePos x="0" y="0"/>
                <wp:positionH relativeFrom="column">
                  <wp:align>left</wp:align>
                </wp:positionH>
                <wp:positionV relativeFrom="line">
                  <wp:align>top</wp:align>
                </wp:positionV>
                <wp:extent cx="114300" cy="525780"/>
                <wp:effectExtent l="0" t="0" r="0" b="0"/>
                <wp:wrapSquare wrapText="right"/>
                <wp:docPr id="81" name="Frame46"/>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3pt;mso-wrap-distance-bottom:0pt;margin-top:7.3pt;mso-position-vertical:top;mso-position-vertical-relative:text;margin-left:9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preparing the audit committee report that the SEC requires in our annual proxy statement.</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2710" distB="0" distL="0" distR="0" simplePos="0" locked="0" layoutInCell="1" allowOverlap="1" relativeHeight="118">
                <wp:simplePos x="0" y="0"/>
                <wp:positionH relativeFrom="column">
                  <wp:align>left</wp:align>
                </wp:positionH>
                <wp:positionV relativeFrom="line">
                  <wp:align>top</wp:align>
                </wp:positionV>
                <wp:extent cx="114300" cy="525780"/>
                <wp:effectExtent l="0" t="0" r="0" b="0"/>
                <wp:wrapSquare wrapText="right"/>
                <wp:docPr id="82" name="Frame47"/>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Our Audit Committee operates under a written charter that satisfies the applicable rules of the SEC and the listing standards of Nasdaq. In 2023, the Audit Committee met seven times. The Audit Committee charter can be found in the Governance section of the Investors section of our website at https://ir.lucidmotors.com/governance/documents-and-charters. Information on or accessible through our website is not incorporated by reference in this Proxy Statement. The Audit Committee charter grants the Audit Committee authority to obtain, at our expense, advice and assistance from internal and external legal, accounting or other advisors and consultants, and other external resources that the Audit Committee considers necessary or appropriate in the performance of its duties. The Audit Committee charter was revised on September 26, 2023 to address the role of the Audit Committee in cyber security.</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As required by its charter, the Audit Committee conducts a self-evaluation at least annually. The Audit Committee also reviews and assesses the adequacy of its charter at least annually and recommends any proposed changes to the Board for its consideration.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Board annually reviews the Nasdaq listing standards’ definition of independence for Audit Committee members and has determined that all members of our Audit Committee are “independent” and “financially literate” under Nasdaq listing standards and that members of the Audit Committee received no compensation from the Company other than for service as a director.</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Compensation and Human Capital Committee</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Compensation and Human Capital Committee consists of Andrew Liveris, Nichelle Maynard-Elliott, and Ori Winitzer, with Andrew Liveris serving as chairperson. Our Board has determined that each of Andrew Liveris, Nichelle Maynard-Elliott, and Ori Winitzer satisfies the requirements for independence under the applicable Nasdaq listing standards. Our Compensation and Human Capital Committee is responsible for, among other things: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148"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determining, or recommending to the Board for determination, the compensation of our executive officers, including our Chief Executive Officer;</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3980" distB="0" distL="0" distR="0" simplePos="0" locked="0" layoutInCell="1" allowOverlap="1" relativeHeight="119">
                <wp:simplePos x="0" y="0"/>
                <wp:positionH relativeFrom="column">
                  <wp:align>left</wp:align>
                </wp:positionH>
                <wp:positionV relativeFrom="line">
                  <wp:align>top</wp:align>
                </wp:positionV>
                <wp:extent cx="114300" cy="525780"/>
                <wp:effectExtent l="0" t="0" r="0" b="0"/>
                <wp:wrapSquare wrapText="right"/>
                <wp:docPr id="83" name="Frame48"/>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administering our equity compensation plans;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3980" distB="0" distL="0" distR="0" simplePos="0" locked="0" layoutInCell="1" allowOverlap="1" relativeHeight="120">
                <wp:simplePos x="0" y="0"/>
                <wp:positionH relativeFrom="column">
                  <wp:align>left</wp:align>
                </wp:positionH>
                <wp:positionV relativeFrom="line">
                  <wp:align>top</wp:align>
                </wp:positionV>
                <wp:extent cx="114300" cy="525780"/>
                <wp:effectExtent l="0" t="0" r="0" b="0"/>
                <wp:wrapSquare wrapText="right"/>
                <wp:docPr id="84" name="Frame49"/>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overseeing our overall compensation policies and practices, compensation plans, benefits programs, and compensation recoupment policy; and</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3980" distB="0" distL="0" distR="0" simplePos="0" locked="0" layoutInCell="1" allowOverlap="1" relativeHeight="121">
                <wp:simplePos x="0" y="0"/>
                <wp:positionH relativeFrom="column">
                  <wp:align>left</wp:align>
                </wp:positionH>
                <wp:positionV relativeFrom="line">
                  <wp:align>top</wp:align>
                </wp:positionV>
                <wp:extent cx="114300" cy="525780"/>
                <wp:effectExtent l="0" t="0" r="0" b="0"/>
                <wp:wrapSquare wrapText="right"/>
                <wp:docPr id="85" name="Frame50"/>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4pt;mso-wrap-distance-bottom:0pt;margin-top:7.4pt;mso-position-vertical:top;mso-position-vertical-relative:text;margin-left:9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overseeing the preparation of the compensation committee report that the SEC requires in our annual proxy statement.</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3980" distB="0" distL="0" distR="0" simplePos="0" locked="0" layoutInCell="1" allowOverlap="1" relativeHeight="122">
                <wp:simplePos x="0" y="0"/>
                <wp:positionH relativeFrom="column">
                  <wp:align>left</wp:align>
                </wp:positionH>
                <wp:positionV relativeFrom="line">
                  <wp:align>top</wp:align>
                </wp:positionV>
                <wp:extent cx="114300" cy="525780"/>
                <wp:effectExtent l="0" t="0" r="0" b="0"/>
                <wp:wrapSquare wrapText="right"/>
                <wp:docPr id="86" name="Frame51"/>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Our Compensation and Human Capital Committee operates under a written charter that satisfies the applicable rules of the SEC and the listing standards of Nasdaq. During 2023, the Compensation and Human Capital Committee met 14 times. The Compensation and Human Capital Committee charter can be found in the Governance section of the Investors section of our website at https://ir.lucidmotors.com/governance/documents-and-charters. Information on or accessible through our website is not incorporated by reference in this Proxy Statement. The Compensation and Human Capital Committee charter grants the Compensation and Human Capital Committee sole authority to retain or obtain the advice of compensation consultants, legal counsel, or other advisors, including the authority to approve a consultant’s reasonable compensation. The Compensation and Human Capital Committee may select such advisors, or receive advice from any other advisor, only after taking into consideration all factors relevant to that person’s independence from management, including those independence factors enumerated by Nasdaq rules. The Compensation and Human Capital Committee charter was revised on December 9, 2023 to address the role of the Compensation and Human Capital Committee with respect to the administration of the Company’s compensation recoupment policy, and expand the committee’s role to include non-compensation human capital items such as culture, talent management, and diversity and inclusion.</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Under the Compensation and Human Capital Committee charter, the Compensation and Human Capital Committee may, in its discretion, delegate its duties to a subcommittee or to the Chair of the Compensation and Human Capital Committee.</w:t>
      </w:r>
      <w:r>
        <w:rPr>
          <w:rFonts w:ascii="Helvetica;Arial;sans-serif" w:hAnsi="Helvetica;Arial;sans-serif"/>
          <w:b w:val="false"/>
          <w:i w:val="false"/>
          <w:caps w:val="false"/>
          <w:smallCaps w:val="false"/>
          <w:color w:val="000000"/>
          <w:spacing w:val="4"/>
          <w:sz w:val="18"/>
        </w:rPr>
        <w:t xml:space="preserve"> </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19</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84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As required by its charter, the Compensation and Human Capital Committee conducts a self-evaluation at least annually. The Compensation and Human Capital Committee also annually reviews and assesses the adequacy of its charter and recommends any proposed changes to the Board for its consideration.</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Compensation and Human Capital Committee Processes and Procedures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implementation of our compensation philosophy is carried out under the supervision of the Compensation and Human Capital Committee. The Compensation and Human Capital Committee charter requires that the Compensation and Human Capital Committee meet as often as it determines is appropriate to carry out its responsibilities under the charter. The agenda for each meeting is usually developed by the Chair of the Compensation and Human Capital Committee, in consultation with other Compensation and Human Capital Committee members, management and the Compensation and Human Capital Committee’s independent advisors. The Compensation and Human Capital Committee also meets regularly in executive session. Meetings may, at the discretion of the Compensation and Human Capital Committee, include other directors or members of management in addition to the Compensation and Human Capital Committee’s independent advisors, for the purpose of providing analysis and information to assist management with their recommendations on various compensation matters. Management does not participate in the executive sessions of the Compensation and Human Capital Committee. For a description of the role of our management and any compensation consultants for executive compensation decisions for fiscal year 2023, please see the section entitled “Compensation Discussion and Analysis.”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Compensation and Human Capital Committee Interlocks and Insider Participation</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Andrew Liveris, Nichelle Maynard-Elliott, and Ori Winitzer served as members of the Compensation and Human Capital Committee during 2023. None of such persons is or was formerly an officer or an employee of Lucid. Please see the section entitled “Certain Relationships and Related Party Transactions” for certain transactions involving Lucid in which members of the Compensation and Human Capital Committee may potentially be deemed to have an indirect interest.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None of our executive officers currently serves, or has served during the last year, as a member of the board of directors or compensation committee of any entity that has one or more executive officers serving as a member of our Board or Compensation and Human Capital Committee.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Nominating and Corporate Governance Committee</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Nominating and Corporate Governance Committee is generally responsible for identifying qualified Board candidates, recommending director nominees and appointments to Board committees, evaluating Board performance, and overseeing our Corporate Governance Guidelines. For the term ending at the Annual Meeting, our Nominating and Corporate Governance Committee consists of Turqi Alnowaiser, Glenn R. August and Nichelle Maynard-Elliott, with Turqi Alnowaiser serving as chairperson. Our Board has determined that each of Turqi Alnowaiser, Glenn R. August, and Nichelle Maynard-Elliott satisfied the requirements for independence under the applicable Nasdaq listing standards. Our Nominating and Corporate Governance Committee is responsible for, among other things: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150"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identifying and recommending candidates for membership on our Board, including the consideration of nominees submitted by stockholders, and to each of the Board’s committees;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123">
                <wp:simplePos x="0" y="0"/>
                <wp:positionH relativeFrom="column">
                  <wp:align>left</wp:align>
                </wp:positionH>
                <wp:positionV relativeFrom="line">
                  <wp:align>top</wp:align>
                </wp:positionV>
                <wp:extent cx="114300" cy="525780"/>
                <wp:effectExtent l="0" t="0" r="0" b="0"/>
                <wp:wrapSquare wrapText="right"/>
                <wp:docPr id="87" name="Frame52"/>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making recommendations to the Board as to determinations of director independence;</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124">
                <wp:simplePos x="0" y="0"/>
                <wp:positionH relativeFrom="column">
                  <wp:align>left</wp:align>
                </wp:positionH>
                <wp:positionV relativeFrom="line">
                  <wp:align>top</wp:align>
                </wp:positionV>
                <wp:extent cx="114300" cy="525780"/>
                <wp:effectExtent l="0" t="0" r="0" b="0"/>
                <wp:wrapSquare wrapText="right"/>
                <wp:docPr id="88" name="Frame53"/>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evaluating and making recommendations regarding the composition, organization, and governance of our Board and its committees;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125">
                <wp:simplePos x="0" y="0"/>
                <wp:positionH relativeFrom="column">
                  <wp:align>left</wp:align>
                </wp:positionH>
                <wp:positionV relativeFrom="line">
                  <wp:align>top</wp:align>
                </wp:positionV>
                <wp:extent cx="114300" cy="525780"/>
                <wp:effectExtent l="0" t="0" r="0" b="0"/>
                <wp:wrapSquare wrapText="right"/>
                <wp:docPr id="89" name="Frame54"/>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9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reviewing and making recommendations with regard to our Corporate Governance Guidelines and compliance with laws and regulations;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126">
                <wp:simplePos x="0" y="0"/>
                <wp:positionH relativeFrom="column">
                  <wp:align>left</wp:align>
                </wp:positionH>
                <wp:positionV relativeFrom="line">
                  <wp:align>top</wp:align>
                </wp:positionV>
                <wp:extent cx="114300" cy="525780"/>
                <wp:effectExtent l="0" t="0" r="0" b="0"/>
                <wp:wrapSquare wrapText="right"/>
                <wp:docPr id="90" name="Frame55"/>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overseeing and periodically reviewing our policies and programs concerning environmental sustainability, corporate social responsibility, and governance;</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127">
                <wp:simplePos x="0" y="0"/>
                <wp:positionH relativeFrom="column">
                  <wp:align>left</wp:align>
                </wp:positionH>
                <wp:positionV relativeFrom="line">
                  <wp:align>top</wp:align>
                </wp:positionV>
                <wp:extent cx="114300" cy="525780"/>
                <wp:effectExtent l="0" t="0" r="0" b="0"/>
                <wp:wrapSquare wrapText="right"/>
                <wp:docPr id="91" name="Frame56"/>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making recommendations to the Board regarding non-employee director compensation;</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128">
                <wp:simplePos x="0" y="0"/>
                <wp:positionH relativeFrom="column">
                  <wp:align>left</wp:align>
                </wp:positionH>
                <wp:positionV relativeFrom="line">
                  <wp:align>top</wp:align>
                </wp:positionV>
                <wp:extent cx="114300" cy="525780"/>
                <wp:effectExtent l="0" t="0" r="0" b="0"/>
                <wp:wrapSquare wrapText="right"/>
                <wp:docPr id="92" name="Frame57"/>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reviewing conflicts of interest of our directors and officers and proposed waivers of our Corporate Governance Guidelines and Code of Business Conduct and Ethics; and</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129">
                <wp:simplePos x="0" y="0"/>
                <wp:positionH relativeFrom="column">
                  <wp:align>left</wp:align>
                </wp:positionH>
                <wp:positionV relativeFrom="line">
                  <wp:align>top</wp:align>
                </wp:positionV>
                <wp:extent cx="114300" cy="525780"/>
                <wp:effectExtent l="0" t="0" r="0" b="0"/>
                <wp:wrapSquare wrapText="right"/>
                <wp:docPr id="93" name="Frame58"/>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9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evaluating the performance of our Board and its committees.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130">
                <wp:simplePos x="0" y="0"/>
                <wp:positionH relativeFrom="column">
                  <wp:align>left</wp:align>
                </wp:positionH>
                <wp:positionV relativeFrom="line">
                  <wp:align>top</wp:align>
                </wp:positionV>
                <wp:extent cx="114300" cy="525780"/>
                <wp:effectExtent l="0" t="0" r="0" b="0"/>
                <wp:wrapSquare wrapText="right"/>
                <wp:docPr id="94" name="Frame59"/>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20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84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During 2023, the Nominating and Corporate Governance Committee met once. Our Nominating and Corporate Governance Committee operates under a written charter that satisfies the applicable rules of the SEC and the listing standards of Nasdaq. A detailed discussion of the Nominating and Corporate Governance Committee’s procedures for recommending candidates for election as a director appears below under the caption “Procedures of the Nominating and Corporate Governance Committee.”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Nominating and Corporate Governance Committee charter can be found in the Governance section of the Investors section of our website at https://ir.lucidmotors.com/governance/documents-and-charters. The Nominating and Corporate Governance Committee charter complies with the guidelines established by Nasdaq. Information on or accessible through our website is not incorporated by reference in this Proxy Statement. The charter of the Nominating and Corporate Governance Committee grants the Nominating and Corporate Governance Committee authority to retain and terminate any advisors, including search firms to identify director candidates, compensation consultants as to director compensation, and legal counsel, including sole authority to approve all such advisors’ fees and other retention terms.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Procedures of the Nominating and Corporate Governance Committee</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In connection with nominating directors for election at the Annual Meeting and periodically throughout the year, the Nominating and Corporate Governance Committee considers the composition of the Board and each committee of the Board to evaluate its effectiveness and whether changes should be considered to either the Board or any of the committees. In support of this process, the Board has determined that the Board as a whole must have the right diversity, mix of characteristics and skills for the optimal functioning of the Board in its oversight of our Company. The Board considers the following factors and qualifications, without limitation:</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154"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appropriate size and the diversity of the Board;</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7790" distB="0" distL="0" distR="0" simplePos="0" locked="0" layoutInCell="1" allowOverlap="1" relativeHeight="131">
                <wp:simplePos x="0" y="0"/>
                <wp:positionH relativeFrom="column">
                  <wp:align>left</wp:align>
                </wp:positionH>
                <wp:positionV relativeFrom="line">
                  <wp:align>top</wp:align>
                </wp:positionV>
                <wp:extent cx="114300" cy="525780"/>
                <wp:effectExtent l="0" t="0" r="0" b="0"/>
                <wp:wrapSquare wrapText="right"/>
                <wp:docPr id="95" name="Frame60"/>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68"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needs of the Board with respect to the particular talents and experience of its directors;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06680" distB="0" distL="0" distR="0" simplePos="0" locked="0" layoutInCell="1" allowOverlap="1" relativeHeight="132">
                <wp:simplePos x="0" y="0"/>
                <wp:positionH relativeFrom="column">
                  <wp:align>left</wp:align>
                </wp:positionH>
                <wp:positionV relativeFrom="line">
                  <wp:align>top</wp:align>
                </wp:positionV>
                <wp:extent cx="114300" cy="525780"/>
                <wp:effectExtent l="0" t="0" r="0" b="0"/>
                <wp:wrapSquare wrapText="right"/>
                <wp:docPr id="96" name="Frame61"/>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8.4pt;mso-wrap-distance-bottom:0pt;margin-top:8.4pt;mso-position-vertical:top;mso-position-vertical-relative:text;margin-left:9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68"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knowledge, skills, and experience of nominees, including experience in the industry in which we operate, business, finance, management, or public service, in light of prevailing business conditions and the knowledge, skills, and experience already possessed by other members of the Board;</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06680" distB="0" distL="0" distR="0" simplePos="0" locked="0" layoutInCell="1" allowOverlap="1" relativeHeight="133">
                <wp:simplePos x="0" y="0"/>
                <wp:positionH relativeFrom="column">
                  <wp:align>left</wp:align>
                </wp:positionH>
                <wp:positionV relativeFrom="line">
                  <wp:align>top</wp:align>
                </wp:positionV>
                <wp:extent cx="114300" cy="525780"/>
                <wp:effectExtent l="0" t="0" r="0" b="0"/>
                <wp:wrapSquare wrapText="right"/>
                <wp:docPr id="97" name="Frame62"/>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8.4pt;mso-wrap-distance-bottom:0pt;margin-top:8.4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68"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familiarity with domestic and international business matters;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06680" distB="0" distL="0" distR="0" simplePos="0" locked="0" layoutInCell="1" allowOverlap="1" relativeHeight="134">
                <wp:simplePos x="0" y="0"/>
                <wp:positionH relativeFrom="column">
                  <wp:align>left</wp:align>
                </wp:positionH>
                <wp:positionV relativeFrom="line">
                  <wp:align>top</wp:align>
                </wp:positionV>
                <wp:extent cx="114300" cy="525780"/>
                <wp:effectExtent l="0" t="0" r="0" b="0"/>
                <wp:wrapSquare wrapText="right"/>
                <wp:docPr id="98" name="Frame63"/>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8.4pt;mso-wrap-distance-bottom:0pt;margin-top:8.4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68"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familiarity and experience with legal and regulatory requirements; and</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06680" distB="0" distL="0" distR="0" simplePos="0" locked="0" layoutInCell="1" allowOverlap="1" relativeHeight="135">
                <wp:simplePos x="0" y="0"/>
                <wp:positionH relativeFrom="column">
                  <wp:align>left</wp:align>
                </wp:positionH>
                <wp:positionV relativeFrom="line">
                  <wp:align>top</wp:align>
                </wp:positionV>
                <wp:extent cx="114300" cy="525780"/>
                <wp:effectExtent l="0" t="0" r="0" b="0"/>
                <wp:wrapSquare wrapText="right"/>
                <wp:docPr id="99" name="Frame64"/>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8.4pt;mso-wrap-distance-bottom:0pt;margin-top:8.4pt;mso-position-vertical:top;mso-position-vertical-relative:text;margin-left:9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70"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experience with accounting rules and practices.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07950" distB="0" distL="0" distR="0" simplePos="0" locked="0" layoutInCell="1" allowOverlap="1" relativeHeight="136">
                <wp:simplePos x="0" y="0"/>
                <wp:positionH relativeFrom="column">
                  <wp:align>left</wp:align>
                </wp:positionH>
                <wp:positionV relativeFrom="line">
                  <wp:align>top</wp:align>
                </wp:positionV>
                <wp:extent cx="114300" cy="525780"/>
                <wp:effectExtent l="0" t="0" r="0" b="0"/>
                <wp:wrapSquare wrapText="right"/>
                <wp:docPr id="100" name="Frame65"/>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8.5pt;mso-wrap-distance-bottom:0pt;margin-top:8.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Considerations in Evaluating Director Nominees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Pursuant to the Nominating and Corporate Governance Committee charter and subject to the Investor Rights Agreement, the Nominating and Corporate Governance Committee periodically reviews the composition of the Board in light of current challenges and needs of the Board and the Company and determines whether it may be appropriate to add or remove individuals after considering issues of judgment, diversity, skills, background, and experience. Although the Nominating and Corporate Governance Committee does not have a formal policy regarding diversity on the Board, the Nominating and Corporate Governance Committee is sensitive to the importance of nominating persons with different perspectives and experience to enhance the deliberation and decision-making processes of the Board. The Nominating and Corporate Governance Committee also considers applicable laws and regulations and stock exchange listing standards.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Once the Nominating and Corporate Governance Committee and the Board determine that it is appropriate to add a new director, either as a replacement or as an additional position, subject to the Investor Rights Agreement, the Nominating and Corporate Governance Committee uses a flexible set of procedures in selecting individual director candidates. This flexibility allows the Nominating and Corporate Governance Committee to adjust the process to best satisfy the objectives it is attempting to accomplish in any director search. The first step in the general process is to identify the type of candidate the Nominating and Corporate Governance Committee may desire for a particular opening, including establishing the specific target skill areas, experiences, and backgrounds that are to be the focus of a director search. The Nominating and Corporate Governance Committee may consider candidates recommended by management, by members of the Nominating and Corporate Governance Committee, by the Board, by stockholders, or by a third party it may engage to conduct a search for possible candidates. In considering candidates submitted by stockholders, the Nominating and Corporate Governance Committee will take into consideration the needs of the Board, the qualifications of the candidate, and our obligations under the Investor Rights Agreement.</w:t>
      </w:r>
      <w:r>
        <w:rPr>
          <w:rFonts w:ascii="Helvetica;Arial;sans-serif" w:hAnsi="Helvetica;Arial;sans-serif"/>
          <w:b w:val="false"/>
          <w:i w:val="false"/>
          <w:caps w:val="false"/>
          <w:smallCaps w:val="false"/>
          <w:color w:val="000000"/>
          <w:spacing w:val="4"/>
          <w:sz w:val="18"/>
        </w:rPr>
        <w:t xml:space="preserve"> </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21</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84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Once candidates are identified, the Nominating and Corporate Governance Committee conducts an evaluation of qualified candidates. The evaluation generally includes interviews and background and reference checks. There is no difference in the evaluation process of a candidate recommended by a stockholder as compared to the evaluation process of a candidate identified by any of the other means described above. In identifying and evaluating potential nominees to serve as directors, the Nominating and Corporate Governance Committee will examine each nominee on a case-by-case basis regardless of who recommended the nominee and take into account all factors it considers appropriate.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If the Nominating and Corporate Governance Committee determines that a candidate should be nominated as a candidate for election to the Board, the candidate’s nomination is then recommended to the Board, and the directors may in turn conduct their own review to the extent they deem appropriate. When the Board has agreed upon a candidate, such candidate is recommended to the stockholders for election at an annual meeting of stockholders or appointed as a director by a vote of the Board as appropriate.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Stockholder Nominations to the Board of Directors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In order for a stockholder to have a candidate considered by the Nominating and Corporate Governance Committee, a stockholder should submit a written recommendation that includes (A) as to each person whom the stockholder proposes to nominate for election or reelection as a director: (1) all information relating to such person that is required to be disclosed in solicitations of proxies for election of directors, or is otherwise required, in each case pursuant to Regulation 14A under the Exchange Act including such person’s written consent to being named in the proxy statement and form of proxy as a nominee and to serving as a director if elected, (2) a reasonably detailed description of any compensatory, payment or other financial agreement, arrangement or understanding that such person has with any other person or entity other than the Company including the amount of any payment or payments received or receivable thereunder, in each case in connection with candidacy or service as a director of the Company, and (3) the information required under Section 2.09(c) of the Bylaws,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the text of the proposed amendment), the reasons for conducting such business and any material interest in such business of such stockholder and the beneficial owner, if any, on whose behalf the proposal is made, and (C) as to the stockholder giving the notice and the beneficial owner, if any, on whose behalf the proposal is made: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38" w:after="0"/>
        <w:ind w:left="108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name and address of such stockholder (as they appear on the Company’s books), and the name and address of any such beneficial owner, and of any affiliates, associates, or others acting in concert with such stockholder or such beneficial owner (any such person other than the stockholder, a “Stockholder Associated Person”);</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51130" distB="0" distL="0" distR="0" simplePos="0" locked="0" layoutInCell="1" allowOverlap="1" relativeHeight="137">
                <wp:simplePos x="0" y="0"/>
                <wp:positionH relativeFrom="column">
                  <wp:align>left</wp:align>
                </wp:positionH>
                <wp:positionV relativeFrom="line">
                  <wp:align>top</wp:align>
                </wp:positionV>
                <wp:extent cx="228600" cy="350520"/>
                <wp:effectExtent l="0" t="0" r="0" b="0"/>
                <wp:wrapSquare wrapText="right"/>
                <wp:docPr id="101" name="Frame6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(1)</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pPr>
                      <w:r>
                        <w:rPr/>
                        <w:t>(1)</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08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for each class or series, the number of shares of capital stock of the Company that are held of record or are beneficially owned by such stockholder and by any Stockholder Associated Person;</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51130" distB="0" distL="0" distR="0" simplePos="0" locked="0" layoutInCell="1" allowOverlap="1" relativeHeight="138">
                <wp:simplePos x="0" y="0"/>
                <wp:positionH relativeFrom="column">
                  <wp:align>left</wp:align>
                </wp:positionH>
                <wp:positionV relativeFrom="line">
                  <wp:align>top</wp:align>
                </wp:positionV>
                <wp:extent cx="228600" cy="350520"/>
                <wp:effectExtent l="0" t="0" r="0" b="0"/>
                <wp:wrapSquare wrapText="right"/>
                <wp:docPr id="102" name="Frame6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(2)</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pPr>
                      <w:r>
                        <w:rPr/>
                        <w:t>(2)</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08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 description of any agreement, arrangement, relationship or understanding (whether written or oral) between or among such stockholder or Stockholder Associated Person and any other person in connection with the proposal of such nomination or other business;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51130" distB="0" distL="0" distR="0" simplePos="0" locked="0" layoutInCell="1" allowOverlap="1" relativeHeight="139">
                <wp:simplePos x="0" y="0"/>
                <wp:positionH relativeFrom="column">
                  <wp:align>left</wp:align>
                </wp:positionH>
                <wp:positionV relativeFrom="line">
                  <wp:align>top</wp:align>
                </wp:positionV>
                <wp:extent cx="228600" cy="350520"/>
                <wp:effectExtent l="0" t="0" r="0" b="0"/>
                <wp:wrapSquare wrapText="right"/>
                <wp:docPr id="103" name="Frame6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(3)</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pPr>
                      <w:r>
                        <w:rPr/>
                        <w:t>(3)</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08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such stockholder or any Stockholder Associated Person, or any other agreement, arrangement or understanding, the effect or intent of which is to mitigate loss to, manage risk or benefit of share price changes for, or increase or decrease the voting power of, such stockholder or Stockholder Associated Person with respect to the Company’s securities;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51130" distB="0" distL="0" distR="0" simplePos="0" locked="0" layoutInCell="1" allowOverlap="1" relativeHeight="140">
                <wp:simplePos x="0" y="0"/>
                <wp:positionH relativeFrom="column">
                  <wp:align>left</wp:align>
                </wp:positionH>
                <wp:positionV relativeFrom="line">
                  <wp:align>top</wp:align>
                </wp:positionV>
                <wp:extent cx="228600" cy="350520"/>
                <wp:effectExtent l="0" t="0" r="0" b="0"/>
                <wp:wrapSquare wrapText="right"/>
                <wp:docPr id="104" name="Frame6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(4)</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pPr>
                      <w:r>
                        <w:rPr/>
                        <w:t>(4)</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08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 representation that the stockholder is a holder of record of stock of the Company entitled to vote at such meeting and intends to appear in person or by proxy at the meeting to bring such nomination or other business before the meeting;</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51130" distB="0" distL="0" distR="0" simplePos="0" locked="0" layoutInCell="1" allowOverlap="1" relativeHeight="141">
                <wp:simplePos x="0" y="0"/>
                <wp:positionH relativeFrom="column">
                  <wp:align>left</wp:align>
                </wp:positionH>
                <wp:positionV relativeFrom="line">
                  <wp:align>top</wp:align>
                </wp:positionV>
                <wp:extent cx="228600" cy="350520"/>
                <wp:effectExtent l="0" t="0" r="0" b="0"/>
                <wp:wrapSquare wrapText="right"/>
                <wp:docPr id="105" name="Frame7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(5)</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pPr>
                      <w:r>
                        <w:rPr/>
                        <w:t>(5)</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08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 representation as to whether such stockholder or Stockholder Associated Person intends or is part of a group that intends to (i) deliver a proxy statement and/or form of proxy to holders of at least the percentage of the voting power of the Company’s outstanding capital stock required to approve or adopt the proposal or to elect each such nominee, (ii) otherwise solicit proxies from stockholders in support of such proposal or nomination and/or (iii) solicit holders of shares representing at least 67% of the outstanding securities of the Company generally entitled to vote on the election of directors in support of director nominees other than the Company’s nominees in accordance with Rule 14a-19 promulgated under the Exchange Act;</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51130" distB="0" distL="0" distR="0" simplePos="0" locked="0" layoutInCell="1" allowOverlap="1" relativeHeight="142">
                <wp:simplePos x="0" y="0"/>
                <wp:positionH relativeFrom="column">
                  <wp:align>left</wp:align>
                </wp:positionH>
                <wp:positionV relativeFrom="line">
                  <wp:align>top</wp:align>
                </wp:positionV>
                <wp:extent cx="228600" cy="350520"/>
                <wp:effectExtent l="0" t="0" r="0" b="0"/>
                <wp:wrapSquare wrapText="right"/>
                <wp:docPr id="106" name="Frame7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(6)</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pPr>
                      <w:r>
                        <w:rPr/>
                        <w:t>(6)</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22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840" w:after="283"/>
        <w:ind w:left="108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 representation as to whether such stockholder or Stockholder Associated Person has complied with all applicable legal requirements in connection with its acquisition of shares or other securities of the Company, and any other information reasonably requested by the Company, including with respect to determining whether such person has complied with this Section 2.09(a) of the Bylaws;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143">
                <wp:simplePos x="0" y="0"/>
                <wp:positionH relativeFrom="column">
                  <wp:align>left</wp:align>
                </wp:positionH>
                <wp:positionV relativeFrom="line">
                  <wp:posOffset>635</wp:posOffset>
                </wp:positionV>
                <wp:extent cx="228600" cy="350520"/>
                <wp:effectExtent l="0" t="0" r="0" b="0"/>
                <wp:wrapSquare wrapText="right"/>
                <wp:docPr id="107" name="Frame7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(7)</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t>(7)</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08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any other information relating to such stockholder, Stockholder Associated Person, if any, or director nominee or proposed business that would be required to be disclosed in a proxy statement or other filing required to be made in connection with the solicitation of proxies in support of such nominee or proposal pursuant to Section 14 of the Exchange Act; and</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52400" distB="0" distL="0" distR="0" simplePos="0" locked="0" layoutInCell="1" allowOverlap="1" relativeHeight="144">
                <wp:simplePos x="0" y="0"/>
                <wp:positionH relativeFrom="column">
                  <wp:align>left</wp:align>
                </wp:positionH>
                <wp:positionV relativeFrom="line">
                  <wp:align>top</wp:align>
                </wp:positionV>
                <wp:extent cx="228600" cy="350520"/>
                <wp:effectExtent l="0" t="0" r="0" b="0"/>
                <wp:wrapSquare wrapText="right"/>
                <wp:docPr id="108" name="Frame7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(8)</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pPr>
                      <w:r>
                        <w:rPr/>
                        <w:t>(8)</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08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such other information relating to any proposed item of business as the Company may reasonably require determining whether such proposed item of business is a proper matter for stockholder action.</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52400" distB="0" distL="0" distR="0" simplePos="0" locked="0" layoutInCell="1" allowOverlap="1" relativeHeight="145">
                <wp:simplePos x="0" y="0"/>
                <wp:positionH relativeFrom="column">
                  <wp:align>left</wp:align>
                </wp:positionH>
                <wp:positionV relativeFrom="line">
                  <wp:align>top</wp:align>
                </wp:positionV>
                <wp:extent cx="228600" cy="350520"/>
                <wp:effectExtent l="0" t="0" r="0" b="0"/>
                <wp:wrapSquare wrapText="right"/>
                <wp:docPr id="109" name="Frame7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40" w:before="0" w:after="283"/>
                              <w:jc w:val="left"/>
                              <w:rPr/>
                            </w:pPr>
                            <w:r>
                              <w:rPr/>
                              <w:t>(9)</w:t>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pPr>
                      <w:r>
                        <w:rPr/>
                        <w:t>(9)</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0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Stockholder recommendations should be addressed to the Nominating and Corporate Governance Committee in care of our Secretary at Lucid Group, Inc., 7373 Gateway Boulevard, Newark, CA 94560.</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Each of the director nominees has been recommended by the Nominating and Corporate Governance Committee to the Board for election as our directors at the Annual Meeting, and the Board has approved such recommendations.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Executive Committee</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Executive Committee consists of Turqi Alnowaiser, Andrew Liveris, Sherif Marakby, Chabi Nouri, and Peter Rawlinson, with Turqi Alnowaiser serving as chairperson. The Executive Committee reviews, discusses with management and makes recommendations regarding the implementation and execution of our business plan, operational performance and certain other matters and approves transactions below certain thresholds set by our Board. In 2023, the Executive Committee met 11 times.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Stockholder Communications with the Board of Directors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Our relationship with our stockholders is an important part of our corporate governance program. Engaging with our stockholders helps us to understand how they view us, to set goals and expectations for our performance, and to identify emerging issues that may affect our strategies, corporate governance, compensation practices or other aspects of our operations. Our stockholder and investor outreach include investor road shows, analyst meetings, and investor conferences and meetings. We also communicate with stockholders and other stakeholders through various media, including our annual report and SEC filings, proxy statement, news releases, and our website. Our conference calls for quarterly earnings releases are open to all. These calls are available in real time and as archived webcasts on our website for a period of time.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Board has adopted a process for stockholders and others to send communications to the Board or any director. All such communications should be sent by mail addressed to the Board or any particular director at Lucid Group, Inc., 7373 Gateway Boulevard, Newark, CA 94560, c/o General Counsel &amp; Secretary. All communications received by our General Counsel &amp; Secretary will be sent directly to the Board or any particular director.</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Code of Business Conduct and Ethics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Our Board of Directors has adopted a code of ethics that applies to all of our employees, officers and directors, including our Chief Executive Officer, Chief Financial Officer and other executive and senior financial officers. The full text of our Code of Business Conduct and Ethics is available in the Governance section of the Investors section of our website at https:// ir.lucidmotors.com/governance/documents-and-charters. Information on or accessible through our website is not incorporated by reference in this Proxy Statement. We intend to disclose future amendments to our Code of Business Conduct and Ethics, or any waivers of such code, on our website or in public filings.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Involvement in Certain Legal Proceedings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Tony Posawatz, one of our former non-employee directors, served as President and Chief Executive Officer of Fisker Automotive from 2012 to 2013. In late 2013, after Mr. Posawatz had left his position, Fisker Automotive filed for bankruptcy protection.</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There are no material proceedings to which any director, officer or affiliate of the Company, any owner of record or beneficially of more than 5% of any class of voting securities of the Company, or any associate of any such director, officer, affiliate of the Company, or security holder is a party adverse to the Company or any of its subsidiaries or has a material interest adverse to the Company or any of its subsidiaries. </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23</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ROT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283"/>
        <w:ind w:left="720" w:right="0" w:hanging="0"/>
        <w:jc w:val="left"/>
        <w:rPr>
          <w:rFonts w:ascii="Times New Roman;Garamond;serif" w:hAnsi="Times New Roman;Garamond;serif"/>
          <w:b/>
          <w:i w:val="false"/>
          <w:caps w:val="false"/>
          <w:smallCaps w:val="false"/>
          <w:color w:val="000000"/>
          <w:sz w:val="40"/>
        </w:rPr>
      </w:pPr>
      <w:r>
        <w:rPr>
          <w:rFonts w:ascii="Times New Roman;Garamond;serif" w:hAnsi="Times New Roman;Garamond;serif"/>
          <w:b/>
          <w:i w:val="false"/>
          <w:caps w:val="false"/>
          <w:smallCaps w:val="false"/>
          <w:color w:val="000000"/>
          <w:sz w:val="40"/>
        </w:rPr>
        <w:t>R</w:t>
      </w:r>
      <w:r>
        <w:rPr>
          <w:rFonts w:ascii="Times New Roman;Garamond;serif" w:hAnsi="Times New Roman;Garamond;serif"/>
          <w:b/>
          <w:i w:val="false"/>
          <w:caps w:val="false"/>
          <w:smallCaps w:val="false"/>
          <w:color w:val="000000"/>
          <w:sz w:val="40"/>
        </w:rPr>
        <w:t>EPORT OF THE</w:t>
      </w:r>
      <w:r>
        <w:rPr>
          <w:rFonts w:ascii="Times New Roman;Garamond;serif" w:hAnsi="Times New Roman;Garamond;serif"/>
          <w:b/>
          <w:i w:val="false"/>
          <w:caps w:val="false"/>
          <w:smallCaps w:val="false"/>
          <w:color w:val="000000"/>
          <w:sz w:val="40"/>
        </w:rPr>
        <w:t xml:space="preserve"> A</w:t>
      </w:r>
      <w:r>
        <w:rPr>
          <w:rFonts w:ascii="Times New Roman;Garamond;serif" w:hAnsi="Times New Roman;Garamond;serif"/>
          <w:b/>
          <w:i w:val="false"/>
          <w:caps w:val="false"/>
          <w:smallCaps w:val="false"/>
          <w:color w:val="000000"/>
          <w:sz w:val="40"/>
        </w:rPr>
        <w:t>UDIT</w:t>
      </w:r>
      <w:r>
        <w:rPr>
          <w:rFonts w:ascii="Times New Roman;Garamond;serif" w:hAnsi="Times New Roman;Garamond;serif"/>
          <w:b/>
          <w:i w:val="false"/>
          <w:caps w:val="false"/>
          <w:smallCaps w:val="false"/>
          <w:color w:val="000000"/>
          <w:sz w:val="40"/>
        </w:rPr>
        <w:t xml:space="preserve"> C</w:t>
      </w:r>
      <w:r>
        <w:rPr>
          <w:rFonts w:ascii="Times New Roman;Garamond;serif" w:hAnsi="Times New Roman;Garamond;serif"/>
          <w:b/>
          <w:i w:val="false"/>
          <w:caps w:val="false"/>
          <w:smallCaps w:val="false"/>
          <w:color w:val="000000"/>
          <w:sz w:val="40"/>
        </w:rPr>
        <w:t>OMMITTEE OF THE</w:t>
      </w:r>
      <w:r>
        <w:rPr>
          <w:rFonts w:ascii="Times New Roman;Garamond;serif" w:hAnsi="Times New Roman;Garamond;serif"/>
          <w:b/>
          <w:i w:val="false"/>
          <w:caps w:val="false"/>
          <w:smallCaps w:val="false"/>
          <w:color w:val="000000"/>
          <w:sz w:val="40"/>
        </w:rPr>
        <w:t xml:space="preserve"> B</w:t>
      </w:r>
      <w:r>
        <w:rPr>
          <w:rFonts w:ascii="Times New Roman;Garamond;serif" w:hAnsi="Times New Roman;Garamond;serif"/>
          <w:b/>
          <w:i w:val="false"/>
          <w:caps w:val="false"/>
          <w:smallCaps w:val="false"/>
          <w:color w:val="000000"/>
          <w:sz w:val="40"/>
        </w:rPr>
        <w:t>OARD OF</w:t>
      </w:r>
      <w:r>
        <w:rPr>
          <w:rFonts w:ascii="Times New Roman;Garamond;serif" w:hAnsi="Times New Roman;Garamond;serif"/>
          <w:b/>
          <w:i w:val="false"/>
          <w:caps w:val="false"/>
          <w:smallCaps w:val="false"/>
          <w:color w:val="000000"/>
          <w:sz w:val="40"/>
        </w:rPr>
        <w:t xml:space="preserve"> D</w:t>
      </w:r>
      <w:r>
        <w:rPr>
          <w:rFonts w:ascii="Times New Roman;Garamond;serif" w:hAnsi="Times New Roman;Garamond;serif"/>
          <w:b/>
          <w:i w:val="false"/>
          <w:caps w:val="false"/>
          <w:smallCaps w:val="false"/>
          <w:color w:val="000000"/>
          <w:sz w:val="40"/>
        </w:rPr>
        <w:t>IRECTORS</w:t>
      </w:r>
      <w:r>
        <w:rPr>
          <w:rFonts w:ascii="Times New Roman;Garamond;serif" w:hAnsi="Times New Roman;Garamond;serif"/>
          <w:b/>
          <w:i w:val="false"/>
          <w:caps w:val="false"/>
          <w:smallCaps w:val="false"/>
          <w:color w:val="000000"/>
          <w:spacing w:val="8"/>
          <w:sz w:val="40"/>
        </w:rPr>
        <w:t xml:space="preserve"> </w:t>
      </w:r>
    </w:p>
    <w:p>
      <w:pPr>
        <w:pStyle w:val="TextBody"/>
        <w:bidi w:val="0"/>
        <w:spacing w:lineRule="atLeast" w:line="240" w:before="40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Audit Committee reviews the Company’s financial reporting process on behalf of the Board. Management has the primary responsibility for the preparation and integrity of the consolidated financial statements and the reporting process, including establishing and monitoring the system of internal financial controls. In this context, during fiscal year 2023, the Audit Committee met and held discussions with management and KPMG LLP (“KPMG”), the Company’s independent registered public accounting firm. Management has represented to the Audit Committee that the Company’s consolidated financial statements for the fiscal year ended December 31, 2023, were prepared in accordance with U.S. generally accepted accounting principles, and the Audit Committee has reviewed and discussed the audited financial statements of the Company with management of the Company and with KPMG. In addition, the Audit Committee has discussed with KPMG the matters required to be discussed by the applicable requirements of the Public Company Accounting Oversight Board (the “PCAOB”) AS 1301, Communications with Audit Committees, and the SEC. The Audit Committee has received from KPMG the written disclosures regarding the auditor’s independence required by applicable requirements of PCAOB Ethics and Independence Rule 3526, Communication with Audit Committees Concerning Independence, and has discussed with KPMG the independence of KPMG from the Company and its management. Based on the foregoing, the Audit Committee has recommended to the Board, and the Board has approved, that the audited consolidated financial statements be included in the Company’s Annual Report on Form 10-K for the fiscal year ended December 31, 2023, for filing with the SEC. The Audit Committee and the Board have also recommended the selection of KPMG as the Company’s independent registered public accounting firm for the fiscal year ending December 31, 2024.</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material in this report is not deemed “soliciting material,” is not deemed “filed” with the SEC, is not subject to Regulation 14A or 14C or to the liabilities of Section 18 of the Securities Exchange Act of 1934, as amended, and is not to be incorporated by reference into any filing of the Company under the Securities Act of 1933, as amended, whether made before or after the date hereof and irrespective of any general incorporation language in any such filing.</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Janet S. Wong, Chair </w:t>
        <w:br/>
        <w:t xml:space="preserve">Glenn R. August </w:t>
        <w:br/>
        <w:t>Ori Winitzer</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24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PN2R"/>
      <w:bookmarkEnd w:id="8"/>
      <w:r>
        <w:rPr>
          <w:rFonts w:ascii="calibri;arial;sans-serif" w:hAnsi="calibri;arial;sans-serif"/>
          <w:b w:val="false"/>
          <w:i w:val="false"/>
          <w:caps w:val="false"/>
          <w:smallCaps w:val="false"/>
          <w:color w:val="000000"/>
          <w:sz w:val="16"/>
        </w:rPr>
        <w:t xml:space="preserve">​ </w:t>
      </w:r>
    </w:p>
    <w:p>
      <w:pPr>
        <w:pStyle w:val="TextBody"/>
        <w:bidi w:val="0"/>
        <w:spacing w:before="240" w:after="283"/>
        <w:ind w:left="0" w:right="0" w:hanging="0"/>
        <w:jc w:val="right"/>
        <w:rPr>
          <w:caps w:val="false"/>
          <w:smallCaps w:val="false"/>
          <w:color w:val="000000"/>
        </w:rPr>
      </w:pPr>
      <w:r>
        <w:rPr>
          <w:caps w:val="false"/>
          <w:smallCaps w:val="false"/>
          <w:color w:val="000000"/>
        </w:rPr>
        <w:drawing>
          <wp:inline distT="0" distB="0" distL="0" distR="0">
            <wp:extent cx="7210425" cy="2828925"/>
            <wp:effectExtent l="0" t="0" r="0" b="0"/>
            <wp:docPr id="11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3" descr=""/>
                    <pic:cNvPicPr>
                      <a:picLocks noChangeAspect="1" noChangeArrowheads="1"/>
                    </pic:cNvPicPr>
                  </pic:nvPicPr>
                  <pic:blipFill>
                    <a:blip r:embed="rId37"/>
                    <a:stretch>
                      <a:fillRect/>
                    </a:stretch>
                  </pic:blipFill>
                  <pic:spPr bwMode="auto">
                    <a:xfrm>
                      <a:off x="0" y="0"/>
                      <a:ext cx="7210425" cy="28289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jc w:val="right"/>
        <w:rPr>
          <w:caps w:val="false"/>
          <w:smallCaps w:val="false"/>
          <w:color w:val="000000"/>
        </w:rPr>
      </w:pPr>
      <w:r>
        <w:rPr>
          <w:caps w:val="false"/>
          <w:smallCaps w:val="false"/>
          <w:color w:val="000000"/>
        </w:rPr>
        <w:t> ​</w:t>
      </w:r>
    </w:p>
    <w:p>
      <w:pPr>
        <w:pStyle w:val="TextBody"/>
        <w:bidi w:val="0"/>
        <w:spacing w:lineRule="atLeast" w:line="340" w:before="540" w:after="283"/>
        <w:ind w:left="720" w:right="0" w:hanging="0"/>
        <w:jc w:val="left"/>
        <w:rPr>
          <w:rFonts w:ascii="Times New Roman;Garamond;serif" w:hAnsi="Times New Roman;Garamond;serif"/>
          <w:b/>
          <w:i w:val="false"/>
          <w:caps w:val="false"/>
          <w:smallCaps w:val="false"/>
          <w:color w:val="000000"/>
          <w:sz w:val="30"/>
        </w:rPr>
      </w:pPr>
      <w:r>
        <w:rPr>
          <w:rFonts w:ascii="Times New Roman;Garamond;serif" w:hAnsi="Times New Roman;Garamond;serif"/>
          <w:b/>
          <w:i w:val="false"/>
          <w:caps w:val="false"/>
          <w:smallCaps w:val="false"/>
          <w:color w:val="000000"/>
          <w:sz w:val="30"/>
        </w:rPr>
        <w:t>P</w:t>
      </w:r>
      <w:r>
        <w:rPr>
          <w:rFonts w:ascii="Times New Roman;Garamond;serif" w:hAnsi="Times New Roman;Garamond;serif"/>
          <w:b/>
          <w:i w:val="false"/>
          <w:caps w:val="false"/>
          <w:smallCaps w:val="false"/>
          <w:color w:val="000000"/>
          <w:sz w:val="30"/>
        </w:rPr>
        <w:t>ROPOSAL</w:t>
      </w:r>
      <w:r>
        <w:rPr>
          <w:rFonts w:ascii="Times New Roman;Garamond;serif" w:hAnsi="Times New Roman;Garamond;serif"/>
          <w:b/>
          <w:i w:val="false"/>
          <w:caps w:val="false"/>
          <w:smallCaps w:val="false"/>
          <w:color w:val="000000"/>
          <w:sz w:val="30"/>
        </w:rPr>
        <w:t xml:space="preserve"> No. 2:​ </w:t>
      </w:r>
    </w:p>
    <w:p>
      <w:pPr>
        <w:pStyle w:val="TextBody"/>
        <w:bidi w:val="0"/>
        <w:spacing w:lineRule="atLeast" w:line="440" w:before="40" w:after="283"/>
        <w:jc w:val="left"/>
        <w:rPr>
          <w:rFonts w:ascii="Times New Roman;Garamond;serif" w:hAnsi="Times New Roman;Garamond;serif"/>
          <w:b/>
          <w:i w:val="false"/>
          <w:caps w:val="false"/>
          <w:smallCaps w:val="false"/>
          <w:color w:val="000000"/>
          <w:sz w:val="40"/>
        </w:rPr>
      </w:pPr>
      <w:r>
        <w:rPr>
          <w:rFonts w:ascii="Times New Roman;Garamond;serif" w:hAnsi="Times New Roman;Garamond;serif"/>
          <w:b/>
          <w:i w:val="false"/>
          <w:caps w:val="false"/>
          <w:smallCaps w:val="false"/>
          <w:color w:val="000000"/>
          <w:sz w:val="40"/>
        </w:rPr>
        <w:t>R</w:t>
      </w:r>
      <w:r>
        <w:rPr>
          <w:rFonts w:ascii="Times New Roman;Garamond;serif" w:hAnsi="Times New Roman;Garamond;serif"/>
          <w:b/>
          <w:i w:val="false"/>
          <w:caps w:val="false"/>
          <w:smallCaps w:val="false"/>
          <w:color w:val="000000"/>
          <w:sz w:val="40"/>
        </w:rPr>
        <w:t xml:space="preserve">ATIFICATION OF THE </w:t>
      </w:r>
      <w:r>
        <w:rPr>
          <w:rFonts w:ascii="Times New Roman;Garamond;serif" w:hAnsi="Times New Roman;Garamond;serif"/>
          <w:b/>
          <w:i w:val="false"/>
          <w:caps w:val="false"/>
          <w:smallCaps w:val="false"/>
          <w:color w:val="000000"/>
          <w:sz w:val="40"/>
        </w:rPr>
        <w:t>S</w:t>
      </w:r>
      <w:r>
        <w:rPr>
          <w:rFonts w:ascii="Times New Roman;Garamond;serif" w:hAnsi="Times New Roman;Garamond;serif"/>
          <w:b/>
          <w:i w:val="false"/>
          <w:caps w:val="false"/>
          <w:smallCaps w:val="false"/>
          <w:color w:val="000000"/>
          <w:sz w:val="40"/>
        </w:rPr>
        <w:t>ELECTION OF THE</w:t>
      </w:r>
      <w:r>
        <w:rPr>
          <w:rFonts w:ascii="Times New Roman;Garamond;serif" w:hAnsi="Times New Roman;Garamond;serif"/>
          <w:b/>
          <w:i w:val="false"/>
          <w:caps w:val="false"/>
          <w:smallCaps w:val="false"/>
          <w:color w:val="000000"/>
          <w:sz w:val="40"/>
        </w:rPr>
        <w:t xml:space="preserve"> I</w:t>
      </w:r>
      <w:r>
        <w:rPr>
          <w:rFonts w:ascii="Times New Roman;Garamond;serif" w:hAnsi="Times New Roman;Garamond;serif"/>
          <w:b/>
          <w:i w:val="false"/>
          <w:caps w:val="false"/>
          <w:smallCaps w:val="false"/>
          <w:color w:val="000000"/>
          <w:sz w:val="40"/>
        </w:rPr>
        <w:t xml:space="preserve">NDEPENDENT </w:t>
      </w:r>
      <w:r>
        <w:rPr>
          <w:rFonts w:ascii="Times New Roman;Garamond;serif" w:hAnsi="Times New Roman;Garamond;serif"/>
          <w:b/>
          <w:i w:val="false"/>
          <w:caps w:val="false"/>
          <w:smallCaps w:val="false"/>
          <w:color w:val="000000"/>
          <w:sz w:val="40"/>
        </w:rPr>
        <w:t>R</w:t>
      </w:r>
      <w:r>
        <w:rPr>
          <w:rFonts w:ascii="Times New Roman;Garamond;serif" w:hAnsi="Times New Roman;Garamond;serif"/>
          <w:b/>
          <w:i w:val="false"/>
          <w:caps w:val="false"/>
          <w:smallCaps w:val="false"/>
          <w:color w:val="000000"/>
          <w:sz w:val="40"/>
        </w:rPr>
        <w:t xml:space="preserve">EGISTERED </w:t>
      </w:r>
      <w:r>
        <w:rPr>
          <w:rFonts w:ascii="Times New Roman;Garamond;serif" w:hAnsi="Times New Roman;Garamond;serif"/>
          <w:b/>
          <w:i w:val="false"/>
          <w:caps w:val="false"/>
          <w:smallCaps w:val="false"/>
          <w:color w:val="000000"/>
          <w:sz w:val="40"/>
        </w:rPr>
        <w:t>P</w:t>
      </w:r>
      <w:r>
        <w:rPr>
          <w:rFonts w:ascii="Times New Roman;Garamond;serif" w:hAnsi="Times New Roman;Garamond;serif"/>
          <w:b/>
          <w:i w:val="false"/>
          <w:caps w:val="false"/>
          <w:smallCaps w:val="false"/>
          <w:color w:val="000000"/>
          <w:sz w:val="40"/>
        </w:rPr>
        <w:t xml:space="preserve">UBLIC </w:t>
      </w:r>
      <w:r>
        <w:rPr>
          <w:rFonts w:ascii="Times New Roman;Garamond;serif" w:hAnsi="Times New Roman;Garamond;serif"/>
          <w:b/>
          <w:i w:val="false"/>
          <w:caps w:val="false"/>
          <w:smallCaps w:val="false"/>
          <w:color w:val="000000"/>
          <w:sz w:val="40"/>
        </w:rPr>
        <w:t>A</w:t>
      </w:r>
      <w:r>
        <w:rPr>
          <w:rFonts w:ascii="Times New Roman;Garamond;serif" w:hAnsi="Times New Roman;Garamond;serif"/>
          <w:b/>
          <w:i w:val="false"/>
          <w:caps w:val="false"/>
          <w:smallCaps w:val="false"/>
          <w:color w:val="000000"/>
          <w:sz w:val="40"/>
        </w:rPr>
        <w:t xml:space="preserve">CCOUNTING </w:t>
      </w:r>
      <w:r>
        <w:rPr>
          <w:rFonts w:ascii="Times New Roman;Garamond;serif" w:hAnsi="Times New Roman;Garamond;serif"/>
          <w:b/>
          <w:i w:val="false"/>
          <w:caps w:val="false"/>
          <w:smallCaps w:val="false"/>
          <w:color w:val="000000"/>
          <w:sz w:val="40"/>
        </w:rPr>
        <w:t>F</w:t>
      </w:r>
      <w:r>
        <w:rPr>
          <w:rFonts w:ascii="Times New Roman;Garamond;serif" w:hAnsi="Times New Roman;Garamond;serif"/>
          <w:b/>
          <w:i w:val="false"/>
          <w:caps w:val="false"/>
          <w:smallCaps w:val="false"/>
          <w:color w:val="000000"/>
          <w:sz w:val="40"/>
        </w:rPr>
        <w:t>IRM</w:t>
      </w:r>
      <w:r>
        <w:rPr>
          <w:rFonts w:ascii="Times New Roman;Garamond;serif" w:hAnsi="Times New Roman;Garamond;serif"/>
          <w:b/>
          <w:i w:val="false"/>
          <w:caps w:val="false"/>
          <w:smallCaps w:val="false"/>
          <w:color w:val="000000"/>
          <w:spacing w:val="8"/>
          <w:sz w:val="40"/>
        </w:rPr>
        <w:t xml:space="preserve"> </w:t>
      </w:r>
    </w:p>
    <w:p>
      <w:pPr>
        <w:pStyle w:val="TextBody"/>
        <w:bidi w:val="0"/>
        <w:spacing w:lineRule="atLeast" w:line="240" w:before="40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On March 25, 2024, our Audit Committee selected KPMG LLP (“KPMG”) as our independent registered public accounting firm for the fiscal year ending December 31, 2024. KPMG has served as our independent registered public accounting firm since June 17, 2023. Representatives of KPMG plan to attend the Annual Meeting and will be available to answer appropriate questions from stockholders. They will have the opportunity to make a statement if they desire to do so.</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Neither our Bylaws nor other governing documents or law require stockholder ratification of the selection of KPMG as our independent registered public accounting firm. However, the Board is submitting the selection of KPMG to the stockholders for ratification as a matter of good corporate practice. If the stockholders fail to ratify the selection, the Audit Committee will reconsider whether to retain KPMG. Even if the selection is ratified, the Audit Committee in its discretion may direct the appointment of a different independent registered public accounting firm at any time during the year if the Audit Committee determines that such a change would be in the best interest of the Company and its stockholders. </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25</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840" w:after="283"/>
        <w:ind w:left="720" w:right="0" w:hanging="0"/>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Independent Registered Public Accounting Firm</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following is a summary of the fees and services provided by Grant Thornton LLP (“Grant Thornton”) and KPMG to Lucid for fiscal years 2022 and 2023:</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4981"/>
        <w:gridCol w:w="109"/>
        <w:gridCol w:w="109"/>
        <w:gridCol w:w="136"/>
        <w:gridCol w:w="283"/>
        <w:gridCol w:w="1338"/>
        <w:gridCol w:w="136"/>
        <w:gridCol w:w="109"/>
        <w:gridCol w:w="109"/>
        <w:gridCol w:w="132"/>
        <w:gridCol w:w="274"/>
        <w:gridCol w:w="1355"/>
        <w:gridCol w:w="132"/>
        <w:gridCol w:w="158"/>
      </w:tblGrid>
      <w:tr>
        <w:trPr/>
        <w:tc>
          <w:tcPr>
            <w:tcW w:w="124" w:type="dxa"/>
            <w:tcBorders/>
            <w:shd w:fill="000000" w:val="clear"/>
            <w:vAlign w:val="center"/>
          </w:tcPr>
          <w:p>
            <w:pPr>
              <w:pStyle w:val="TableContents"/>
              <w:bidi w:val="0"/>
              <w:spacing w:before="0" w:after="283"/>
              <w:jc w:val="left"/>
              <w:rPr/>
            </w:pPr>
            <w:r>
              <w:rPr/>
              <w:t>​</w:t>
            </w:r>
          </w:p>
        </w:tc>
        <w:tc>
          <w:tcPr>
            <w:tcW w:w="4981" w:type="dxa"/>
            <w:tcBorders/>
            <w:shd w:fill="000000" w:val="clear"/>
            <w:vAlign w:val="center"/>
          </w:tcPr>
          <w:p>
            <w:pPr>
              <w:pStyle w:val="TableContents"/>
              <w:bidi w:val="0"/>
              <w:spacing w:before="0" w:after="0"/>
              <w:jc w:val="left"/>
              <w:rPr/>
            </w:pPr>
            <w:r>
              <w:rPr/>
              <w:t xml:space="preserve">Description of Services Provided by Grant Thornton and KPMG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893" w:type="dxa"/>
            <w:gridSpan w:val="4"/>
            <w:tcBorders/>
            <w:shd w:fill="000000" w:val="clear"/>
            <w:vAlign w:val="center"/>
          </w:tcPr>
          <w:p>
            <w:pPr>
              <w:pStyle w:val="TableContents"/>
              <w:bidi w:val="0"/>
              <w:spacing w:before="0" w:after="0"/>
              <w:jc w:val="center"/>
              <w:rPr/>
            </w:pPr>
            <w:r>
              <w:rPr/>
              <w:t>Fiscal year Ended</w:t>
              <w:br/>
              <w:t xml:space="preserve">December 31, 2022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893" w:type="dxa"/>
            <w:gridSpan w:val="4"/>
            <w:tcBorders/>
            <w:shd w:fill="000000" w:val="clear"/>
            <w:vAlign w:val="center"/>
          </w:tcPr>
          <w:p>
            <w:pPr>
              <w:pStyle w:val="TableContents"/>
              <w:bidi w:val="0"/>
              <w:spacing w:before="0" w:after="0"/>
              <w:jc w:val="center"/>
              <w:rPr/>
            </w:pPr>
            <w:r>
              <w:rPr/>
              <w:t>Fiscal year Ended</w:t>
              <w:br/>
              <w:t xml:space="preserve">December 31, 2023 </w:t>
            </w:r>
          </w:p>
        </w:tc>
        <w:tc>
          <w:tcPr>
            <w:tcW w:w="158"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4981" w:type="dxa"/>
            <w:tcBorders>
              <w:bottom w:val="single" w:sz="6" w:space="0" w:color="000000"/>
            </w:tcBorders>
            <w:tcMar>
              <w:bottom w:w="145" w:type="dxa"/>
            </w:tcMar>
            <w:vAlign w:val="center"/>
          </w:tcPr>
          <w:p>
            <w:pPr>
              <w:pStyle w:val="TableContents"/>
              <w:bidi w:val="0"/>
              <w:spacing w:before="0" w:after="283"/>
              <w:jc w:val="left"/>
              <w:rPr/>
            </w:pPr>
            <w:r>
              <w:rPr/>
              <w:t>Audit Fees</w:t>
            </w:r>
            <w:r>
              <w:rPr>
                <w:sz w:val="10"/>
              </w:rPr>
              <w:t>(1)</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6" w:type="dxa"/>
            <w:tcBorders>
              <w:bottom w:val="single" w:sz="6" w:space="0" w:color="000000"/>
            </w:tcBorders>
            <w:tcMar>
              <w:bottom w:w="28" w:type="dxa"/>
            </w:tcMar>
            <w:vAlign w:val="center"/>
          </w:tcPr>
          <w:p>
            <w:pPr>
              <w:pStyle w:val="TableContents"/>
              <w:bidi w:val="0"/>
              <w:spacing w:before="0" w:after="283"/>
              <w:jc w:val="left"/>
              <w:rPr/>
            </w:pPr>
            <w:r>
              <w:rPr/>
              <w:t>​</w:t>
            </w:r>
          </w:p>
        </w:tc>
        <w:tc>
          <w:tcPr>
            <w:tcW w:w="283" w:type="dxa"/>
            <w:tcBorders>
              <w:bottom w:val="single" w:sz="6" w:space="0" w:color="000000"/>
            </w:tcBorders>
            <w:tcMar>
              <w:bottom w:w="145" w:type="dxa"/>
            </w:tcMar>
            <w:vAlign w:val="center"/>
          </w:tcPr>
          <w:p>
            <w:pPr>
              <w:pStyle w:val="TableContents"/>
              <w:bidi w:val="0"/>
              <w:spacing w:before="0" w:after="283"/>
              <w:jc w:val="right"/>
              <w:rPr/>
            </w:pPr>
            <w:r>
              <w:rPr/>
              <w:t>$</w:t>
            </w:r>
          </w:p>
        </w:tc>
        <w:tc>
          <w:tcPr>
            <w:tcW w:w="1338" w:type="dxa"/>
            <w:tcBorders>
              <w:bottom w:val="single" w:sz="6" w:space="0" w:color="000000"/>
            </w:tcBorders>
            <w:tcMar>
              <w:bottom w:w="145" w:type="dxa"/>
            </w:tcMar>
            <w:vAlign w:val="center"/>
          </w:tcPr>
          <w:p>
            <w:pPr>
              <w:pStyle w:val="TableContents"/>
              <w:bidi w:val="0"/>
              <w:spacing w:before="0" w:after="283"/>
              <w:jc w:val="right"/>
              <w:rPr/>
            </w:pPr>
            <w:r>
              <w:rPr/>
              <w:t>1,880,000</w:t>
            </w:r>
          </w:p>
        </w:tc>
        <w:tc>
          <w:tcPr>
            <w:tcW w:w="136"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 w:type="dxa"/>
            <w:tcBorders>
              <w:bottom w:val="single" w:sz="6" w:space="0" w:color="000000"/>
            </w:tcBorders>
            <w:tcMar>
              <w:bottom w:w="28" w:type="dxa"/>
            </w:tcMar>
            <w:vAlign w:val="center"/>
          </w:tcPr>
          <w:p>
            <w:pPr>
              <w:pStyle w:val="TableContents"/>
              <w:bidi w:val="0"/>
              <w:spacing w:before="0" w:after="283"/>
              <w:jc w:val="left"/>
              <w:rPr/>
            </w:pPr>
            <w:r>
              <w:rPr/>
              <w:t>​</w:t>
            </w:r>
          </w:p>
        </w:tc>
        <w:tc>
          <w:tcPr>
            <w:tcW w:w="274" w:type="dxa"/>
            <w:tcBorders>
              <w:bottom w:val="single" w:sz="6" w:space="0" w:color="000000"/>
            </w:tcBorders>
            <w:tcMar>
              <w:bottom w:w="145" w:type="dxa"/>
            </w:tcMar>
            <w:vAlign w:val="center"/>
          </w:tcPr>
          <w:p>
            <w:pPr>
              <w:pStyle w:val="TableContents"/>
              <w:bidi w:val="0"/>
              <w:spacing w:before="0" w:after="283"/>
              <w:jc w:val="right"/>
              <w:rPr/>
            </w:pPr>
            <w:r>
              <w:rPr/>
              <w:t>$</w:t>
            </w:r>
          </w:p>
        </w:tc>
        <w:tc>
          <w:tcPr>
            <w:tcW w:w="1355" w:type="dxa"/>
            <w:tcBorders>
              <w:bottom w:val="single" w:sz="6" w:space="0" w:color="000000"/>
            </w:tcBorders>
            <w:tcMar>
              <w:bottom w:w="145" w:type="dxa"/>
            </w:tcMar>
            <w:vAlign w:val="center"/>
          </w:tcPr>
          <w:p>
            <w:pPr>
              <w:pStyle w:val="TableContents"/>
              <w:bidi w:val="0"/>
              <w:spacing w:before="0" w:after="283"/>
              <w:jc w:val="right"/>
              <w:rPr/>
            </w:pPr>
            <w:r>
              <w:rPr/>
              <w:t xml:space="preserve">4,200,000 </w:t>
            </w:r>
          </w:p>
        </w:tc>
        <w:tc>
          <w:tcPr>
            <w:tcW w:w="132" w:type="dxa"/>
            <w:tcBorders>
              <w:bottom w:val="single" w:sz="6" w:space="0" w:color="000000"/>
            </w:tcBorders>
            <w:tcMar>
              <w:bottom w:w="28" w:type="dxa"/>
            </w:tcMar>
            <w:vAlign w:val="center"/>
          </w:tcPr>
          <w:p>
            <w:pPr>
              <w:pStyle w:val="TableContents"/>
              <w:bidi w:val="0"/>
              <w:spacing w:before="0" w:after="283"/>
              <w:jc w:val="left"/>
              <w:rPr/>
            </w:pPr>
            <w:r>
              <w:rPr/>
              <w:t>​</w:t>
            </w:r>
          </w:p>
        </w:tc>
        <w:tc>
          <w:tcPr>
            <w:tcW w:w="158"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4981" w:type="dxa"/>
            <w:tcBorders>
              <w:bottom w:val="single" w:sz="6" w:space="0" w:color="000000"/>
            </w:tcBorders>
            <w:shd w:fill="F7F7F7" w:val="clear"/>
            <w:tcMar>
              <w:bottom w:w="145" w:type="dxa"/>
            </w:tcMar>
            <w:vAlign w:val="center"/>
          </w:tcPr>
          <w:p>
            <w:pPr>
              <w:pStyle w:val="TableContents"/>
              <w:bidi w:val="0"/>
              <w:spacing w:before="0" w:after="283"/>
              <w:jc w:val="left"/>
              <w:rPr/>
            </w:pPr>
            <w:r>
              <w:rPr/>
              <w:t>Audit-Related Fees</w:t>
            </w:r>
            <w:r>
              <w:rPr>
                <w:sz w:val="10"/>
              </w:rPr>
              <w:t>(2)</w:t>
            </w: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83"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338" w:type="dxa"/>
            <w:tcBorders>
              <w:bottom w:val="single" w:sz="6" w:space="0" w:color="000000"/>
            </w:tcBorders>
            <w:shd w:fill="F7F7F7" w:val="clear"/>
            <w:tcMar>
              <w:bottom w:w="145" w:type="dxa"/>
            </w:tcMar>
            <w:vAlign w:val="center"/>
          </w:tcPr>
          <w:p>
            <w:pPr>
              <w:pStyle w:val="TableContents"/>
              <w:bidi w:val="0"/>
              <w:spacing w:before="0" w:after="283"/>
              <w:jc w:val="right"/>
              <w:rPr/>
            </w:pPr>
            <w:r>
              <w:rPr/>
              <w:t>25,000</w:t>
            </w:r>
          </w:p>
        </w:tc>
        <w:tc>
          <w:tcPr>
            <w:tcW w:w="13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2"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7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355"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32"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8"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4981" w:type="dxa"/>
            <w:tcBorders>
              <w:bottom w:val="single" w:sz="6" w:space="0" w:color="000000"/>
            </w:tcBorders>
            <w:tcMar>
              <w:bottom w:w="145" w:type="dxa"/>
            </w:tcMar>
            <w:vAlign w:val="center"/>
          </w:tcPr>
          <w:p>
            <w:pPr>
              <w:pStyle w:val="TableContents"/>
              <w:bidi w:val="0"/>
              <w:spacing w:before="0" w:after="283"/>
              <w:jc w:val="left"/>
              <w:rPr/>
            </w:pPr>
            <w:r>
              <w:rPr/>
              <w:t xml:space="preserve">Tax Fees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6" w:type="dxa"/>
            <w:tcBorders>
              <w:bottom w:val="single" w:sz="6" w:space="0" w:color="000000"/>
            </w:tcBorders>
            <w:tcMar>
              <w:bottom w:w="28" w:type="dxa"/>
            </w:tcMar>
            <w:vAlign w:val="center"/>
          </w:tcPr>
          <w:p>
            <w:pPr>
              <w:pStyle w:val="TableContents"/>
              <w:bidi w:val="0"/>
              <w:spacing w:before="0" w:after="283"/>
              <w:jc w:val="left"/>
              <w:rPr/>
            </w:pPr>
            <w:r>
              <w:rPr/>
              <w:t>​</w:t>
            </w:r>
          </w:p>
        </w:tc>
        <w:tc>
          <w:tcPr>
            <w:tcW w:w="283" w:type="dxa"/>
            <w:tcBorders>
              <w:bottom w:val="single" w:sz="6" w:space="0" w:color="000000"/>
            </w:tcBorders>
            <w:tcMar>
              <w:bottom w:w="145" w:type="dxa"/>
            </w:tcMar>
            <w:vAlign w:val="center"/>
          </w:tcPr>
          <w:p>
            <w:pPr>
              <w:pStyle w:val="TableContents"/>
              <w:bidi w:val="0"/>
              <w:spacing w:before="0" w:after="283"/>
              <w:jc w:val="right"/>
              <w:rPr/>
            </w:pPr>
            <w:r>
              <w:rPr/>
              <w:t>​</w:t>
            </w:r>
          </w:p>
        </w:tc>
        <w:tc>
          <w:tcPr>
            <w:tcW w:w="1338" w:type="dxa"/>
            <w:tcBorders>
              <w:bottom w:val="single" w:sz="6" w:space="0" w:color="000000"/>
            </w:tcBorders>
            <w:tcMar>
              <w:bottom w:w="145" w:type="dxa"/>
            </w:tcMar>
            <w:vAlign w:val="center"/>
          </w:tcPr>
          <w:p>
            <w:pPr>
              <w:pStyle w:val="TableContents"/>
              <w:bidi w:val="0"/>
              <w:spacing w:before="0" w:after="283"/>
              <w:jc w:val="right"/>
              <w:rPr/>
            </w:pPr>
            <w:r>
              <w:rPr/>
              <w:t>—</w:t>
            </w:r>
          </w:p>
        </w:tc>
        <w:tc>
          <w:tcPr>
            <w:tcW w:w="136"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 w:type="dxa"/>
            <w:tcBorders>
              <w:bottom w:val="single" w:sz="6" w:space="0" w:color="000000"/>
            </w:tcBorders>
            <w:tcMar>
              <w:bottom w:w="28" w:type="dxa"/>
            </w:tcMar>
            <w:vAlign w:val="center"/>
          </w:tcPr>
          <w:p>
            <w:pPr>
              <w:pStyle w:val="TableContents"/>
              <w:bidi w:val="0"/>
              <w:spacing w:before="0" w:after="283"/>
              <w:jc w:val="left"/>
              <w:rPr/>
            </w:pPr>
            <w:r>
              <w:rPr/>
              <w:t>​</w:t>
            </w:r>
          </w:p>
        </w:tc>
        <w:tc>
          <w:tcPr>
            <w:tcW w:w="274" w:type="dxa"/>
            <w:tcBorders>
              <w:bottom w:val="single" w:sz="6" w:space="0" w:color="000000"/>
            </w:tcBorders>
            <w:tcMar>
              <w:bottom w:w="145" w:type="dxa"/>
            </w:tcMar>
            <w:vAlign w:val="center"/>
          </w:tcPr>
          <w:p>
            <w:pPr>
              <w:pStyle w:val="TableContents"/>
              <w:bidi w:val="0"/>
              <w:spacing w:before="0" w:after="283"/>
              <w:jc w:val="right"/>
              <w:rPr/>
            </w:pPr>
            <w:r>
              <w:rPr/>
              <w:t>​</w:t>
            </w:r>
          </w:p>
        </w:tc>
        <w:tc>
          <w:tcPr>
            <w:tcW w:w="1355" w:type="dxa"/>
            <w:tcBorders>
              <w:bottom w:val="single" w:sz="6" w:space="0" w:color="000000"/>
            </w:tcBorders>
            <w:tcMar>
              <w:bottom w:w="145" w:type="dxa"/>
            </w:tcMar>
            <w:vAlign w:val="center"/>
          </w:tcPr>
          <w:p>
            <w:pPr>
              <w:pStyle w:val="TableContents"/>
              <w:bidi w:val="0"/>
              <w:spacing w:before="0" w:after="283"/>
              <w:jc w:val="right"/>
              <w:rPr/>
            </w:pPr>
            <w:r>
              <w:rPr/>
              <w:t>15,000</w:t>
            </w:r>
          </w:p>
        </w:tc>
        <w:tc>
          <w:tcPr>
            <w:tcW w:w="132" w:type="dxa"/>
            <w:tcBorders>
              <w:bottom w:val="single" w:sz="6" w:space="0" w:color="000000"/>
            </w:tcBorders>
            <w:tcMar>
              <w:bottom w:w="28" w:type="dxa"/>
            </w:tcMar>
            <w:vAlign w:val="center"/>
          </w:tcPr>
          <w:p>
            <w:pPr>
              <w:pStyle w:val="TableContents"/>
              <w:bidi w:val="0"/>
              <w:spacing w:before="0" w:after="283"/>
              <w:jc w:val="left"/>
              <w:rPr/>
            </w:pPr>
            <w:r>
              <w:rPr/>
              <w:t>​</w:t>
            </w:r>
          </w:p>
        </w:tc>
        <w:tc>
          <w:tcPr>
            <w:tcW w:w="158"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4981" w:type="dxa"/>
            <w:tcBorders>
              <w:bottom w:val="single" w:sz="6" w:space="0" w:color="000000"/>
            </w:tcBorders>
            <w:shd w:fill="F7F7F7" w:val="clear"/>
            <w:tcMar>
              <w:bottom w:w="145" w:type="dxa"/>
            </w:tcMar>
            <w:vAlign w:val="center"/>
          </w:tcPr>
          <w:p>
            <w:pPr>
              <w:pStyle w:val="TableContents"/>
              <w:bidi w:val="0"/>
              <w:spacing w:before="0" w:after="283"/>
              <w:jc w:val="left"/>
              <w:rPr/>
            </w:pPr>
            <w:r>
              <w:rPr/>
              <w:t xml:space="preserve">All Other Fees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83"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338"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3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2"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7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355"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32"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8"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4981" w:type="dxa"/>
            <w:tcBorders>
              <w:bottom w:val="single" w:sz="6" w:space="0" w:color="000000"/>
            </w:tcBorders>
            <w:tcMar>
              <w:bottom w:w="145" w:type="dxa"/>
            </w:tcMar>
            <w:vAlign w:val="center"/>
          </w:tcPr>
          <w:p>
            <w:pPr>
              <w:pStyle w:val="TableContents"/>
              <w:bidi w:val="0"/>
              <w:spacing w:before="0" w:after="283"/>
              <w:jc w:val="left"/>
              <w:rPr/>
            </w:pPr>
            <w:r>
              <w:rPr/>
              <w:t xml:space="preserve">TOTAL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6" w:type="dxa"/>
            <w:tcBorders>
              <w:bottom w:val="single" w:sz="6" w:space="0" w:color="000000"/>
            </w:tcBorders>
            <w:tcMar>
              <w:bottom w:w="28" w:type="dxa"/>
            </w:tcMar>
            <w:vAlign w:val="center"/>
          </w:tcPr>
          <w:p>
            <w:pPr>
              <w:pStyle w:val="TableContents"/>
              <w:bidi w:val="0"/>
              <w:spacing w:before="0" w:after="283"/>
              <w:jc w:val="left"/>
              <w:rPr/>
            </w:pPr>
            <w:r>
              <w:rPr/>
              <w:t>​</w:t>
            </w:r>
          </w:p>
        </w:tc>
        <w:tc>
          <w:tcPr>
            <w:tcW w:w="283" w:type="dxa"/>
            <w:tcBorders>
              <w:bottom w:val="single" w:sz="6" w:space="0" w:color="000000"/>
            </w:tcBorders>
            <w:tcMar>
              <w:bottom w:w="145" w:type="dxa"/>
            </w:tcMar>
            <w:vAlign w:val="center"/>
          </w:tcPr>
          <w:p>
            <w:pPr>
              <w:pStyle w:val="TableContents"/>
              <w:bidi w:val="0"/>
              <w:spacing w:before="0" w:after="283"/>
              <w:jc w:val="right"/>
              <w:rPr/>
            </w:pPr>
            <w:r>
              <w:rPr/>
              <w:t>$</w:t>
            </w:r>
          </w:p>
        </w:tc>
        <w:tc>
          <w:tcPr>
            <w:tcW w:w="1338" w:type="dxa"/>
            <w:tcBorders>
              <w:bottom w:val="single" w:sz="6" w:space="0" w:color="000000"/>
            </w:tcBorders>
            <w:tcMar>
              <w:bottom w:w="145" w:type="dxa"/>
            </w:tcMar>
            <w:vAlign w:val="center"/>
          </w:tcPr>
          <w:p>
            <w:pPr>
              <w:pStyle w:val="TableContents"/>
              <w:bidi w:val="0"/>
              <w:spacing w:before="0" w:after="283"/>
              <w:jc w:val="right"/>
              <w:rPr/>
            </w:pPr>
            <w:r>
              <w:rPr/>
              <w:t>1,905,000</w:t>
            </w:r>
          </w:p>
        </w:tc>
        <w:tc>
          <w:tcPr>
            <w:tcW w:w="136"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 w:type="dxa"/>
            <w:tcBorders>
              <w:bottom w:val="single" w:sz="6" w:space="0" w:color="000000"/>
            </w:tcBorders>
            <w:tcMar>
              <w:bottom w:w="28" w:type="dxa"/>
            </w:tcMar>
            <w:vAlign w:val="center"/>
          </w:tcPr>
          <w:p>
            <w:pPr>
              <w:pStyle w:val="TableContents"/>
              <w:bidi w:val="0"/>
              <w:spacing w:before="0" w:after="283"/>
              <w:jc w:val="left"/>
              <w:rPr/>
            </w:pPr>
            <w:r>
              <w:rPr/>
              <w:t>​</w:t>
            </w:r>
          </w:p>
        </w:tc>
        <w:tc>
          <w:tcPr>
            <w:tcW w:w="274" w:type="dxa"/>
            <w:tcBorders>
              <w:bottom w:val="single" w:sz="6" w:space="0" w:color="000000"/>
            </w:tcBorders>
            <w:tcMar>
              <w:bottom w:w="145" w:type="dxa"/>
            </w:tcMar>
            <w:vAlign w:val="center"/>
          </w:tcPr>
          <w:p>
            <w:pPr>
              <w:pStyle w:val="TableContents"/>
              <w:bidi w:val="0"/>
              <w:spacing w:before="0" w:after="283"/>
              <w:jc w:val="right"/>
              <w:rPr/>
            </w:pPr>
            <w:r>
              <w:rPr/>
              <w:t>$</w:t>
            </w:r>
          </w:p>
        </w:tc>
        <w:tc>
          <w:tcPr>
            <w:tcW w:w="1355" w:type="dxa"/>
            <w:tcBorders>
              <w:bottom w:val="single" w:sz="6" w:space="0" w:color="000000"/>
            </w:tcBorders>
            <w:tcMar>
              <w:bottom w:w="145" w:type="dxa"/>
            </w:tcMar>
            <w:vAlign w:val="center"/>
          </w:tcPr>
          <w:p>
            <w:pPr>
              <w:pStyle w:val="TableContents"/>
              <w:bidi w:val="0"/>
              <w:spacing w:before="0" w:after="283"/>
              <w:jc w:val="right"/>
              <w:rPr/>
            </w:pPr>
            <w:r>
              <w:rPr/>
              <w:t>4,215,000</w:t>
            </w:r>
          </w:p>
        </w:tc>
        <w:tc>
          <w:tcPr>
            <w:tcW w:w="132" w:type="dxa"/>
            <w:tcBorders>
              <w:bottom w:val="single" w:sz="6" w:space="0" w:color="000000"/>
            </w:tcBorders>
            <w:tcMar>
              <w:bottom w:w="28" w:type="dxa"/>
            </w:tcMar>
            <w:vAlign w:val="center"/>
          </w:tcPr>
          <w:p>
            <w:pPr>
              <w:pStyle w:val="TableContents"/>
              <w:bidi w:val="0"/>
              <w:spacing w:before="0" w:after="283"/>
              <w:jc w:val="left"/>
              <w:rPr/>
            </w:pPr>
            <w:r>
              <w:rPr/>
              <w:t>​</w:t>
            </w:r>
          </w:p>
        </w:tc>
        <w:tc>
          <w:tcPr>
            <w:tcW w:w="158"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22"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Audit Fees in 2022 and 2023 were for professional services rendered for the audits of our financial statements, review of interim financial statements, assistance with registration statements filed with the SEC and services that are normally provided by Grant Thornton and KPMG in connection with statutory and regulatory filings or engagements. Fees for the year ended December 31, 2022 relate exclusively to audit and financial services rendered by Grant Thornton. Fees for the year ended December 31, 2023 included approximately $630,000 charged by Grant Thornton and $3,570,000 charged by KPMG.</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204470" distB="0" distL="0" distR="0" simplePos="0" locked="0" layoutInCell="1" allowOverlap="1" relativeHeight="146">
                <wp:simplePos x="0" y="0"/>
                <wp:positionH relativeFrom="column">
                  <wp:align>left</wp:align>
                </wp:positionH>
                <wp:positionV relativeFrom="line">
                  <wp:align>top</wp:align>
                </wp:positionV>
                <wp:extent cx="81915" cy="270510"/>
                <wp:effectExtent l="0" t="0" r="0" b="0"/>
                <wp:wrapSquare wrapText="right"/>
                <wp:docPr id="111" name="Frame75"/>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(1)</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16.1pt;mso-wrap-distance-bottom:0pt;margin-top:16.1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08"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Audit-Related Fees in 2022 consisted of attest services related to environmental, social and governance (ESG) and sustainability metrics and disclosures.</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8580" distB="0" distL="0" distR="0" simplePos="0" locked="0" layoutInCell="1" allowOverlap="1" relativeHeight="147">
                <wp:simplePos x="0" y="0"/>
                <wp:positionH relativeFrom="column">
                  <wp:align>left</wp:align>
                </wp:positionH>
                <wp:positionV relativeFrom="line">
                  <wp:align>top</wp:align>
                </wp:positionV>
                <wp:extent cx="81915" cy="270510"/>
                <wp:effectExtent l="0" t="0" r="0" b="0"/>
                <wp:wrapSquare wrapText="right"/>
                <wp:docPr id="112" name="Frame76"/>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(2)</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5.4pt;mso-wrap-distance-bottom:0pt;margin-top:5.4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(2)</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Audit Committee or a delegate thereof pre-approves the scope of the audit and non-audit services provided by our independent registered public accounting firm, as well as all associated fees and terms, pursuant to pre-approval policies and procedures established by the Audit Committee. The Audit Committee evaluates the independent registered public accounting firm’s qualifications, performance and independence, and presents its conclusions to the full Board on at least an annual basis.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All of the services provided by Grant Thornton for fiscal year 2022 and fiscal year 2023, and fees for such services, and all services provided by KPMG for fiscal year 2023, and fees for such services, were pre-approved by the Audit Committee in accordance with these standards.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Change in Accountants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On May 26, 2023, following the conclusion of a process managed by the Audit Committee of the Board and effective June 17, 2023, the Audit Committee approved the appointment of KPMG as the Company’s independent registered public accounting firm beginning with the year ending December 31, 2023.</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On May 26, 2023, the Audit Committee dismissed Grant Thornton as the Company’s independent registered public accounting firm effective immediately upon the effectiveness of the appointment of KPMG. Grant Thornton served as the Company’s independent registered public accounting firm since the close of the merger with Churchill Capital Corp IV on July 23, 2021 and as the independent registered public accounting firm of the Company’s predecessor, Atieva, Inc., since October 13, 2020.</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audit reports of Grant Thornton on the Company’s consolidated financial statements as of and for the years ended December 31, 2021 and 2022 did not contain an adverse opinion or a disclaimer of opinion, and were not qualified or modified as to uncertainty, audit scope or accounting principles.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During the fiscal years ended December 31, 2021 and December 31, 2022 and through May 26, 2023, there were no: (1) disagreements with Grant Thornton within the meaning of Item 304(a)(1)(iv) of Regulation S-K promulgated under the Securities Exchange Act of 1934, as amended, or Regulation S-K, and the related instructions thereto, on any matter of accounting principles or practices, financial statement disclosure, or auditing scope or procedures, which disagreements, if not resolved to their satisfaction, would have caused them to make reference in connection with their opinion to the subject matter of the disagreement; or (2) reportable events under Item 304(a)(1)(v) of Regulation S-K and the related instructions thereto.</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During the Company’s years ending December 31, 2021 and 2022 and through May 26, 2023, neither the Company, nor anyone on its behalf, consulted KPMG regarding either: (i) the application of accounting principles to a specified transaction, either completed or proposed; or the type of audit opinion that might be rendered on the Company’s financial statements; or (ii) any </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26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EFEFE"/>
          <w:sz w:val="16"/>
        </w:rPr>
        <w:t xml:space="preserve"> </w:t>
      </w:r>
    </w:p>
    <w:p>
      <w:pPr>
        <w:pStyle w:val="TextBody"/>
        <w:bidi w:val="0"/>
        <w:spacing w:lineRule="atLeast" w:line="240" w:before="84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matter that was the subject of a “disagreement” ​(as that term is defined in Item 304(a)(1)(iv) of Regulation S-K) or “reportable event” ​(as that term is defined in Item 304(a)(1)(v) of Regulation S-K).</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Company previously provided Grant Thornton with a copy of the above statements and requested Grant Thornton furnish the Company with a letter addressed to the SEC stating whether or not Grant Thornton agrees with the above statements, as required by Item 304(a)(3) of Regulation S-K. A copy of Grant Thornton’s letter is filed as Exhibit 16.1 to the Current Report on Form 8-K filed with the SEC on May 31, 2023.</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Vote Required</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To be approved, a majority of the total votes cast on Proposal No. 2 must be voted “For” the ratification of the selection of KPMG as our independent registered public accounting firm for the fiscal year ending December 31, 2024. Broker non-votes are not applicable with respect to Proposal No. 2 as brokers generally have discretion to vote uninstructed shares on this proposal. Abstentions will have no effect.</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9207"/>
        <w:gridCol w:w="154"/>
      </w:tblGrid>
      <w:tr>
        <w:trPr/>
        <w:tc>
          <w:tcPr>
            <w:tcW w:w="124" w:type="dxa"/>
            <w:tcBorders/>
            <w:shd w:fill="000000" w:val="clear"/>
            <w:vAlign w:val="center"/>
          </w:tcPr>
          <w:p>
            <w:pPr>
              <w:pStyle w:val="TableContents"/>
              <w:bidi w:val="0"/>
              <w:spacing w:before="0" w:after="283"/>
              <w:jc w:val="left"/>
              <w:rPr/>
            </w:pPr>
            <w:r>
              <w:rPr/>
              <w:t>​</w:t>
            </w:r>
          </w:p>
        </w:tc>
        <w:tc>
          <w:tcPr>
            <w:tcW w:w="9207" w:type="dxa"/>
            <w:tcBorders/>
            <w:shd w:fill="000000" w:val="clear"/>
            <w:vAlign w:val="center"/>
          </w:tcPr>
          <w:p>
            <w:pPr>
              <w:pStyle w:val="TableContents"/>
              <w:bidi w:val="0"/>
              <w:spacing w:before="0" w:after="0"/>
              <w:jc w:val="center"/>
              <w:rPr/>
            </w:pPr>
            <w:r>
              <w:rPr/>
              <w:t>T</w:t>
            </w:r>
            <w:r>
              <w:rPr>
                <w:caps/>
              </w:rPr>
              <w:t xml:space="preserve">HE </w:t>
            </w:r>
            <w:r>
              <w:rPr/>
              <w:t>B</w:t>
            </w:r>
            <w:r>
              <w:rPr>
                <w:caps/>
              </w:rPr>
              <w:t xml:space="preserve">OARD OF </w:t>
            </w:r>
            <w:r>
              <w:rPr/>
              <w:t>D</w:t>
            </w:r>
            <w:r>
              <w:rPr>
                <w:caps/>
              </w:rPr>
              <w:t xml:space="preserve">IRECTORS </w:t>
            </w:r>
            <w:r>
              <w:rPr/>
              <w:t>R</w:t>
            </w:r>
            <w:r>
              <w:rPr>
                <w:caps/>
              </w:rPr>
              <w:t xml:space="preserve">ECOMMENDS A </w:t>
            </w:r>
            <w:r>
              <w:rPr/>
              <w:t>V</w:t>
            </w:r>
            <w:r>
              <w:rPr>
                <w:caps/>
              </w:rPr>
              <w:t xml:space="preserve">OTE </w:t>
            </w:r>
            <w:r>
              <w:rPr/>
              <w:t xml:space="preserve">“FOR” </w:t>
            </w:r>
            <w:r>
              <w:rPr>
                <w:caps/>
              </w:rPr>
              <w:t xml:space="preserve">THE </w:t>
            </w:r>
            <w:r>
              <w:rPr/>
              <w:t>R</w:t>
            </w:r>
            <w:r>
              <w:rPr>
                <w:caps/>
              </w:rPr>
              <w:t xml:space="preserve">ATIFICATION OF THE </w:t>
            </w:r>
            <w:r>
              <w:rPr/>
              <w:t>S</w:t>
            </w:r>
            <w:r>
              <w:rPr>
                <w:caps/>
              </w:rPr>
              <w:t xml:space="preserve">ELECTION OF THE </w:t>
            </w:r>
            <w:r>
              <w:rPr/>
              <w:t>I</w:t>
            </w:r>
            <w:r>
              <w:rPr>
                <w:caps/>
              </w:rPr>
              <w:t xml:space="preserve">NDEPENDENT </w:t>
            </w:r>
            <w:r>
              <w:rPr/>
              <w:t>R</w:t>
            </w:r>
            <w:r>
              <w:rPr>
                <w:caps/>
              </w:rPr>
              <w:t xml:space="preserve">EGISTERED </w:t>
            </w:r>
            <w:r>
              <w:rPr/>
              <w:t>P</w:t>
            </w:r>
            <w:r>
              <w:rPr>
                <w:caps/>
              </w:rPr>
              <w:t xml:space="preserve">UBLIC </w:t>
            </w:r>
            <w:r>
              <w:rPr/>
              <w:t>A</w:t>
            </w:r>
            <w:r>
              <w:rPr>
                <w:caps/>
              </w:rPr>
              <w:t xml:space="preserve">CCOUNTING </w:t>
            </w:r>
            <w:r>
              <w:rPr/>
              <w:t>F</w:t>
            </w:r>
            <w:r>
              <w:rPr>
                <w:caps/>
              </w:rPr>
              <w:t>IRM</w:t>
              <w:br/>
              <w:t>(</w:t>
            </w:r>
            <w:r>
              <w:rPr/>
              <w:t>P</w:t>
            </w:r>
            <w:r>
              <w:rPr>
                <w:caps/>
              </w:rPr>
              <w:t>ROPOSAL NO. 2)</w:t>
            </w:r>
          </w:p>
        </w:tc>
        <w:tc>
          <w:tcPr>
            <w:tcW w:w="154" w:type="dxa"/>
            <w:tcBorders/>
            <w:shd w:fill="000000" w:val="clear"/>
            <w:vAlign w:val="center"/>
          </w:tcPr>
          <w:p>
            <w:pPr>
              <w:pStyle w:val="TableContents"/>
              <w:bidi w:val="0"/>
              <w:spacing w:before="0" w:after="283"/>
              <w:jc w:val="left"/>
              <w:rPr/>
            </w:pPr>
            <w:r>
              <w:rPr/>
              <w:t>​</w:t>
            </w:r>
          </w:p>
        </w:tc>
      </w:tr>
    </w:tbl>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27</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PN3A"/>
      <w:bookmarkEnd w:id="9"/>
      <w:r>
        <w:rPr>
          <w:rFonts w:ascii="calibri;arial;sans-serif" w:hAnsi="calibri;arial;sans-serif"/>
          <w:b w:val="false"/>
          <w:i w:val="false"/>
          <w:caps w:val="false"/>
          <w:smallCaps w:val="false"/>
          <w:color w:val="000000"/>
          <w:sz w:val="16"/>
        </w:rPr>
        <w:t xml:space="preserve">​ </w:t>
      </w:r>
    </w:p>
    <w:p>
      <w:pPr>
        <w:pStyle w:val="TextBody"/>
        <w:bidi w:val="0"/>
        <w:spacing w:before="240" w:after="283"/>
        <w:ind w:left="0" w:right="0" w:hanging="0"/>
        <w:jc w:val="right"/>
        <w:rPr>
          <w:caps w:val="false"/>
          <w:smallCaps w:val="false"/>
          <w:color w:val="000000"/>
        </w:rPr>
      </w:pPr>
      <w:r>
        <w:rPr>
          <w:caps w:val="false"/>
          <w:smallCaps w:val="false"/>
          <w:color w:val="000000"/>
        </w:rPr>
        <w:drawing>
          <wp:inline distT="0" distB="0" distL="0" distR="0">
            <wp:extent cx="7210425" cy="2828925"/>
            <wp:effectExtent l="0" t="0" r="0" b="0"/>
            <wp:docPr id="11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34" descr=""/>
                    <pic:cNvPicPr>
                      <a:picLocks noChangeAspect="1" noChangeArrowheads="1"/>
                    </pic:cNvPicPr>
                  </pic:nvPicPr>
                  <pic:blipFill>
                    <a:blip r:embed="rId38"/>
                    <a:stretch>
                      <a:fillRect/>
                    </a:stretch>
                  </pic:blipFill>
                  <pic:spPr bwMode="auto">
                    <a:xfrm>
                      <a:off x="0" y="0"/>
                      <a:ext cx="7210425" cy="28289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jc w:val="right"/>
        <w:rPr>
          <w:caps w:val="false"/>
          <w:smallCaps w:val="false"/>
          <w:color w:val="000000"/>
        </w:rPr>
      </w:pPr>
      <w:r>
        <w:rPr>
          <w:caps w:val="false"/>
          <w:smallCaps w:val="false"/>
          <w:color w:val="000000"/>
        </w:rPr>
        <w:t> ​</w:t>
      </w:r>
    </w:p>
    <w:p>
      <w:pPr>
        <w:pStyle w:val="TextBody"/>
        <w:bidi w:val="0"/>
        <w:spacing w:lineRule="atLeast" w:line="340" w:before="540" w:after="283"/>
        <w:ind w:left="720" w:right="0" w:hanging="0"/>
        <w:jc w:val="left"/>
        <w:rPr>
          <w:rFonts w:ascii="Times New Roman;Garamond;serif" w:hAnsi="Times New Roman;Garamond;serif"/>
          <w:b/>
          <w:i w:val="false"/>
          <w:caps w:val="false"/>
          <w:smallCaps w:val="false"/>
          <w:color w:val="000000"/>
          <w:sz w:val="30"/>
        </w:rPr>
      </w:pPr>
      <w:r>
        <w:rPr>
          <w:rFonts w:ascii="Times New Roman;Garamond;serif" w:hAnsi="Times New Roman;Garamond;serif"/>
          <w:b/>
          <w:i w:val="false"/>
          <w:caps w:val="false"/>
          <w:smallCaps w:val="false"/>
          <w:color w:val="000000"/>
          <w:sz w:val="30"/>
        </w:rPr>
        <w:t>P</w:t>
      </w:r>
      <w:r>
        <w:rPr>
          <w:rFonts w:ascii="Times New Roman;Garamond;serif" w:hAnsi="Times New Roman;Garamond;serif"/>
          <w:b/>
          <w:i w:val="false"/>
          <w:caps w:val="false"/>
          <w:smallCaps w:val="false"/>
          <w:color w:val="000000"/>
          <w:sz w:val="30"/>
        </w:rPr>
        <w:t>ROPOSAL</w:t>
      </w:r>
      <w:r>
        <w:rPr>
          <w:rFonts w:ascii="Times New Roman;Garamond;serif" w:hAnsi="Times New Roman;Garamond;serif"/>
          <w:b/>
          <w:i w:val="false"/>
          <w:caps w:val="false"/>
          <w:smallCaps w:val="false"/>
          <w:color w:val="000000"/>
          <w:sz w:val="30"/>
        </w:rPr>
        <w:t xml:space="preserve"> No. 3:​ </w:t>
      </w:r>
    </w:p>
    <w:p>
      <w:pPr>
        <w:pStyle w:val="TextBody"/>
        <w:bidi w:val="0"/>
        <w:spacing w:lineRule="atLeast" w:line="440" w:before="50" w:after="283"/>
        <w:jc w:val="left"/>
        <w:rPr>
          <w:rFonts w:ascii="Times New Roman;Garamond;serif" w:hAnsi="Times New Roman;Garamond;serif"/>
          <w:b/>
          <w:i w:val="false"/>
          <w:caps w:val="false"/>
          <w:smallCaps w:val="false"/>
          <w:color w:val="000000"/>
          <w:sz w:val="40"/>
        </w:rPr>
      </w:pPr>
      <w:r>
        <w:rPr>
          <w:rFonts w:ascii="Times New Roman;Garamond;serif" w:hAnsi="Times New Roman;Garamond;serif"/>
          <w:b/>
          <w:i w:val="false"/>
          <w:caps w:val="false"/>
          <w:smallCaps w:val="false"/>
          <w:color w:val="000000"/>
          <w:sz w:val="40"/>
        </w:rPr>
        <w:t>A</w:t>
      </w:r>
      <w:r>
        <w:rPr>
          <w:rFonts w:ascii="Times New Roman;Garamond;serif" w:hAnsi="Times New Roman;Garamond;serif"/>
          <w:b/>
          <w:i w:val="false"/>
          <w:caps w:val="false"/>
          <w:smallCaps w:val="false"/>
          <w:color w:val="000000"/>
          <w:sz w:val="40"/>
        </w:rPr>
        <w:t xml:space="preserve">PPROVAL, ON AN </w:t>
      </w:r>
      <w:r>
        <w:rPr>
          <w:rFonts w:ascii="Times New Roman;Garamond;serif" w:hAnsi="Times New Roman;Garamond;serif"/>
          <w:b/>
          <w:i w:val="false"/>
          <w:caps w:val="false"/>
          <w:smallCaps w:val="false"/>
          <w:color w:val="000000"/>
          <w:sz w:val="40"/>
        </w:rPr>
        <w:t>A</w:t>
      </w:r>
      <w:r>
        <w:rPr>
          <w:rFonts w:ascii="Times New Roman;Garamond;serif" w:hAnsi="Times New Roman;Garamond;serif"/>
          <w:b/>
          <w:i w:val="false"/>
          <w:caps w:val="false"/>
          <w:smallCaps w:val="false"/>
          <w:color w:val="000000"/>
          <w:sz w:val="40"/>
        </w:rPr>
        <w:t xml:space="preserve">DVISORY </w:t>
      </w:r>
      <w:r>
        <w:rPr>
          <w:rFonts w:ascii="Times New Roman;Garamond;serif" w:hAnsi="Times New Roman;Garamond;serif"/>
          <w:b/>
          <w:i w:val="false"/>
          <w:caps w:val="false"/>
          <w:smallCaps w:val="false"/>
          <w:color w:val="000000"/>
          <w:sz w:val="40"/>
        </w:rPr>
        <w:t>B</w:t>
      </w:r>
      <w:r>
        <w:rPr>
          <w:rFonts w:ascii="Times New Roman;Garamond;serif" w:hAnsi="Times New Roman;Garamond;serif"/>
          <w:b/>
          <w:i w:val="false"/>
          <w:caps w:val="false"/>
          <w:smallCaps w:val="false"/>
          <w:color w:val="000000"/>
          <w:sz w:val="40"/>
        </w:rPr>
        <w:t xml:space="preserve">ASIS, of THE </w:t>
      </w:r>
      <w:r>
        <w:rPr>
          <w:rFonts w:ascii="Times New Roman;Garamond;serif" w:hAnsi="Times New Roman;Garamond;serif"/>
          <w:b/>
          <w:i w:val="false"/>
          <w:caps w:val="false"/>
          <w:smallCaps w:val="false"/>
          <w:color w:val="000000"/>
          <w:sz w:val="40"/>
        </w:rPr>
        <w:t>C</w:t>
      </w:r>
      <w:r>
        <w:rPr>
          <w:rFonts w:ascii="Times New Roman;Garamond;serif" w:hAnsi="Times New Roman;Garamond;serif"/>
          <w:b/>
          <w:i w:val="false"/>
          <w:caps w:val="false"/>
          <w:smallCaps w:val="false"/>
          <w:color w:val="000000"/>
          <w:sz w:val="40"/>
        </w:rPr>
        <w:t xml:space="preserve">OMPENSATION OF </w:t>
      </w:r>
      <w:r>
        <w:rPr>
          <w:rFonts w:ascii="Times New Roman;Garamond;serif" w:hAnsi="Times New Roman;Garamond;serif"/>
          <w:b/>
          <w:i w:val="false"/>
          <w:caps w:val="false"/>
          <w:smallCaps w:val="false"/>
          <w:color w:val="000000"/>
          <w:sz w:val="40"/>
        </w:rPr>
        <w:t>O</w:t>
      </w:r>
      <w:r>
        <w:rPr>
          <w:rFonts w:ascii="Times New Roman;Garamond;serif" w:hAnsi="Times New Roman;Garamond;serif"/>
          <w:b/>
          <w:i w:val="false"/>
          <w:caps w:val="false"/>
          <w:smallCaps w:val="false"/>
          <w:color w:val="000000"/>
          <w:sz w:val="40"/>
        </w:rPr>
        <w:t xml:space="preserve">UR </w:t>
      </w:r>
      <w:r>
        <w:rPr>
          <w:rFonts w:ascii="Times New Roman;Garamond;serif" w:hAnsi="Times New Roman;Garamond;serif"/>
          <w:b/>
          <w:i w:val="false"/>
          <w:caps w:val="false"/>
          <w:smallCaps w:val="false"/>
          <w:color w:val="000000"/>
          <w:sz w:val="40"/>
        </w:rPr>
        <w:t>N</w:t>
      </w:r>
      <w:r>
        <w:rPr>
          <w:rFonts w:ascii="Times New Roman;Garamond;serif" w:hAnsi="Times New Roman;Garamond;serif"/>
          <w:b/>
          <w:i w:val="false"/>
          <w:caps w:val="false"/>
          <w:smallCaps w:val="false"/>
          <w:color w:val="000000"/>
          <w:sz w:val="40"/>
        </w:rPr>
        <w:t xml:space="preserve">AMED </w:t>
      </w:r>
      <w:r>
        <w:rPr>
          <w:rFonts w:ascii="Times New Roman;Garamond;serif" w:hAnsi="Times New Roman;Garamond;serif"/>
          <w:b/>
          <w:i w:val="false"/>
          <w:caps w:val="false"/>
          <w:smallCaps w:val="false"/>
          <w:color w:val="000000"/>
          <w:sz w:val="40"/>
        </w:rPr>
        <w:t>E</w:t>
      </w:r>
      <w:r>
        <w:rPr>
          <w:rFonts w:ascii="Times New Roman;Garamond;serif" w:hAnsi="Times New Roman;Garamond;serif"/>
          <w:b/>
          <w:i w:val="false"/>
          <w:caps w:val="false"/>
          <w:smallCaps w:val="false"/>
          <w:color w:val="000000"/>
          <w:sz w:val="40"/>
        </w:rPr>
        <w:t xml:space="preserve">XECUTIVE </w:t>
      </w:r>
      <w:r>
        <w:rPr>
          <w:rFonts w:ascii="Times New Roman;Garamond;serif" w:hAnsi="Times New Roman;Garamond;serif"/>
          <w:b/>
          <w:i w:val="false"/>
          <w:caps w:val="false"/>
          <w:smallCaps w:val="false"/>
          <w:color w:val="000000"/>
          <w:sz w:val="40"/>
        </w:rPr>
        <w:t>O</w:t>
      </w:r>
      <w:r>
        <w:rPr>
          <w:rFonts w:ascii="Times New Roman;Garamond;serif" w:hAnsi="Times New Roman;Garamond;serif"/>
          <w:b/>
          <w:i w:val="false"/>
          <w:caps w:val="false"/>
          <w:smallCaps w:val="false"/>
          <w:color w:val="000000"/>
          <w:sz w:val="40"/>
        </w:rPr>
        <w:t>FFICERS</w:t>
      </w:r>
      <w:r>
        <w:rPr>
          <w:rFonts w:ascii="Times New Roman;Garamond;serif" w:hAnsi="Times New Roman;Garamond;serif"/>
          <w:b/>
          <w:i w:val="false"/>
          <w:caps w:val="false"/>
          <w:smallCaps w:val="false"/>
          <w:color w:val="000000"/>
          <w:spacing w:val="8"/>
          <w:sz w:val="40"/>
        </w:rPr>
        <w:t xml:space="preserve"> </w:t>
      </w:r>
    </w:p>
    <w:p>
      <w:pPr>
        <w:pStyle w:val="TextBody"/>
        <w:bidi w:val="0"/>
        <w:spacing w:lineRule="atLeast" w:line="250" w:before="40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We are required by Section 14A of the Exchange Act to offer our stockholders an opportunity to cast an advisory, non-binding, vote on the compensation of our named executive officers, as disclosed in this Proxy Statement, pursuant to the Dodd-Frank Wall Street Reform and Consumer Protection Act enacted in July 2010 (the “Dodd-Frank Act”) (commonly referred to as a “say-on-pay” vote). This vote is not intended to address any specific item of compensation, but rather the overall compensation of our named executive officers and the philosophy, policies and practices described in this Proxy Statement. Although the vote is non-binding, we value constructive feedback from our stockholders on executive compensation and other important matters, and the Board and the Compensation and Human Capital Committee will consider the voting results when making future compensation decisions. </w:t>
      </w:r>
    </w:p>
    <w:p>
      <w:pPr>
        <w:pStyle w:val="TextBody"/>
        <w:bidi w:val="0"/>
        <w:spacing w:lineRule="atLeast" w:line="25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As described under the heading “Compensation Discussion and Analysis” in this Proxy Statement, our executive compensation program is designed to attract, retain and motivate top-level talent who possess the skills and leadership necessary to grow our business and enable long-term value creation. The Board encourages our stockholders to read the disclosures set forth in the “Compensation Discussion and Analysis” section of this Proxy Statement and to review the compensation actions taken in fiscal year 2023. The Board believes that our executive compensation program effectively aligns executive pay with our performance and results in the attraction and retention of talented executives who are critical to our success.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Accordingly, the Board recommends that our stockholders vote “For” the following resolution:</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50" w:before="240" w:after="283"/>
        <w:jc w:val="center"/>
        <w:rPr>
          <w:caps w:val="false"/>
          <w:smallCaps w:val="false"/>
          <w:color w:val="000000"/>
        </w:rPr>
      </w:pPr>
      <w:r>
        <w:rPr>
          <w:caps w:val="false"/>
          <w:smallCaps w:val="false"/>
          <w:color w:val="000000"/>
        </w:rPr>
        <w:t>“</w:t>
      </w:r>
      <w:r>
        <w:rPr>
          <w:rFonts w:ascii="Helvetica;Arial;sans-serif" w:hAnsi="Helvetica;Arial;sans-serif"/>
          <w:b/>
          <w:i w:val="false"/>
          <w:caps w:val="false"/>
          <w:smallCaps w:val="false"/>
          <w:color w:val="000000"/>
          <w:sz w:val="18"/>
        </w:rPr>
        <w:t>RESOLVED</w:t>
      </w:r>
      <w:r>
        <w:rPr>
          <w:rFonts w:ascii="Helvetica;Arial;sans-serif" w:hAnsi="Helvetica;Arial;sans-serif"/>
          <w:b w:val="false"/>
          <w:i w:val="false"/>
          <w:caps w:val="false"/>
          <w:smallCaps w:val="false"/>
          <w:color w:val="000000"/>
          <w:sz w:val="18"/>
        </w:rPr>
        <w:t>, that the compensation paid to the named executive officers, as disclosed in the proxy statement furnished for the 2024 Annual Meeting of Stockholders pursuant to Item 402 of Regulation S-K, including the Compensation Discussion and Analysis, compensation tables and related narrative discussion, is hereby APPROVED on an advisory basis.”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5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Because the vote is advisory, it is not binding on management or the Board. Nevertheless, the views expressed by our stockholders, whether through this vote or otherwise, are important to management and the Board and, accordingly, the Compensation and Human Capital Committee and the Board intend to consider the results of this vote in making determinations in the future regarding executive compensation arrangements. Your vote will serve as an additional tool to guide the Compensation and Human Capital Committee and the Board in continuing to improve the alignment of our executive compensation program with business objectives and performance and with the interests of our stockholders.</w:t>
      </w:r>
      <w:r>
        <w:rPr>
          <w:rFonts w:ascii="Helvetica;Arial;sans-serif" w:hAnsi="Helvetica;Arial;sans-serif"/>
          <w:b w:val="false"/>
          <w:i w:val="false"/>
          <w:caps w:val="false"/>
          <w:smallCaps w:val="false"/>
          <w:color w:val="000000"/>
          <w:spacing w:val="4"/>
          <w:sz w:val="18"/>
        </w:rPr>
        <w:t xml:space="preserve"> </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28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EFEFE"/>
          <w:sz w:val="16"/>
        </w:rPr>
        <w:t xml:space="preserve"> </w:t>
      </w:r>
    </w:p>
    <w:p>
      <w:pPr>
        <w:pStyle w:val="TextBody"/>
        <w:bidi w:val="0"/>
        <w:spacing w:lineRule="atLeast" w:line="200" w:before="840" w:after="283"/>
        <w:ind w:left="720" w:right="0" w:hanging="0"/>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Vote Required</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To be approved, a majority of the total votes cast on Proposal No. 3 must be voted “For” the approval, on an advisory basis, of the compensation of our named executive officers. Only votes “For” or “Against” will affect the outcome. Broker non-votes and abstentions will have no effect.</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9207"/>
        <w:gridCol w:w="154"/>
      </w:tblGrid>
      <w:tr>
        <w:trPr/>
        <w:tc>
          <w:tcPr>
            <w:tcW w:w="124" w:type="dxa"/>
            <w:tcBorders/>
            <w:shd w:fill="000000" w:val="clear"/>
            <w:vAlign w:val="center"/>
          </w:tcPr>
          <w:p>
            <w:pPr>
              <w:pStyle w:val="TableContents"/>
              <w:bidi w:val="0"/>
              <w:spacing w:before="0" w:after="283"/>
              <w:jc w:val="left"/>
              <w:rPr/>
            </w:pPr>
            <w:r>
              <w:rPr/>
              <w:t>​</w:t>
            </w:r>
          </w:p>
        </w:tc>
        <w:tc>
          <w:tcPr>
            <w:tcW w:w="9207" w:type="dxa"/>
            <w:tcBorders/>
            <w:shd w:fill="000000" w:val="clear"/>
            <w:vAlign w:val="center"/>
          </w:tcPr>
          <w:p>
            <w:pPr>
              <w:pStyle w:val="TableContents"/>
              <w:bidi w:val="0"/>
              <w:spacing w:before="0" w:after="0"/>
              <w:jc w:val="center"/>
              <w:rPr/>
            </w:pPr>
            <w:r>
              <w:rPr/>
              <w:t>T</w:t>
            </w:r>
            <w:r>
              <w:rPr>
                <w:caps/>
              </w:rPr>
              <w:t xml:space="preserve">HE </w:t>
            </w:r>
            <w:r>
              <w:rPr/>
              <w:t>B</w:t>
            </w:r>
            <w:r>
              <w:rPr>
                <w:caps/>
              </w:rPr>
              <w:t xml:space="preserve">OARD OF </w:t>
            </w:r>
            <w:r>
              <w:rPr/>
              <w:t>D</w:t>
            </w:r>
            <w:r>
              <w:rPr>
                <w:caps/>
              </w:rPr>
              <w:t xml:space="preserve">IRECTORS </w:t>
            </w:r>
            <w:r>
              <w:rPr/>
              <w:t>R</w:t>
            </w:r>
            <w:r>
              <w:rPr>
                <w:caps/>
              </w:rPr>
              <w:t xml:space="preserve">ECOMMENDS A </w:t>
            </w:r>
            <w:r>
              <w:rPr/>
              <w:t>V</w:t>
            </w:r>
            <w:r>
              <w:rPr>
                <w:caps/>
              </w:rPr>
              <w:t xml:space="preserve">OTE “FOR” THE </w:t>
            </w:r>
            <w:r>
              <w:rPr/>
              <w:t>A</w:t>
            </w:r>
            <w:r>
              <w:rPr>
                <w:caps/>
              </w:rPr>
              <w:t xml:space="preserve">PPROVAL, ON AN </w:t>
            </w:r>
            <w:r>
              <w:rPr/>
              <w:t>A</w:t>
            </w:r>
            <w:r>
              <w:rPr>
                <w:caps/>
              </w:rPr>
              <w:t xml:space="preserve">DVISORY </w:t>
            </w:r>
            <w:r>
              <w:rPr/>
              <w:t>B</w:t>
            </w:r>
            <w:r>
              <w:rPr>
                <w:caps/>
              </w:rPr>
              <w:t xml:space="preserve">ASIS, OF THE </w:t>
            </w:r>
            <w:r>
              <w:rPr/>
              <w:t>C</w:t>
            </w:r>
            <w:r>
              <w:rPr>
                <w:caps/>
              </w:rPr>
              <w:t xml:space="preserve">OMPENSATION OF </w:t>
            </w:r>
            <w:r>
              <w:rPr/>
              <w:t>O</w:t>
            </w:r>
            <w:r>
              <w:rPr>
                <w:caps/>
              </w:rPr>
              <w:t xml:space="preserve">UR </w:t>
            </w:r>
            <w:r>
              <w:rPr/>
              <w:t>N</w:t>
            </w:r>
            <w:r>
              <w:rPr>
                <w:caps/>
              </w:rPr>
              <w:t xml:space="preserve">AMED </w:t>
            </w:r>
            <w:r>
              <w:rPr/>
              <w:t>E</w:t>
            </w:r>
            <w:r>
              <w:rPr>
                <w:caps/>
              </w:rPr>
              <w:t xml:space="preserve">XECUTIVE </w:t>
            </w:r>
            <w:r>
              <w:rPr/>
              <w:t>O</w:t>
            </w:r>
            <w:r>
              <w:rPr>
                <w:caps/>
              </w:rPr>
              <w:t>FFICERS (</w:t>
            </w:r>
            <w:r>
              <w:rPr/>
              <w:t>P</w:t>
            </w:r>
            <w:r>
              <w:rPr>
                <w:caps/>
              </w:rPr>
              <w:t>ROPOSAL NO. 3)</w:t>
            </w:r>
          </w:p>
        </w:tc>
        <w:tc>
          <w:tcPr>
            <w:tcW w:w="154" w:type="dxa"/>
            <w:tcBorders/>
            <w:shd w:fill="000000" w:val="clear"/>
            <w:vAlign w:val="center"/>
          </w:tcPr>
          <w:p>
            <w:pPr>
              <w:pStyle w:val="TableContents"/>
              <w:bidi w:val="0"/>
              <w:spacing w:before="0" w:after="283"/>
              <w:jc w:val="left"/>
              <w:rPr/>
            </w:pPr>
            <w:r>
              <w:rPr/>
              <w:t>​</w:t>
            </w:r>
          </w:p>
        </w:tc>
      </w:tr>
    </w:tbl>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29</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PN4A"/>
      <w:bookmarkEnd w:id="10"/>
      <w:r>
        <w:rPr>
          <w:rFonts w:ascii="calibri;arial;sans-serif" w:hAnsi="calibri;arial;sans-serif"/>
          <w:b w:val="false"/>
          <w:i w:val="false"/>
          <w:caps w:val="false"/>
          <w:smallCaps w:val="false"/>
          <w:color w:val="000000"/>
          <w:sz w:val="16"/>
        </w:rPr>
        <w:t xml:space="preserve">​ </w:t>
      </w:r>
    </w:p>
    <w:p>
      <w:pPr>
        <w:pStyle w:val="TextBody"/>
        <w:bidi w:val="0"/>
        <w:spacing w:before="240" w:after="283"/>
        <w:ind w:left="0" w:right="0" w:hanging="0"/>
        <w:jc w:val="right"/>
        <w:rPr>
          <w:caps w:val="false"/>
          <w:smallCaps w:val="false"/>
          <w:color w:val="000000"/>
        </w:rPr>
      </w:pPr>
      <w:r>
        <w:rPr>
          <w:caps w:val="false"/>
          <w:smallCaps w:val="false"/>
          <w:color w:val="000000"/>
        </w:rPr>
        <w:drawing>
          <wp:inline distT="0" distB="0" distL="0" distR="0">
            <wp:extent cx="7200900" cy="2828925"/>
            <wp:effectExtent l="0" t="0" r="0" b="0"/>
            <wp:docPr id="11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35" descr=""/>
                    <pic:cNvPicPr>
                      <a:picLocks noChangeAspect="1" noChangeArrowheads="1"/>
                    </pic:cNvPicPr>
                  </pic:nvPicPr>
                  <pic:blipFill>
                    <a:blip r:embed="rId39"/>
                    <a:stretch>
                      <a:fillRect/>
                    </a:stretch>
                  </pic:blipFill>
                  <pic:spPr bwMode="auto">
                    <a:xfrm>
                      <a:off x="0" y="0"/>
                      <a:ext cx="7200900" cy="28289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jc w:val="right"/>
        <w:rPr>
          <w:caps w:val="false"/>
          <w:smallCaps w:val="false"/>
          <w:color w:val="000000"/>
        </w:rPr>
      </w:pPr>
      <w:r>
        <w:rPr>
          <w:caps w:val="false"/>
          <w:smallCaps w:val="false"/>
          <w:color w:val="000000"/>
        </w:rPr>
        <w:t> ​</w:t>
      </w:r>
    </w:p>
    <w:p>
      <w:pPr>
        <w:pStyle w:val="TextBody"/>
        <w:bidi w:val="0"/>
        <w:spacing w:lineRule="atLeast" w:line="340" w:before="540" w:after="283"/>
        <w:ind w:left="720" w:right="0" w:hanging="0"/>
        <w:jc w:val="left"/>
        <w:rPr>
          <w:rFonts w:ascii="Times New Roman;Garamond;serif" w:hAnsi="Times New Roman;Garamond;serif"/>
          <w:b/>
          <w:i w:val="false"/>
          <w:caps w:val="false"/>
          <w:smallCaps w:val="false"/>
          <w:color w:val="000000"/>
          <w:sz w:val="30"/>
        </w:rPr>
      </w:pPr>
      <w:r>
        <w:rPr>
          <w:rFonts w:ascii="Times New Roman;Garamond;serif" w:hAnsi="Times New Roman;Garamond;serif"/>
          <w:b/>
          <w:i w:val="false"/>
          <w:caps w:val="false"/>
          <w:smallCaps w:val="false"/>
          <w:color w:val="000000"/>
          <w:sz w:val="30"/>
        </w:rPr>
        <w:t xml:space="preserve">Proposal No. 4:​ </w:t>
      </w:r>
    </w:p>
    <w:p>
      <w:pPr>
        <w:pStyle w:val="TextBody"/>
        <w:bidi w:val="0"/>
        <w:spacing w:lineRule="atLeast" w:line="420" w:before="28" w:after="283"/>
        <w:jc w:val="left"/>
        <w:rPr>
          <w:rFonts w:ascii="Times New Roman;Garamond;serif" w:hAnsi="Times New Roman;Garamond;serif"/>
          <w:b/>
          <w:i w:val="false"/>
          <w:caps w:val="false"/>
          <w:smallCaps w:val="false"/>
          <w:color w:val="000000"/>
          <w:sz w:val="40"/>
        </w:rPr>
      </w:pPr>
      <w:r>
        <w:rPr>
          <w:rFonts w:ascii="Times New Roman;Garamond;serif" w:hAnsi="Times New Roman;Garamond;serif"/>
          <w:b/>
          <w:i w:val="false"/>
          <w:caps w:val="false"/>
          <w:smallCaps w:val="false"/>
          <w:color w:val="000000"/>
          <w:sz w:val="40"/>
        </w:rPr>
        <w:t>Approval of the Amendment and Restatement of the Lucid Group, Inc. Second Amended and Restated 2021 Stock Incentive Plan</w:t>
      </w:r>
      <w:r>
        <w:rPr>
          <w:rFonts w:ascii="Times New Roman;Garamond;serif" w:hAnsi="Times New Roman;Garamond;serif"/>
          <w:b/>
          <w:i w:val="false"/>
          <w:caps w:val="false"/>
          <w:smallCaps w:val="false"/>
          <w:color w:val="000000"/>
          <w:spacing w:val="8"/>
          <w:sz w:val="40"/>
        </w:rPr>
        <w:t xml:space="preserve"> </w:t>
      </w:r>
    </w:p>
    <w:p>
      <w:pPr>
        <w:pStyle w:val="TextBody"/>
        <w:bidi w:val="0"/>
        <w:spacing w:lineRule="atLeast" w:line="220" w:before="40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We are asking our stockholders to approve the Lucid Group, Inc. Amended and Restated 2021 Stock Incentive Plan, effective June 4, 2024 (the “Amended Plan”). The Amended Plan is an amendment and restatement of the Lucid Group, Inc. Second Amended and Restated 2021 Stock Incentive Plan (the “Plan”), which was approved by our stockholders on April 24, 2023. The Plan was previously amended and restated, effective June 9, 2022. The Plan was initially effective on July 23, 2021.</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Amended Plan would increase the maximum aggregate number of shares authorized for issuance pursuant to awards under the Plan by 119,000,000 shares to a total of 194,669,244 shares. The proposed amendment is intended to enhance flexibility to continue to grant equity to our employees. Competitive equity awards are critical in allowing us to attract, retain, and motivate talented and qualified employees in the highly competitive markets in which we operate.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shares reserved for issuance through the Amended Plan (and the prior statements of the Plan) cover our annual equity program awards as well as shares purchased under our Employee Stock Purchase Plan, which is included as an addendum to the Amended Plan (and the prior statements of the Plan) (the “ESPP Addendum”). We do not have a separate number of shares authorized for issuances pursuant to a standalone Employee Stock Purchase Plan. On April 22, 2024, the Board approved the Amended Plan, subject to the approval of our stockholders. If this Proposal No. 4 is not approved by our stockholders, we will continue to operate the Plan pursuant to its current provisions until there are no longer shares remaining available for issuance under the Plan and the Board will need to consider alternative arrangements to delivering competitive long-term compensation, including cash-based awards, in the absence of equity award availability. If we are unable to grant equity awards, our ability to hire and retain necessary talent will be significantly limited and will have a negative impact on our ability to grow and operate our business.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Reason for the Proposal</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purpose of the Amended Plan is to enhance our ability to attract, retain, incentivize, reward, and motivate service providers who make (or are expected to make) important contributions to the Company by providing these individuals with equity ownership and other incentive opportunities.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Our use of equity compensation and the alignment with stockholders it provides has helped us achieve the success, growth, and value creation experienced by us and our stockholders. The Board believes that an increase in the shares available for issuance under the Plan will enable us to attract and retain the best available talent to grow our business and to ensure a sufficient number of shares will be available through fiscal year 2025.</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119,000,000 shares requested reflects the number of shares we forecast to be necessary to support our equity compensation program for the current fiscal year 2024 and through June 2025 based on our new hire and annual grant practices.</w:t>
      </w:r>
      <w:r>
        <w:rPr>
          <w:rFonts w:ascii="Helvetica;Arial;sans-serif" w:hAnsi="Helvetica;Arial;sans-serif"/>
          <w:b w:val="false"/>
          <w:i w:val="false"/>
          <w:caps w:val="false"/>
          <w:smallCaps w:val="false"/>
          <w:color w:val="000000"/>
          <w:spacing w:val="4"/>
          <w:sz w:val="18"/>
        </w:rPr>
        <w:t xml:space="preserve"> </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30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84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As of April 2, 2024, we had 11,865,547 shares remaining available for issuance under the Plan. The Plan is the Company’s only current plan for granting equity incentive compensation to our employees, other than the Company’s Employee Stock Purchase Plan, which allows employees to purchase our stock at a discount on a tax favorable basis. We anticipate that such remaining shares will be insufficient to support our annual equity grant cycle for fiscal year 2024. If we are unable to grant equity awards, our ability to hire and retain necessary talent will be significantly limited and will have a negative impact on our ability to grow and operate our business.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As of April 2, 2024, the number of persons eligible to participate in the Plan was approximately, 6,649 employees, 71 consultants or independent contractors, and eight non-employee directors. The basis for participation in the Plan is the Compensation and Human Capital Committee’s decision, in its sole discretion, that an award to an eligible person will further the Plan’s purposes, as described above. In exercising its discretion, the Compensation and Human Capital Committee will consider the recommendations of management and the purposes of the Plan.</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If stockholders do not approve this Proposal No. 4, we anticipate that the shares under the Plan that remain available for grant would not be sufficient to provide equity incentives in accordance with our current levels. Once the share reserve under the Plan is exhausted, the Company may continue to elect to provide compensation through other means, such as cash-settled awards or other cash compensation. </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31</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ECPI"/>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283"/>
        <w:ind w:left="720" w:right="0" w:hanging="0"/>
        <w:jc w:val="left"/>
        <w:rPr>
          <w:rFonts w:ascii="Times New Roman;Garamond;serif" w:hAnsi="Times New Roman;Garamond;serif"/>
          <w:b/>
          <w:i w:val="false"/>
          <w:caps w:val="false"/>
          <w:smallCaps w:val="false"/>
          <w:color w:val="000000"/>
          <w:sz w:val="40"/>
        </w:rPr>
      </w:pPr>
      <w:r>
        <w:rPr>
          <w:rFonts w:ascii="Times New Roman;Garamond;serif" w:hAnsi="Times New Roman;Garamond;serif"/>
          <w:b/>
          <w:i w:val="false"/>
          <w:caps w:val="false"/>
          <w:smallCaps w:val="false"/>
          <w:color w:val="000000"/>
          <w:sz w:val="40"/>
        </w:rPr>
        <w:t>Equity Compensation Plan Information</w:t>
      </w:r>
      <w:r>
        <w:rPr>
          <w:rFonts w:ascii="Times New Roman;Garamond;serif" w:hAnsi="Times New Roman;Garamond;serif"/>
          <w:b/>
          <w:i w:val="false"/>
          <w:caps w:val="false"/>
          <w:smallCaps w:val="false"/>
          <w:color w:val="000000"/>
          <w:spacing w:val="8"/>
          <w:sz w:val="40"/>
        </w:rPr>
        <w:t xml:space="preserve"> </w:t>
      </w:r>
    </w:p>
    <w:p>
      <w:pPr>
        <w:pStyle w:val="TextBody"/>
        <w:bidi w:val="0"/>
        <w:spacing w:lineRule="atLeast" w:line="240" w:before="40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following table presents certain information with respect to our equity compensation plans as of December 31, 2023, as required by Item 201(d) of Regulation S-K of the Exchange Act:</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2162"/>
        <w:gridCol w:w="109"/>
        <w:gridCol w:w="109"/>
        <w:gridCol w:w="143"/>
        <w:gridCol w:w="143"/>
        <w:gridCol w:w="1703"/>
        <w:gridCol w:w="143"/>
        <w:gridCol w:w="109"/>
        <w:gridCol w:w="109"/>
        <w:gridCol w:w="230"/>
        <w:gridCol w:w="479"/>
        <w:gridCol w:w="1116"/>
        <w:gridCol w:w="235"/>
        <w:gridCol w:w="109"/>
        <w:gridCol w:w="109"/>
        <w:gridCol w:w="150"/>
        <w:gridCol w:w="150"/>
        <w:gridCol w:w="1746"/>
        <w:gridCol w:w="150"/>
        <w:gridCol w:w="157"/>
      </w:tblGrid>
      <w:tr>
        <w:trPr/>
        <w:tc>
          <w:tcPr>
            <w:tcW w:w="124" w:type="dxa"/>
            <w:tcBorders/>
            <w:shd w:fill="000000" w:val="clear"/>
            <w:vAlign w:val="center"/>
          </w:tcPr>
          <w:p>
            <w:pPr>
              <w:pStyle w:val="TableContents"/>
              <w:bidi w:val="0"/>
              <w:spacing w:before="0" w:after="283"/>
              <w:jc w:val="left"/>
              <w:rPr/>
            </w:pPr>
            <w:r>
              <w:rPr/>
              <w:t>​</w:t>
            </w:r>
          </w:p>
        </w:tc>
        <w:tc>
          <w:tcPr>
            <w:tcW w:w="2162" w:type="dxa"/>
            <w:tcBorders/>
            <w:shd w:fill="000000" w:val="clear"/>
            <w:vAlign w:val="center"/>
          </w:tcPr>
          <w:p>
            <w:pPr>
              <w:pStyle w:val="TableContents"/>
              <w:bidi w:val="0"/>
              <w:spacing w:before="0" w:after="0"/>
              <w:jc w:val="left"/>
              <w:rPr/>
            </w:pPr>
            <w:r>
              <w:rPr/>
              <w:t xml:space="preserve">Plan Category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132" w:type="dxa"/>
            <w:gridSpan w:val="4"/>
            <w:tcBorders/>
            <w:shd w:fill="000000" w:val="clear"/>
            <w:vAlign w:val="center"/>
          </w:tcPr>
          <w:p>
            <w:pPr>
              <w:pStyle w:val="TableContents"/>
              <w:bidi w:val="0"/>
              <w:spacing w:before="0" w:after="0"/>
              <w:jc w:val="center"/>
              <w:rPr/>
            </w:pPr>
            <w:r>
              <w:rPr/>
              <w:t>Number of Securities to be</w:t>
              <w:br/>
              <w:t>Issued Upon Exercise of</w:t>
              <w:br/>
              <w:t>Outstanding Options, Warrants</w:t>
              <w:br/>
              <w:t>and Rights</w:t>
              <w:br/>
              <w:t xml:space="preserve">(a)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060" w:type="dxa"/>
            <w:gridSpan w:val="4"/>
            <w:tcBorders/>
            <w:shd w:fill="000000" w:val="clear"/>
            <w:vAlign w:val="center"/>
          </w:tcPr>
          <w:p>
            <w:pPr>
              <w:pStyle w:val="TableContents"/>
              <w:bidi w:val="0"/>
              <w:spacing w:before="0" w:after="0"/>
              <w:jc w:val="center"/>
              <w:rPr/>
            </w:pPr>
            <w:r>
              <w:rPr/>
              <w:t>Weighted Average Exercise Price</w:t>
              <w:br/>
              <w:t>of Outstanding Options,</w:t>
              <w:br/>
              <w:t>Warrants and Rights</w:t>
              <w:br/>
              <w:t xml:space="preserve">(b)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196" w:type="dxa"/>
            <w:gridSpan w:val="4"/>
            <w:tcBorders/>
            <w:shd w:fill="000000" w:val="clear"/>
            <w:vAlign w:val="center"/>
          </w:tcPr>
          <w:p>
            <w:pPr>
              <w:pStyle w:val="TableContents"/>
              <w:bidi w:val="0"/>
              <w:spacing w:before="0" w:after="0"/>
              <w:jc w:val="center"/>
              <w:rPr/>
            </w:pPr>
            <w:r>
              <w:rPr/>
              <w:t>Number of Securities Remaining</w:t>
              <w:br/>
              <w:t>Available for Future Issuance</w:t>
              <w:br/>
              <w:t>under Equity Compensation</w:t>
              <w:br/>
              <w:t>Plans (excluding securities</w:t>
              <w:br/>
              <w:t>reflected in column (a))</w:t>
              <w:br/>
              <w:t xml:space="preserve">(c) </w:t>
            </w:r>
          </w:p>
        </w:tc>
        <w:tc>
          <w:tcPr>
            <w:tcW w:w="157"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162" w:type="dxa"/>
            <w:tcBorders>
              <w:bottom w:val="single" w:sz="6" w:space="0" w:color="000000"/>
            </w:tcBorders>
            <w:tcMar>
              <w:bottom w:w="138" w:type="dxa"/>
            </w:tcMar>
            <w:vAlign w:val="center"/>
          </w:tcPr>
          <w:p>
            <w:pPr>
              <w:pStyle w:val="TableContents"/>
              <w:bidi w:val="0"/>
              <w:spacing w:before="0" w:after="283"/>
              <w:jc w:val="left"/>
              <w:rPr/>
            </w:pPr>
            <w:r>
              <w:rPr/>
              <w:t>Equity compensation plans</w:t>
              <w:br/>
              <w:t xml:space="preserve">approved by security holders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3" w:type="dxa"/>
            <w:tcBorders>
              <w:bottom w:val="single" w:sz="6" w:space="0" w:color="000000"/>
            </w:tcBorders>
            <w:tcMar>
              <w:bottom w:w="28" w:type="dxa"/>
            </w:tcMar>
            <w:vAlign w:val="center"/>
          </w:tcPr>
          <w:p>
            <w:pPr>
              <w:pStyle w:val="TableContents"/>
              <w:bidi w:val="0"/>
              <w:spacing w:before="0" w:after="283"/>
              <w:jc w:val="left"/>
              <w:rPr/>
            </w:pPr>
            <w:r>
              <w:rPr/>
              <w:t>​</w:t>
            </w:r>
          </w:p>
        </w:tc>
        <w:tc>
          <w:tcPr>
            <w:tcW w:w="143" w:type="dxa"/>
            <w:tcBorders>
              <w:bottom w:val="single" w:sz="6" w:space="0" w:color="000000"/>
            </w:tcBorders>
            <w:tcMar>
              <w:bottom w:w="138" w:type="dxa"/>
            </w:tcMar>
            <w:vAlign w:val="center"/>
          </w:tcPr>
          <w:p>
            <w:pPr>
              <w:pStyle w:val="TableContents"/>
              <w:bidi w:val="0"/>
              <w:spacing w:before="0" w:after="283"/>
              <w:jc w:val="right"/>
              <w:rPr/>
            </w:pPr>
            <w:r>
              <w:rPr/>
              <w:t>​</w:t>
            </w:r>
          </w:p>
        </w:tc>
        <w:tc>
          <w:tcPr>
            <w:tcW w:w="1703" w:type="dxa"/>
            <w:tcBorders>
              <w:bottom w:val="single" w:sz="6" w:space="0" w:color="000000"/>
            </w:tcBorders>
            <w:tcMar>
              <w:bottom w:w="138" w:type="dxa"/>
            </w:tcMar>
            <w:vAlign w:val="center"/>
          </w:tcPr>
          <w:p>
            <w:pPr>
              <w:pStyle w:val="TableContents"/>
              <w:bidi w:val="0"/>
              <w:spacing w:before="0" w:after="283"/>
              <w:jc w:val="right"/>
              <w:rPr/>
            </w:pPr>
            <w:r>
              <w:rPr/>
              <w:t>96,498,423</w:t>
            </w:r>
          </w:p>
        </w:tc>
        <w:tc>
          <w:tcPr>
            <w:tcW w:w="143"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30" w:type="dxa"/>
            <w:tcBorders>
              <w:bottom w:val="single" w:sz="6" w:space="0" w:color="000000"/>
            </w:tcBorders>
            <w:tcMar>
              <w:bottom w:w="28" w:type="dxa"/>
            </w:tcMar>
            <w:vAlign w:val="center"/>
          </w:tcPr>
          <w:p>
            <w:pPr>
              <w:pStyle w:val="TableContents"/>
              <w:bidi w:val="0"/>
              <w:spacing w:before="0" w:after="283"/>
              <w:jc w:val="left"/>
              <w:rPr/>
            </w:pPr>
            <w:r>
              <w:rPr/>
              <w:t>​</w:t>
            </w:r>
          </w:p>
        </w:tc>
        <w:tc>
          <w:tcPr>
            <w:tcW w:w="479" w:type="dxa"/>
            <w:tcBorders>
              <w:bottom w:val="single" w:sz="6" w:space="0" w:color="000000"/>
            </w:tcBorders>
            <w:tcMar>
              <w:bottom w:w="138" w:type="dxa"/>
            </w:tcMar>
            <w:vAlign w:val="center"/>
          </w:tcPr>
          <w:p>
            <w:pPr>
              <w:pStyle w:val="TableContents"/>
              <w:bidi w:val="0"/>
              <w:spacing w:before="0" w:after="283"/>
              <w:jc w:val="right"/>
              <w:rPr/>
            </w:pPr>
            <w:r>
              <w:rPr/>
              <w:t>$</w:t>
            </w:r>
          </w:p>
        </w:tc>
        <w:tc>
          <w:tcPr>
            <w:tcW w:w="1116" w:type="dxa"/>
            <w:tcBorders>
              <w:bottom w:val="single" w:sz="6" w:space="0" w:color="000000"/>
            </w:tcBorders>
            <w:tcMar>
              <w:bottom w:w="138" w:type="dxa"/>
            </w:tcMar>
            <w:vAlign w:val="center"/>
          </w:tcPr>
          <w:p>
            <w:pPr>
              <w:pStyle w:val="TableContents"/>
              <w:bidi w:val="0"/>
              <w:spacing w:before="0" w:after="283"/>
              <w:jc w:val="right"/>
              <w:rPr/>
            </w:pPr>
            <w:r>
              <w:rPr/>
              <w:t>0.68</w:t>
            </w:r>
          </w:p>
        </w:tc>
        <w:tc>
          <w:tcPr>
            <w:tcW w:w="235"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0" w:type="dxa"/>
            <w:tcBorders>
              <w:bottom w:val="single" w:sz="6" w:space="0" w:color="000000"/>
            </w:tcBorders>
            <w:tcMar>
              <w:bottom w:w="28" w:type="dxa"/>
            </w:tcMar>
            <w:vAlign w:val="center"/>
          </w:tcPr>
          <w:p>
            <w:pPr>
              <w:pStyle w:val="TableContents"/>
              <w:bidi w:val="0"/>
              <w:spacing w:before="0" w:after="283"/>
              <w:jc w:val="left"/>
              <w:rPr/>
            </w:pPr>
            <w:r>
              <w:rPr/>
              <w:t>​</w:t>
            </w:r>
          </w:p>
        </w:tc>
        <w:tc>
          <w:tcPr>
            <w:tcW w:w="150" w:type="dxa"/>
            <w:tcBorders>
              <w:bottom w:val="single" w:sz="6" w:space="0" w:color="000000"/>
            </w:tcBorders>
            <w:tcMar>
              <w:bottom w:w="138" w:type="dxa"/>
            </w:tcMar>
            <w:vAlign w:val="center"/>
          </w:tcPr>
          <w:p>
            <w:pPr>
              <w:pStyle w:val="TableContents"/>
              <w:bidi w:val="0"/>
              <w:spacing w:before="0" w:after="283"/>
              <w:jc w:val="right"/>
              <w:rPr/>
            </w:pPr>
            <w:r>
              <w:rPr/>
              <w:t>​</w:t>
            </w:r>
          </w:p>
        </w:tc>
        <w:tc>
          <w:tcPr>
            <w:tcW w:w="1746" w:type="dxa"/>
            <w:tcBorders>
              <w:bottom w:val="single" w:sz="6" w:space="0" w:color="000000"/>
            </w:tcBorders>
            <w:tcMar>
              <w:bottom w:w="138" w:type="dxa"/>
            </w:tcMar>
            <w:vAlign w:val="center"/>
          </w:tcPr>
          <w:p>
            <w:pPr>
              <w:pStyle w:val="TableContents"/>
              <w:bidi w:val="0"/>
              <w:spacing w:before="0" w:after="283"/>
              <w:jc w:val="right"/>
              <w:rPr/>
            </w:pPr>
            <w:r>
              <w:rPr/>
              <w:t>18,318,164</w:t>
            </w:r>
          </w:p>
        </w:tc>
        <w:tc>
          <w:tcPr>
            <w:tcW w:w="150" w:type="dxa"/>
            <w:tcBorders>
              <w:bottom w:val="single" w:sz="6" w:space="0" w:color="000000"/>
            </w:tcBorders>
            <w:tcMar>
              <w:bottom w:w="28" w:type="dxa"/>
            </w:tcMar>
            <w:vAlign w:val="center"/>
          </w:tcPr>
          <w:p>
            <w:pPr>
              <w:pStyle w:val="TableContents"/>
              <w:bidi w:val="0"/>
              <w:spacing w:before="0" w:after="283"/>
              <w:jc w:val="left"/>
              <w:rPr/>
            </w:pPr>
            <w:r>
              <w:rPr/>
              <w:t>​</w:t>
            </w:r>
          </w:p>
        </w:tc>
        <w:tc>
          <w:tcPr>
            <w:tcW w:w="157"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162" w:type="dxa"/>
            <w:tcBorders>
              <w:bottom w:val="single" w:sz="6" w:space="0" w:color="000000"/>
            </w:tcBorders>
            <w:shd w:fill="F7F7F7" w:val="clear"/>
            <w:tcMar>
              <w:bottom w:w="138" w:type="dxa"/>
            </w:tcMar>
            <w:vAlign w:val="center"/>
          </w:tcPr>
          <w:p>
            <w:pPr>
              <w:pStyle w:val="TableContents"/>
              <w:bidi w:val="0"/>
              <w:spacing w:before="0" w:after="283"/>
              <w:jc w:val="left"/>
              <w:rPr/>
            </w:pPr>
            <w:r>
              <w:rPr/>
              <w:t>Equity compensation plans</w:t>
              <w:br/>
              <w:t xml:space="preserve">not approved by security holders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3"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3"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703"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43"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30"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479"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116"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23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0"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0"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746"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50"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7"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162" w:type="dxa"/>
            <w:tcBorders>
              <w:bottom w:val="single" w:sz="6" w:space="0" w:color="000000"/>
            </w:tcBorders>
            <w:tcMar>
              <w:bottom w:w="138" w:type="dxa"/>
            </w:tcMar>
            <w:vAlign w:val="center"/>
          </w:tcPr>
          <w:p>
            <w:pPr>
              <w:pStyle w:val="TableContents"/>
              <w:bidi w:val="0"/>
              <w:spacing w:before="0" w:after="283"/>
              <w:jc w:val="left"/>
              <w:rPr/>
            </w:pPr>
            <w:r>
              <w:rPr/>
              <w:t xml:space="preserve">Total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3" w:type="dxa"/>
            <w:tcBorders>
              <w:bottom w:val="single" w:sz="6" w:space="0" w:color="000000"/>
            </w:tcBorders>
            <w:tcMar>
              <w:bottom w:w="28" w:type="dxa"/>
            </w:tcMar>
            <w:vAlign w:val="center"/>
          </w:tcPr>
          <w:p>
            <w:pPr>
              <w:pStyle w:val="TableContents"/>
              <w:bidi w:val="0"/>
              <w:spacing w:before="0" w:after="283"/>
              <w:jc w:val="left"/>
              <w:rPr/>
            </w:pPr>
            <w:r>
              <w:rPr/>
              <w:t>​</w:t>
            </w:r>
          </w:p>
        </w:tc>
        <w:tc>
          <w:tcPr>
            <w:tcW w:w="143" w:type="dxa"/>
            <w:tcBorders>
              <w:bottom w:val="single" w:sz="6" w:space="0" w:color="000000"/>
            </w:tcBorders>
            <w:tcMar>
              <w:bottom w:w="138" w:type="dxa"/>
            </w:tcMar>
            <w:vAlign w:val="center"/>
          </w:tcPr>
          <w:p>
            <w:pPr>
              <w:pStyle w:val="TableContents"/>
              <w:bidi w:val="0"/>
              <w:spacing w:before="0" w:after="283"/>
              <w:jc w:val="right"/>
              <w:rPr/>
            </w:pPr>
            <w:r>
              <w:rPr/>
              <w:t>​</w:t>
            </w:r>
          </w:p>
        </w:tc>
        <w:tc>
          <w:tcPr>
            <w:tcW w:w="1703" w:type="dxa"/>
            <w:tcBorders>
              <w:bottom w:val="single" w:sz="6" w:space="0" w:color="000000"/>
            </w:tcBorders>
            <w:tcMar>
              <w:bottom w:w="138" w:type="dxa"/>
            </w:tcMar>
            <w:vAlign w:val="center"/>
          </w:tcPr>
          <w:p>
            <w:pPr>
              <w:pStyle w:val="TableContents"/>
              <w:bidi w:val="0"/>
              <w:spacing w:before="0" w:after="283"/>
              <w:jc w:val="right"/>
              <w:rPr/>
            </w:pPr>
            <w:r>
              <w:rPr/>
              <w:t>96,498,423</w:t>
            </w:r>
            <w:r>
              <w:rPr>
                <w:sz w:val="10"/>
              </w:rPr>
              <w:t>(1)</w:t>
            </w:r>
            <w:r>
              <w:rPr/>
              <w:t xml:space="preserve"> </w:t>
            </w:r>
          </w:p>
        </w:tc>
        <w:tc>
          <w:tcPr>
            <w:tcW w:w="143"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30" w:type="dxa"/>
            <w:tcBorders>
              <w:bottom w:val="single" w:sz="6" w:space="0" w:color="000000"/>
            </w:tcBorders>
            <w:tcMar>
              <w:bottom w:w="28" w:type="dxa"/>
            </w:tcMar>
            <w:vAlign w:val="center"/>
          </w:tcPr>
          <w:p>
            <w:pPr>
              <w:pStyle w:val="TableContents"/>
              <w:bidi w:val="0"/>
              <w:spacing w:before="0" w:after="283"/>
              <w:jc w:val="left"/>
              <w:rPr/>
            </w:pPr>
            <w:r>
              <w:rPr/>
              <w:t>​</w:t>
            </w:r>
          </w:p>
        </w:tc>
        <w:tc>
          <w:tcPr>
            <w:tcW w:w="479" w:type="dxa"/>
            <w:tcBorders>
              <w:bottom w:val="single" w:sz="6" w:space="0" w:color="000000"/>
            </w:tcBorders>
            <w:tcMar>
              <w:bottom w:w="138" w:type="dxa"/>
            </w:tcMar>
            <w:vAlign w:val="center"/>
          </w:tcPr>
          <w:p>
            <w:pPr>
              <w:pStyle w:val="TableContents"/>
              <w:bidi w:val="0"/>
              <w:spacing w:before="0" w:after="283"/>
              <w:jc w:val="right"/>
              <w:rPr/>
            </w:pPr>
            <w:r>
              <w:rPr/>
              <w:t>$</w:t>
            </w:r>
          </w:p>
        </w:tc>
        <w:tc>
          <w:tcPr>
            <w:tcW w:w="1116" w:type="dxa"/>
            <w:tcBorders>
              <w:bottom w:val="single" w:sz="6" w:space="0" w:color="000000"/>
            </w:tcBorders>
            <w:tcMar>
              <w:bottom w:w="138" w:type="dxa"/>
            </w:tcMar>
            <w:vAlign w:val="center"/>
          </w:tcPr>
          <w:p>
            <w:pPr>
              <w:pStyle w:val="TableContents"/>
              <w:bidi w:val="0"/>
              <w:spacing w:before="0" w:after="283"/>
              <w:jc w:val="right"/>
              <w:rPr/>
            </w:pPr>
            <w:r>
              <w:rPr/>
              <w:t>0.68</w:t>
            </w:r>
          </w:p>
        </w:tc>
        <w:tc>
          <w:tcPr>
            <w:tcW w:w="235"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0" w:type="dxa"/>
            <w:tcBorders>
              <w:bottom w:val="single" w:sz="6" w:space="0" w:color="000000"/>
            </w:tcBorders>
            <w:tcMar>
              <w:bottom w:w="28" w:type="dxa"/>
            </w:tcMar>
            <w:vAlign w:val="center"/>
          </w:tcPr>
          <w:p>
            <w:pPr>
              <w:pStyle w:val="TableContents"/>
              <w:bidi w:val="0"/>
              <w:spacing w:before="0" w:after="283"/>
              <w:jc w:val="left"/>
              <w:rPr/>
            </w:pPr>
            <w:r>
              <w:rPr/>
              <w:t>​</w:t>
            </w:r>
          </w:p>
        </w:tc>
        <w:tc>
          <w:tcPr>
            <w:tcW w:w="150" w:type="dxa"/>
            <w:tcBorders>
              <w:bottom w:val="single" w:sz="6" w:space="0" w:color="000000"/>
            </w:tcBorders>
            <w:tcMar>
              <w:bottom w:w="138" w:type="dxa"/>
            </w:tcMar>
            <w:vAlign w:val="center"/>
          </w:tcPr>
          <w:p>
            <w:pPr>
              <w:pStyle w:val="TableContents"/>
              <w:bidi w:val="0"/>
              <w:spacing w:before="0" w:after="283"/>
              <w:jc w:val="right"/>
              <w:rPr/>
            </w:pPr>
            <w:r>
              <w:rPr/>
              <w:t>​</w:t>
            </w:r>
          </w:p>
        </w:tc>
        <w:tc>
          <w:tcPr>
            <w:tcW w:w="1746" w:type="dxa"/>
            <w:tcBorders>
              <w:bottom w:val="single" w:sz="6" w:space="0" w:color="000000"/>
            </w:tcBorders>
            <w:tcMar>
              <w:bottom w:w="138" w:type="dxa"/>
            </w:tcMar>
            <w:vAlign w:val="center"/>
          </w:tcPr>
          <w:p>
            <w:pPr>
              <w:pStyle w:val="TableContents"/>
              <w:bidi w:val="0"/>
              <w:spacing w:before="0" w:after="283"/>
              <w:jc w:val="right"/>
              <w:rPr/>
            </w:pPr>
            <w:r>
              <w:rPr/>
              <w:t>18,318,164</w:t>
            </w:r>
            <w:r>
              <w:rPr>
                <w:sz w:val="10"/>
              </w:rPr>
              <w:t>(2)</w:t>
            </w:r>
          </w:p>
        </w:tc>
        <w:tc>
          <w:tcPr>
            <w:tcW w:w="150" w:type="dxa"/>
            <w:tcBorders>
              <w:bottom w:val="single" w:sz="6" w:space="0" w:color="000000"/>
            </w:tcBorders>
            <w:tcMar>
              <w:bottom w:w="28" w:type="dxa"/>
            </w:tcMar>
            <w:vAlign w:val="center"/>
          </w:tcPr>
          <w:p>
            <w:pPr>
              <w:pStyle w:val="TableContents"/>
              <w:bidi w:val="0"/>
              <w:spacing w:before="0" w:after="283"/>
              <w:jc w:val="left"/>
              <w:rPr/>
            </w:pPr>
            <w:r>
              <w:rPr/>
              <w:t>​</w:t>
            </w:r>
          </w:p>
        </w:tc>
        <w:tc>
          <w:tcPr>
            <w:tcW w:w="157"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4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Represents shares to be issued upon exercise of stock options and vesting of time-based and performance-based restricted stock units under the Plan.</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215900" distB="0" distL="0" distR="0" simplePos="0" locked="0" layoutInCell="1" allowOverlap="1" relativeHeight="148">
                <wp:simplePos x="0" y="0"/>
                <wp:positionH relativeFrom="column">
                  <wp:align>left</wp:align>
                </wp:positionH>
                <wp:positionV relativeFrom="line">
                  <wp:align>top</wp:align>
                </wp:positionV>
                <wp:extent cx="81915" cy="270510"/>
                <wp:effectExtent l="0" t="0" r="0" b="0"/>
                <wp:wrapSquare wrapText="right"/>
                <wp:docPr id="115" name="Frame77"/>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(1)</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 xml:space="preserve">Represents shares available for issuance under the Plan, including shares available for purchase under the Company’s Employee Stock Purchase Plan. </w:t>
      </w:r>
      <w:r>
        <mc:AlternateContent>
          <mc:Choice Requires="wps">
            <w:drawing>
              <wp:anchor behindDoc="0" distT="69850" distB="0" distL="0" distR="0" simplePos="0" locked="0" layoutInCell="1" allowOverlap="1" relativeHeight="149">
                <wp:simplePos x="0" y="0"/>
                <wp:positionH relativeFrom="column">
                  <wp:align>left</wp:align>
                </wp:positionH>
                <wp:positionV relativeFrom="line">
                  <wp:align>top</wp:align>
                </wp:positionV>
                <wp:extent cx="81915" cy="270510"/>
                <wp:effectExtent l="0" t="0" r="0" b="0"/>
                <wp:wrapSquare wrapText="right"/>
                <wp:docPr id="116" name="Frame78"/>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(2)</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5.5pt;mso-wrap-distance-bottom:0pt;margin-top:5.5pt;mso-position-vertical:top;mso-position-vertical-relative:text;margin-left:6.45pt;mso-position-horizontal:left;mso-position-horizontal-relative:text">
                <v:textbox>
                  <w:txbxContent>
                    <w:p>
                      <w:pPr>
                        <w:pStyle w:val="TextBody"/>
                        <w:bidi w:val="0"/>
                        <w:spacing w:lineRule="atLeast" w:line="142" w:before="0" w:after="283"/>
                        <w:jc w:val="left"/>
                        <w:rPr>
                          <w:sz w:val="12"/>
                        </w:rPr>
                      </w:pPr>
                      <w:r>
                        <w:rPr>
                          <w:sz w:val="9"/>
                        </w:rPr>
                        <w:t>(2)</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32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840" w:after="283"/>
        <w:ind w:left="720" w:right="0" w:hanging="0"/>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Description of the Material Features of the Plan</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following is a summary of the Amended Plan and is qualified in its entirety by the full text of the Amended Plan, a copy of which is included as Annex A to this Proxy Statement. Except for the change to the Plan as noted above (e.g., the increase in shares available under the Plan), the Amended Plan contains substantially the same terms as the Plan.</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Size of Share Pool; Shares Available and Limitations on Awards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As of April 2, 2024, there were 11,865,547 shares remaining for issuance under the Plan. If our stockholders approve the Amended Plan, the number of shares available for issuance will be increased by 119,000,000 shares effective as of the date of the Annual Meeting.</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More specifically, as of the date of the Annual Meeting (assuming our stockholders approve the Amended Plan), the maximum aggregate number of shares authorized for issuance as awards under the Plan on or after July 23, 2021 (the “Effective Date”) shall not exceed the sum of:</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154"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119,000,000 shares approved by the Board on April  22, 2024 under the third restatement of the Plan;</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7790" distB="0" distL="0" distR="0" simplePos="0" locked="0" layoutInCell="1" allowOverlap="1" relativeHeight="150">
                <wp:simplePos x="0" y="0"/>
                <wp:positionH relativeFrom="column">
                  <wp:align>left</wp:align>
                </wp:positionH>
                <wp:positionV relativeFrom="line">
                  <wp:align>top</wp:align>
                </wp:positionV>
                <wp:extent cx="114300" cy="525780"/>
                <wp:effectExtent l="0" t="0" r="0" b="0"/>
                <wp:wrapSquare wrapText="right"/>
                <wp:docPr id="117" name="Frame79"/>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39,166,575 shares approved by the Board on March 2, 2023 under the second restatement of the Plan;</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7790" distB="0" distL="0" distR="0" simplePos="0" locked="0" layoutInCell="1" allowOverlap="1" relativeHeight="151">
                <wp:simplePos x="0" y="0"/>
                <wp:positionH relativeFrom="column">
                  <wp:align>left</wp:align>
                </wp:positionH>
                <wp:positionV relativeFrom="line">
                  <wp:align>top</wp:align>
                </wp:positionV>
                <wp:extent cx="114300" cy="525780"/>
                <wp:effectExtent l="0" t="0" r="0" b="0"/>
                <wp:wrapSquare wrapText="right"/>
                <wp:docPr id="118" name="Frame80"/>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7pt;mso-wrap-distance-bottom:0pt;margin-top:7.7pt;mso-position-vertical:top;mso-position-vertical-relative:text;margin-left:9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15,000,000 shares approved by the Board on April 27, 2022 under the first restatement of the Plan;</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7790" distB="0" distL="0" distR="0" simplePos="0" locked="0" layoutInCell="1" allowOverlap="1" relativeHeight="152">
                <wp:simplePos x="0" y="0"/>
                <wp:positionH relativeFrom="column">
                  <wp:align>left</wp:align>
                </wp:positionH>
                <wp:positionV relativeFrom="line">
                  <wp:align>top</wp:align>
                </wp:positionV>
                <wp:extent cx="114300" cy="525780"/>
                <wp:effectExtent l="0" t="0" r="0" b="0"/>
                <wp:wrapSquare wrapText="right"/>
                <wp:docPr id="119" name="Frame81"/>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12,500,000 shares initially authorized for issuance under the Plan as of the Effective Date;</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7790" distB="0" distL="0" distR="0" simplePos="0" locked="0" layoutInCell="1" allowOverlap="1" relativeHeight="153">
                <wp:simplePos x="0" y="0"/>
                <wp:positionH relativeFrom="column">
                  <wp:align>left</wp:align>
                </wp:positionH>
                <wp:positionV relativeFrom="line">
                  <wp:align>top</wp:align>
                </wp:positionV>
                <wp:extent cx="114300" cy="525780"/>
                <wp:effectExtent l="0" t="0" r="0" b="0"/>
                <wp:wrapSquare wrapText="right"/>
                <wp:docPr id="120" name="Frame82"/>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7pt;mso-wrap-distance-bottom:0pt;margin-top:7.7pt;mso-position-vertical:top;mso-position-vertical-relative:text;margin-left:9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9,002,669 shares initially authorized under the Plan as of the Effective Date, which represents the number of shares equal to the number of unallocated shares of stock of Atieva, Inc. remaining available for issuance under (1) the 2021 Stock Incentive Plan of Atieva, Inc., as amended, (2) the 2014 Share Plan of Atieva, Inc., as amended, and (3) the 2009 Share Plan of Atieva, Inc. as amended (collectively, the “Prior Plans”); and</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7790" distB="0" distL="0" distR="0" simplePos="0" locked="0" layoutInCell="1" allowOverlap="1" relativeHeight="154">
                <wp:simplePos x="0" y="0"/>
                <wp:positionH relativeFrom="column">
                  <wp:align>left</wp:align>
                </wp:positionH>
                <wp:positionV relativeFrom="line">
                  <wp:align>top</wp:align>
                </wp:positionV>
                <wp:extent cx="114300" cy="525780"/>
                <wp:effectExtent l="0" t="0" r="0" b="0"/>
                <wp:wrapSquare wrapText="right"/>
                <wp:docPr id="121" name="Frame83"/>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any shares subject to stock awards granted under the Prior Plans outstanding as of the Effective Date that (1) expire or terminate for any reason prior to exercise or settlement; (2) are forfeited, cancelled or otherwise returned to Lucid because of the failure to meet a contingency or condition required to vest such shares; or (3) are reacquired or withheld (or not issued) to satisfy a tax withholding obligation in connection with an award or to satisfy the purchase price or exercise price of a stock award.</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7790" distB="0" distL="0" distR="0" simplePos="0" locked="0" layoutInCell="1" allowOverlap="1" relativeHeight="155">
                <wp:simplePos x="0" y="0"/>
                <wp:positionH relativeFrom="column">
                  <wp:align>left</wp:align>
                </wp:positionH>
                <wp:positionV relativeFrom="line">
                  <wp:align>top</wp:align>
                </wp:positionV>
                <wp:extent cx="114300" cy="525780"/>
                <wp:effectExtent l="0" t="0" r="0" b="0"/>
                <wp:wrapSquare wrapText="right"/>
                <wp:docPr id="122" name="Frame84"/>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In addition, (i) if restricted shares or shares issued upon the exercise of options are forfeited then such shares shall again become available for awards under the Plan; (ii) if restricted stock units, options, stock appreciation rights (“SARs”) or stock purchase rights are forfeited or terminate for any reason before being exercised or settled, or an award is settled in cash without the delivery of shares to the holder, then the corresponding shares shall again become available for awards under the Plan; (iii) if restricted stock units or SARs are settled, then only the number of shares (if any) actually issued in settlement of such restricted stock units or SARs shall reduce the number of shares available under the Plan and the balance (including any shares withheld to satisfy tax withholding obligations) shall again become available for awards under the Plan; and (iv) any shares withheld to satisfy the exercise price or tax withholding obligation pursuant to any award of options or SARs shall be added back to the shares available for awards under the Plan. The number of shares authorized for grant under the Plan is subject to adjustment (as described below). Notwithstanding the foregoing, of the maximum aggregate shares issuable under the Plan, up to 194,669,244 shares may be issued in the form of incentive stock options (“ISOs”), or under the ESPP Addendum.</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maximum number of shares subject to awards granted under the Plan during any calendar year to any outside director (defined as a member of the Board who is not an employee or consultant of Lucid), plus any cash fees paid to the outside director in a calendar year for service on the Board, will not exceed $1 million in total value for the first year of service and $750,000 in total value per year thereafter.</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Administration of the Plan</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Plan is administered by the Compensation and Human Capital Committee or other committee (of two or more of our directors) appointed by the Board, or by the Board. The Compensation and Human Capital Committee generally has the authority, among other things, to interpret the Plan, adopt rules relating to the Plan, adopt, amend, or terminate the ESPP Addendum or any sub-plan, determine participants and awards to be granted under the Plan, prescribe the terms and conditions of awards, administer the ESPP Addendum, or take any other actions necessary or advisable for the administration of the Plan.</w:t>
      </w:r>
      <w:r>
        <w:rPr>
          <w:rFonts w:ascii="Helvetica;Arial;sans-serif" w:hAnsi="Helvetica;Arial;sans-serif"/>
          <w:b w:val="false"/>
          <w:i w:val="false"/>
          <w:caps w:val="false"/>
          <w:smallCaps w:val="false"/>
          <w:color w:val="000000"/>
          <w:spacing w:val="4"/>
          <w:sz w:val="18"/>
        </w:rPr>
        <w:t xml:space="preserve"> </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33</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840" w:after="283"/>
        <w:ind w:left="720" w:right="0" w:hanging="0"/>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Types of Awards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5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following types of awards may be made under the Plan. All the awards described below are subject to the conditions, limitations, restrictions, exercise price, vesting, and forfeiture provisions determined by the Compensation and Human Capital Committee, in its sole discretion, subject to such limitations as are provided in the Plan. In addition, subject to the limitations provided in the Plan and in accordance with applicable law, the Compensation and Human Capital Committee may accelerate or defer the vesting or payment of awards, cancel, or modify outstanding awards, and waive any conditions or restrictions imposed with respect to awards.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caps w:val="false"/>
          <w:smallCaps w:val="false"/>
          <w:color w:val="000000"/>
          <w:sz w:val="16"/>
        </w:rPr>
      </w:pPr>
      <w:r>
        <w:rPr>
          <w:rFonts w:ascii="Helvetica;Arial;sans-serif" w:hAnsi="Helvetica;Arial;sans-serif"/>
          <w:b/>
          <w:i/>
          <w:caps w:val="false"/>
          <w:smallCaps w:val="false"/>
          <w:color w:val="000000"/>
          <w:sz w:val="16"/>
        </w:rPr>
        <w:t>Restricted Shares</w:t>
      </w:r>
      <w:r>
        <w:rPr>
          <w:rFonts w:ascii="Helvetica;Arial;sans-serif" w:hAnsi="Helvetica;Arial;sans-serif"/>
          <w:b/>
          <w:i/>
          <w:caps w:val="false"/>
          <w:smallCaps w:val="false"/>
          <w:color w:val="000000"/>
          <w:spacing w:val="3"/>
          <w:sz w:val="16"/>
        </w:rPr>
        <w:t xml:space="preserve"> </w:t>
      </w:r>
    </w:p>
    <w:p>
      <w:pPr>
        <w:pStyle w:val="TextBody"/>
        <w:bidi w:val="0"/>
        <w:spacing w:lineRule="atLeast" w:line="25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 restricted share award is an award of outstanding shares that does not vest until after a specified period of continuous service, or satisfaction of other vesting conditions as determined by the Compensation and Human Capital Committee, and which may be forfeited if conditions to vesting are not met. At the Compensation and Human Capital Committee’s discretion, participants may be credited with dividends and other distributions that will be paid to the holder only when unvested restricted shares vest. Participants are also generally entitled to the same voting rights as our other stockholders.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caps w:val="false"/>
          <w:smallCaps w:val="false"/>
          <w:color w:val="000000"/>
          <w:sz w:val="16"/>
        </w:rPr>
      </w:pPr>
      <w:r>
        <w:rPr>
          <w:rFonts w:ascii="Helvetica;Arial;sans-serif" w:hAnsi="Helvetica;Arial;sans-serif"/>
          <w:b/>
          <w:i/>
          <w:caps w:val="false"/>
          <w:smallCaps w:val="false"/>
          <w:color w:val="000000"/>
          <w:sz w:val="16"/>
        </w:rPr>
        <w:t>Non-qualified Stock Options</w:t>
      </w:r>
      <w:r>
        <w:rPr>
          <w:rFonts w:ascii="Helvetica;Arial;sans-serif" w:hAnsi="Helvetica;Arial;sans-serif"/>
          <w:b/>
          <w:i/>
          <w:caps w:val="false"/>
          <w:smallCaps w:val="false"/>
          <w:color w:val="000000"/>
          <w:spacing w:val="3"/>
          <w:sz w:val="16"/>
        </w:rPr>
        <w:t xml:space="preserve"> </w:t>
      </w:r>
    </w:p>
    <w:p>
      <w:pPr>
        <w:pStyle w:val="TextBody"/>
        <w:bidi w:val="0"/>
        <w:spacing w:lineRule="atLeast" w:line="25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An award of a non-qualified stock option grants a participant the right to purchase a certain number of shares during a specified term in the future, after a vesting period, at an exercise price equal to at least 100% of the fair market value of our shares on the grant date.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5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term of a non-qualified stock option may not exceed ten years from the date of grant. Subject to the section entitled “No Repricing” below, Lucid may (i) modify, extend, or renew outstanding stock options or accept the cancellation of options in return for the grant of new options or a different award or cash or (ii) offer to buy out for a payment in cash or cash equivalents a non-qualified stock option previously granted. Options may be awarded in combination with SARs, and the award may provide that options will not be exercisable unless the related SARs are forfeited. An award of nonqualified stock options generally may not include dividend equivalents.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caps w:val="false"/>
          <w:smallCaps w:val="false"/>
          <w:color w:val="000000"/>
          <w:sz w:val="16"/>
        </w:rPr>
      </w:pPr>
      <w:r>
        <w:rPr>
          <w:rFonts w:ascii="Helvetica;Arial;sans-serif" w:hAnsi="Helvetica;Arial;sans-serif"/>
          <w:b/>
          <w:i/>
          <w:caps w:val="false"/>
          <w:smallCaps w:val="false"/>
          <w:color w:val="000000"/>
          <w:sz w:val="16"/>
        </w:rPr>
        <w:t>Incentive Stock Options</w:t>
      </w:r>
      <w:r>
        <w:rPr>
          <w:rFonts w:ascii="Helvetica;Arial;sans-serif" w:hAnsi="Helvetica;Arial;sans-serif"/>
          <w:b/>
          <w:i/>
          <w:caps w:val="false"/>
          <w:smallCaps w:val="false"/>
          <w:color w:val="000000"/>
          <w:spacing w:val="3"/>
          <w:sz w:val="16"/>
        </w:rPr>
        <w:t xml:space="preserve"> </w:t>
      </w:r>
    </w:p>
    <w:p>
      <w:pPr>
        <w:pStyle w:val="TextBody"/>
        <w:bidi w:val="0"/>
        <w:spacing w:lineRule="atLeast" w:line="25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An ISO is a stock option that meets the requirements of Section 422 of the Internal Revenue Code of 1986, as amended (the “Code”), which includes an exercise price of no less than 100% of the fair market value of the shares subject to the option on the grant date, a term of no more than ten years, and that the option be granted from a plan that has been approved by stockholders of Lucid. Notwithstanding the foregoing, if granted to a participant who owns shares representing more than 10% of the voting power of all classes of shares of Lucid, its parent or one of its subsidiaries, an ISO must have a term of not more than five years and an exercise price of no less than 110% of the fair market value of the shares subject to the option on the grant date. An award of ISOs generally may not include dividend equivalents.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caps w:val="false"/>
          <w:smallCaps w:val="false"/>
          <w:color w:val="000000"/>
          <w:sz w:val="16"/>
        </w:rPr>
      </w:pPr>
      <w:r>
        <w:rPr>
          <w:rFonts w:ascii="Helvetica;Arial;sans-serif" w:hAnsi="Helvetica;Arial;sans-serif"/>
          <w:b/>
          <w:i/>
          <w:caps w:val="false"/>
          <w:smallCaps w:val="false"/>
          <w:color w:val="000000"/>
          <w:sz w:val="16"/>
        </w:rPr>
        <w:t>Unrestricted Shares</w:t>
      </w:r>
      <w:r>
        <w:rPr>
          <w:rFonts w:ascii="Helvetica;Arial;sans-serif" w:hAnsi="Helvetica;Arial;sans-serif"/>
          <w:b/>
          <w:i/>
          <w:caps w:val="false"/>
          <w:smallCaps w:val="false"/>
          <w:color w:val="000000"/>
          <w:spacing w:val="3"/>
          <w:sz w:val="16"/>
        </w:rPr>
        <w:t xml:space="preserve"> </w:t>
      </w:r>
    </w:p>
    <w:p>
      <w:pPr>
        <w:pStyle w:val="TextBody"/>
        <w:bidi w:val="0"/>
        <w:spacing w:lineRule="atLeast" w:line="25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Subject to limits in the Plan, the Compensation and Human Capital Committee may issue unrestricted shares, in such amounts and subject to such terms and conditions as the Compensation and Human Capital Committee determines.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caps w:val="false"/>
          <w:smallCaps w:val="false"/>
          <w:color w:val="000000"/>
          <w:sz w:val="16"/>
        </w:rPr>
      </w:pPr>
      <w:r>
        <w:rPr>
          <w:rFonts w:ascii="Helvetica;Arial;sans-serif" w:hAnsi="Helvetica;Arial;sans-serif"/>
          <w:b/>
          <w:i/>
          <w:caps w:val="false"/>
          <w:smallCaps w:val="false"/>
          <w:color w:val="000000"/>
          <w:sz w:val="16"/>
        </w:rPr>
        <w:t>Stock Appreciation Rights</w:t>
      </w:r>
      <w:r>
        <w:rPr>
          <w:rFonts w:ascii="Helvetica;Arial;sans-serif" w:hAnsi="Helvetica;Arial;sans-serif"/>
          <w:b/>
          <w:i/>
          <w:caps w:val="false"/>
          <w:smallCaps w:val="false"/>
          <w:color w:val="000000"/>
          <w:spacing w:val="3"/>
          <w:sz w:val="16"/>
        </w:rPr>
        <w:t xml:space="preserve"> </w:t>
      </w:r>
    </w:p>
    <w:p>
      <w:pPr>
        <w:pStyle w:val="TextBody"/>
        <w:bidi w:val="0"/>
        <w:spacing w:lineRule="atLeast" w:line="25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 SAR entitles the participant to receive an amount equal to the difference between the fair market value of Lucid shares on the exercise date and the exercise price of the SAR (which may not be less than 100% of the fair market value of a share on the grant date (except with respect to substitute awards)), multiplied by the number of shares subject to the SAR. An award of SARs generally may not include dividend equivalents.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caps w:val="false"/>
          <w:smallCaps w:val="false"/>
          <w:color w:val="000000"/>
          <w:sz w:val="16"/>
        </w:rPr>
      </w:pPr>
      <w:r>
        <w:rPr>
          <w:rFonts w:ascii="Helvetica;Arial;sans-serif" w:hAnsi="Helvetica;Arial;sans-serif"/>
          <w:b/>
          <w:i/>
          <w:caps w:val="false"/>
          <w:smallCaps w:val="false"/>
          <w:color w:val="000000"/>
          <w:sz w:val="16"/>
        </w:rPr>
        <w:t>Restricted Stock Units</w:t>
      </w:r>
      <w:r>
        <w:rPr>
          <w:rFonts w:ascii="Helvetica;Arial;sans-serif" w:hAnsi="Helvetica;Arial;sans-serif"/>
          <w:b/>
          <w:i/>
          <w:caps w:val="false"/>
          <w:smallCaps w:val="false"/>
          <w:color w:val="000000"/>
          <w:spacing w:val="3"/>
          <w:sz w:val="16"/>
        </w:rPr>
        <w:t xml:space="preserve"> </w:t>
      </w:r>
    </w:p>
    <w:p>
      <w:pPr>
        <w:pStyle w:val="TextBody"/>
        <w:bidi w:val="0"/>
        <w:spacing w:lineRule="atLeast" w:line="25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 restricted stock unit is an award denominated in shares that may be settled either in shares or cash, or a combination of both, subject to terms and conditions determined by the Compensation and Human Capital Committee. An award of restricted stock units may include the right to dividend equivalents, in the Compensation and Human Capital Committee’s discretion.</w:t>
      </w:r>
      <w:r>
        <w:rPr>
          <w:rFonts w:ascii="Helvetica;Arial;sans-serif" w:hAnsi="Helvetica;Arial;sans-serif"/>
          <w:b w:val="false"/>
          <w:i w:val="false"/>
          <w:caps w:val="false"/>
          <w:smallCaps w:val="false"/>
          <w:color w:val="000000"/>
          <w:spacing w:val="4"/>
          <w:sz w:val="18"/>
        </w:rPr>
        <w:t xml:space="preserve"> </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34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840" w:after="283"/>
        <w:ind w:left="720" w:right="0" w:hanging="0"/>
        <w:jc w:val="left"/>
        <w:rPr>
          <w:rFonts w:ascii="Helvetica;Arial;sans-serif" w:hAnsi="Helvetica;Arial;sans-serif"/>
          <w:b/>
          <w:i/>
          <w:caps w:val="false"/>
          <w:smallCaps w:val="false"/>
          <w:color w:val="000000"/>
          <w:sz w:val="16"/>
        </w:rPr>
      </w:pPr>
      <w:r>
        <w:rPr>
          <w:rFonts w:ascii="Helvetica;Arial;sans-serif" w:hAnsi="Helvetica;Arial;sans-serif"/>
          <w:b/>
          <w:i/>
          <w:caps w:val="false"/>
          <w:smallCaps w:val="false"/>
          <w:color w:val="000000"/>
          <w:sz w:val="16"/>
        </w:rPr>
        <w:t>Cash Awards</w:t>
      </w:r>
      <w:r>
        <w:rPr>
          <w:rFonts w:ascii="Helvetica;Arial;sans-serif" w:hAnsi="Helvetica;Arial;sans-serif"/>
          <w:b/>
          <w:i/>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Compensation and Human Capital Committee may grant cash-based awards to any participant in such number or amount, and subject to such conditions, that the Compensation and Human Capital Committee may determine.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caps w:val="false"/>
          <w:smallCaps w:val="false"/>
          <w:color w:val="000000"/>
          <w:sz w:val="16"/>
        </w:rPr>
      </w:pPr>
      <w:r>
        <w:rPr>
          <w:rFonts w:ascii="Helvetica;Arial;sans-serif" w:hAnsi="Helvetica;Arial;sans-serif"/>
          <w:b/>
          <w:i/>
          <w:caps w:val="false"/>
          <w:smallCaps w:val="false"/>
          <w:color w:val="000000"/>
          <w:sz w:val="16"/>
        </w:rPr>
        <w:t>Stock Purchase Rights under the ESPP Addendum</w:t>
      </w:r>
      <w:r>
        <w:rPr>
          <w:rFonts w:ascii="Helvetica;Arial;sans-serif" w:hAnsi="Helvetica;Arial;sans-serif"/>
          <w:b/>
          <w:i/>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purpose of the ESPP Addendum is to provide a broad-based employee benefit to attract the services of new employees, to retain the services of existing employees and to provide incentives for such individuals to exert maximum efforts toward our success by purchasing stock from Lucid on favorable terms, paid for through payroll deductions. The ESPP Addendum is intended to qualify under Section 423 of the Code. The Compensation and Human Capital Committee may grant stock purchase rights under the ESPP Addendum to any participant who is an employee. The Compensation and Human Capital Committee may establish sub-plans (which need not qualify under Section 423 of the Code) to facilitate participation in the ESPP Addendum by non-U.S. employees in compliance with foreign laws. The maximum aggregate number of shares for purchase under the ESPP Addendum during any calendar year beginning on or after January 1, 2024 is 8,500,000 shares (or 2,500,000 for prior years), or any other such annual limit as may be approved by the Compensation and Human Capital Committee.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While the ESPP Addendum is in effect, the Compensation and Human Capital Committee may grant options to purchase shares of stock during a specified offering period in compliance with the requirements of Section 423 of the Code. Termination of employment for any reason will be treated as an automatic withdrawal from participation in the ESPP Addendum. The purchase price for each share purchased during an offering period will be the lesser of 85% of the fair market value of the share on the purchase date or 85% of the fair market value of the share on the offering date. No participant may be granted a right to purchase stock under the ESPP Addendum if such a purchase would result in the participant owning 5% or more of the combined voting power or value of all classes of stock of Lucid or any parent or subsidiary of Lucid. No participant shall accrue the right to purchase stock which exceeds $25,000 of fair market value of such stock per calendar year. In the event of a corporate reorganization (defined as (i) the consummation of a merger, consolidation or any other corporate reorganization of Lucid or (ii) the sale, transfer or other disposition of all or substantially all of Lucid’s assets or the complete liquidation or dissolution of Lucid) in which the ESPP Addendum is not assumed by the surviving corporation, the offering period in progress will terminate and either (1) shares will be purchased in accordance with the terms of the ESPP Addendum or (2) all amounts in all participant accounts will be refunded without any purchase of shares.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Performance Criteria</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Awards granted under the Plan may be subject to specified performance criteria. The Compensation and Human Capital Committee may utilize any performance criteria selected by it in its sole discretion to establish performance goals.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Deferrals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Subject to compliance with Section 409A of the Code, the Compensation and Human Capital Committee in its sole discretion may permit or require participants to defer certain amounts or shares paid or issued in respect of awards.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Adjustments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In the event of a subdivision of the outstanding Common Stock, a declaration of a dividend payable in shares, a declaration of a dividend payable in a form other than shares in an amount that has a material effect on the price of shares, a combination or consolidation of the outstanding Common Stock into a lesser number of shares, a recapitalization, a spin-off, or a similar occurrence, the Compensation and Human Capital Committee may make appropriate and equitable adjustments in: (i) the class(es) and number of securities available for future awards; (ii) the class(es) and number of securities covered by each outstanding award; (iii) the exercise price under each outstanding option and SAR; and (iv) options to purchase shares granted pursuant to the ESPP Addendum.</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Change in Control</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In the event of a Change in Control (defined as (i) a change in the composition of the Board in which fewer than one half of the incumbent directors are the original directors or were elected with at least a majority of the original directors; (ii) any person who, by acquisition or aggregation of securities, is or becomes the beneficial owner of securities of Lucid representing 50% or more of the voting power of Lucid’s outstanding securities; (iii) the consummation of a merger or consolidation where 50% or more of the voting power is owned by persons who were not stockholders of Lucid prior to the merger or consolidation; or (iv) the sale, transfer, or other disposition of all or substantially all of Lucid’s assets), if the surviving corporation does not continue, assume or </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35</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84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settle (subject to vesting) outstanding awards (other than stock purchase rights under the ESPP Addendum), or substitute similar stock awards for outstanding awards (other than stock purchase rights under the ESPP Addendum), then the Compensation and Human Capital Committee may accelerate the vesting or deem any performance-based vesting to be satisfied at the target level or based on actual performance (or the greater thereof). The Compensation and Human Capital Committee may also determine at the time of granting of an award or thereafter that an award will vest and/or become exercisable in connection with a Change in Control. The Compensation and Human Capital Committee may treat awards differently.</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No Repricing</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Except in connection with corporate transactions, the Compensation and Human Capital Committee may not, without stockholder approval, effect any repricing or buyout of any “underwater” stock option, SAR, or similar award</w:t>
      </w:r>
      <w:r>
        <w:rPr>
          <w:rFonts w:ascii="Helvetica;Arial;sans-serif" w:hAnsi="Helvetica;Arial;sans-serif"/>
          <w:b w:val="false"/>
          <w:i/>
          <w:caps w:val="false"/>
          <w:smallCaps w:val="false"/>
          <w:color w:val="000000"/>
          <w:sz w:val="18"/>
        </w:rPr>
        <w: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Assignability</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Unless an award agreement provides otherwise, no award granted under the Plan may be sold, assigned, conveyed, gifted, pledged, hypothecated, or otherwise transferred in any manner other than by will or the laws of descent and distribution.</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Amendment and Termination</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Board may amend, suspend, or terminate the Plan or the ESPP Addendum at any time, provided that amendments to any outstanding award agreements are subject to applicable legal restrictions and the consent of the participant if the participant’s right or obligations would be materially impaired.</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U.S. Federal Income Tax Consequences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following is a general summary under current law of certain United States federal income tax consequences to the Company and participants who are citizens or individual residents of the United States relating to awards granted under the Plan. This summary deals with the general tax principles that apply to such awards and is provided only for general information. Certain kinds of taxes, such as foreign taxes, state and local income taxes, payroll taxes and the alternative minimum tax, are not discussed. This summary is not tax advice, and it does not discuss all aspects of federal taxation that may be relevant to the Company and participants. Accordingly, the Company urges each participant to consult their own tax advisor as to the specific tax consequences of participation in the Plan under federal, state, local and other applicable laws.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Non-Qualified Stock Options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 non-qualified stock option is an option that does not meet the requirements of Section 422 of the Code. A participant generally will not recognize taxable income when granted a non-qualified stock option. When the participant exercises the stock option, the participant generally will recognize taxable ordinary income equal to the excess of the fair market value of the shares received on the exercise date over the aggregate exercise price of the shares. The participant’s tax basis in the shares acquired on exercise of the option will be increased by the amount of such taxable income. We generally will be entitled to a federal income tax deduction in an amount equal to the ordinary income that the participant recognizes, subject to any limits imposed under Section 162(m) of the Code. When the participant sells the shares acquired on exercise, the participant generally will realize long-term or short-term capital gain or loss, depending on whether the participant holds the shares for more than one year before selling them. Special rules apply if all or a portion of the exercise price is paid in the form of shares.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Incentive Stock Options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An incentive stock option is an option that meets the requirements of Section 422 of the Code. A participant generally will not have taxable income when granted an incentive stock option or when exercising the option. If the participant exercises the option and does not dispose of the shares until the later of two years after the grant date and one year after the exercise date, the entire gain, if any, realized when the participant sells the shares generally will be taxable as long-term capital gain. We generally will not be entitled to any corresponding tax deduction. If a participant disposes of the shares received upon exercise of an incentive stock option within the one-year or two-year periods described above, it will be considered a “disqualifying disposition,” and the option will be treated as a non-qualified stock option for federal income tax purposes. If a participant exercises an incentive stock option more than three months after the participant’s employment or service with us terminates, the option will be treated as a non-qualified stock option for federal income tax purposes. If the participant is disabled and terminates employment or service because of their disability, the three-month period is extended to one year. The three-month period does not apply in the case of the participant’s death. Similar tax consequences will apply to stock purchase rights under the ESPP Addendum.</w:t>
      </w:r>
      <w:r>
        <w:rPr>
          <w:rFonts w:ascii="Helvetica;Arial;sans-serif" w:hAnsi="Helvetica;Arial;sans-serif"/>
          <w:b w:val="false"/>
          <w:i w:val="false"/>
          <w:caps w:val="false"/>
          <w:smallCaps w:val="false"/>
          <w:color w:val="000000"/>
          <w:spacing w:val="4"/>
          <w:sz w:val="18"/>
        </w:rPr>
        <w:t xml:space="preserve"> </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36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840" w:after="283"/>
        <w:ind w:left="720" w:right="0" w:hanging="0"/>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SARs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5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 participant generally does not recognize income at the time a SAR is granted. At the time cash or stock representing the amount of the appreciation is transferred to the participant pursuant to exercise of the SAR, the participant will generally be required to recognize as income an amount equal to the amount of cash or fair market value of the shares paid or transferred to the participant. Such amount will be taxable as ordinary income and we generally will be entitled to a corresponding tax deduction, subject to any limits imposed under Section 162(m) of the Code.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Restricted Stock</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5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 participant generally will not recognize any income upon the receipt of unvested shares or restricted stock unless the participant elects under Section 83(b) of the Code, within 30 days after receipt of the shares, to recognize ordinary income in an amount equal to the fair market value of the shares at the time of receipt, less any amount paid for the shares, and the Company generally will be allowed a corresponding tax deduction at that time, subject to any limits imposed under Section 162(m) of the Code. A participant who makes the election will not be allowed a deduction for the value of any shares subsequently forfeited. A participant who does not make the election generally will recognize ordinary income on the date of the lapse of the restrictions applicable to the shares, which may be at the time of grant, in an amount equal to the fair market value of the shares on such date, less any amount paid for the shares. We will withhold any Federal Insurance Contribution Act (“FICA”) taxes due in respect of the shares in the year the restrictions applicable to the shares lapse, based on the fair market value of the shares on the vesting date, unless you elect under Section 83(b) of the Code, in which case we will withhold any FICA taxes due in respect of the shares in the year of grant based on the fair market value of the shares on the grant date. Generally, upon a sale or other disposition of restricted stock with respect to which a participant has recognized ordinary income (i.e., a Section 83(b) election was previously made or the restrictions previously lapsed), the participant will recognize capital gain or loss in an amount equal to the difference between the amount realized on such sale or other disposition and the basis in such shares. Such gain or loss will be long-term capital gain or loss if the participant holds such shares for more than one year.</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Restricted Stock Units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5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 participant generally does not recognize income at the time a restricted stock unit award is granted. At the time of settlement of the award, the participant will generally recognize ordinary income equal to the fair market value of the restricted stock units at the time of settlement of the award, and the Company generally will be allowed a corresponding tax deduction at that time, subject to any limits imposed under Section 162(m) of the Code. We will withhold any FICA taxes due in respect of the restricted stock units in the year they vest based on the fair market value of the shares and/or cash underlying the award on the vesting date. Any gain or loss recognized upon a subsequent sale or exchange of the shares (if settled in shares) is generally treated as a capital gain or loss (short-term or long-term depending on the applicable holding period).</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Performance Awards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5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Generally, in the case of performance-based awards, the participant will recognize ordinary income on the amount of cash and the fair market value of Common Stock received on the date of payment or settlement of the award (provided that the award is exempt from or complies with Section 409A of the Code). We generally will be entitled to a deduction for such amount at the time it is includable in the income of the participant, subject to any limits imposed under Section 162(m) of the Code.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Cash Awards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5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Upon the payment of a cash award, the amount of cash received will be ordinary income to the participant. We will be entitled to a deduction for such amount at the time it is includable in the income of the participant, subject to any limits imposed under Section 162(m) of the Code.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Registration with the SEC</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5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If our stockholders approve the Amended Plan, we will file with the SEC a registration statement on Form S-8, as soon as reasonably practicable after the approval, to register the additional shares available for issuance under the Plan as a result of the Amended Plan.</w:t>
      </w:r>
      <w:r>
        <w:rPr>
          <w:rFonts w:ascii="Helvetica;Arial;sans-serif" w:hAnsi="Helvetica;Arial;sans-serif"/>
          <w:b w:val="false"/>
          <w:i w:val="false"/>
          <w:caps w:val="false"/>
          <w:smallCaps w:val="false"/>
          <w:color w:val="000000"/>
          <w:spacing w:val="4"/>
          <w:sz w:val="18"/>
        </w:rPr>
        <w:t xml:space="preserve"> </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37</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840" w:after="283"/>
        <w:ind w:left="720" w:right="0" w:hanging="0"/>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Vote Required</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To be approved, a majority of the total votes cast on Proposal No. 4 must be voted “For” the approval of the amendment and restatement of the Lucid Group, Inc. Second Amended and Restated 2021 Stock Incentive Plan. Only votes “For” or “Against” will affect the outcome. Broker non-votes and abstentions will have no effect.</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9207"/>
        <w:gridCol w:w="154"/>
      </w:tblGrid>
      <w:tr>
        <w:trPr/>
        <w:tc>
          <w:tcPr>
            <w:tcW w:w="124" w:type="dxa"/>
            <w:tcBorders/>
            <w:shd w:fill="000000" w:val="clear"/>
            <w:vAlign w:val="center"/>
          </w:tcPr>
          <w:p>
            <w:pPr>
              <w:pStyle w:val="TableContents"/>
              <w:bidi w:val="0"/>
              <w:spacing w:before="0" w:after="283"/>
              <w:jc w:val="left"/>
              <w:rPr/>
            </w:pPr>
            <w:r>
              <w:rPr/>
              <w:t>​</w:t>
            </w:r>
          </w:p>
        </w:tc>
        <w:tc>
          <w:tcPr>
            <w:tcW w:w="9207" w:type="dxa"/>
            <w:tcBorders/>
            <w:shd w:fill="000000" w:val="clear"/>
            <w:vAlign w:val="center"/>
          </w:tcPr>
          <w:p>
            <w:pPr>
              <w:pStyle w:val="TableContents"/>
              <w:bidi w:val="0"/>
              <w:spacing w:before="0" w:after="0"/>
              <w:jc w:val="center"/>
              <w:rPr/>
            </w:pPr>
            <w:r>
              <w:rPr/>
              <w:t>THE BOARD OF DIRECTORS RECOMMENDS A VOTE “FOR” THE APPROVAL OF THE AMENDMENT AND RESTATEMENT OF THE LUCID GROUP, INC. SECOND AMENDED AND RESTATED 2021 STOCK INCENTIVE PLAN (PROPOSAL NO. 4)</w:t>
            </w:r>
          </w:p>
        </w:tc>
        <w:tc>
          <w:tcPr>
            <w:tcW w:w="154" w:type="dxa"/>
            <w:tcBorders/>
            <w:shd w:fill="000000" w:val="clear"/>
            <w:vAlign w:val="center"/>
          </w:tcPr>
          <w:p>
            <w:pPr>
              <w:pStyle w:val="TableContents"/>
              <w:bidi w:val="0"/>
              <w:spacing w:before="0" w:after="283"/>
              <w:jc w:val="left"/>
              <w:rPr/>
            </w:pPr>
            <w:r>
              <w:rPr/>
              <w:t>​</w:t>
            </w:r>
          </w:p>
        </w:tc>
      </w:tr>
    </w:tbl>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38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LEPA"/>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283"/>
        <w:ind w:left="720" w:right="0" w:hanging="0"/>
        <w:jc w:val="left"/>
        <w:rPr>
          <w:rFonts w:ascii="Times New Roman;Garamond;serif" w:hAnsi="Times New Roman;Garamond;serif"/>
          <w:b/>
          <w:i w:val="false"/>
          <w:caps w:val="false"/>
          <w:smallCaps w:val="false"/>
          <w:color w:val="000000"/>
          <w:sz w:val="40"/>
        </w:rPr>
      </w:pPr>
      <w:r>
        <w:rPr>
          <w:rFonts w:ascii="Times New Roman;Garamond;serif" w:hAnsi="Times New Roman;Garamond;serif"/>
          <w:b/>
          <w:i w:val="false"/>
          <w:caps w:val="false"/>
          <w:smallCaps w:val="false"/>
          <w:color w:val="000000"/>
          <w:sz w:val="40"/>
        </w:rPr>
        <w:t>Lucid Environmental, Social, and Governance Principles and Impact</w:t>
      </w:r>
      <w:r>
        <w:rPr>
          <w:rFonts w:ascii="Times New Roman;Garamond;serif" w:hAnsi="Times New Roman;Garamond;serif"/>
          <w:b/>
          <w:i w:val="false"/>
          <w:caps w:val="false"/>
          <w:smallCaps w:val="false"/>
          <w:color w:val="000000"/>
          <w:spacing w:val="8"/>
          <w:sz w:val="40"/>
        </w:rPr>
        <w:t xml:space="preserve"> </w:t>
      </w:r>
    </w:p>
    <w:p>
      <w:pPr>
        <w:pStyle w:val="TextBody"/>
        <w:bidi w:val="0"/>
        <w:spacing w:lineRule="atLeast" w:line="240" w:before="40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As a technology and EV company focused on efficiently using our planet’s precious resources, we are proud that sustainability has been at the core of our business since day one. We are committed to improving environmental and social impacts across our value chain and ensuring a robust governance structure to support our efforts. As a relatively young company, we are still in the early stages of building our holistic approach in this area. We plan to continue to build our internal capabilities for data collection and establish our baseline in key sustainability focus areas for our business. We also believe in the importance of accountability and transparency, which is why we created and published our first sustainability report in 2024.</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Highlights of our sustainable impact includes: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i w:val="false"/>
          <w:caps w:val="false"/>
          <w:smallCaps w:val="false"/>
          <w:color w:val="000000"/>
          <w:sz w:val="18"/>
        </w:rPr>
        <w:t>Product</w:t>
      </w:r>
      <w:r>
        <w:rPr>
          <w:rFonts w:ascii="Helvetica;Arial;sans-serif" w:hAnsi="Helvetica;Arial;sans-serif"/>
          <w:b w:val="false"/>
          <w:i w:val="false"/>
          <w:caps w:val="false"/>
          <w:smallCaps w:val="false"/>
          <w:color w:val="000000"/>
          <w:sz w:val="18"/>
        </w:rPr>
        <w:t>: Efficiency is a key measure of the in-house technology embedded in our products, contributing to our goal of a best-in-class experience for our customers while benefiting the environment. The Lucid Air continues to be the longest-range fully electric car (the Lucid Air Grand Touring has an EPA-estimated range of 516 miles per charge with 19-inch wheels) and has among the highest driving efficiency (the Lucid Air Pure with 4.74 miles of range per kilowatt-hour), and the Lucid Air has one of the lowest coefficient of drag of any vehicle on the market (0.197 coefficient of drag with 19-inch wheels). These achievements are based on a relentless focus on efficiency through the EV powertrain, battery pack and system, and an aerodynamic design. This focus on efficiency also enables our vehicles to travel further per electron of energy. Each extra mile that we extract per kilowatt-hour of energy means less energy required and fewer carbon emissions from the electrical grid. This same efficient technology and approach enables the possibility of vehicles with smaller, lower-cost battery packs that retain competitive range — which in turn would benefit the environment by requiring fewer battery cells per vehicle.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i w:val="false"/>
          <w:caps w:val="false"/>
          <w:smallCaps w:val="false"/>
          <w:color w:val="000000"/>
          <w:sz w:val="18"/>
        </w:rPr>
        <w:t>United Nations Global Compact</w:t>
      </w:r>
      <w:r>
        <w:rPr>
          <w:rFonts w:ascii="Helvetica;Arial;sans-serif" w:hAnsi="Helvetica;Arial;sans-serif"/>
          <w:b w:val="false"/>
          <w:i w:val="false"/>
          <w:caps w:val="false"/>
          <w:smallCaps w:val="false"/>
          <w:color w:val="000000"/>
          <w:sz w:val="18"/>
        </w:rPr>
        <w:t>: In April 2023, we joined the United Nations Global Compact (“UN Global Compact”), the world’s largest voluntary corporate sustainability initiative that seeks to mobilize a global movement of sustainable companies and stakeholders. The UN Global Compact challenges companies to conduct business responsibly by aligning their operations and strategies with the United Nations’ Ten Principles relating to human rights, labor, environmental practices, and anti-corruption. By joining, we have committed to act in accordance with the UN Sustainable Development Goals. Member organizations commit not only to sustainable practices, but also to enhancing transparency. Signatories report yearly on their commitment to the universal sustainability principles and development goals.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i w:val="false"/>
          <w:caps w:val="false"/>
          <w:smallCaps w:val="false"/>
          <w:color w:val="000000"/>
          <w:sz w:val="18"/>
        </w:rPr>
        <w:t>ESG Strategy</w:t>
      </w:r>
      <w:r>
        <w:rPr>
          <w:rFonts w:ascii="Helvetica;Arial;sans-serif" w:hAnsi="Helvetica;Arial;sans-serif"/>
          <w:b w:val="false"/>
          <w:i w:val="false"/>
          <w:caps w:val="false"/>
          <w:smallCaps w:val="false"/>
          <w:color w:val="000000"/>
          <w:sz w:val="18"/>
        </w:rPr>
        <w:t xml:space="preserve">: Our dedicated ESG team is driving our efforts to implement leading environmental, social, and governance strategies and programs. In 2021, we completed a high-level ESG assessment to identify key topics for our ESG strategy. This effort included insight from investors, ratings and rankings, Company leadership interviews, research on peers and consumer trends, and a business and investor media review. During 2022 and 2023, we continued to keep a pulse on the dynamic ESG field to allocate resources to the most significant ESG topics to our business. Our ESG Steering Committee, comprised of senior executive leaders, meets on a regular basis to drive our strategic road mapping in the ESG topics such as climate and GHG emissions, DEI, and ESG partnerships. We enhanced our ESG disclosures, and plan to continue to build our internal capabilities for data collection and disclosure for high-level reporting on ESG performance, in connection with industry standards. </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39</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283"/>
        <w:ind w:left="720" w:right="0" w:hanging="0"/>
        <w:jc w:val="left"/>
        <w:rPr>
          <w:rFonts w:ascii="Times New Roman;Garamond;serif" w:hAnsi="Times New Roman;Garamond;serif"/>
          <w:b/>
          <w:i w:val="false"/>
          <w:caps w:val="false"/>
          <w:smallCaps w:val="false"/>
          <w:color w:val="000000"/>
          <w:sz w:val="40"/>
        </w:rPr>
      </w:pPr>
      <w:r>
        <w:rPr>
          <w:rFonts w:ascii="Times New Roman;Garamond;serif" w:hAnsi="Times New Roman;Garamond;serif"/>
          <w:b/>
          <w:i w:val="false"/>
          <w:caps w:val="false"/>
          <w:smallCaps w:val="false"/>
          <w:color w:val="000000"/>
          <w:sz w:val="40"/>
        </w:rPr>
        <w:t>Message to Stockholders From the Compensation and Human Capital Committee of the Board of Directors</w:t>
      </w:r>
      <w:r>
        <w:rPr>
          <w:rFonts w:ascii="Times New Roman;Garamond;serif" w:hAnsi="Times New Roman;Garamond;serif"/>
          <w:b/>
          <w:i w:val="false"/>
          <w:caps w:val="false"/>
          <w:smallCaps w:val="false"/>
          <w:color w:val="000000"/>
          <w:spacing w:val="8"/>
          <w:sz w:val="40"/>
        </w:rPr>
        <w:t xml:space="preserve"> </w:t>
      </w:r>
    </w:p>
    <w:p>
      <w:pPr>
        <w:pStyle w:val="TextBody"/>
        <w:bidi w:val="0"/>
        <w:spacing w:lineRule="atLeast" w:line="240" w:before="40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Compensation and Human Capital Committee has reviewed and approved the compensation actions contained in this report, with the assistance of our independent compensation consultants, Pay Governance.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 strong focus of the Company and the Committee is to deliver on the plans and commitments to our stockholders and hold the executives accountable accordingly. We have therefore been focused on the design, administration, and implementation of our pay-for-performance compensation philosophy and ensuring our compensation programs are aligned with our Company’s strategic imperatives and with our stockholders.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We continue to believe that senior leaders must deliver on their plans and be held accountable when making compensation decisions. For example, in 2023, we redesigned our approach to delivering long-term incentives by introducing performance-based equity awards for senior management and granting 60% of their long-term incentive value in such awards.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As you can see in the “Business Highlights and Key Accomplishments for 2023” section below, we achieved several important milestones in 2023, each driven by the immense talent inherent within our workforce. Further, we believe that there are a limited number of leaders in the world that can propel the core initiatives of the Company forward; namely, to timely start production of the Lucid Gravity SUV and the Company’s midsize platform.</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We have a robust and exciting series of additional milestones expected from this leadership team in 2024 and we will continue to make the best decisions possible for both the present and future of the Company.</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We are also very aware that we are in an enterprise-building phase of our growth story. And we firmly believe that the people at Lucid are a big reason to be optimistic about our future. We are mindful and strive to attract and retain industry leading talent to the Company.</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We thank you for being on this journey with us and we are committed to ensuring this journey is a rewarding one for all of our stakeholders.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4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Andrew Liveris, Chair </w:t>
        <w:br/>
        <w:t xml:space="preserve">Nichelle Maynard-Elliott </w:t>
        <w:br/>
        <w:t>Ori Winitzer</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40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EXOF"/>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283"/>
        <w:ind w:left="720" w:right="0" w:hanging="0"/>
        <w:jc w:val="left"/>
        <w:rPr>
          <w:rFonts w:ascii="Times New Roman;Garamond;serif" w:hAnsi="Times New Roman;Garamond;serif"/>
          <w:b/>
          <w:i w:val="false"/>
          <w:caps w:val="false"/>
          <w:smallCaps w:val="false"/>
          <w:color w:val="000000"/>
          <w:sz w:val="40"/>
        </w:rPr>
      </w:pPr>
      <w:r>
        <w:rPr>
          <w:rFonts w:ascii="Times New Roman;Garamond;serif" w:hAnsi="Times New Roman;Garamond;serif"/>
          <w:b/>
          <w:i w:val="false"/>
          <w:caps w:val="false"/>
          <w:smallCaps w:val="false"/>
          <w:color w:val="000000"/>
          <w:sz w:val="40"/>
        </w:rPr>
        <w:t>Named E</w:t>
      </w:r>
      <w:r>
        <w:rPr>
          <w:rFonts w:ascii="Times New Roman;Garamond;serif" w:hAnsi="Times New Roman;Garamond;serif"/>
          <w:b/>
          <w:i w:val="false"/>
          <w:caps w:val="false"/>
          <w:smallCaps w:val="false"/>
          <w:color w:val="000000"/>
          <w:sz w:val="40"/>
        </w:rPr>
        <w:t>XECUTIVE</w:t>
      </w:r>
      <w:r>
        <w:rPr>
          <w:rFonts w:ascii="Times New Roman;Garamond;serif" w:hAnsi="Times New Roman;Garamond;serif"/>
          <w:b/>
          <w:i w:val="false"/>
          <w:caps w:val="false"/>
          <w:smallCaps w:val="false"/>
          <w:color w:val="000000"/>
          <w:sz w:val="40"/>
        </w:rPr>
        <w:t xml:space="preserve"> O</w:t>
      </w:r>
      <w:r>
        <w:rPr>
          <w:rFonts w:ascii="Times New Roman;Garamond;serif" w:hAnsi="Times New Roman;Garamond;serif"/>
          <w:b/>
          <w:i w:val="false"/>
          <w:caps w:val="false"/>
          <w:smallCaps w:val="false"/>
          <w:color w:val="000000"/>
          <w:sz w:val="40"/>
        </w:rPr>
        <w:t>FFICERS</w:t>
      </w:r>
      <w:r>
        <w:rPr>
          <w:rFonts w:ascii="Times New Roman;Garamond;serif" w:hAnsi="Times New Roman;Garamond;serif"/>
          <w:b/>
          <w:i w:val="false"/>
          <w:caps w:val="false"/>
          <w:smallCaps w:val="false"/>
          <w:color w:val="000000"/>
          <w:spacing w:val="8"/>
          <w:sz w:val="40"/>
        </w:rPr>
        <w:t xml:space="preserve"> </w:t>
      </w:r>
    </w:p>
    <w:p>
      <w:pPr>
        <w:pStyle w:val="TextBody"/>
        <w:bidi w:val="0"/>
        <w:spacing w:lineRule="atLeast" w:line="240" w:before="40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The following table sets forth certain information concerning our named executive officers as of the date of this Proxy Statement: </w:t>
      </w:r>
    </w:p>
    <w:tbl>
      <w:tblPr>
        <w:tblW w:w="9485" w:type="dxa"/>
        <w:jc w:val="left"/>
        <w:tblInd w:w="720" w:type="dxa"/>
        <w:tblLayout w:type="fixed"/>
        <w:tblCellMar>
          <w:top w:w="0" w:type="dxa"/>
          <w:left w:w="0" w:type="dxa"/>
          <w:bottom w:w="0" w:type="dxa"/>
          <w:right w:w="0" w:type="dxa"/>
        </w:tblCellMar>
      </w:tblPr>
      <w:tblGrid>
        <w:gridCol w:w="124"/>
        <w:gridCol w:w="1558"/>
        <w:gridCol w:w="109"/>
        <w:gridCol w:w="109"/>
        <w:gridCol w:w="551"/>
        <w:gridCol w:w="109"/>
        <w:gridCol w:w="109"/>
        <w:gridCol w:w="6660"/>
        <w:gridCol w:w="156"/>
      </w:tblGrid>
      <w:tr>
        <w:trPr/>
        <w:tc>
          <w:tcPr>
            <w:tcW w:w="124" w:type="dxa"/>
            <w:tcBorders/>
            <w:shd w:fill="000000" w:val="clear"/>
            <w:vAlign w:val="center"/>
          </w:tcPr>
          <w:p>
            <w:pPr>
              <w:pStyle w:val="TableContents"/>
              <w:bidi w:val="0"/>
              <w:spacing w:before="0" w:after="283"/>
              <w:jc w:val="left"/>
              <w:rPr/>
            </w:pPr>
            <w:r>
              <w:rPr/>
              <w:t>​</w:t>
            </w:r>
          </w:p>
        </w:tc>
        <w:tc>
          <w:tcPr>
            <w:tcW w:w="1558" w:type="dxa"/>
            <w:tcBorders/>
            <w:shd w:fill="000000" w:val="clear"/>
            <w:vAlign w:val="center"/>
          </w:tcPr>
          <w:p>
            <w:pPr>
              <w:pStyle w:val="TableContents"/>
              <w:bidi w:val="0"/>
              <w:spacing w:before="0" w:after="0"/>
              <w:jc w:val="left"/>
              <w:rPr/>
            </w:pPr>
            <w:r>
              <w:rPr/>
              <w:t xml:space="preserve">Name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51" w:type="dxa"/>
            <w:tcBorders/>
            <w:shd w:fill="000000" w:val="clear"/>
            <w:vAlign w:val="center"/>
          </w:tcPr>
          <w:p>
            <w:pPr>
              <w:pStyle w:val="TableContents"/>
              <w:bidi w:val="0"/>
              <w:spacing w:before="0" w:after="0"/>
              <w:jc w:val="center"/>
              <w:rPr/>
            </w:pPr>
            <w:r>
              <w:rPr/>
              <w:t xml:space="preserve">Age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6660" w:type="dxa"/>
            <w:tcBorders/>
            <w:shd w:fill="000000" w:val="clear"/>
            <w:vAlign w:val="center"/>
          </w:tcPr>
          <w:p>
            <w:pPr>
              <w:pStyle w:val="TableContents"/>
              <w:bidi w:val="0"/>
              <w:spacing w:before="0" w:after="0"/>
              <w:jc w:val="center"/>
              <w:rPr/>
            </w:pPr>
            <w:r>
              <w:rPr/>
              <w:t xml:space="preserve">Position </w:t>
            </w:r>
          </w:p>
        </w:tc>
        <w:tc>
          <w:tcPr>
            <w:tcW w:w="156"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558" w:type="dxa"/>
            <w:tcBorders>
              <w:bottom w:val="single" w:sz="6" w:space="0" w:color="000000"/>
            </w:tcBorders>
            <w:tcMar>
              <w:bottom w:w="145" w:type="dxa"/>
            </w:tcMar>
            <w:vAlign w:val="center"/>
          </w:tcPr>
          <w:p>
            <w:pPr>
              <w:pStyle w:val="TableContents"/>
              <w:bidi w:val="0"/>
              <w:spacing w:before="0" w:after="283"/>
              <w:jc w:val="left"/>
              <w:rPr/>
            </w:pPr>
            <w:r>
              <w:rPr/>
              <w:t xml:space="preserve">Peter Rawlinson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51" w:type="dxa"/>
            <w:tcBorders>
              <w:bottom w:val="single" w:sz="6" w:space="0" w:color="000000"/>
            </w:tcBorders>
            <w:tcMar>
              <w:bottom w:w="145" w:type="dxa"/>
            </w:tcMar>
            <w:vAlign w:val="center"/>
          </w:tcPr>
          <w:p>
            <w:pPr>
              <w:pStyle w:val="TableContents"/>
              <w:bidi w:val="0"/>
              <w:spacing w:before="0" w:after="283"/>
              <w:jc w:val="left"/>
              <w:rPr/>
            </w:pPr>
            <w:r>
              <w:rPr/>
              <w:t xml:space="preserve">66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60" w:type="dxa"/>
            <w:tcBorders>
              <w:bottom w:val="single" w:sz="6" w:space="0" w:color="000000"/>
            </w:tcBorders>
            <w:tcMar>
              <w:bottom w:w="145" w:type="dxa"/>
            </w:tcMar>
            <w:vAlign w:val="center"/>
          </w:tcPr>
          <w:p>
            <w:pPr>
              <w:pStyle w:val="TableContents"/>
              <w:bidi w:val="0"/>
              <w:spacing w:before="0" w:after="283"/>
              <w:jc w:val="left"/>
              <w:rPr/>
            </w:pPr>
            <w:r>
              <w:rPr/>
              <w:t xml:space="preserve">Chief Executive Officer, Chief Technology Officer &amp; Director </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58" w:type="dxa"/>
            <w:tcBorders>
              <w:bottom w:val="single" w:sz="6" w:space="0" w:color="000000"/>
            </w:tcBorders>
            <w:shd w:fill="F7F7F7" w:val="clear"/>
            <w:tcMar>
              <w:bottom w:w="145" w:type="dxa"/>
            </w:tcMar>
            <w:vAlign w:val="center"/>
          </w:tcPr>
          <w:p>
            <w:pPr>
              <w:pStyle w:val="TableContents"/>
              <w:bidi w:val="0"/>
              <w:spacing w:before="0" w:after="283"/>
              <w:jc w:val="left"/>
              <w:rPr/>
            </w:pPr>
            <w:r>
              <w:rPr/>
              <w:t xml:space="preserve">Gagan Dhingra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551" w:type="dxa"/>
            <w:tcBorders>
              <w:bottom w:val="single" w:sz="6" w:space="0" w:color="000000"/>
            </w:tcBorders>
            <w:shd w:fill="F7F7F7" w:val="clear"/>
            <w:tcMar>
              <w:bottom w:w="145" w:type="dxa"/>
            </w:tcMar>
            <w:vAlign w:val="center"/>
          </w:tcPr>
          <w:p>
            <w:pPr>
              <w:pStyle w:val="TableContents"/>
              <w:bidi w:val="0"/>
              <w:spacing w:before="0" w:after="283"/>
              <w:jc w:val="left"/>
              <w:rPr/>
            </w:pPr>
            <w:r>
              <w:rPr/>
              <w:t xml:space="preserve">50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6660" w:type="dxa"/>
            <w:tcBorders>
              <w:bottom w:val="single" w:sz="6" w:space="0" w:color="000000"/>
            </w:tcBorders>
            <w:shd w:fill="F7F7F7" w:val="clear"/>
            <w:tcMar>
              <w:bottom w:w="145" w:type="dxa"/>
            </w:tcMar>
            <w:vAlign w:val="center"/>
          </w:tcPr>
          <w:p>
            <w:pPr>
              <w:pStyle w:val="TableContents"/>
              <w:bidi w:val="0"/>
              <w:spacing w:before="0" w:after="0"/>
              <w:jc w:val="left"/>
              <w:rPr/>
            </w:pPr>
            <w:r>
              <w:rPr/>
              <w:t xml:space="preserve">Interim Chief Financial Officer, Vice President of Accounting and Principal Accounting Officer </w:t>
            </w:r>
          </w:p>
        </w:tc>
        <w:tc>
          <w:tcPr>
            <w:tcW w:w="15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558" w:type="dxa"/>
            <w:tcBorders>
              <w:bottom w:val="single" w:sz="6" w:space="0" w:color="000000"/>
            </w:tcBorders>
            <w:tcMar>
              <w:bottom w:w="145" w:type="dxa"/>
            </w:tcMar>
            <w:vAlign w:val="center"/>
          </w:tcPr>
          <w:p>
            <w:pPr>
              <w:pStyle w:val="TableContents"/>
              <w:bidi w:val="0"/>
              <w:spacing w:before="0" w:after="283"/>
              <w:jc w:val="left"/>
              <w:rPr/>
            </w:pPr>
            <w:r>
              <w:rPr/>
              <w:t xml:space="preserve">Marc Winterhoff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51" w:type="dxa"/>
            <w:tcBorders>
              <w:bottom w:val="single" w:sz="6" w:space="0" w:color="000000"/>
            </w:tcBorders>
            <w:tcMar>
              <w:bottom w:w="145" w:type="dxa"/>
            </w:tcMar>
            <w:vAlign w:val="center"/>
          </w:tcPr>
          <w:p>
            <w:pPr>
              <w:pStyle w:val="TableContents"/>
              <w:bidi w:val="0"/>
              <w:spacing w:before="0" w:after="283"/>
              <w:jc w:val="left"/>
              <w:rPr/>
            </w:pPr>
            <w:r>
              <w:rPr/>
              <w:t xml:space="preserve">55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60" w:type="dxa"/>
            <w:tcBorders>
              <w:bottom w:val="single" w:sz="6" w:space="0" w:color="000000"/>
            </w:tcBorders>
            <w:tcMar>
              <w:bottom w:w="145" w:type="dxa"/>
            </w:tcMar>
            <w:vAlign w:val="center"/>
          </w:tcPr>
          <w:p>
            <w:pPr>
              <w:pStyle w:val="TableContents"/>
              <w:bidi w:val="0"/>
              <w:spacing w:before="0" w:after="283"/>
              <w:jc w:val="left"/>
              <w:rPr/>
            </w:pPr>
            <w:r>
              <w:rPr/>
              <w:t xml:space="preserve">Chief Operating Officer </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58" w:type="dxa"/>
            <w:tcBorders>
              <w:bottom w:val="single" w:sz="6" w:space="0" w:color="000000"/>
            </w:tcBorders>
            <w:shd w:fill="F7F7F7" w:val="clear"/>
            <w:tcMar>
              <w:bottom w:w="145" w:type="dxa"/>
            </w:tcMar>
            <w:vAlign w:val="center"/>
          </w:tcPr>
          <w:p>
            <w:pPr>
              <w:pStyle w:val="TableContents"/>
              <w:bidi w:val="0"/>
              <w:spacing w:before="0" w:after="283"/>
              <w:jc w:val="left"/>
              <w:rPr/>
            </w:pPr>
            <w:r>
              <w:rPr/>
              <w:t xml:space="preserve">Eric Bach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551" w:type="dxa"/>
            <w:tcBorders>
              <w:bottom w:val="single" w:sz="6" w:space="0" w:color="000000"/>
            </w:tcBorders>
            <w:shd w:fill="F7F7F7" w:val="clear"/>
            <w:tcMar>
              <w:bottom w:w="145" w:type="dxa"/>
            </w:tcMar>
            <w:vAlign w:val="center"/>
          </w:tcPr>
          <w:p>
            <w:pPr>
              <w:pStyle w:val="TableContents"/>
              <w:bidi w:val="0"/>
              <w:spacing w:before="0" w:after="283"/>
              <w:jc w:val="left"/>
              <w:rPr/>
            </w:pPr>
            <w:r>
              <w:rPr/>
              <w:t xml:space="preserve">51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6660" w:type="dxa"/>
            <w:tcBorders>
              <w:bottom w:val="single" w:sz="6" w:space="0" w:color="000000"/>
            </w:tcBorders>
            <w:shd w:fill="F7F7F7" w:val="clear"/>
            <w:tcMar>
              <w:bottom w:w="145" w:type="dxa"/>
            </w:tcMar>
            <w:vAlign w:val="center"/>
          </w:tcPr>
          <w:p>
            <w:pPr>
              <w:pStyle w:val="TableContents"/>
              <w:bidi w:val="0"/>
              <w:spacing w:before="0" w:after="283"/>
              <w:jc w:val="left"/>
              <w:rPr/>
            </w:pPr>
            <w:r>
              <w:rPr/>
              <w:t xml:space="preserve">Senior Vice President, Product and Chief Engineer </w:t>
            </w:r>
          </w:p>
        </w:tc>
        <w:tc>
          <w:tcPr>
            <w:tcW w:w="15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558" w:type="dxa"/>
            <w:tcBorders>
              <w:bottom w:val="single" w:sz="6" w:space="0" w:color="000000"/>
            </w:tcBorders>
            <w:tcMar>
              <w:bottom w:w="145" w:type="dxa"/>
            </w:tcMar>
            <w:vAlign w:val="center"/>
          </w:tcPr>
          <w:p>
            <w:pPr>
              <w:pStyle w:val="TableContents"/>
              <w:bidi w:val="0"/>
              <w:spacing w:before="0" w:after="283"/>
              <w:jc w:val="left"/>
              <w:rPr/>
            </w:pPr>
            <w:r>
              <w:rPr/>
              <w:t xml:space="preserve">Michael Bell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51" w:type="dxa"/>
            <w:tcBorders>
              <w:bottom w:val="single" w:sz="6" w:space="0" w:color="000000"/>
            </w:tcBorders>
            <w:tcMar>
              <w:bottom w:w="145" w:type="dxa"/>
            </w:tcMar>
            <w:vAlign w:val="center"/>
          </w:tcPr>
          <w:p>
            <w:pPr>
              <w:pStyle w:val="TableContents"/>
              <w:bidi w:val="0"/>
              <w:spacing w:before="0" w:after="283"/>
              <w:jc w:val="left"/>
              <w:rPr/>
            </w:pPr>
            <w:r>
              <w:rPr/>
              <w:t xml:space="preserve">57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60" w:type="dxa"/>
            <w:tcBorders>
              <w:bottom w:val="single" w:sz="6" w:space="0" w:color="000000"/>
            </w:tcBorders>
            <w:tcMar>
              <w:bottom w:w="145" w:type="dxa"/>
            </w:tcMar>
            <w:vAlign w:val="center"/>
          </w:tcPr>
          <w:p>
            <w:pPr>
              <w:pStyle w:val="TableContents"/>
              <w:bidi w:val="0"/>
              <w:spacing w:before="0" w:after="283"/>
              <w:jc w:val="left"/>
              <w:rPr/>
            </w:pPr>
            <w:r>
              <w:rPr/>
              <w:t>Senior Vice President, Digital</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35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Mr. Rawlinson’s biography can be found under the section entitled “Proposal No. 1: Election of Directors” with the biographies of the other members of the Board. Biographies for our other named executive officers are below.</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28" w:type="dxa"/>
          <w:right w:w="0" w:type="dxa"/>
        </w:tblCellMar>
      </w:tblPr>
      <w:tblGrid>
        <w:gridCol w:w="124"/>
        <w:gridCol w:w="2489"/>
        <w:gridCol w:w="109"/>
        <w:gridCol w:w="109"/>
        <w:gridCol w:w="6499"/>
        <w:gridCol w:w="155"/>
      </w:tblGrid>
      <w:tr>
        <w:trPr/>
        <w:tc>
          <w:tcPr>
            <w:tcW w:w="124" w:type="dxa"/>
            <w:tcBorders>
              <w:bottom w:val="single" w:sz="6" w:space="0" w:color="000000"/>
            </w:tcBorders>
            <w:vAlign w:val="center"/>
          </w:tcPr>
          <w:p>
            <w:pPr>
              <w:pStyle w:val="TableContents"/>
              <w:bidi w:val="0"/>
              <w:spacing w:before="0" w:after="283"/>
              <w:jc w:val="left"/>
              <w:rPr/>
            </w:pPr>
            <w:r>
              <w:rPr/>
              <w:t>​</w:t>
            </w:r>
          </w:p>
        </w:tc>
        <w:tc>
          <w:tcPr>
            <w:tcW w:w="2489" w:type="dxa"/>
            <w:tcBorders>
              <w:bottom w:val="single" w:sz="6" w:space="0" w:color="000000"/>
            </w:tcBorders>
            <w:tcMar>
              <w:bottom w:w="360" w:type="dxa"/>
            </w:tcMar>
            <w:vAlign w:val="center"/>
          </w:tcPr>
          <w:p>
            <w:pPr>
              <w:pStyle w:val="TableContents"/>
              <w:bidi w:val="0"/>
              <w:spacing w:before="0" w:after="0"/>
              <w:jc w:val="left"/>
              <w:rPr/>
            </w:pPr>
            <w:r>
              <w:rPr/>
              <w:drawing>
                <wp:inline distT="0" distB="0" distL="0" distR="0">
                  <wp:extent cx="1524000" cy="1524000"/>
                  <wp:effectExtent l="0" t="0" r="0" b="0"/>
                  <wp:docPr id="12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36" descr=""/>
                          <pic:cNvPicPr>
                            <a:picLocks noChangeAspect="1" noChangeArrowheads="1"/>
                          </pic:cNvPicPr>
                        </pic:nvPicPr>
                        <pic:blipFill>
                          <a:blip r:embed="rId40"/>
                          <a:stretch>
                            <a:fillRect/>
                          </a:stretch>
                        </pic:blipFill>
                        <pic:spPr bwMode="auto">
                          <a:xfrm>
                            <a:off x="0" y="0"/>
                            <a:ext cx="1524000" cy="1524000"/>
                          </a:xfrm>
                          <a:prstGeom prst="rect">
                            <a:avLst/>
                          </a:prstGeom>
                        </pic:spPr>
                      </pic:pic>
                    </a:graphicData>
                  </a:graphic>
                </wp:inline>
              </w:drawing>
            </w:r>
            <w:r>
              <w:rPr/>
              <w:t xml:space="preserve"> </w:t>
            </w:r>
          </w:p>
          <w:p>
            <w:pPr>
              <w:pStyle w:val="TableContents"/>
              <w:bidi w:val="0"/>
              <w:spacing w:lineRule="atLeast" w:line="260" w:before="400" w:after="283"/>
              <w:jc w:val="left"/>
              <w:rPr>
                <w:b/>
                <w:sz w:val="24"/>
              </w:rPr>
            </w:pPr>
            <w:r>
              <w:rPr>
                <w:b/>
                <w:sz w:val="24"/>
              </w:rPr>
              <w:t>Gagan Dhingra</w:t>
            </w:r>
          </w:p>
          <w:p>
            <w:pPr>
              <w:pStyle w:val="TableContents"/>
              <w:bidi w:val="0"/>
              <w:spacing w:lineRule="atLeast" w:line="180" w:before="180" w:after="283"/>
              <w:jc w:val="left"/>
              <w:rPr>
                <w:sz w:val="16"/>
              </w:rPr>
            </w:pPr>
            <w:r>
              <w:rPr>
                <w:sz w:val="16"/>
              </w:rPr>
              <w:t>Interim Chief Financial Officer</w:t>
              <w:br/>
              <w:t>and Vice President of Accounting</w:t>
              <w:br/>
              <w:t>and Principal Accounting Officer</w:t>
            </w:r>
          </w:p>
          <w:p>
            <w:pPr>
              <w:pStyle w:val="TableContents"/>
              <w:bidi w:val="0"/>
              <w:spacing w:lineRule="atLeast" w:line="180" w:before="180" w:after="283"/>
              <w:jc w:val="left"/>
              <w:rPr>
                <w:sz w:val="16"/>
              </w:rPr>
            </w:pPr>
            <w:r>
              <w:rPr>
                <w:sz w:val="16"/>
              </w:rPr>
              <w:t xml:space="preserve">Age: 50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6499" w:type="dxa"/>
            <w:tcBorders>
              <w:bottom w:val="single" w:sz="6" w:space="0" w:color="000000"/>
            </w:tcBorders>
            <w:tcMar>
              <w:bottom w:w="360" w:type="dxa"/>
            </w:tcMar>
            <w:vAlign w:val="center"/>
          </w:tcPr>
          <w:p>
            <w:pPr>
              <w:pStyle w:val="TableContents"/>
              <w:bidi w:val="0"/>
              <w:spacing w:lineRule="atLeast" w:line="220" w:before="0" w:after="0"/>
              <w:jc w:val="left"/>
              <w:rPr/>
            </w:pPr>
            <w:r>
              <w:rPr>
                <w:b/>
              </w:rPr>
              <w:t>Gagan Dhingra</w:t>
            </w:r>
            <w:r>
              <w:rPr/>
              <w:t xml:space="preserve"> is our Interim Chief Financial Officer and Vice President of Accounting and Principal Accounting Officer. He is responsible for leading accounting, tax, and internal control functions at Lucid. Mr. Dhingra began his career at Ernst &amp; Young and has more than 20 years of experience in accounting and finance. Prior to joining us, Mr. Dhingra served as Chief Accounting Officer at Anaplan, an enterprise software company, where he was responsible for accounting, tax, treasury, stock administration, and procurement functions. Prior to Anaplan, Mr. Dhingra worked in various leadership roles with increased responsibilities at global organizations, including Seagate, McKesson, and Ernst &amp; Young. Mr. Dhingra is a Certified Public Accountant in California, a Chartered Accountant, and has an undergraduate degree in accounting from India.</w:t>
            </w:r>
          </w:p>
        </w:tc>
        <w:tc>
          <w:tcPr>
            <w:tcW w:w="155" w:type="dxa"/>
            <w:tcBorders>
              <w:bottom w:val="single" w:sz="6" w:space="0" w:color="000000"/>
            </w:tcBorders>
            <w:vAlign w:val="center"/>
          </w:tcPr>
          <w:p>
            <w:pPr>
              <w:pStyle w:val="TableContents"/>
              <w:bidi w:val="0"/>
              <w:spacing w:before="0" w:after="283"/>
              <w:jc w:val="left"/>
              <w:rPr/>
            </w:pPr>
            <w:r>
              <w:rPr/>
              <w:t>​</w:t>
            </w:r>
          </w:p>
        </w:tc>
      </w:tr>
    </w:tbl>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41</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85" w:type="dxa"/>
        <w:jc w:val="left"/>
        <w:tblInd w:w="720" w:type="dxa"/>
        <w:tblLayout w:type="fixed"/>
        <w:tblCellMar>
          <w:top w:w="0" w:type="dxa"/>
          <w:left w:w="0" w:type="dxa"/>
          <w:bottom w:w="0" w:type="dxa"/>
          <w:right w:w="0" w:type="dxa"/>
        </w:tblCellMar>
      </w:tblPr>
      <w:tblGrid>
        <w:gridCol w:w="124"/>
        <w:gridCol w:w="2491"/>
        <w:gridCol w:w="109"/>
        <w:gridCol w:w="109"/>
        <w:gridCol w:w="6497"/>
        <w:gridCol w:w="155"/>
      </w:tblGrid>
      <w:tr>
        <w:trPr/>
        <w:tc>
          <w:tcPr>
            <w:tcW w:w="124" w:type="dxa"/>
            <w:tcBorders/>
            <w:vAlign w:val="center"/>
          </w:tcPr>
          <w:p>
            <w:pPr>
              <w:pStyle w:val="TableContents"/>
              <w:bidi w:val="0"/>
              <w:spacing w:before="0" w:after="283"/>
              <w:jc w:val="left"/>
              <w:rPr/>
            </w:pPr>
            <w:r>
              <w:rPr/>
              <w:t>​</w:t>
            </w:r>
          </w:p>
        </w:tc>
        <w:tc>
          <w:tcPr>
            <w:tcW w:w="2491" w:type="dxa"/>
            <w:tcBorders/>
            <w:vAlign w:val="center"/>
          </w:tcPr>
          <w:p>
            <w:pPr>
              <w:pStyle w:val="TableContents"/>
              <w:bidi w:val="0"/>
              <w:spacing w:before="0" w:after="0"/>
              <w:jc w:val="left"/>
              <w:rPr/>
            </w:pPr>
            <w:r>
              <w:rPr/>
              <w:drawing>
                <wp:inline distT="0" distB="0" distL="0" distR="0">
                  <wp:extent cx="1524000" cy="1524000"/>
                  <wp:effectExtent l="0" t="0" r="0" b="0"/>
                  <wp:docPr id="12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37" descr=""/>
                          <pic:cNvPicPr>
                            <a:picLocks noChangeAspect="1" noChangeArrowheads="1"/>
                          </pic:cNvPicPr>
                        </pic:nvPicPr>
                        <pic:blipFill>
                          <a:blip r:embed="rId41"/>
                          <a:stretch>
                            <a:fillRect/>
                          </a:stretch>
                        </pic:blipFill>
                        <pic:spPr bwMode="auto">
                          <a:xfrm>
                            <a:off x="0" y="0"/>
                            <a:ext cx="1524000" cy="1524000"/>
                          </a:xfrm>
                          <a:prstGeom prst="rect">
                            <a:avLst/>
                          </a:prstGeom>
                        </pic:spPr>
                      </pic:pic>
                    </a:graphicData>
                  </a:graphic>
                </wp:inline>
              </w:drawing>
            </w:r>
            <w:r>
              <w:rPr/>
              <w:t xml:space="preserve"> </w:t>
            </w:r>
          </w:p>
          <w:p>
            <w:pPr>
              <w:pStyle w:val="TableContents"/>
              <w:bidi w:val="0"/>
              <w:spacing w:lineRule="atLeast" w:line="260" w:before="200" w:after="283"/>
              <w:jc w:val="left"/>
              <w:rPr>
                <w:b/>
                <w:sz w:val="24"/>
              </w:rPr>
            </w:pPr>
            <w:r>
              <w:rPr>
                <w:b/>
                <w:sz w:val="24"/>
              </w:rPr>
              <w:t>Marc Winterhoff</w:t>
            </w:r>
          </w:p>
          <w:p>
            <w:pPr>
              <w:pStyle w:val="TableContents"/>
              <w:bidi w:val="0"/>
              <w:spacing w:lineRule="atLeast" w:line="180" w:before="120" w:after="283"/>
              <w:jc w:val="left"/>
              <w:rPr>
                <w:sz w:val="16"/>
              </w:rPr>
            </w:pPr>
            <w:r>
              <w:rPr>
                <w:sz w:val="16"/>
              </w:rPr>
              <w:t>Chief Operating Officer</w:t>
            </w:r>
          </w:p>
          <w:p>
            <w:pPr>
              <w:pStyle w:val="TableContents"/>
              <w:bidi w:val="0"/>
              <w:spacing w:lineRule="atLeast" w:line="180" w:before="120" w:after="283"/>
              <w:jc w:val="left"/>
              <w:rPr>
                <w:sz w:val="16"/>
              </w:rPr>
            </w:pPr>
            <w:r>
              <w:rPr>
                <w:sz w:val="16"/>
              </w:rPr>
              <w:t xml:space="preserve">Age: 55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97" w:type="dxa"/>
            <w:tcBorders/>
            <w:vAlign w:val="center"/>
          </w:tcPr>
          <w:p>
            <w:pPr>
              <w:pStyle w:val="TableContents"/>
              <w:bidi w:val="0"/>
              <w:spacing w:lineRule="atLeast" w:line="220" w:before="0" w:after="0"/>
              <w:jc w:val="left"/>
              <w:rPr/>
            </w:pPr>
            <w:r>
              <w:rPr>
                <w:b/>
              </w:rPr>
              <w:t>Marc Winterhoff</w:t>
            </w:r>
            <w:r>
              <w:rPr/>
              <w:t xml:space="preserve"> is our Chief Operating Officer. In this role, Mr. Winterhoff focuses on driving operational efficiency, accelerating Lucid’s international expansion, enhancing the Company’s go-to-market strategy, and maturing its world-class manufacturing operations. Prior to joining us, Mr. Winterhoff was a partner at Roland Berger, the European management consultancy, where he focused on operational leadership for large automotive manufacturers; managing manufacturing and cost efficiency; introduction of sales, service, and new mobility concepts; and long-term strategies for renowned automotive brands.</w:t>
            </w:r>
          </w:p>
          <w:p>
            <w:pPr>
              <w:pStyle w:val="TableContents"/>
              <w:bidi w:val="0"/>
              <w:spacing w:lineRule="atLeast" w:line="220" w:before="120" w:after="283"/>
              <w:jc w:val="left"/>
              <w:rPr/>
            </w:pPr>
            <w:r>
              <w:rPr/>
              <w:t>Mr. Winterhoff holds a M.A. in electrical and electronics engineering and management from the Technische Universität Darmstadt.</w:t>
            </w:r>
          </w:p>
        </w:tc>
        <w:tc>
          <w:tcPr>
            <w:tcW w:w="155" w:type="dxa"/>
            <w:tcBorders/>
            <w:vAlign w:val="center"/>
          </w:tcPr>
          <w:p>
            <w:pPr>
              <w:pStyle w:val="TableContents"/>
              <w:bidi w:val="0"/>
              <w:spacing w:before="0" w:after="283"/>
              <w:jc w:val="left"/>
              <w:rPr/>
            </w:pPr>
            <w:r>
              <w:rPr/>
              <w:t>​</w:t>
            </w:r>
          </w:p>
        </w:tc>
      </w:tr>
    </w:tbl>
    <w:tbl>
      <w:tblPr>
        <w:tblW w:w="9485" w:type="dxa"/>
        <w:jc w:val="left"/>
        <w:tblInd w:w="720" w:type="dxa"/>
        <w:tblLayout w:type="fixed"/>
        <w:tblCellMar>
          <w:top w:w="0" w:type="dxa"/>
          <w:left w:w="0" w:type="dxa"/>
          <w:bottom w:w="0" w:type="dxa"/>
          <w:right w:w="0" w:type="dxa"/>
        </w:tblCellMar>
      </w:tblPr>
      <w:tblGrid>
        <w:gridCol w:w="124"/>
        <w:gridCol w:w="2535"/>
        <w:gridCol w:w="109"/>
        <w:gridCol w:w="109"/>
        <w:gridCol w:w="6453"/>
        <w:gridCol w:w="155"/>
      </w:tblGrid>
      <w:tr>
        <w:trPr/>
        <w:tc>
          <w:tcPr>
            <w:tcW w:w="124" w:type="dxa"/>
            <w:tcBorders/>
            <w:vAlign w:val="center"/>
          </w:tcPr>
          <w:p>
            <w:pPr>
              <w:pStyle w:val="TableContents"/>
              <w:bidi w:val="0"/>
              <w:spacing w:before="0" w:after="283"/>
              <w:jc w:val="left"/>
              <w:rPr/>
            </w:pPr>
            <w:r>
              <w:rPr/>
              <w:t>​</w:t>
            </w:r>
          </w:p>
        </w:tc>
        <w:tc>
          <w:tcPr>
            <w:tcW w:w="2535" w:type="dxa"/>
            <w:tcBorders/>
            <w:vAlign w:val="center"/>
          </w:tcPr>
          <w:p>
            <w:pPr>
              <w:pStyle w:val="TableContents"/>
              <w:bidi w:val="0"/>
              <w:spacing w:before="0" w:after="0"/>
              <w:jc w:val="center"/>
              <w:rPr/>
            </w:pPr>
            <w:r>
              <w:rPr/>
              <w:drawing>
                <wp:inline distT="0" distB="0" distL="0" distR="0">
                  <wp:extent cx="1552575" cy="1552575"/>
                  <wp:effectExtent l="0" t="0" r="0" b="0"/>
                  <wp:docPr id="12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38" descr=""/>
                          <pic:cNvPicPr>
                            <a:picLocks noChangeAspect="1" noChangeArrowheads="1"/>
                          </pic:cNvPicPr>
                        </pic:nvPicPr>
                        <pic:blipFill>
                          <a:blip r:embed="rId42"/>
                          <a:stretch>
                            <a:fillRect/>
                          </a:stretch>
                        </pic:blipFill>
                        <pic:spPr bwMode="auto">
                          <a:xfrm>
                            <a:off x="0" y="0"/>
                            <a:ext cx="1552575" cy="1552575"/>
                          </a:xfrm>
                          <a:prstGeom prst="rect">
                            <a:avLst/>
                          </a:prstGeom>
                        </pic:spPr>
                      </pic:pic>
                    </a:graphicData>
                  </a:graphic>
                </wp:inline>
              </w:drawing>
            </w:r>
            <w:r>
              <w:rPr/>
              <w:t xml:space="preserve"> </w:t>
            </w:r>
          </w:p>
          <w:p>
            <w:pPr>
              <w:pStyle w:val="TableContents"/>
              <w:bidi w:val="0"/>
              <w:spacing w:lineRule="atLeast" w:line="260" w:before="200" w:after="283"/>
              <w:jc w:val="left"/>
              <w:rPr>
                <w:b/>
                <w:sz w:val="24"/>
              </w:rPr>
            </w:pPr>
            <w:r>
              <w:rPr>
                <w:b/>
                <w:sz w:val="24"/>
              </w:rPr>
              <w:t>Eric Bach</w:t>
            </w:r>
          </w:p>
          <w:p>
            <w:pPr>
              <w:pStyle w:val="TableContents"/>
              <w:bidi w:val="0"/>
              <w:spacing w:lineRule="atLeast" w:line="180" w:before="120" w:after="283"/>
              <w:jc w:val="left"/>
              <w:rPr>
                <w:sz w:val="16"/>
              </w:rPr>
            </w:pPr>
            <w:r>
              <w:rPr>
                <w:sz w:val="16"/>
              </w:rPr>
              <w:t>Senior Vice President, Product</w:t>
              <w:br/>
              <w:t>and Chief Engineer</w:t>
            </w:r>
          </w:p>
          <w:p>
            <w:pPr>
              <w:pStyle w:val="TableContents"/>
              <w:bidi w:val="0"/>
              <w:spacing w:lineRule="atLeast" w:line="180" w:before="120" w:after="283"/>
              <w:jc w:val="left"/>
              <w:rPr>
                <w:sz w:val="16"/>
              </w:rPr>
            </w:pPr>
            <w:r>
              <w:rPr>
                <w:sz w:val="16"/>
              </w:rPr>
              <w:t xml:space="preserve">Age: 51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53" w:type="dxa"/>
            <w:tcBorders/>
            <w:vAlign w:val="center"/>
          </w:tcPr>
          <w:p>
            <w:pPr>
              <w:pStyle w:val="TableContents"/>
              <w:bidi w:val="0"/>
              <w:spacing w:lineRule="atLeast" w:line="220" w:before="0" w:after="0"/>
              <w:jc w:val="left"/>
              <w:rPr/>
            </w:pPr>
            <w:r>
              <w:rPr>
                <w:b/>
              </w:rPr>
              <w:t>Eric Bach</w:t>
            </w:r>
            <w:r>
              <w:rPr/>
              <w:t xml:space="preserve"> has served as our Senior Vice President, Product and Chief Engineer since March 2021. Mr. Bach previously served as our Vice President, Hardware Engineering from September 2018 to February 2021 and as Senior Director, Body Engineering from April 2015 to August 2018. Prior to joining us, Mr. Bach was Director of Engineering at Tesla, Inc. from January 2012 to March 2015. From 2000 to December 2011, he served in a variety of engineering and program leadership roles at Volkswagen AG in both Germany and the United States. Mr. Bach holds a Diplom-Ingenieur degree from Friedrich-Alexander University in Erlangen, Germany.</w:t>
            </w:r>
          </w:p>
        </w:tc>
        <w:tc>
          <w:tcPr>
            <w:tcW w:w="155" w:type="dxa"/>
            <w:tcBorders/>
            <w:vAlign w:val="center"/>
          </w:tcPr>
          <w:p>
            <w:pPr>
              <w:pStyle w:val="TableContents"/>
              <w:bidi w:val="0"/>
              <w:spacing w:before="0" w:after="283"/>
              <w:jc w:val="left"/>
              <w:rPr/>
            </w:pPr>
            <w:r>
              <w:rPr/>
              <w:t>​</w:t>
            </w:r>
          </w:p>
        </w:tc>
      </w:tr>
    </w:tbl>
    <w:tbl>
      <w:tblPr>
        <w:tblW w:w="9485" w:type="dxa"/>
        <w:jc w:val="left"/>
        <w:tblInd w:w="720" w:type="dxa"/>
        <w:tblLayout w:type="fixed"/>
        <w:tblCellMar>
          <w:top w:w="0" w:type="dxa"/>
          <w:left w:w="0" w:type="dxa"/>
          <w:bottom w:w="28" w:type="dxa"/>
          <w:right w:w="0" w:type="dxa"/>
        </w:tblCellMar>
      </w:tblPr>
      <w:tblGrid>
        <w:gridCol w:w="124"/>
        <w:gridCol w:w="2533"/>
        <w:gridCol w:w="109"/>
        <w:gridCol w:w="109"/>
        <w:gridCol w:w="6455"/>
        <w:gridCol w:w="155"/>
      </w:tblGrid>
      <w:tr>
        <w:trPr/>
        <w:tc>
          <w:tcPr>
            <w:tcW w:w="124" w:type="dxa"/>
            <w:tcBorders>
              <w:bottom w:val="single" w:sz="6" w:space="0" w:color="000000"/>
            </w:tcBorders>
            <w:vAlign w:val="center"/>
          </w:tcPr>
          <w:p>
            <w:pPr>
              <w:pStyle w:val="TableContents"/>
              <w:bidi w:val="0"/>
              <w:spacing w:before="0" w:after="283"/>
              <w:jc w:val="left"/>
              <w:rPr/>
            </w:pPr>
            <w:r>
              <w:rPr/>
              <w:t>​</w:t>
            </w:r>
          </w:p>
        </w:tc>
        <w:tc>
          <w:tcPr>
            <w:tcW w:w="2533" w:type="dxa"/>
            <w:tcBorders>
              <w:bottom w:val="single" w:sz="6" w:space="0" w:color="000000"/>
            </w:tcBorders>
            <w:tcMar>
              <w:bottom w:w="360" w:type="dxa"/>
            </w:tcMar>
            <w:vAlign w:val="center"/>
          </w:tcPr>
          <w:p>
            <w:pPr>
              <w:pStyle w:val="TableContents"/>
              <w:bidi w:val="0"/>
              <w:spacing w:before="0" w:after="0"/>
              <w:jc w:val="center"/>
              <w:rPr/>
            </w:pPr>
            <w:r>
              <w:rPr/>
              <w:drawing>
                <wp:inline distT="0" distB="0" distL="0" distR="0">
                  <wp:extent cx="1552575" cy="1552575"/>
                  <wp:effectExtent l="0" t="0" r="0" b="0"/>
                  <wp:docPr id="12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39" descr=""/>
                          <pic:cNvPicPr>
                            <a:picLocks noChangeAspect="1" noChangeArrowheads="1"/>
                          </pic:cNvPicPr>
                        </pic:nvPicPr>
                        <pic:blipFill>
                          <a:blip r:embed="rId43"/>
                          <a:stretch>
                            <a:fillRect/>
                          </a:stretch>
                        </pic:blipFill>
                        <pic:spPr bwMode="auto">
                          <a:xfrm>
                            <a:off x="0" y="0"/>
                            <a:ext cx="1552575" cy="1552575"/>
                          </a:xfrm>
                          <a:prstGeom prst="rect">
                            <a:avLst/>
                          </a:prstGeom>
                        </pic:spPr>
                      </pic:pic>
                    </a:graphicData>
                  </a:graphic>
                </wp:inline>
              </w:drawing>
            </w:r>
            <w:r>
              <w:rPr/>
              <w:t xml:space="preserve"> </w:t>
            </w:r>
          </w:p>
          <w:p>
            <w:pPr>
              <w:pStyle w:val="TableContents"/>
              <w:bidi w:val="0"/>
              <w:spacing w:lineRule="atLeast" w:line="260" w:before="400" w:after="283"/>
              <w:jc w:val="left"/>
              <w:rPr>
                <w:b/>
                <w:sz w:val="24"/>
              </w:rPr>
            </w:pPr>
            <w:r>
              <w:rPr>
                <w:b/>
                <w:sz w:val="24"/>
              </w:rPr>
              <w:t>Michael Bell</w:t>
            </w:r>
          </w:p>
          <w:p>
            <w:pPr>
              <w:pStyle w:val="TableContents"/>
              <w:bidi w:val="0"/>
              <w:spacing w:lineRule="atLeast" w:line="180" w:before="180" w:after="283"/>
              <w:jc w:val="left"/>
              <w:rPr>
                <w:sz w:val="16"/>
              </w:rPr>
            </w:pPr>
            <w:r>
              <w:rPr>
                <w:sz w:val="16"/>
              </w:rPr>
              <w:t>Senior Vice President, Digital</w:t>
            </w:r>
          </w:p>
          <w:p>
            <w:pPr>
              <w:pStyle w:val="TableContents"/>
              <w:bidi w:val="0"/>
              <w:spacing w:lineRule="atLeast" w:line="180" w:before="180" w:after="283"/>
              <w:jc w:val="left"/>
              <w:rPr>
                <w:sz w:val="16"/>
              </w:rPr>
            </w:pPr>
            <w:r>
              <w:rPr>
                <w:sz w:val="16"/>
              </w:rPr>
              <w:t xml:space="preserve">Age: 57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6455" w:type="dxa"/>
            <w:tcBorders>
              <w:bottom w:val="single" w:sz="6" w:space="0" w:color="000000"/>
            </w:tcBorders>
            <w:tcMar>
              <w:bottom w:w="360" w:type="dxa"/>
            </w:tcMar>
            <w:vAlign w:val="center"/>
          </w:tcPr>
          <w:p>
            <w:pPr>
              <w:pStyle w:val="TableContents"/>
              <w:bidi w:val="0"/>
              <w:spacing w:lineRule="atLeast" w:line="220" w:before="0" w:after="0"/>
              <w:jc w:val="left"/>
              <w:rPr/>
            </w:pPr>
            <w:r>
              <w:rPr>
                <w:b/>
              </w:rPr>
              <w:t>Michael Bell</w:t>
            </w:r>
            <w:r>
              <w:rPr/>
              <w:t xml:space="preserve"> has served as our Senior Vice President, Digital since February 2021, and served as our consultant from August 2020 to February 2021. Prior to joining us, Mr. Bell served as Chief Technology Officer of electric vehicle startup Rivian, LLC from June 2019 until February 2020, and as the Chief Executive Officer and President of Silver Spring Networks, Inc., a networking platform and solutions provider for smart energy networks, from September 2015 until January 2018. Previously, from 2010 to 2015, he held various roles at Intel Corporation, a multinational technology corporation specializing in the production of semiconductor chips, including Corporate Vice President New Devices Group, Corporate VP Mobile and Communications Group and Corporate Vice President Ultra Mobility Group, and was head of Product Development at Palm, Inc. from 2007 to 2010. Mr. Bell worked at Apple, Inc. from 1991 to 2007 and played significant roles in the development of Apple iPhone, iMac, AirPort and Apple TV products, serving as Vice President, CPU Software from 2002 to 2007. Mr. Bell has served on the board of directors of iRobot Corporation, a leading consumer robotics company, from March 2016 to May 2022. Mr. Bell holds a B.S. from the University of Pennsylvania.</w:t>
            </w:r>
          </w:p>
        </w:tc>
        <w:tc>
          <w:tcPr>
            <w:tcW w:w="155" w:type="dxa"/>
            <w:tcBorders>
              <w:bottom w:val="single" w:sz="6" w:space="0" w:color="000000"/>
            </w:tcBorders>
            <w:vAlign w:val="center"/>
          </w:tcPr>
          <w:p>
            <w:pPr>
              <w:pStyle w:val="TableContents"/>
              <w:bidi w:val="0"/>
              <w:spacing w:before="0" w:after="283"/>
              <w:jc w:val="left"/>
              <w:rPr/>
            </w:pPr>
            <w:r>
              <w:rPr/>
              <w:t>​</w:t>
            </w:r>
          </w:p>
        </w:tc>
      </w:tr>
    </w:tbl>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42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CDAA"/>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283"/>
        <w:ind w:left="720" w:right="0" w:hanging="0"/>
        <w:jc w:val="left"/>
        <w:rPr>
          <w:rFonts w:ascii="Times New Roman;Garamond;serif" w:hAnsi="Times New Roman;Garamond;serif"/>
          <w:b/>
          <w:i w:val="false"/>
          <w:caps w:val="false"/>
          <w:smallCaps w:val="false"/>
          <w:color w:val="000000"/>
          <w:sz w:val="40"/>
        </w:rPr>
      </w:pPr>
      <w:r>
        <w:rPr>
          <w:rFonts w:ascii="Times New Roman;Garamond;serif" w:hAnsi="Times New Roman;Garamond;serif"/>
          <w:b/>
          <w:i w:val="false"/>
          <w:caps w:val="false"/>
          <w:smallCaps w:val="false"/>
          <w:color w:val="000000"/>
          <w:sz w:val="40"/>
        </w:rPr>
        <w:t>C</w:t>
      </w:r>
      <w:r>
        <w:rPr>
          <w:rFonts w:ascii="Times New Roman;Garamond;serif" w:hAnsi="Times New Roman;Garamond;serif"/>
          <w:b/>
          <w:i w:val="false"/>
          <w:caps w:val="false"/>
          <w:smallCaps w:val="false"/>
          <w:color w:val="000000"/>
          <w:sz w:val="40"/>
        </w:rPr>
        <w:t>OMPENSATION</w:t>
      </w:r>
      <w:r>
        <w:rPr>
          <w:rFonts w:ascii="Times New Roman;Garamond;serif" w:hAnsi="Times New Roman;Garamond;serif"/>
          <w:b/>
          <w:i w:val="false"/>
          <w:caps w:val="false"/>
          <w:smallCaps w:val="false"/>
          <w:color w:val="000000"/>
          <w:sz w:val="40"/>
        </w:rPr>
        <w:t xml:space="preserve"> D</w:t>
      </w:r>
      <w:r>
        <w:rPr>
          <w:rFonts w:ascii="Times New Roman;Garamond;serif" w:hAnsi="Times New Roman;Garamond;serif"/>
          <w:b/>
          <w:i w:val="false"/>
          <w:caps w:val="false"/>
          <w:smallCaps w:val="false"/>
          <w:color w:val="000000"/>
          <w:sz w:val="40"/>
        </w:rPr>
        <w:t>ISCUSSION AND</w:t>
      </w:r>
      <w:r>
        <w:rPr>
          <w:rFonts w:ascii="Times New Roman;Garamond;serif" w:hAnsi="Times New Roman;Garamond;serif"/>
          <w:b/>
          <w:i w:val="false"/>
          <w:caps w:val="false"/>
          <w:smallCaps w:val="false"/>
          <w:color w:val="000000"/>
          <w:sz w:val="40"/>
        </w:rPr>
        <w:t xml:space="preserve"> A</w:t>
      </w:r>
      <w:r>
        <w:rPr>
          <w:rFonts w:ascii="Times New Roman;Garamond;serif" w:hAnsi="Times New Roman;Garamond;serif"/>
          <w:b/>
          <w:i w:val="false"/>
          <w:caps w:val="false"/>
          <w:smallCaps w:val="false"/>
          <w:color w:val="000000"/>
          <w:sz w:val="40"/>
        </w:rPr>
        <w:t>NALYSIS</w:t>
      </w:r>
      <w:r>
        <w:rPr>
          <w:rFonts w:ascii="Times New Roman;Garamond;serif" w:hAnsi="Times New Roman;Garamond;serif"/>
          <w:b/>
          <w:i w:val="false"/>
          <w:caps w:val="false"/>
          <w:smallCaps w:val="false"/>
          <w:color w:val="000000"/>
          <w:spacing w:val="8"/>
          <w:sz w:val="40"/>
        </w:rPr>
        <w:t xml:space="preserve"> </w:t>
      </w:r>
    </w:p>
    <w:p>
      <w:pPr>
        <w:pStyle w:val="TextBody"/>
        <w:bidi w:val="0"/>
        <w:spacing w:lineRule="atLeast" w:line="200" w:before="40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Overview</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This Compensation Discussion and Analysis (“CD&amp;A”) describes our executive compensation program in 2023 for our named executive officers (“NEOs”), including our compensation philosophy and process, the objectives and elements of the program, and the material factors considered in making compensation decisions.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Our NEOs for 2023 included (i) Peter Rawlinson, our Chief Executive Officer and Chief Technology Officer (“CEO”), (ii) Gagan Dhingra, our Vice President of Accounting and Principal Accounting Officer, who became our Interim Chief Financial Officer effective December 11, 2023, (iii) Marc Winterhoff, our Chief Operating Officer, who commenced employment with us on December 4, 2023, (iv) Eric Bach, our Senior Vice President, Product and Chief Engineer, (v) Michael Bell, our Senior Vice President, Digital, and (vi) Sherry House, our former Chief Financial Officer, who stepped down from the position on December 11, 2023 and terminated employment with us at the end of the year.</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Business Highlights and Key Accomplishments for 2023</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During fiscal year 2023, we significantly advanced our strategic initiatives and continued to set new standards and achieve recognition for our luxury electric vehicles.</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28" w:type="dxa"/>
          <w:right w:w="0" w:type="dxa"/>
        </w:tblCellMar>
      </w:tblPr>
      <w:tblGrid>
        <w:gridCol w:w="124"/>
        <w:gridCol w:w="3862"/>
        <w:gridCol w:w="109"/>
        <w:gridCol w:w="109"/>
        <w:gridCol w:w="5126"/>
        <w:gridCol w:w="155"/>
      </w:tblGrid>
      <w:tr>
        <w:trPr/>
        <w:tc>
          <w:tcPr>
            <w:tcW w:w="124" w:type="dxa"/>
            <w:tcBorders>
              <w:bottom w:val="single" w:sz="6" w:space="0" w:color="000000"/>
            </w:tcBorders>
            <w:vAlign w:val="center"/>
          </w:tcPr>
          <w:p>
            <w:pPr>
              <w:pStyle w:val="TableContents"/>
              <w:bidi w:val="0"/>
              <w:spacing w:before="0" w:after="283"/>
              <w:jc w:val="left"/>
              <w:rPr/>
            </w:pPr>
            <w:r>
              <w:rPr/>
              <w:t>​</w:t>
            </w:r>
          </w:p>
        </w:tc>
        <w:tc>
          <w:tcPr>
            <w:tcW w:w="3862" w:type="dxa"/>
            <w:tcBorders>
              <w:bottom w:val="single" w:sz="6" w:space="0" w:color="000000"/>
            </w:tcBorders>
            <w:tcMar>
              <w:bottom w:w="138" w:type="dxa"/>
            </w:tcMar>
            <w:vAlign w:val="center"/>
          </w:tcPr>
          <w:p>
            <w:pPr>
              <w:pStyle w:val="TableContents"/>
              <w:bidi w:val="0"/>
              <w:spacing w:before="0" w:after="0"/>
              <w:jc w:val="left"/>
              <w:rPr/>
            </w:pPr>
            <w:r>
              <w:rPr/>
              <w:drawing>
                <wp:inline distT="0" distB="0" distL="0" distR="0">
                  <wp:extent cx="1028700" cy="1276350"/>
                  <wp:effectExtent l="0" t="0" r="0" b="0"/>
                  <wp:docPr id="12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40" descr=""/>
                          <pic:cNvPicPr>
                            <a:picLocks noChangeAspect="1" noChangeArrowheads="1"/>
                          </pic:cNvPicPr>
                        </pic:nvPicPr>
                        <pic:blipFill>
                          <a:blip r:embed="rId44"/>
                          <a:stretch>
                            <a:fillRect/>
                          </a:stretch>
                        </pic:blipFill>
                        <pic:spPr bwMode="auto">
                          <a:xfrm>
                            <a:off x="0" y="0"/>
                            <a:ext cx="1028700" cy="1276350"/>
                          </a:xfrm>
                          <a:prstGeom prst="rect">
                            <a:avLst/>
                          </a:prstGeom>
                        </pic:spPr>
                      </pic:pic>
                    </a:graphicData>
                  </a:graphic>
                </wp:inline>
              </w:drawing>
            </w:r>
            <w:r>
              <w:rPr/>
              <w:t xml:space="preserve"> </w:t>
            </w:r>
          </w:p>
          <w:p>
            <w:pPr>
              <w:pStyle w:val="TableContents"/>
              <w:bidi w:val="0"/>
              <w:spacing w:lineRule="atLeast" w:line="180" w:before="200" w:after="283"/>
              <w:jc w:val="left"/>
              <w:rPr>
                <w:b/>
              </w:rPr>
            </w:pPr>
            <w:r>
              <w:rPr>
                <w:b/>
              </w:rPr>
              <w:t>Awards</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5126" w:type="dxa"/>
            <w:tcBorders>
              <w:bottom w:val="single" w:sz="6" w:space="0" w:color="000000"/>
            </w:tcBorders>
            <w:tcMar>
              <w:bottom w:w="138" w:type="dxa"/>
            </w:tcMar>
            <w:vAlign w:val="center"/>
          </w:tcPr>
          <w:p>
            <w:pPr>
              <w:pStyle w:val="TableContents"/>
              <w:bidi w:val="0"/>
              <w:spacing w:lineRule="atLeast" w:line="180" w:before="0" w:after="0"/>
              <w:ind w:left="160" w:right="0" w:hanging="0"/>
              <w:jc w:val="left"/>
              <w:rPr/>
            </w:pPr>
            <w:r>
              <w:rPr/>
              <w:t xml:space="preserve">In Lucid Air Pure’s first year of eligibility, </w:t>
            </w:r>
            <w:r>
              <w:rPr>
                <w:i/>
              </w:rPr>
              <w:t>Car and Driver</w:t>
            </w:r>
            <w:r>
              <w:rPr/>
              <w:t xml:space="preserve"> selected the Pure to join its esteemed 10Best List for 2024, which recognizes vehicles that have impressed editors with their respective combinations of value, performance, innovation, and overall driving experience.</w:t>
            </w:r>
            <w:r>
              <mc:AlternateContent>
                <mc:Choice Requires="wps">
                  <w:drawing>
                    <wp:anchor behindDoc="0" distT="0" distB="0" distL="0" distR="0" simplePos="0" locked="0" layoutInCell="1" allowOverlap="1" relativeHeight="156">
                      <wp:simplePos x="0" y="0"/>
                      <wp:positionH relativeFrom="column">
                        <wp:align>left</wp:align>
                      </wp:positionH>
                      <wp:positionV relativeFrom="line">
                        <wp:posOffset>635</wp:posOffset>
                      </wp:positionV>
                      <wp:extent cx="101600" cy="525780"/>
                      <wp:effectExtent l="0" t="0" r="0" b="0"/>
                      <wp:wrapSquare wrapText="right"/>
                      <wp:docPr id="128" name="Frame85"/>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60" w:right="0" w:hanging="0"/>
              <w:jc w:val="left"/>
              <w:rPr/>
            </w:pPr>
            <w:r>
              <w:rPr/>
              <w:t xml:space="preserve">Lucid Air was named the 2023 World Luxury Car of the Year in the prestigious 2023 World Car Awards. </w:t>
            </w:r>
            <w:r>
              <mc:AlternateContent>
                <mc:Choice Requires="wps">
                  <w:drawing>
                    <wp:anchor behindDoc="0" distT="88900" distB="0" distL="0" distR="0" simplePos="0" locked="0" layoutInCell="1" allowOverlap="1" relativeHeight="157">
                      <wp:simplePos x="0" y="0"/>
                      <wp:positionH relativeFrom="column">
                        <wp:align>left</wp:align>
                      </wp:positionH>
                      <wp:positionV relativeFrom="line">
                        <wp:align>top</wp:align>
                      </wp:positionV>
                      <wp:extent cx="101600" cy="525780"/>
                      <wp:effectExtent l="0" t="0" r="0" b="0"/>
                      <wp:wrapSquare wrapText="right"/>
                      <wp:docPr id="129" name="Frame86"/>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vAlign w:val="center"/>
          </w:tcPr>
          <w:p>
            <w:pPr>
              <w:pStyle w:val="TableContents"/>
              <w:bidi w:val="0"/>
              <w:spacing w:before="0" w:after="283"/>
              <w:jc w:val="left"/>
              <w:rPr/>
            </w:pPr>
            <w:r>
              <w:rPr/>
              <w:t>​</w:t>
            </w:r>
          </w:p>
        </w:tc>
        <w:tc>
          <w:tcPr>
            <w:tcW w:w="3862" w:type="dxa"/>
            <w:tcBorders>
              <w:bottom w:val="single" w:sz="6" w:space="0" w:color="000000"/>
            </w:tcBorders>
            <w:shd w:fill="F7F7F7" w:val="clear"/>
            <w:tcMar>
              <w:bottom w:w="138" w:type="dxa"/>
            </w:tcMar>
            <w:vAlign w:val="center"/>
          </w:tcPr>
          <w:p>
            <w:pPr>
              <w:pStyle w:val="TableContents"/>
              <w:bidi w:val="0"/>
              <w:spacing w:before="0" w:after="283"/>
              <w:jc w:val="left"/>
              <w:rPr/>
            </w:pPr>
            <w:r>
              <w:rPr/>
              <w:drawing>
                <wp:inline distT="0" distB="0" distL="0" distR="0">
                  <wp:extent cx="2162175" cy="847725"/>
                  <wp:effectExtent l="0" t="0" r="0" b="0"/>
                  <wp:docPr id="13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41" descr=""/>
                          <pic:cNvPicPr>
                            <a:picLocks noChangeAspect="1" noChangeArrowheads="1"/>
                          </pic:cNvPicPr>
                        </pic:nvPicPr>
                        <pic:blipFill>
                          <a:blip r:embed="rId45"/>
                          <a:stretch>
                            <a:fillRect/>
                          </a:stretch>
                        </pic:blipFill>
                        <pic:spPr bwMode="auto">
                          <a:xfrm>
                            <a:off x="0" y="0"/>
                            <a:ext cx="2162175" cy="847725"/>
                          </a:xfrm>
                          <a:prstGeom prst="rect">
                            <a:avLst/>
                          </a:prstGeom>
                        </pic:spPr>
                      </pic:pic>
                    </a:graphicData>
                  </a:graphic>
                </wp:inline>
              </w:drawing>
            </w:r>
            <w:r>
              <w:rPr/>
              <w:t xml:space="preserve"> </w:t>
            </w:r>
          </w:p>
          <w:p>
            <w:pPr>
              <w:pStyle w:val="TableContents"/>
              <w:bidi w:val="0"/>
              <w:spacing w:lineRule="atLeast" w:line="180" w:before="200" w:after="283"/>
              <w:jc w:val="left"/>
              <w:rPr>
                <w:b/>
              </w:rPr>
            </w:pPr>
            <w:r>
              <w:rPr>
                <w:b/>
              </w:rPr>
              <w:t>Completed the Lucid Air Lineup</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5126" w:type="dxa"/>
            <w:tcBorders>
              <w:bottom w:val="single" w:sz="6" w:space="0" w:color="000000"/>
            </w:tcBorders>
            <w:shd w:fill="F7F7F7" w:val="clear"/>
            <w:tcMar>
              <w:bottom w:w="138" w:type="dxa"/>
            </w:tcMar>
            <w:vAlign w:val="center"/>
          </w:tcPr>
          <w:p>
            <w:pPr>
              <w:pStyle w:val="TableContents"/>
              <w:bidi w:val="0"/>
              <w:spacing w:lineRule="atLeast" w:line="160" w:before="0" w:after="0"/>
              <w:jc w:val="left"/>
              <w:rPr/>
            </w:pPr>
            <w:r>
              <w:rPr/>
              <w:t>The Air lineup offers an unprecedented range of capability:</w:t>
            </w:r>
            <w:r>
              <w:rPr>
                <w:sz w:val="10"/>
              </w:rPr>
              <w:t>(1)</w:t>
            </w:r>
          </w:p>
          <w:p>
            <w:pPr>
              <w:pStyle w:val="TableContents"/>
              <w:bidi w:val="0"/>
              <w:spacing w:lineRule="atLeast" w:line="180" w:before="140" w:after="0"/>
              <w:ind w:left="160" w:right="0" w:hanging="0"/>
              <w:jc w:val="left"/>
              <w:rPr/>
            </w:pPr>
            <w:r>
              <w:rPr>
                <w:b/>
              </w:rPr>
              <w:t>Air Pure</w:t>
            </w:r>
            <w:r>
              <w:rPr/>
              <w:t>, the most range-efficient electric vehicle on the U.S. market with 430 horsepower and an EPA-estimated range of 419 miles;</w:t>
            </w:r>
            <w:r>
              <mc:AlternateContent>
                <mc:Choice Requires="wps">
                  <w:drawing>
                    <wp:anchor behindDoc="0" distT="88900" distB="0" distL="0" distR="0" simplePos="0" locked="0" layoutInCell="1" allowOverlap="1" relativeHeight="158">
                      <wp:simplePos x="0" y="0"/>
                      <wp:positionH relativeFrom="column">
                        <wp:align>left</wp:align>
                      </wp:positionH>
                      <wp:positionV relativeFrom="line">
                        <wp:align>top</wp:align>
                      </wp:positionV>
                      <wp:extent cx="101600" cy="525780"/>
                      <wp:effectExtent l="0" t="0" r="0" b="0"/>
                      <wp:wrapSquare wrapText="right"/>
                      <wp:docPr id="131" name="Frame87"/>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60" w:right="0" w:hanging="0"/>
              <w:jc w:val="left"/>
              <w:rPr/>
            </w:pPr>
            <w:r>
              <w:rPr>
                <w:b/>
              </w:rPr>
              <w:t>Air Touring</w:t>
            </w:r>
            <w:r>
              <w:rPr/>
              <w:t>, the most well-rounded electric vehicle on the market with 620 horsepower and an EPA-estimated range of 411 miles;</w:t>
            </w:r>
            <w:r>
              <mc:AlternateContent>
                <mc:Choice Requires="wps">
                  <w:drawing>
                    <wp:anchor behindDoc="0" distT="88900" distB="0" distL="0" distR="0" simplePos="0" locked="0" layoutInCell="1" allowOverlap="1" relativeHeight="159">
                      <wp:simplePos x="0" y="0"/>
                      <wp:positionH relativeFrom="column">
                        <wp:align>left</wp:align>
                      </wp:positionH>
                      <wp:positionV relativeFrom="line">
                        <wp:align>top</wp:align>
                      </wp:positionV>
                      <wp:extent cx="101600" cy="525780"/>
                      <wp:effectExtent l="0" t="0" r="0" b="0"/>
                      <wp:wrapSquare wrapText="right"/>
                      <wp:docPr id="132" name="Frame88"/>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60" w:right="0" w:hanging="0"/>
              <w:jc w:val="left"/>
              <w:rPr/>
            </w:pPr>
            <w:r>
              <w:rPr>
                <w:b/>
              </w:rPr>
              <w:t>Air Grand Touring</w:t>
            </w:r>
            <w:r>
              <w:rPr/>
              <w:t>, the longest-range electric vehicle on the U.S. market with an EPA-estimated range of 516 miles and 819 horsepower; and</w:t>
            </w:r>
            <w:r>
              <mc:AlternateContent>
                <mc:Choice Requires="wps">
                  <w:drawing>
                    <wp:anchor behindDoc="0" distT="88900" distB="0" distL="0" distR="0" simplePos="0" locked="0" layoutInCell="1" allowOverlap="1" relativeHeight="160">
                      <wp:simplePos x="0" y="0"/>
                      <wp:positionH relativeFrom="column">
                        <wp:align>left</wp:align>
                      </wp:positionH>
                      <wp:positionV relativeFrom="line">
                        <wp:align>top</wp:align>
                      </wp:positionV>
                      <wp:extent cx="101600" cy="525780"/>
                      <wp:effectExtent l="0" t="0" r="0" b="0"/>
                      <wp:wrapSquare wrapText="right"/>
                      <wp:docPr id="133" name="Frame89"/>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60" w:right="0" w:hanging="0"/>
              <w:jc w:val="left"/>
              <w:rPr/>
            </w:pPr>
            <w:r>
              <w:rPr>
                <w:b/>
              </w:rPr>
              <w:t>Air Sapphire</w:t>
            </w:r>
            <w:r>
              <w:rPr/>
              <w:t xml:space="preserve">, one of the most powerful four-door cars on the market with 1,234 horsepower, 0-60 mph acceleration in 1.89 seconds, and an EPA-estimated range of 427 miles. </w:t>
            </w:r>
            <w:r>
              <mc:AlternateContent>
                <mc:Choice Requires="wps">
                  <w:drawing>
                    <wp:anchor behindDoc="0" distT="88900" distB="0" distL="0" distR="0" simplePos="0" locked="0" layoutInCell="1" allowOverlap="1" relativeHeight="161">
                      <wp:simplePos x="0" y="0"/>
                      <wp:positionH relativeFrom="column">
                        <wp:align>left</wp:align>
                      </wp:positionH>
                      <wp:positionV relativeFrom="line">
                        <wp:align>top</wp:align>
                      </wp:positionV>
                      <wp:extent cx="101600" cy="525780"/>
                      <wp:effectExtent l="0" t="0" r="0" b="0"/>
                      <wp:wrapSquare wrapText="right"/>
                      <wp:docPr id="134" name="Frame90"/>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shd w:fill="F7F7F7"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3862" w:type="dxa"/>
            <w:tcBorders>
              <w:bottom w:val="single" w:sz="6" w:space="0" w:color="000000"/>
            </w:tcBorders>
            <w:tcMar>
              <w:bottom w:w="138" w:type="dxa"/>
            </w:tcMar>
            <w:vAlign w:val="center"/>
          </w:tcPr>
          <w:p>
            <w:pPr>
              <w:pStyle w:val="TableContents"/>
              <w:bidi w:val="0"/>
              <w:spacing w:before="0" w:after="0"/>
              <w:jc w:val="left"/>
              <w:rPr/>
            </w:pPr>
            <w:r>
              <w:rPr/>
              <w:drawing>
                <wp:inline distT="0" distB="0" distL="0" distR="0">
                  <wp:extent cx="2162175" cy="847725"/>
                  <wp:effectExtent l="0" t="0" r="0" b="0"/>
                  <wp:docPr id="13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42" descr=""/>
                          <pic:cNvPicPr>
                            <a:picLocks noChangeAspect="1" noChangeArrowheads="1"/>
                          </pic:cNvPicPr>
                        </pic:nvPicPr>
                        <pic:blipFill>
                          <a:blip r:embed="rId46"/>
                          <a:stretch>
                            <a:fillRect/>
                          </a:stretch>
                        </pic:blipFill>
                        <pic:spPr bwMode="auto">
                          <a:xfrm>
                            <a:off x="0" y="0"/>
                            <a:ext cx="2162175" cy="847725"/>
                          </a:xfrm>
                          <a:prstGeom prst="rect">
                            <a:avLst/>
                          </a:prstGeom>
                        </pic:spPr>
                      </pic:pic>
                    </a:graphicData>
                  </a:graphic>
                </wp:inline>
              </w:drawing>
            </w:r>
            <w:r>
              <w:rPr/>
              <w:t xml:space="preserve"> </w:t>
            </w:r>
          </w:p>
          <w:p>
            <w:pPr>
              <w:pStyle w:val="TableContents"/>
              <w:bidi w:val="0"/>
              <w:spacing w:lineRule="atLeast" w:line="180" w:before="200" w:after="283"/>
              <w:jc w:val="left"/>
              <w:rPr>
                <w:b/>
              </w:rPr>
            </w:pPr>
            <w:r>
              <w:rPr>
                <w:b/>
              </w:rPr>
              <w:t>Introducing the Lucid Gravity: Redefining the Electric SUV</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5126" w:type="dxa"/>
            <w:tcBorders>
              <w:bottom w:val="single" w:sz="6" w:space="0" w:color="000000"/>
            </w:tcBorders>
            <w:tcMar>
              <w:bottom w:w="138" w:type="dxa"/>
            </w:tcMar>
            <w:vAlign w:val="center"/>
          </w:tcPr>
          <w:p>
            <w:pPr>
              <w:pStyle w:val="TableContents"/>
              <w:bidi w:val="0"/>
              <w:spacing w:lineRule="atLeast" w:line="180" w:before="0" w:after="0"/>
              <w:ind w:left="160" w:right="0" w:hanging="0"/>
              <w:jc w:val="left"/>
              <w:rPr/>
            </w:pPr>
            <w:r>
              <w:rPr/>
              <w:t xml:space="preserve">We unveiled the Lucid Gravity electric sport utility vehicle (SUV) to the public in November 2023. The Gravity is configurable as a three-row luxury SUV with space for up to seven adults and their gear and a projected driving range of at least 440 miles for our longest-range trim. </w:t>
            </w:r>
            <w:r>
              <mc:AlternateContent>
                <mc:Choice Requires="wps">
                  <w:drawing>
                    <wp:anchor behindDoc="0" distT="0" distB="0" distL="0" distR="0" simplePos="0" locked="0" layoutInCell="1" allowOverlap="1" relativeHeight="162">
                      <wp:simplePos x="0" y="0"/>
                      <wp:positionH relativeFrom="column">
                        <wp:align>left</wp:align>
                      </wp:positionH>
                      <wp:positionV relativeFrom="line">
                        <wp:posOffset>635</wp:posOffset>
                      </wp:positionV>
                      <wp:extent cx="101600" cy="525780"/>
                      <wp:effectExtent l="0" t="0" r="0" b="0"/>
                      <wp:wrapSquare wrapText="right"/>
                      <wp:docPr id="136" name="Frame91"/>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bl>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43</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85" w:type="dxa"/>
        <w:jc w:val="left"/>
        <w:tblInd w:w="720" w:type="dxa"/>
        <w:tblLayout w:type="fixed"/>
        <w:tblCellMar>
          <w:top w:w="0" w:type="dxa"/>
          <w:left w:w="0" w:type="dxa"/>
          <w:bottom w:w="28" w:type="dxa"/>
          <w:right w:w="0" w:type="dxa"/>
        </w:tblCellMar>
      </w:tblPr>
      <w:tblGrid>
        <w:gridCol w:w="124"/>
        <w:gridCol w:w="3779"/>
        <w:gridCol w:w="109"/>
        <w:gridCol w:w="109"/>
        <w:gridCol w:w="5209"/>
        <w:gridCol w:w="155"/>
      </w:tblGrid>
      <w:tr>
        <w:trPr/>
        <w:tc>
          <w:tcPr>
            <w:tcW w:w="124" w:type="dxa"/>
            <w:tcBorders>
              <w:bottom w:val="single" w:sz="6" w:space="0" w:color="000000"/>
            </w:tcBorders>
            <w:shd w:fill="F7F7F7" w:val="clear"/>
            <w:vAlign w:val="center"/>
          </w:tcPr>
          <w:p>
            <w:pPr>
              <w:pStyle w:val="TableContents"/>
              <w:bidi w:val="0"/>
              <w:spacing w:before="0" w:after="283"/>
              <w:jc w:val="left"/>
              <w:rPr/>
            </w:pPr>
            <w:r>
              <w:rPr/>
              <w:t>​</w:t>
            </w:r>
          </w:p>
        </w:tc>
        <w:tc>
          <w:tcPr>
            <w:tcW w:w="3779" w:type="dxa"/>
            <w:tcBorders>
              <w:bottom w:val="single" w:sz="6" w:space="0" w:color="000000"/>
            </w:tcBorders>
            <w:shd w:fill="F7F7F7" w:val="clear"/>
            <w:tcMar>
              <w:bottom w:w="138" w:type="dxa"/>
            </w:tcMar>
            <w:vAlign w:val="center"/>
          </w:tcPr>
          <w:p>
            <w:pPr>
              <w:pStyle w:val="TableContents"/>
              <w:bidi w:val="0"/>
              <w:spacing w:before="100" w:after="283"/>
              <w:jc w:val="left"/>
              <w:rPr/>
            </w:pPr>
            <w:r>
              <w:rPr/>
              <w:drawing>
                <wp:inline distT="0" distB="0" distL="0" distR="0">
                  <wp:extent cx="2162175" cy="847725"/>
                  <wp:effectExtent l="0" t="0" r="0" b="0"/>
                  <wp:docPr id="13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43" descr=""/>
                          <pic:cNvPicPr>
                            <a:picLocks noChangeAspect="1" noChangeArrowheads="1"/>
                          </pic:cNvPicPr>
                        </pic:nvPicPr>
                        <pic:blipFill>
                          <a:blip r:embed="rId47"/>
                          <a:stretch>
                            <a:fillRect/>
                          </a:stretch>
                        </pic:blipFill>
                        <pic:spPr bwMode="auto">
                          <a:xfrm>
                            <a:off x="0" y="0"/>
                            <a:ext cx="2162175" cy="847725"/>
                          </a:xfrm>
                          <a:prstGeom prst="rect">
                            <a:avLst/>
                          </a:prstGeom>
                        </pic:spPr>
                      </pic:pic>
                    </a:graphicData>
                  </a:graphic>
                </wp:inline>
              </w:drawing>
            </w:r>
            <w:r>
              <w:rPr/>
              <w:t xml:space="preserve"> </w:t>
            </w:r>
          </w:p>
          <w:p>
            <w:pPr>
              <w:pStyle w:val="TableContents"/>
              <w:bidi w:val="0"/>
              <w:spacing w:lineRule="atLeast" w:line="180" w:before="140" w:after="283"/>
              <w:jc w:val="left"/>
              <w:rPr>
                <w:b/>
              </w:rPr>
            </w:pPr>
            <w:r>
              <w:rPr>
                <w:b/>
              </w:rPr>
              <w:t>Superior In-House Developed Software</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5209" w:type="dxa"/>
            <w:tcBorders>
              <w:bottom w:val="single" w:sz="6" w:space="0" w:color="000000"/>
            </w:tcBorders>
            <w:shd w:fill="F7F7F7" w:val="clear"/>
            <w:tcMar>
              <w:bottom w:w="138" w:type="dxa"/>
            </w:tcMar>
            <w:vAlign w:val="center"/>
          </w:tcPr>
          <w:p>
            <w:pPr>
              <w:pStyle w:val="TableContents"/>
              <w:bidi w:val="0"/>
              <w:spacing w:lineRule="atLeast" w:line="180" w:before="0" w:after="0"/>
              <w:ind w:left="160" w:right="0" w:hanging="0"/>
              <w:jc w:val="left"/>
              <w:rPr/>
            </w:pPr>
            <w:r>
              <w:rPr/>
              <w:t xml:space="preserve">The Lucid Air is a truly software-defined vehicle with powerful over-the-air software capability, enabling the Air to evolve over time with additional features and enhancements long after customer delivery. </w:t>
            </w:r>
            <w:r>
              <mc:AlternateContent>
                <mc:Choice Requires="wps">
                  <w:drawing>
                    <wp:anchor behindDoc="0" distT="0" distB="0" distL="0" distR="0" simplePos="0" locked="0" layoutInCell="1" allowOverlap="1" relativeHeight="163">
                      <wp:simplePos x="0" y="0"/>
                      <wp:positionH relativeFrom="column">
                        <wp:align>left</wp:align>
                      </wp:positionH>
                      <wp:positionV relativeFrom="line">
                        <wp:posOffset>635</wp:posOffset>
                      </wp:positionV>
                      <wp:extent cx="101600" cy="525780"/>
                      <wp:effectExtent l="0" t="0" r="0" b="0"/>
                      <wp:wrapSquare wrapText="right"/>
                      <wp:docPr id="138" name="Frame92"/>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shd w:fill="F7F7F7"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3779" w:type="dxa"/>
            <w:tcBorders>
              <w:bottom w:val="single" w:sz="6" w:space="0" w:color="000000"/>
            </w:tcBorders>
            <w:tcMar>
              <w:bottom w:w="138" w:type="dxa"/>
            </w:tcMar>
            <w:vAlign w:val="center"/>
          </w:tcPr>
          <w:p>
            <w:pPr>
              <w:pStyle w:val="TableContents"/>
              <w:bidi w:val="0"/>
              <w:spacing w:before="0" w:after="0"/>
              <w:jc w:val="left"/>
              <w:rPr/>
            </w:pPr>
            <w:r>
              <w:rPr/>
              <w:drawing>
                <wp:inline distT="0" distB="0" distL="0" distR="0">
                  <wp:extent cx="2162175" cy="847725"/>
                  <wp:effectExtent l="0" t="0" r="0" b="0"/>
                  <wp:docPr id="13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44" descr=""/>
                          <pic:cNvPicPr>
                            <a:picLocks noChangeAspect="1" noChangeArrowheads="1"/>
                          </pic:cNvPicPr>
                        </pic:nvPicPr>
                        <pic:blipFill>
                          <a:blip r:embed="rId48"/>
                          <a:stretch>
                            <a:fillRect/>
                          </a:stretch>
                        </pic:blipFill>
                        <pic:spPr bwMode="auto">
                          <a:xfrm>
                            <a:off x="0" y="0"/>
                            <a:ext cx="2162175" cy="847725"/>
                          </a:xfrm>
                          <a:prstGeom prst="rect">
                            <a:avLst/>
                          </a:prstGeom>
                        </pic:spPr>
                      </pic:pic>
                    </a:graphicData>
                  </a:graphic>
                </wp:inline>
              </w:drawing>
            </w:r>
            <w:r>
              <w:rPr/>
              <w:t xml:space="preserve"> </w:t>
            </w:r>
          </w:p>
          <w:p>
            <w:pPr>
              <w:pStyle w:val="TableContents"/>
              <w:bidi w:val="0"/>
              <w:spacing w:lineRule="atLeast" w:line="180" w:before="200" w:after="283"/>
              <w:jc w:val="left"/>
              <w:rPr>
                <w:b/>
              </w:rPr>
            </w:pPr>
            <w:r>
              <w:rPr>
                <w:b/>
              </w:rPr>
              <w:t>Technological Advances for Customer Convenience</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5209" w:type="dxa"/>
            <w:tcBorders>
              <w:bottom w:val="single" w:sz="6" w:space="0" w:color="000000"/>
            </w:tcBorders>
            <w:tcMar>
              <w:bottom w:w="138" w:type="dxa"/>
            </w:tcMar>
            <w:vAlign w:val="center"/>
          </w:tcPr>
          <w:p>
            <w:pPr>
              <w:pStyle w:val="TableContents"/>
              <w:bidi w:val="0"/>
              <w:spacing w:lineRule="atLeast" w:line="180" w:before="0" w:after="0"/>
              <w:ind w:left="160" w:right="0" w:hanging="0"/>
              <w:jc w:val="left"/>
              <w:rPr/>
            </w:pPr>
            <w:r>
              <w:rPr/>
              <w:t>Lucid introduced RangeXchange, an innovative new feature enabling the Lucid Air to directly charge other electric vehicles.</w:t>
            </w:r>
            <w:r>
              <w:rPr>
                <w:sz w:val="10"/>
              </w:rPr>
              <w:t>(2)</w:t>
            </w:r>
            <w:r>
              <mc:AlternateContent>
                <mc:Choice Requires="wps">
                  <w:drawing>
                    <wp:anchor behindDoc="0" distT="0" distB="0" distL="0" distR="0" simplePos="0" locked="0" layoutInCell="1" allowOverlap="1" relativeHeight="164">
                      <wp:simplePos x="0" y="0"/>
                      <wp:positionH relativeFrom="column">
                        <wp:align>left</wp:align>
                      </wp:positionH>
                      <wp:positionV relativeFrom="line">
                        <wp:posOffset>635</wp:posOffset>
                      </wp:positionV>
                      <wp:extent cx="101600" cy="525780"/>
                      <wp:effectExtent l="0" t="0" r="0" b="0"/>
                      <wp:wrapSquare wrapText="right"/>
                      <wp:docPr id="140" name="Frame93"/>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60" w:right="0" w:hanging="0"/>
              <w:jc w:val="left"/>
              <w:rPr/>
            </w:pPr>
            <w:r>
              <w:rPr/>
              <w:t xml:space="preserve">Lucid adopted the North American Charging Standard (NACS), which will bring greater convenience to Lucid customers when released. </w:t>
            </w:r>
            <w:r>
              <mc:AlternateContent>
                <mc:Choice Requires="wps">
                  <w:drawing>
                    <wp:anchor behindDoc="0" distT="88900" distB="0" distL="0" distR="0" simplePos="0" locked="0" layoutInCell="1" allowOverlap="1" relativeHeight="165">
                      <wp:simplePos x="0" y="0"/>
                      <wp:positionH relativeFrom="column">
                        <wp:align>left</wp:align>
                      </wp:positionH>
                      <wp:positionV relativeFrom="line">
                        <wp:align>top</wp:align>
                      </wp:positionV>
                      <wp:extent cx="101600" cy="525780"/>
                      <wp:effectExtent l="0" t="0" r="0" b="0"/>
                      <wp:wrapSquare wrapText="right"/>
                      <wp:docPr id="141" name="Frame94"/>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vAlign w:val="center"/>
          </w:tcPr>
          <w:p>
            <w:pPr>
              <w:pStyle w:val="TableContents"/>
              <w:bidi w:val="0"/>
              <w:spacing w:before="0" w:after="283"/>
              <w:jc w:val="left"/>
              <w:rPr/>
            </w:pPr>
            <w:r>
              <w:rPr/>
              <w:t>​</w:t>
            </w:r>
          </w:p>
        </w:tc>
        <w:tc>
          <w:tcPr>
            <w:tcW w:w="3779" w:type="dxa"/>
            <w:tcBorders>
              <w:bottom w:val="single" w:sz="6" w:space="0" w:color="000000"/>
            </w:tcBorders>
            <w:shd w:fill="F7F7F7" w:val="clear"/>
            <w:tcMar>
              <w:bottom w:w="138" w:type="dxa"/>
            </w:tcMar>
            <w:vAlign w:val="center"/>
          </w:tcPr>
          <w:p>
            <w:pPr>
              <w:pStyle w:val="TableContents"/>
              <w:bidi w:val="0"/>
              <w:spacing w:before="0" w:after="283"/>
              <w:jc w:val="left"/>
              <w:rPr/>
            </w:pPr>
            <w:r>
              <w:rPr/>
              <w:drawing>
                <wp:inline distT="0" distB="0" distL="0" distR="0">
                  <wp:extent cx="2162175" cy="847725"/>
                  <wp:effectExtent l="0" t="0" r="0" b="0"/>
                  <wp:docPr id="14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45" descr=""/>
                          <pic:cNvPicPr>
                            <a:picLocks noChangeAspect="1" noChangeArrowheads="1"/>
                          </pic:cNvPicPr>
                        </pic:nvPicPr>
                        <pic:blipFill>
                          <a:blip r:embed="rId49"/>
                          <a:stretch>
                            <a:fillRect/>
                          </a:stretch>
                        </pic:blipFill>
                        <pic:spPr bwMode="auto">
                          <a:xfrm>
                            <a:off x="0" y="0"/>
                            <a:ext cx="2162175" cy="847725"/>
                          </a:xfrm>
                          <a:prstGeom prst="rect">
                            <a:avLst/>
                          </a:prstGeom>
                        </pic:spPr>
                      </pic:pic>
                    </a:graphicData>
                  </a:graphic>
                </wp:inline>
              </w:drawing>
            </w:r>
            <w:r>
              <w:rPr/>
              <w:t xml:space="preserve"> </w:t>
            </w:r>
          </w:p>
          <w:p>
            <w:pPr>
              <w:pStyle w:val="TableContents"/>
              <w:bidi w:val="0"/>
              <w:spacing w:lineRule="atLeast" w:line="180" w:before="200" w:after="283"/>
              <w:jc w:val="left"/>
              <w:rPr>
                <w:b/>
              </w:rPr>
            </w:pPr>
            <w:r>
              <w:rPr>
                <w:b/>
              </w:rPr>
              <w:t>Key Partnerships</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5209" w:type="dxa"/>
            <w:tcBorders>
              <w:bottom w:val="single" w:sz="6" w:space="0" w:color="000000"/>
            </w:tcBorders>
            <w:shd w:fill="F7F7F7" w:val="clear"/>
            <w:tcMar>
              <w:bottom w:w="138" w:type="dxa"/>
            </w:tcMar>
            <w:vAlign w:val="center"/>
          </w:tcPr>
          <w:p>
            <w:pPr>
              <w:pStyle w:val="TableContents"/>
              <w:bidi w:val="0"/>
              <w:spacing w:lineRule="atLeast" w:line="180" w:before="0" w:after="0"/>
              <w:ind w:left="160" w:right="0" w:hanging="0"/>
              <w:jc w:val="left"/>
              <w:rPr/>
            </w:pPr>
            <w:r>
              <w:rPr/>
              <w:t>Lucid entered into a “Strategic Technology Arrangement” with Aston Martin under which we will provide Aston Martin access to state-of-the art technologies in exchange for technology access and integration service fees.</w:t>
            </w:r>
            <w:r>
              <w:rPr>
                <w:sz w:val="10"/>
              </w:rPr>
              <w:t>(3)</w:t>
            </w:r>
            <w:r>
              <mc:AlternateContent>
                <mc:Choice Requires="wps">
                  <w:drawing>
                    <wp:anchor behindDoc="0" distT="0" distB="0" distL="0" distR="0" simplePos="0" locked="0" layoutInCell="1" allowOverlap="1" relativeHeight="166">
                      <wp:simplePos x="0" y="0"/>
                      <wp:positionH relativeFrom="column">
                        <wp:align>left</wp:align>
                      </wp:positionH>
                      <wp:positionV relativeFrom="line">
                        <wp:posOffset>635</wp:posOffset>
                      </wp:positionV>
                      <wp:extent cx="101600" cy="525780"/>
                      <wp:effectExtent l="0" t="0" r="0" b="0"/>
                      <wp:wrapSquare wrapText="right"/>
                      <wp:docPr id="143" name="Frame95"/>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60" w:right="0" w:hanging="0"/>
              <w:jc w:val="left"/>
              <w:rPr/>
            </w:pPr>
            <w:r>
              <w:rPr/>
              <w:t>Lucid announced a marketing partnership with the high-end department store chain, Saks Fifth Avenue. As part of the collaboration, Saks will offer Lucid Air test drives at some of its store fronts, as well as make social media posts promoting the car brand.</w:t>
            </w:r>
            <w:r>
              <mc:AlternateContent>
                <mc:Choice Requires="wps">
                  <w:drawing>
                    <wp:anchor behindDoc="0" distT="88900" distB="0" distL="0" distR="0" simplePos="0" locked="0" layoutInCell="1" allowOverlap="1" relativeHeight="167">
                      <wp:simplePos x="0" y="0"/>
                      <wp:positionH relativeFrom="column">
                        <wp:align>left</wp:align>
                      </wp:positionH>
                      <wp:positionV relativeFrom="line">
                        <wp:align>top</wp:align>
                      </wp:positionV>
                      <wp:extent cx="101600" cy="525780"/>
                      <wp:effectExtent l="0" t="0" r="0" b="0"/>
                      <wp:wrapSquare wrapText="right"/>
                      <wp:docPr id="144" name="Frame96"/>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60" w:right="0" w:hanging="0"/>
              <w:jc w:val="left"/>
              <w:rPr/>
            </w:pPr>
            <w:r>
              <w:rPr/>
              <w:t>Lucid joined the United Nations Global Compact, the world’s largest voluntary corporate sustainability initiative, marking Lucid’s dedication to decarbonizing transportation worldwide.</w:t>
            </w:r>
            <w:r>
              <mc:AlternateContent>
                <mc:Choice Requires="wps">
                  <w:drawing>
                    <wp:anchor behindDoc="0" distT="88900" distB="0" distL="0" distR="0" simplePos="0" locked="0" layoutInCell="1" allowOverlap="1" relativeHeight="168">
                      <wp:simplePos x="0" y="0"/>
                      <wp:positionH relativeFrom="column">
                        <wp:align>left</wp:align>
                      </wp:positionH>
                      <wp:positionV relativeFrom="line">
                        <wp:align>top</wp:align>
                      </wp:positionV>
                      <wp:extent cx="101600" cy="525780"/>
                      <wp:effectExtent l="0" t="0" r="0" b="0"/>
                      <wp:wrapSquare wrapText="right"/>
                      <wp:docPr id="145" name="Frame97"/>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shd w:fill="F7F7F7" w:val="cle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1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Pure, Touring, and GT ranges only when equipped with 19” wheels; Sapphire range only when equipped with standard wheel covers. Range and battery power vary with temperature, driving habits, charging and battery condition and actual results will vary.</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196850" distB="0" distL="0" distR="0" simplePos="0" locked="0" layoutInCell="1" allowOverlap="1" relativeHeight="169">
                <wp:simplePos x="0" y="0"/>
                <wp:positionH relativeFrom="column">
                  <wp:align>left</wp:align>
                </wp:positionH>
                <wp:positionV relativeFrom="line">
                  <wp:align>top</wp:align>
                </wp:positionV>
                <wp:extent cx="81915" cy="270510"/>
                <wp:effectExtent l="0" t="0" r="0" b="0"/>
                <wp:wrapSquare wrapText="right"/>
                <wp:docPr id="146" name="Frame98"/>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(1)</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15.5pt;mso-wrap-distance-bottom:0pt;margin-top:1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34"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Purchase of RangeXchange adapter and a compatible charging cable required.</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85090" distB="0" distL="0" distR="0" simplePos="0" locked="0" layoutInCell="1" allowOverlap="1" relativeHeight="170">
                <wp:simplePos x="0" y="0"/>
                <wp:positionH relativeFrom="column">
                  <wp:align>left</wp:align>
                </wp:positionH>
                <wp:positionV relativeFrom="line">
                  <wp:align>top</wp:align>
                </wp:positionV>
                <wp:extent cx="81915" cy="270510"/>
                <wp:effectExtent l="0" t="0" r="0" b="0"/>
                <wp:wrapSquare wrapText="right"/>
                <wp:docPr id="147" name="Frame99"/>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(2)</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6.7pt;mso-wrap-distance-bottom:0pt;margin-top:6.7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(2)</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34"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Please see the section entitled “Certain Relationships and Related Party Transactions” for additional information regarding arrangements with Aston Martin.</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85090" distB="0" distL="0" distR="0" simplePos="0" locked="0" layoutInCell="1" allowOverlap="1" relativeHeight="171">
                <wp:simplePos x="0" y="0"/>
                <wp:positionH relativeFrom="column">
                  <wp:align>left</wp:align>
                </wp:positionH>
                <wp:positionV relativeFrom="line">
                  <wp:align>top</wp:align>
                </wp:positionV>
                <wp:extent cx="81915" cy="270510"/>
                <wp:effectExtent l="0" t="0" r="0" b="0"/>
                <wp:wrapSquare wrapText="right"/>
                <wp:docPr id="148" name="Frame100"/>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(3)</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6.7pt;mso-wrap-distance-bottom:0pt;margin-top:6.7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(3)</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2023 Pay Actions in Connection with Key Accomplishments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5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We believe our executive compensation program provides effective incentives for our NEOs to lead us to achieve significant future growth, thereby producing long-term value for our stockholders. In light of our key accomplishments through 2023, the Compensation and Human Capital Committee approved the following pay actions for our NEOs, each of which is more fully described below in this CD&amp;A:</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1196"/>
        <w:gridCol w:w="109"/>
        <w:gridCol w:w="109"/>
        <w:gridCol w:w="7792"/>
        <w:gridCol w:w="155"/>
      </w:tblGrid>
      <w:tr>
        <w:trPr/>
        <w:tc>
          <w:tcPr>
            <w:tcW w:w="124" w:type="dxa"/>
            <w:tcBorders/>
            <w:shd w:fill="000000" w:val="clear"/>
            <w:vAlign w:val="center"/>
          </w:tcPr>
          <w:p>
            <w:pPr>
              <w:pStyle w:val="TableContents"/>
              <w:bidi w:val="0"/>
              <w:spacing w:before="0" w:after="283"/>
              <w:jc w:val="left"/>
              <w:rPr/>
            </w:pPr>
            <w:r>
              <w:rPr/>
              <w:t>​</w:t>
            </w:r>
          </w:p>
        </w:tc>
        <w:tc>
          <w:tcPr>
            <w:tcW w:w="1196" w:type="dxa"/>
            <w:tcBorders/>
            <w:shd w:fill="000000" w:val="clear"/>
            <w:vAlign w:val="center"/>
          </w:tcPr>
          <w:p>
            <w:pPr>
              <w:pStyle w:val="TableContents"/>
              <w:bidi w:val="0"/>
              <w:spacing w:before="0" w:after="0"/>
              <w:jc w:val="left"/>
              <w:rPr/>
            </w:pPr>
            <w:r>
              <w:rPr/>
              <w:t xml:space="preserve">Pay Element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7792" w:type="dxa"/>
            <w:tcBorders/>
            <w:shd w:fill="000000" w:val="clear"/>
            <w:vAlign w:val="center"/>
          </w:tcPr>
          <w:p>
            <w:pPr>
              <w:pStyle w:val="TableContents"/>
              <w:bidi w:val="0"/>
              <w:spacing w:before="0" w:after="0"/>
              <w:jc w:val="left"/>
              <w:rPr/>
            </w:pPr>
            <w:r>
              <w:rPr/>
              <w:t xml:space="preserve">Pay Action </w:t>
            </w:r>
          </w:p>
        </w:tc>
        <w:tc>
          <w:tcPr>
            <w:tcW w:w="155"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196" w:type="dxa"/>
            <w:tcBorders>
              <w:bottom w:val="single" w:sz="6" w:space="0" w:color="000000"/>
            </w:tcBorders>
            <w:tcMar>
              <w:bottom w:w="138" w:type="dxa"/>
            </w:tcMar>
            <w:vAlign w:val="center"/>
          </w:tcPr>
          <w:p>
            <w:pPr>
              <w:pStyle w:val="TableContents"/>
              <w:bidi w:val="0"/>
              <w:spacing w:before="0" w:after="0"/>
              <w:jc w:val="left"/>
              <w:rPr>
                <w:b/>
              </w:rPr>
            </w:pPr>
            <w:r>
              <w:rPr>
                <w:b/>
              </w:rPr>
              <w:t>Base Salary</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7792" w:type="dxa"/>
            <w:tcBorders>
              <w:bottom w:val="single" w:sz="6" w:space="0" w:color="000000"/>
            </w:tcBorders>
            <w:tcMar>
              <w:bottom w:w="138" w:type="dxa"/>
            </w:tcMar>
            <w:vAlign w:val="center"/>
          </w:tcPr>
          <w:p>
            <w:pPr>
              <w:pStyle w:val="TableContents"/>
              <w:bidi w:val="0"/>
              <w:spacing w:lineRule="atLeast" w:line="180" w:before="0" w:after="0"/>
              <w:ind w:left="160" w:right="0" w:hanging="0"/>
              <w:jc w:val="left"/>
              <w:rPr/>
            </w:pPr>
            <w:r>
              <w:rPr/>
              <w:t xml:space="preserve">In September 2023, the Board increased the base salaries by approximately 9% for Mr. Rawlinson, 7% for Ms. House, and 7% for Mr. Bach. Mr. Dhingra received a pay increase in February 2023 prior to his appointment as our Interim Chief Financial Officer. Such increases were primarily based on executive performance, peer group data, and internal pay equity. </w:t>
            </w:r>
            <w:r>
              <mc:AlternateContent>
                <mc:Choice Requires="wps">
                  <w:drawing>
                    <wp:anchor behindDoc="0" distT="0" distB="0" distL="0" distR="0" simplePos="0" locked="0" layoutInCell="1" allowOverlap="1" relativeHeight="172">
                      <wp:simplePos x="0" y="0"/>
                      <wp:positionH relativeFrom="column">
                        <wp:align>left</wp:align>
                      </wp:positionH>
                      <wp:positionV relativeFrom="line">
                        <wp:posOffset>635</wp:posOffset>
                      </wp:positionV>
                      <wp:extent cx="101600" cy="525780"/>
                      <wp:effectExtent l="0" t="0" r="0" b="0"/>
                      <wp:wrapSquare wrapText="right"/>
                      <wp:docPr id="149" name="Frame101"/>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96" w:type="dxa"/>
            <w:tcBorders>
              <w:bottom w:val="single" w:sz="6" w:space="0" w:color="000000"/>
            </w:tcBorders>
            <w:shd w:fill="F7F7F7" w:val="clear"/>
            <w:tcMar>
              <w:bottom w:w="138" w:type="dxa"/>
            </w:tcMar>
            <w:vAlign w:val="center"/>
          </w:tcPr>
          <w:p>
            <w:pPr>
              <w:pStyle w:val="TableContents"/>
              <w:bidi w:val="0"/>
              <w:spacing w:before="0" w:after="0"/>
              <w:jc w:val="left"/>
              <w:rPr>
                <w:b/>
              </w:rPr>
            </w:pPr>
            <w:r>
              <w:rPr>
                <w:b/>
              </w:rPr>
              <w:t>Annual Cash Incentive</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7792" w:type="dxa"/>
            <w:tcBorders>
              <w:bottom w:val="single" w:sz="6" w:space="0" w:color="000000"/>
            </w:tcBorders>
            <w:shd w:fill="F7F7F7" w:val="clear"/>
            <w:tcMar>
              <w:bottom w:w="138" w:type="dxa"/>
            </w:tcMar>
            <w:vAlign w:val="center"/>
          </w:tcPr>
          <w:p>
            <w:pPr>
              <w:pStyle w:val="TableContents"/>
              <w:bidi w:val="0"/>
              <w:spacing w:lineRule="atLeast" w:line="180" w:before="0" w:after="0"/>
              <w:ind w:left="160" w:right="0" w:hanging="0"/>
              <w:jc w:val="left"/>
              <w:rPr/>
            </w:pPr>
            <w:r>
              <w:rPr/>
              <w:t xml:space="preserve">In June 2023, the Compensation and Human Capital Committee approved our annual cash incentive program for 2023, under which the target incentives were 100% of base salary for Mr. Rawlinson and 75% of base salary for each of Mr. Bach, Mr. Bell, and Ms. House. The target incentive for Mr. Dhingra was separately established at 50%. Mr. Winterhoff, who commenced employment in December 2023, was not eligible for an annual bonus that year. The annual cash incentive program metrics were revenue, gross margin, and free cash flow, with an individual performance modifier. </w:t>
            </w:r>
            <w:r>
              <mc:AlternateContent>
                <mc:Choice Requires="wps">
                  <w:drawing>
                    <wp:anchor behindDoc="0" distT="0" distB="0" distL="0" distR="0" simplePos="0" locked="0" layoutInCell="1" allowOverlap="1" relativeHeight="173">
                      <wp:simplePos x="0" y="0"/>
                      <wp:positionH relativeFrom="column">
                        <wp:align>left</wp:align>
                      </wp:positionH>
                      <wp:positionV relativeFrom="line">
                        <wp:posOffset>635</wp:posOffset>
                      </wp:positionV>
                      <wp:extent cx="101600" cy="525780"/>
                      <wp:effectExtent l="0" t="0" r="0" b="0"/>
                      <wp:wrapSquare wrapText="right"/>
                      <wp:docPr id="150" name="Frame102"/>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bl>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44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85" w:type="dxa"/>
        <w:jc w:val="left"/>
        <w:tblInd w:w="720" w:type="dxa"/>
        <w:tblLayout w:type="fixed"/>
        <w:tblCellMar>
          <w:top w:w="0" w:type="dxa"/>
          <w:left w:w="0" w:type="dxa"/>
          <w:bottom w:w="0" w:type="dxa"/>
          <w:right w:w="0" w:type="dxa"/>
        </w:tblCellMar>
      </w:tblPr>
      <w:tblGrid>
        <w:gridCol w:w="124"/>
        <w:gridCol w:w="1467"/>
        <w:gridCol w:w="109"/>
        <w:gridCol w:w="109"/>
        <w:gridCol w:w="7521"/>
        <w:gridCol w:w="155"/>
      </w:tblGrid>
      <w:tr>
        <w:trPr/>
        <w:tc>
          <w:tcPr>
            <w:tcW w:w="124" w:type="dxa"/>
            <w:tcBorders/>
            <w:shd w:fill="000000" w:val="clear"/>
            <w:vAlign w:val="center"/>
          </w:tcPr>
          <w:p>
            <w:pPr>
              <w:pStyle w:val="TableContents"/>
              <w:bidi w:val="0"/>
              <w:spacing w:before="0" w:after="283"/>
              <w:jc w:val="left"/>
              <w:rPr/>
            </w:pPr>
            <w:r>
              <w:rPr/>
              <w:t>​</w:t>
            </w:r>
          </w:p>
        </w:tc>
        <w:tc>
          <w:tcPr>
            <w:tcW w:w="1467" w:type="dxa"/>
            <w:tcBorders/>
            <w:shd w:fill="000000" w:val="clear"/>
            <w:vAlign w:val="center"/>
          </w:tcPr>
          <w:p>
            <w:pPr>
              <w:pStyle w:val="TableContents"/>
              <w:bidi w:val="0"/>
              <w:spacing w:before="0" w:after="0"/>
              <w:jc w:val="left"/>
              <w:rPr/>
            </w:pPr>
            <w:r>
              <w:rPr/>
              <w:t xml:space="preserve">Pay Element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7521" w:type="dxa"/>
            <w:tcBorders/>
            <w:shd w:fill="000000" w:val="clear"/>
            <w:vAlign w:val="center"/>
          </w:tcPr>
          <w:p>
            <w:pPr>
              <w:pStyle w:val="TableContents"/>
              <w:bidi w:val="0"/>
              <w:spacing w:before="0" w:after="0"/>
              <w:jc w:val="left"/>
              <w:rPr/>
            </w:pPr>
            <w:r>
              <w:rPr/>
              <w:t xml:space="preserve">Pay Action </w:t>
            </w:r>
          </w:p>
        </w:tc>
        <w:tc>
          <w:tcPr>
            <w:tcW w:w="155"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467" w:type="dxa"/>
            <w:tcBorders>
              <w:bottom w:val="single" w:sz="6" w:space="0" w:color="000000"/>
            </w:tcBorders>
            <w:tcMar>
              <w:bottom w:w="160" w:type="dxa"/>
            </w:tcMar>
            <w:vAlign w:val="center"/>
          </w:tcPr>
          <w:p>
            <w:pPr>
              <w:pStyle w:val="TableContents"/>
              <w:bidi w:val="0"/>
              <w:spacing w:before="0" w:after="0"/>
              <w:jc w:val="left"/>
              <w:rPr>
                <w:b/>
              </w:rPr>
            </w:pPr>
            <w:r>
              <w:rPr>
                <w:b/>
              </w:rPr>
              <w:t>Long-Term Equity Incentives</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7521" w:type="dxa"/>
            <w:tcBorders>
              <w:bottom w:val="single" w:sz="6" w:space="0" w:color="000000"/>
            </w:tcBorders>
            <w:tcMar>
              <w:bottom w:w="160" w:type="dxa"/>
            </w:tcMar>
            <w:vAlign w:val="center"/>
          </w:tcPr>
          <w:p>
            <w:pPr>
              <w:pStyle w:val="TableContents"/>
              <w:bidi w:val="0"/>
              <w:spacing w:lineRule="atLeast" w:line="180" w:before="0" w:after="0"/>
              <w:ind w:left="160" w:right="0" w:hanging="0"/>
              <w:jc w:val="left"/>
              <w:rPr/>
            </w:pPr>
            <w:r>
              <w:rPr/>
              <w:t>Based on the feedback received from stockholder engagement and consistent with our pay-for-performance compensation philosophy, we introduced performance-based equity awards and premium-priced stock options as a significant component of the equity awards program for our executive leaders (including our NEOs). For 2023, the total value of equity awards granted to the NEOs (excluding Mr. Rawlinson) was allocated 30% to time-based vesting restricted stock units (“RSUs”), 60% to performance-based restricted stock units (“PSUs”), and 10% to premium-priced stock options (“Premium-Priced Options”).</w:t>
            </w:r>
            <w:r>
              <mc:AlternateContent>
                <mc:Choice Requires="wps">
                  <w:drawing>
                    <wp:anchor behindDoc="0" distT="0" distB="0" distL="0" distR="0" simplePos="0" locked="0" layoutInCell="1" allowOverlap="1" relativeHeight="174">
                      <wp:simplePos x="0" y="0"/>
                      <wp:positionH relativeFrom="column">
                        <wp:align>left</wp:align>
                      </wp:positionH>
                      <wp:positionV relativeFrom="line">
                        <wp:posOffset>635</wp:posOffset>
                      </wp:positionV>
                      <wp:extent cx="101600" cy="525780"/>
                      <wp:effectExtent l="0" t="0" r="0" b="0"/>
                      <wp:wrapSquare wrapText="right"/>
                      <wp:docPr id="151" name="Frame103"/>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60" w:right="0" w:hanging="0"/>
              <w:jc w:val="left"/>
              <w:rPr/>
            </w:pPr>
            <w:r>
              <w:rPr/>
              <w:t>After review of peer group data provided by the independent consultant, Pay Governance, and in view of still-outstanding value from the 2021 CEO Grant (defined below), the Compensation and Human Capital Committee determined not to grant Mr. Rawlinson an equity award in 2023, as confirmed by the Board.</w:t>
            </w:r>
            <w:r>
              <mc:AlternateContent>
                <mc:Choice Requires="wps">
                  <w:drawing>
                    <wp:anchor behindDoc="0" distT="88900" distB="0" distL="0" distR="0" simplePos="0" locked="0" layoutInCell="1" allowOverlap="1" relativeHeight="175">
                      <wp:simplePos x="0" y="0"/>
                      <wp:positionH relativeFrom="column">
                        <wp:align>left</wp:align>
                      </wp:positionH>
                      <wp:positionV relativeFrom="line">
                        <wp:align>top</wp:align>
                      </wp:positionV>
                      <wp:extent cx="101600" cy="525780"/>
                      <wp:effectExtent l="0" t="0" r="0" b="0"/>
                      <wp:wrapSquare wrapText="right"/>
                      <wp:docPr id="152" name="Frame104"/>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lineRule="atLeast" w:line="200" w:before="252" w:after="283"/>
        <w:ind w:left="720" w:right="0" w:hanging="0"/>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Compensation Governance Best Practices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We maintain strong corporate governance standards with respect to our executive and director compensation programs and are mindful of the perspectives of our stockholders. Key governance actions taken for 2023, which are described below in more detail in this CD&amp;A, include: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152"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Implementation of robust stock ownership guidelines for executives and directors setting forth expectations of ownership of a minimum value of Lucid stock by position.</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6520" distB="0" distL="0" distR="0" simplePos="0" locked="0" layoutInCell="1" allowOverlap="1" relativeHeight="176">
                <wp:simplePos x="0" y="0"/>
                <wp:positionH relativeFrom="column">
                  <wp:align>left</wp:align>
                </wp:positionH>
                <wp:positionV relativeFrom="line">
                  <wp:align>top</wp:align>
                </wp:positionV>
                <wp:extent cx="114300" cy="502920"/>
                <wp:effectExtent l="0" t="0" r="0" b="0"/>
                <wp:wrapSquare wrapText="right"/>
                <wp:docPr id="153" name="Frame105"/>
                <a:graphic xmlns:a="http://schemas.openxmlformats.org/drawingml/2006/main">
                  <a:graphicData uri="http://schemas.microsoft.com/office/word/2010/wordprocessingShape">
                    <wps:wsp>
                      <wps:cNvSpPr txBox="1"/>
                      <wps:spPr>
                        <a:xfrm>
                          <a:off x="0" y="0"/>
                          <a:ext cx="114300" cy="50292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39.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sz w:val="18"/>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Introduction of PSUs as a core component of annual equity delivery, which are aligned with our financial, operational, and strategic goals. For 2023, the total value of equity awards granted to our executives (including our NEOs) was allocated 60% to PSUs.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177">
                <wp:simplePos x="0" y="0"/>
                <wp:positionH relativeFrom="column">
                  <wp:align>left</wp:align>
                </wp:positionH>
                <wp:positionV relativeFrom="line">
                  <wp:align>top</wp:align>
                </wp:positionV>
                <wp:extent cx="114300" cy="502920"/>
                <wp:effectExtent l="0" t="0" r="0" b="0"/>
                <wp:wrapSquare wrapText="right"/>
                <wp:docPr id="154" name="Frame106"/>
                <a:graphic xmlns:a="http://schemas.openxmlformats.org/drawingml/2006/main">
                  <a:graphicData uri="http://schemas.microsoft.com/office/word/2010/wordprocessingShape">
                    <wps:wsp>
                      <wps:cNvSpPr txBox="1"/>
                      <wps:spPr>
                        <a:xfrm>
                          <a:off x="0" y="0"/>
                          <a:ext cx="114300" cy="50292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39.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sz w:val="18"/>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Introduction of Premium-Priced Options, which ensure that our stockholders earn a substantial return before our executives could realize value from the exercise of stock options. For 2023, the total value of equity awards granted to our executives (including our NEOs) was allocated 10% to Premium-Priced Options.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178">
                <wp:simplePos x="0" y="0"/>
                <wp:positionH relativeFrom="column">
                  <wp:align>left</wp:align>
                </wp:positionH>
                <wp:positionV relativeFrom="line">
                  <wp:align>top</wp:align>
                </wp:positionV>
                <wp:extent cx="114300" cy="502920"/>
                <wp:effectExtent l="0" t="0" r="0" b="0"/>
                <wp:wrapSquare wrapText="right"/>
                <wp:docPr id="155" name="Frame107"/>
                <a:graphic xmlns:a="http://schemas.openxmlformats.org/drawingml/2006/main">
                  <a:graphicData uri="http://schemas.microsoft.com/office/word/2010/wordprocessingShape">
                    <wps:wsp>
                      <wps:cNvSpPr txBox="1"/>
                      <wps:spPr>
                        <a:xfrm>
                          <a:off x="0" y="0"/>
                          <a:ext cx="114300" cy="50292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39.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sz w:val="18"/>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Adoption of a clawback policy (filed as an exhibit to our Annual Report on Form 10-K for the year ended December 31, 2023).</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179">
                <wp:simplePos x="0" y="0"/>
                <wp:positionH relativeFrom="column">
                  <wp:align>left</wp:align>
                </wp:positionH>
                <wp:positionV relativeFrom="line">
                  <wp:align>top</wp:align>
                </wp:positionV>
                <wp:extent cx="114300" cy="502920"/>
                <wp:effectExtent l="0" t="0" r="0" b="0"/>
                <wp:wrapSquare wrapText="right"/>
                <wp:docPr id="156" name="Frame108"/>
                <a:graphic xmlns:a="http://schemas.openxmlformats.org/drawingml/2006/main">
                  <a:graphicData uri="http://schemas.microsoft.com/office/word/2010/wordprocessingShape">
                    <wps:wsp>
                      <wps:cNvSpPr txBox="1"/>
                      <wps:spPr>
                        <a:xfrm>
                          <a:off x="0" y="0"/>
                          <a:ext cx="114300" cy="50292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39.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sz w:val="18"/>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In addition, our executive compensation program is guided by the following corporate governance best practices designed to protect the interests of our stockholders:</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225"/>
        <w:gridCol w:w="109"/>
        <w:gridCol w:w="109"/>
        <w:gridCol w:w="4489"/>
        <w:gridCol w:w="109"/>
        <w:gridCol w:w="109"/>
        <w:gridCol w:w="225"/>
        <w:gridCol w:w="109"/>
        <w:gridCol w:w="109"/>
        <w:gridCol w:w="3612"/>
        <w:gridCol w:w="156"/>
      </w:tblGrid>
      <w:tr>
        <w:trPr/>
        <w:tc>
          <w:tcPr>
            <w:tcW w:w="124" w:type="dxa"/>
            <w:tcBorders/>
            <w:shd w:fill="000000" w:val="clear"/>
            <w:vAlign w:val="center"/>
          </w:tcPr>
          <w:p>
            <w:pPr>
              <w:pStyle w:val="TableContents"/>
              <w:bidi w:val="0"/>
              <w:spacing w:before="0" w:after="283"/>
              <w:jc w:val="left"/>
              <w:rPr/>
            </w:pPr>
            <w:r>
              <w:rPr/>
              <w:t>​</w:t>
            </w:r>
          </w:p>
        </w:tc>
        <w:tc>
          <w:tcPr>
            <w:tcW w:w="4932" w:type="dxa"/>
            <w:gridSpan w:val="4"/>
            <w:tcBorders/>
            <w:shd w:fill="000000" w:val="clear"/>
            <w:vAlign w:val="center"/>
          </w:tcPr>
          <w:p>
            <w:pPr>
              <w:pStyle w:val="TableContents"/>
              <w:bidi w:val="0"/>
              <w:spacing w:before="0" w:after="0"/>
              <w:jc w:val="left"/>
              <w:rPr/>
            </w:pPr>
            <w:r>
              <w:rPr/>
              <w:t xml:space="preserve">What We Do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4055" w:type="dxa"/>
            <w:gridSpan w:val="4"/>
            <w:tcBorders/>
            <w:shd w:fill="000000" w:val="clear"/>
            <w:vAlign w:val="center"/>
          </w:tcPr>
          <w:p>
            <w:pPr>
              <w:pStyle w:val="TableContents"/>
              <w:bidi w:val="0"/>
              <w:spacing w:before="0" w:after="0"/>
              <w:jc w:val="left"/>
              <w:rPr/>
            </w:pPr>
            <w:r>
              <w:rPr/>
              <w:t xml:space="preserve">What We Don’t Do </w:t>
            </w:r>
          </w:p>
        </w:tc>
        <w:tc>
          <w:tcPr>
            <w:tcW w:w="156"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25" w:type="dxa"/>
            <w:tcBorders>
              <w:bottom w:val="single" w:sz="6" w:space="0" w:color="000000"/>
            </w:tcBorders>
            <w:tcMar>
              <w:bottom w:w="28" w:type="dxa"/>
            </w:tcMar>
            <w:vAlign w:val="center"/>
          </w:tcPr>
          <w:p>
            <w:pPr>
              <w:pStyle w:val="TableContents"/>
              <w:bidi w:val="0"/>
              <w:spacing w:before="0" w:after="0"/>
              <w:jc w:val="left"/>
              <w:rPr/>
            </w:pPr>
            <w:r>
              <w:rPr/>
              <w:drawing>
                <wp:inline distT="0" distB="0" distL="0" distR="0">
                  <wp:extent cx="85725" cy="85725"/>
                  <wp:effectExtent l="0" t="0" r="0" b="0"/>
                  <wp:docPr id="15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46" descr=""/>
                          <pic:cNvPicPr>
                            <a:picLocks noChangeAspect="1" noChangeArrowheads="1"/>
                          </pic:cNvPicPr>
                        </pic:nvPicPr>
                        <pic:blipFill>
                          <a:blip r:embed="rId50"/>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4489" w:type="dxa"/>
            <w:tcBorders>
              <w:bottom w:val="single" w:sz="6" w:space="0" w:color="000000"/>
            </w:tcBorders>
            <w:tcMar>
              <w:bottom w:w="65" w:type="dxa"/>
            </w:tcMar>
            <w:vAlign w:val="center"/>
          </w:tcPr>
          <w:p>
            <w:pPr>
              <w:pStyle w:val="TableContents"/>
              <w:bidi w:val="0"/>
              <w:spacing w:lineRule="atLeast" w:line="180" w:before="0" w:after="0"/>
              <w:jc w:val="left"/>
              <w:rPr/>
            </w:pPr>
            <w:r>
              <w:rPr>
                <w:b/>
                <w:i/>
              </w:rPr>
              <w:t>Annual Compensation Review.</w:t>
            </w:r>
            <w:r>
              <w:rPr/>
              <w:t xml:space="preserve"> The Compensation and Human Capital Committee conducts a review at least annually of our executive compensation philosophy and strategy, including a market assessment of executive pay practices at peer companies.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5" w:type="dxa"/>
            <w:tcBorders>
              <w:bottom w:val="single" w:sz="6" w:space="0" w:color="000000"/>
            </w:tcBorders>
            <w:tcMar>
              <w:bottom w:w="28" w:type="dxa"/>
            </w:tcMar>
            <w:vAlign w:val="center"/>
          </w:tcPr>
          <w:p>
            <w:pPr>
              <w:pStyle w:val="TableContents"/>
              <w:bidi w:val="0"/>
              <w:spacing w:before="0" w:after="0"/>
              <w:jc w:val="left"/>
              <w:rPr/>
            </w:pPr>
            <w:r>
              <w:rPr/>
              <w:drawing>
                <wp:inline distT="0" distB="0" distL="0" distR="0">
                  <wp:extent cx="85725" cy="85725"/>
                  <wp:effectExtent l="0" t="0" r="0" b="0"/>
                  <wp:docPr id="15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47" descr=""/>
                          <pic:cNvPicPr>
                            <a:picLocks noChangeAspect="1" noChangeArrowheads="1"/>
                          </pic:cNvPicPr>
                        </pic:nvPicPr>
                        <pic:blipFill>
                          <a:blip r:embed="rId51"/>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612" w:type="dxa"/>
            <w:tcBorders>
              <w:bottom w:val="single" w:sz="6" w:space="0" w:color="000000"/>
            </w:tcBorders>
            <w:tcMar>
              <w:bottom w:w="65" w:type="dxa"/>
            </w:tcMar>
            <w:vAlign w:val="center"/>
          </w:tcPr>
          <w:p>
            <w:pPr>
              <w:pStyle w:val="TableContents"/>
              <w:bidi w:val="0"/>
              <w:spacing w:lineRule="atLeast" w:line="180" w:before="0" w:after="0"/>
              <w:jc w:val="left"/>
              <w:rPr/>
            </w:pPr>
            <w:r>
              <w:rPr>
                <w:b/>
                <w:i/>
              </w:rPr>
              <w:t>No Option/SAR Repricing or Buy Outs.</w:t>
            </w:r>
            <w:r>
              <w:rPr/>
              <w:t xml:space="preserve"> Our Second Amended and Restated 2021 Stock Incentive Plan prohibits, without stockholder approval, repricing of stock options and stock appreciation rights, and buyouts of underwater stock options and stock appreciation rights. </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5" w:type="dxa"/>
            <w:tcBorders>
              <w:bottom w:val="single" w:sz="6" w:space="0" w:color="000000"/>
            </w:tcBorders>
            <w:shd w:fill="F7F7F7" w:val="clear"/>
            <w:tcMar>
              <w:bottom w:w="28" w:type="dxa"/>
            </w:tcMar>
            <w:vAlign w:val="center"/>
          </w:tcPr>
          <w:p>
            <w:pPr>
              <w:pStyle w:val="TableContents"/>
              <w:bidi w:val="0"/>
              <w:spacing w:before="0" w:after="0"/>
              <w:jc w:val="left"/>
              <w:rPr/>
            </w:pPr>
            <w:r>
              <w:rPr/>
              <w:drawing>
                <wp:inline distT="0" distB="0" distL="0" distR="0">
                  <wp:extent cx="85725" cy="85725"/>
                  <wp:effectExtent l="0" t="0" r="0" b="0"/>
                  <wp:docPr id="15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48" descr=""/>
                          <pic:cNvPicPr>
                            <a:picLocks noChangeAspect="1" noChangeArrowheads="1"/>
                          </pic:cNvPicPr>
                        </pic:nvPicPr>
                        <pic:blipFill>
                          <a:blip r:embed="rId52"/>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4489" w:type="dxa"/>
            <w:tcBorders>
              <w:bottom w:val="single" w:sz="6" w:space="0" w:color="000000"/>
            </w:tcBorders>
            <w:shd w:fill="F7F7F7" w:val="clear"/>
            <w:tcMar>
              <w:bottom w:w="65" w:type="dxa"/>
            </w:tcMar>
            <w:vAlign w:val="center"/>
          </w:tcPr>
          <w:p>
            <w:pPr>
              <w:pStyle w:val="TableContents"/>
              <w:bidi w:val="0"/>
              <w:spacing w:lineRule="atLeast" w:line="180" w:before="0" w:after="0"/>
              <w:jc w:val="left"/>
              <w:rPr/>
            </w:pPr>
            <w:r>
              <w:rPr>
                <w:b/>
                <w:i/>
              </w:rPr>
              <w:t>Annual Compensation-Related Risk Assessment.</w:t>
            </w:r>
            <w:r>
              <w:rPr/>
              <w:t xml:space="preserve"> We have strong risk and control policies, consider risk management when making executive compensation decisions, and conduct an annual risk assessment of our compensation programs to promote prudent risk management.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5" w:type="dxa"/>
            <w:tcBorders>
              <w:bottom w:val="single" w:sz="6" w:space="0" w:color="000000"/>
            </w:tcBorders>
            <w:shd w:fill="F7F7F7" w:val="clear"/>
            <w:tcMar>
              <w:bottom w:w="28" w:type="dxa"/>
            </w:tcMar>
            <w:vAlign w:val="center"/>
          </w:tcPr>
          <w:p>
            <w:pPr>
              <w:pStyle w:val="TableContents"/>
              <w:bidi w:val="0"/>
              <w:spacing w:before="0" w:after="0"/>
              <w:jc w:val="left"/>
              <w:rPr/>
            </w:pPr>
            <w:r>
              <w:rPr/>
              <w:drawing>
                <wp:inline distT="0" distB="0" distL="0" distR="0">
                  <wp:extent cx="85725" cy="85725"/>
                  <wp:effectExtent l="0" t="0" r="0" b="0"/>
                  <wp:docPr id="16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49" descr=""/>
                          <pic:cNvPicPr>
                            <a:picLocks noChangeAspect="1" noChangeArrowheads="1"/>
                          </pic:cNvPicPr>
                        </pic:nvPicPr>
                        <pic:blipFill>
                          <a:blip r:embed="rId53"/>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3612" w:type="dxa"/>
            <w:tcBorders>
              <w:bottom w:val="single" w:sz="6" w:space="0" w:color="000000"/>
            </w:tcBorders>
            <w:shd w:fill="F7F7F7" w:val="clear"/>
            <w:tcMar>
              <w:bottom w:w="65" w:type="dxa"/>
            </w:tcMar>
            <w:vAlign w:val="center"/>
          </w:tcPr>
          <w:p>
            <w:pPr>
              <w:pStyle w:val="TableContents"/>
              <w:bidi w:val="0"/>
              <w:spacing w:lineRule="atLeast" w:line="180" w:before="0" w:after="0"/>
              <w:jc w:val="left"/>
              <w:rPr/>
            </w:pPr>
            <w:r>
              <w:rPr>
                <w:b/>
                <w:i/>
              </w:rPr>
              <w:t>No Dividends on Unvested Awards.</w:t>
            </w:r>
            <w:r>
              <w:rPr/>
              <w:t xml:space="preserve"> We do not pay dividends on unvested equity awards. </w:t>
            </w:r>
          </w:p>
        </w:tc>
        <w:tc>
          <w:tcPr>
            <w:tcW w:w="15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25" w:type="dxa"/>
            <w:tcBorders>
              <w:bottom w:val="single" w:sz="6" w:space="0" w:color="000000"/>
            </w:tcBorders>
            <w:tcMar>
              <w:bottom w:w="28" w:type="dxa"/>
            </w:tcMar>
            <w:vAlign w:val="center"/>
          </w:tcPr>
          <w:p>
            <w:pPr>
              <w:pStyle w:val="TableContents"/>
              <w:bidi w:val="0"/>
              <w:spacing w:before="0" w:after="0"/>
              <w:jc w:val="left"/>
              <w:rPr/>
            </w:pPr>
            <w:r>
              <w:rPr/>
              <w:drawing>
                <wp:inline distT="0" distB="0" distL="0" distR="0">
                  <wp:extent cx="85725" cy="85725"/>
                  <wp:effectExtent l="0" t="0" r="0" b="0"/>
                  <wp:docPr id="16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50" descr=""/>
                          <pic:cNvPicPr>
                            <a:picLocks noChangeAspect="1" noChangeArrowheads="1"/>
                          </pic:cNvPicPr>
                        </pic:nvPicPr>
                        <pic:blipFill>
                          <a:blip r:embed="rId54"/>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4489" w:type="dxa"/>
            <w:tcBorders>
              <w:bottom w:val="single" w:sz="6" w:space="0" w:color="000000"/>
            </w:tcBorders>
            <w:tcMar>
              <w:bottom w:w="65" w:type="dxa"/>
            </w:tcMar>
            <w:vAlign w:val="center"/>
          </w:tcPr>
          <w:p>
            <w:pPr>
              <w:pStyle w:val="TableContents"/>
              <w:bidi w:val="0"/>
              <w:spacing w:lineRule="atLeast" w:line="180" w:before="0" w:after="0"/>
              <w:jc w:val="left"/>
              <w:rPr/>
            </w:pPr>
            <w:r>
              <w:rPr>
                <w:b/>
                <w:i/>
              </w:rPr>
              <w:t>Balanced Short-Term and Long-Term Compensation.</w:t>
            </w:r>
            <w:r>
              <w:rPr/>
              <w:t xml:space="preserve"> We balance short- and long-term incentives to discourage short-term risk-taking at the expense of long-term results.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5" w:type="dxa"/>
            <w:tcBorders>
              <w:bottom w:val="single" w:sz="6" w:space="0" w:color="000000"/>
            </w:tcBorders>
            <w:tcMar>
              <w:bottom w:w="28" w:type="dxa"/>
            </w:tcMar>
            <w:vAlign w:val="center"/>
          </w:tcPr>
          <w:p>
            <w:pPr>
              <w:pStyle w:val="TableContents"/>
              <w:bidi w:val="0"/>
              <w:spacing w:before="0" w:after="0"/>
              <w:jc w:val="left"/>
              <w:rPr/>
            </w:pPr>
            <w:r>
              <w:rPr/>
              <w:drawing>
                <wp:inline distT="0" distB="0" distL="0" distR="0">
                  <wp:extent cx="85725" cy="85725"/>
                  <wp:effectExtent l="0" t="0" r="0" b="0"/>
                  <wp:docPr id="16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51" descr=""/>
                          <pic:cNvPicPr>
                            <a:picLocks noChangeAspect="1" noChangeArrowheads="1"/>
                          </pic:cNvPicPr>
                        </pic:nvPicPr>
                        <pic:blipFill>
                          <a:blip r:embed="rId55"/>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612" w:type="dxa"/>
            <w:tcBorders>
              <w:bottom w:val="single" w:sz="6" w:space="0" w:color="000000"/>
            </w:tcBorders>
            <w:tcMar>
              <w:bottom w:w="65" w:type="dxa"/>
            </w:tcMar>
            <w:vAlign w:val="center"/>
          </w:tcPr>
          <w:p>
            <w:pPr>
              <w:pStyle w:val="TableContents"/>
              <w:bidi w:val="0"/>
              <w:spacing w:lineRule="atLeast" w:line="180" w:before="0" w:after="0"/>
              <w:jc w:val="left"/>
              <w:rPr/>
            </w:pPr>
            <w:r>
              <w:rPr>
                <w:b/>
                <w:i/>
              </w:rPr>
              <w:t>No “Single-Trigger” Change in Control Arrangements.</w:t>
            </w:r>
            <w:r>
              <w:rPr/>
              <w:t xml:space="preserve"> We do not provide for “single-trigger” acceleration of equity or other compensation or benefits solely upon a change in control. </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5" w:type="dxa"/>
            <w:tcBorders>
              <w:bottom w:val="single" w:sz="6" w:space="0" w:color="000000"/>
            </w:tcBorders>
            <w:shd w:fill="F7F7F7" w:val="clear"/>
            <w:tcMar>
              <w:bottom w:w="28" w:type="dxa"/>
            </w:tcMar>
            <w:vAlign w:val="center"/>
          </w:tcPr>
          <w:p>
            <w:pPr>
              <w:pStyle w:val="TableContents"/>
              <w:bidi w:val="0"/>
              <w:spacing w:before="0" w:after="0"/>
              <w:jc w:val="left"/>
              <w:rPr/>
            </w:pPr>
            <w:r>
              <w:rPr/>
              <w:drawing>
                <wp:inline distT="0" distB="0" distL="0" distR="0">
                  <wp:extent cx="85725" cy="85725"/>
                  <wp:effectExtent l="0" t="0" r="0" b="0"/>
                  <wp:docPr id="16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52" descr=""/>
                          <pic:cNvPicPr>
                            <a:picLocks noChangeAspect="1" noChangeArrowheads="1"/>
                          </pic:cNvPicPr>
                        </pic:nvPicPr>
                        <pic:blipFill>
                          <a:blip r:embed="rId56"/>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4489" w:type="dxa"/>
            <w:tcBorders>
              <w:bottom w:val="single" w:sz="6" w:space="0" w:color="000000"/>
            </w:tcBorders>
            <w:shd w:fill="F7F7F7" w:val="clear"/>
            <w:tcMar>
              <w:bottom w:w="65" w:type="dxa"/>
            </w:tcMar>
            <w:vAlign w:val="center"/>
          </w:tcPr>
          <w:p>
            <w:pPr>
              <w:pStyle w:val="TableContents"/>
              <w:bidi w:val="0"/>
              <w:spacing w:lineRule="atLeast" w:line="180" w:before="0" w:after="0"/>
              <w:jc w:val="left"/>
              <w:rPr>
                <w:b/>
                <w:i/>
              </w:rPr>
            </w:pPr>
            <w:r>
              <w:rPr>
                <w:b/>
                <w:i/>
              </w:rPr>
              <w:t>Independent Compensation and Human Capital Committee Advisor.</w:t>
            </w:r>
            <w:r>
              <w:rPr>
                <w:b/>
                <w:i/>
                <w:caps w:val="false"/>
                <w:smallCaps w:val="false"/>
              </w:rPr>
              <w:t xml:space="preserve"> </w:t>
            </w:r>
            <w:r>
              <w:rPr>
                <w:b w:val="false"/>
                <w:i w:val="false"/>
                <w:caps w:val="false"/>
                <w:smallCaps w:val="false"/>
              </w:rPr>
              <w:t xml:space="preserve">The Compensation and Human Capital Committee engages an independent compensation consultant.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5" w:type="dxa"/>
            <w:tcBorders>
              <w:bottom w:val="single" w:sz="6" w:space="0" w:color="000000"/>
            </w:tcBorders>
            <w:shd w:fill="F7F7F7" w:val="clear"/>
            <w:tcMar>
              <w:bottom w:w="28" w:type="dxa"/>
            </w:tcMar>
            <w:vAlign w:val="center"/>
          </w:tcPr>
          <w:p>
            <w:pPr>
              <w:pStyle w:val="TableContents"/>
              <w:bidi w:val="0"/>
              <w:spacing w:before="0" w:after="0"/>
              <w:jc w:val="left"/>
              <w:rPr/>
            </w:pPr>
            <w:r>
              <w:rPr/>
              <w:drawing>
                <wp:inline distT="0" distB="0" distL="0" distR="0">
                  <wp:extent cx="85725" cy="85725"/>
                  <wp:effectExtent l="0" t="0" r="0" b="0"/>
                  <wp:docPr id="164"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53" descr=""/>
                          <pic:cNvPicPr>
                            <a:picLocks noChangeAspect="1" noChangeArrowheads="1"/>
                          </pic:cNvPicPr>
                        </pic:nvPicPr>
                        <pic:blipFill>
                          <a:blip r:embed="rId57"/>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3612" w:type="dxa"/>
            <w:tcBorders>
              <w:bottom w:val="single" w:sz="6" w:space="0" w:color="000000"/>
            </w:tcBorders>
            <w:shd w:fill="F7F7F7" w:val="clear"/>
            <w:tcMar>
              <w:bottom w:w="65" w:type="dxa"/>
            </w:tcMar>
            <w:vAlign w:val="center"/>
          </w:tcPr>
          <w:p>
            <w:pPr>
              <w:pStyle w:val="TableContents"/>
              <w:bidi w:val="0"/>
              <w:spacing w:lineRule="atLeast" w:line="180" w:before="0" w:after="0"/>
              <w:jc w:val="left"/>
              <w:rPr/>
            </w:pPr>
            <w:r>
              <w:rPr>
                <w:b/>
                <w:i/>
              </w:rPr>
              <w:t>No Excise Tax “Gross-Ups.”</w:t>
            </w:r>
            <w:r>
              <w:rPr/>
              <w:t xml:space="preserve"> We do not provide any excise tax “gross-ups” on severance or other payments in connection with a change in control. </w:t>
            </w:r>
          </w:p>
        </w:tc>
        <w:tc>
          <w:tcPr>
            <w:tcW w:w="15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25" w:type="dxa"/>
            <w:tcBorders>
              <w:bottom w:val="single" w:sz="6" w:space="0" w:color="000000"/>
            </w:tcBorders>
            <w:tcMar>
              <w:bottom w:w="28" w:type="dxa"/>
            </w:tcMar>
            <w:vAlign w:val="center"/>
          </w:tcPr>
          <w:p>
            <w:pPr>
              <w:pStyle w:val="TableContents"/>
              <w:bidi w:val="0"/>
              <w:spacing w:before="0" w:after="0"/>
              <w:jc w:val="left"/>
              <w:rPr/>
            </w:pPr>
            <w:r>
              <w:rPr/>
              <w:drawing>
                <wp:inline distT="0" distB="0" distL="0" distR="0">
                  <wp:extent cx="85725" cy="85725"/>
                  <wp:effectExtent l="0" t="0" r="0" b="0"/>
                  <wp:docPr id="165"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54" descr=""/>
                          <pic:cNvPicPr>
                            <a:picLocks noChangeAspect="1" noChangeArrowheads="1"/>
                          </pic:cNvPicPr>
                        </pic:nvPicPr>
                        <pic:blipFill>
                          <a:blip r:embed="rId58"/>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4489" w:type="dxa"/>
            <w:tcBorders>
              <w:bottom w:val="single" w:sz="6" w:space="0" w:color="000000"/>
            </w:tcBorders>
            <w:tcMar>
              <w:bottom w:w="65" w:type="dxa"/>
            </w:tcMar>
            <w:vAlign w:val="center"/>
          </w:tcPr>
          <w:p>
            <w:pPr>
              <w:pStyle w:val="TableContents"/>
              <w:bidi w:val="0"/>
              <w:spacing w:lineRule="atLeast" w:line="180" w:before="0" w:after="0"/>
              <w:jc w:val="left"/>
              <w:rPr/>
            </w:pPr>
            <w:r>
              <w:rPr>
                <w:b/>
                <w:i/>
              </w:rPr>
              <w:t>Independent Compensation and Human Capital Committee.</w:t>
            </w:r>
            <w:r>
              <w:rPr/>
              <w:t xml:space="preserve"> The Compensation and Human Capital Committee consists only of independent directors under Nasdaq rules, even though, as a controlled company, we are not required to have an independent Compensation and Human Capital Committee under Nasdaq rules.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5" w:type="dxa"/>
            <w:tcBorders>
              <w:bottom w:val="single" w:sz="6" w:space="0" w:color="000000"/>
            </w:tcBorders>
            <w:tcMar>
              <w:bottom w:w="28" w:type="dxa"/>
            </w:tcMar>
            <w:vAlign w:val="center"/>
          </w:tcPr>
          <w:p>
            <w:pPr>
              <w:pStyle w:val="TableContents"/>
              <w:bidi w:val="0"/>
              <w:spacing w:before="0" w:after="0"/>
              <w:jc w:val="left"/>
              <w:rPr/>
            </w:pPr>
            <w:r>
              <w:rPr/>
              <w:drawing>
                <wp:inline distT="0" distB="0" distL="0" distR="0">
                  <wp:extent cx="85725" cy="85725"/>
                  <wp:effectExtent l="0" t="0" r="0" b="0"/>
                  <wp:docPr id="166"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55" descr=""/>
                          <pic:cNvPicPr>
                            <a:picLocks noChangeAspect="1" noChangeArrowheads="1"/>
                          </pic:cNvPicPr>
                        </pic:nvPicPr>
                        <pic:blipFill>
                          <a:blip r:embed="rId59"/>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612" w:type="dxa"/>
            <w:tcBorders>
              <w:bottom w:val="single" w:sz="6" w:space="0" w:color="000000"/>
            </w:tcBorders>
            <w:tcMar>
              <w:bottom w:w="65" w:type="dxa"/>
            </w:tcMar>
            <w:vAlign w:val="center"/>
          </w:tcPr>
          <w:p>
            <w:pPr>
              <w:pStyle w:val="TableContents"/>
              <w:bidi w:val="0"/>
              <w:spacing w:lineRule="atLeast" w:line="180" w:before="0" w:after="0"/>
              <w:jc w:val="left"/>
              <w:rPr/>
            </w:pPr>
            <w:r>
              <w:rPr>
                <w:b/>
                <w:i/>
              </w:rPr>
              <w:t>No Hedging or Pledging Permitted.</w:t>
            </w:r>
            <w:r>
              <w:rPr/>
              <w:t xml:space="preserve"> We prohibit directors and employees (including our NEOs) from hedging or pledging Lucid securities. </w:t>
            </w:r>
          </w:p>
        </w:tc>
        <w:tc>
          <w:tcPr>
            <w:tcW w:w="156" w:type="dxa"/>
            <w:tcBorders>
              <w:bottom w:val="single" w:sz="6" w:space="0" w:color="000000"/>
            </w:tcBorders>
            <w:tcMar>
              <w:bottom w:w="28" w:type="dxa"/>
            </w:tcMar>
            <w:vAlign w:val="center"/>
          </w:tcPr>
          <w:p>
            <w:pPr>
              <w:pStyle w:val="TableContents"/>
              <w:bidi w:val="0"/>
              <w:spacing w:before="0" w:after="283"/>
              <w:jc w:val="left"/>
              <w:rPr/>
            </w:pPr>
            <w:r>
              <w:rPr/>
              <w:t>​</w:t>
            </w:r>
          </w:p>
        </w:tc>
      </w:tr>
    </w:tbl>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45</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485" w:type="dxa"/>
        <w:jc w:val="left"/>
        <w:tblInd w:w="720" w:type="dxa"/>
        <w:tblLayout w:type="fixed"/>
        <w:tblCellMar>
          <w:top w:w="0" w:type="dxa"/>
          <w:left w:w="0" w:type="dxa"/>
          <w:bottom w:w="0" w:type="dxa"/>
          <w:right w:w="0" w:type="dxa"/>
        </w:tblCellMar>
      </w:tblPr>
      <w:tblGrid>
        <w:gridCol w:w="124"/>
        <w:gridCol w:w="230"/>
        <w:gridCol w:w="109"/>
        <w:gridCol w:w="109"/>
        <w:gridCol w:w="4951"/>
        <w:gridCol w:w="109"/>
        <w:gridCol w:w="109"/>
        <w:gridCol w:w="230"/>
        <w:gridCol w:w="109"/>
        <w:gridCol w:w="109"/>
        <w:gridCol w:w="3139"/>
        <w:gridCol w:w="157"/>
      </w:tblGrid>
      <w:tr>
        <w:trPr/>
        <w:tc>
          <w:tcPr>
            <w:tcW w:w="124" w:type="dxa"/>
            <w:tcBorders/>
            <w:shd w:fill="000000" w:val="clear"/>
            <w:vAlign w:val="center"/>
          </w:tcPr>
          <w:p>
            <w:pPr>
              <w:pStyle w:val="TableContents"/>
              <w:bidi w:val="0"/>
              <w:spacing w:before="0" w:after="283"/>
              <w:jc w:val="left"/>
              <w:rPr/>
            </w:pPr>
            <w:r>
              <w:rPr/>
              <w:t>​</w:t>
            </w:r>
          </w:p>
        </w:tc>
        <w:tc>
          <w:tcPr>
            <w:tcW w:w="5399" w:type="dxa"/>
            <w:gridSpan w:val="4"/>
            <w:tcBorders/>
            <w:shd w:fill="000000" w:val="clear"/>
            <w:vAlign w:val="center"/>
          </w:tcPr>
          <w:p>
            <w:pPr>
              <w:pStyle w:val="TableContents"/>
              <w:bidi w:val="0"/>
              <w:spacing w:before="0" w:after="0"/>
              <w:jc w:val="left"/>
              <w:rPr/>
            </w:pPr>
            <w:r>
              <w:rPr/>
              <w:t xml:space="preserve">What We Do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3587" w:type="dxa"/>
            <w:gridSpan w:val="4"/>
            <w:tcBorders/>
            <w:shd w:fill="000000" w:val="clear"/>
            <w:vAlign w:val="center"/>
          </w:tcPr>
          <w:p>
            <w:pPr>
              <w:pStyle w:val="TableContents"/>
              <w:bidi w:val="0"/>
              <w:spacing w:before="0" w:after="0"/>
              <w:jc w:val="left"/>
              <w:rPr/>
            </w:pPr>
            <w:r>
              <w:rPr/>
              <w:t xml:space="preserve">What We Don’t Do </w:t>
            </w:r>
          </w:p>
        </w:tc>
        <w:tc>
          <w:tcPr>
            <w:tcW w:w="157"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30" w:type="dxa"/>
            <w:tcBorders>
              <w:bottom w:val="single" w:sz="6" w:space="0" w:color="000000"/>
            </w:tcBorders>
            <w:shd w:fill="F7F7F7" w:val="clear"/>
            <w:tcMar>
              <w:bottom w:w="28" w:type="dxa"/>
            </w:tcMar>
            <w:vAlign w:val="center"/>
          </w:tcPr>
          <w:p>
            <w:pPr>
              <w:pStyle w:val="TableContents"/>
              <w:bidi w:val="0"/>
              <w:spacing w:before="0" w:after="0"/>
              <w:jc w:val="left"/>
              <w:rPr/>
            </w:pPr>
            <w:r>
              <w:rPr/>
              <w:drawing>
                <wp:inline distT="0" distB="0" distL="0" distR="0">
                  <wp:extent cx="85725" cy="85725"/>
                  <wp:effectExtent l="0" t="0" r="0" b="0"/>
                  <wp:docPr id="16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56" descr=""/>
                          <pic:cNvPicPr>
                            <a:picLocks noChangeAspect="1" noChangeArrowheads="1"/>
                          </pic:cNvPicPr>
                        </pic:nvPicPr>
                        <pic:blipFill>
                          <a:blip r:embed="rId60"/>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4951" w:type="dxa"/>
            <w:tcBorders>
              <w:bottom w:val="single" w:sz="6" w:space="0" w:color="000000"/>
            </w:tcBorders>
            <w:shd w:fill="F7F7F7" w:val="clear"/>
            <w:tcMar>
              <w:bottom w:w="65" w:type="dxa"/>
            </w:tcMar>
            <w:vAlign w:val="center"/>
          </w:tcPr>
          <w:p>
            <w:pPr>
              <w:pStyle w:val="TableContents"/>
              <w:bidi w:val="0"/>
              <w:spacing w:lineRule="atLeast" w:line="180" w:before="0" w:after="0"/>
              <w:jc w:val="left"/>
              <w:rPr/>
            </w:pPr>
            <w:r>
              <w:rPr>
                <w:b/>
                <w:i/>
              </w:rPr>
              <w:t>Stockholder Engagement.</w:t>
            </w:r>
            <w:r>
              <w:rPr/>
              <w:t xml:space="preserve"> We recognize that accountability to our stockholders is sound corporate governance. We incorporated the feedback we received from our majority investor as they undertook a review of our compensation programs.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30" w:type="dxa"/>
            <w:tcBorders>
              <w:bottom w:val="single" w:sz="6" w:space="0" w:color="000000"/>
            </w:tcBorders>
            <w:shd w:fill="F7F7F7" w:val="clear"/>
            <w:tcMar>
              <w:bottom w:w="28" w:type="dxa"/>
            </w:tcMar>
            <w:vAlign w:val="center"/>
          </w:tcPr>
          <w:p>
            <w:pPr>
              <w:pStyle w:val="TableContents"/>
              <w:bidi w:val="0"/>
              <w:spacing w:before="0" w:after="0"/>
              <w:jc w:val="left"/>
              <w:rPr/>
            </w:pPr>
            <w:r>
              <w:rPr/>
              <w:drawing>
                <wp:inline distT="0" distB="0" distL="0" distR="0">
                  <wp:extent cx="85725" cy="85725"/>
                  <wp:effectExtent l="0" t="0" r="0" b="0"/>
                  <wp:docPr id="168"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57" descr=""/>
                          <pic:cNvPicPr>
                            <a:picLocks noChangeAspect="1" noChangeArrowheads="1"/>
                          </pic:cNvPicPr>
                        </pic:nvPicPr>
                        <pic:blipFill>
                          <a:blip r:embed="rId61"/>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3139" w:type="dxa"/>
            <w:tcBorders>
              <w:bottom w:val="single" w:sz="6" w:space="0" w:color="000000"/>
            </w:tcBorders>
            <w:shd w:fill="F7F7F7" w:val="clear"/>
            <w:tcMar>
              <w:bottom w:w="65" w:type="dxa"/>
            </w:tcMar>
            <w:vAlign w:val="center"/>
          </w:tcPr>
          <w:p>
            <w:pPr>
              <w:pStyle w:val="TableContents"/>
              <w:bidi w:val="0"/>
              <w:spacing w:lineRule="atLeast" w:line="180" w:before="0" w:after="0"/>
              <w:jc w:val="left"/>
              <w:rPr/>
            </w:pPr>
            <w:r>
              <w:rPr>
                <w:b/>
                <w:i/>
              </w:rPr>
              <w:t>No Pension or Executive Retirement Plans.</w:t>
            </w:r>
            <w:r>
              <w:rPr/>
              <w:t xml:space="preserve"> We do not offer pension or supplemental executive retirement plans for our NEOs. </w:t>
            </w:r>
          </w:p>
        </w:tc>
        <w:tc>
          <w:tcPr>
            <w:tcW w:w="157"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30"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4951" w:type="dxa"/>
            <w:tcBorders>
              <w:bottom w:val="single" w:sz="6" w:space="0" w:color="000000"/>
            </w:tcBorders>
            <w:tcMar>
              <w:bottom w:w="65"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30" w:type="dxa"/>
            <w:tcBorders>
              <w:bottom w:val="single" w:sz="6" w:space="0" w:color="000000"/>
            </w:tcBorders>
            <w:tcMar>
              <w:bottom w:w="28" w:type="dxa"/>
            </w:tcMar>
            <w:vAlign w:val="center"/>
          </w:tcPr>
          <w:p>
            <w:pPr>
              <w:pStyle w:val="TableContents"/>
              <w:bidi w:val="0"/>
              <w:spacing w:before="0" w:after="0"/>
              <w:jc w:val="left"/>
              <w:rPr/>
            </w:pPr>
            <w:r>
              <w:rPr/>
              <w:drawing>
                <wp:inline distT="0" distB="0" distL="0" distR="0">
                  <wp:extent cx="85725" cy="85725"/>
                  <wp:effectExtent l="0" t="0" r="0" b="0"/>
                  <wp:docPr id="169"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58" descr=""/>
                          <pic:cNvPicPr>
                            <a:picLocks noChangeAspect="1" noChangeArrowheads="1"/>
                          </pic:cNvPicPr>
                        </pic:nvPicPr>
                        <pic:blipFill>
                          <a:blip r:embed="rId62"/>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139" w:type="dxa"/>
            <w:tcBorders>
              <w:bottom w:val="single" w:sz="6" w:space="0" w:color="000000"/>
            </w:tcBorders>
            <w:tcMar>
              <w:bottom w:w="65" w:type="dxa"/>
            </w:tcMar>
            <w:vAlign w:val="center"/>
          </w:tcPr>
          <w:p>
            <w:pPr>
              <w:pStyle w:val="TableContents"/>
              <w:bidi w:val="0"/>
              <w:spacing w:lineRule="atLeast" w:line="180" w:before="0" w:after="0"/>
              <w:jc w:val="left"/>
              <w:rPr/>
            </w:pPr>
            <w:r>
              <w:rPr>
                <w:b/>
                <w:i/>
              </w:rPr>
              <w:t>No Excessive Perks.</w:t>
            </w:r>
            <w:r>
              <w:rPr/>
              <w:t xml:space="preserve"> We do not pay significant executive perquisites to our NEOs.</w:t>
            </w:r>
          </w:p>
        </w:tc>
        <w:tc>
          <w:tcPr>
            <w:tcW w:w="157"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lineRule="atLeast" w:line="200" w:before="250" w:after="283"/>
        <w:ind w:left="720" w:right="0" w:hanging="0"/>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Compensation Philosophy and Objectives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Our executive compensation program is designed to attract, retain, and motivate top-level talent who possess the skills and leadership necessary to grow our business and enable long-term value creation by (i) providing compensation packages that are competitive with market practice and drive and reward the achievement of our business objectives; (ii) closely aligning the interests of our NEOs with those of our stockholders by providing a significant portion of our NEOs’ compensation in equity and, with the introduction of performance-based equity awards in 2023, linking a significant portion of equity compensation to performance-based results; and (iii) appropriately aligning compensation with both short-term and long-term Company performance measures and strategic objectives. Being a technology and automotive company that is setting new standards with advanced luxury electric vehicles, we seek to hire and retain experienced talent from the competitive technology sector who have the ability to lead across multiple disciplines and through our highly regulated industries.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To ensure that management’s interests are aligned with those of our stockholders and to motivate and reward individual initiative and effort, our executive compensation program emphasizes a pay-for-performance compensation philosophy so that attainment of Company and individual performance goals are rewarded.</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Our executive compensation program design reflects our pay-for-performance philosophy and includes a mix of three key compensation elements — base salary, annual cash incentive awards, and long-term equity incentive awards.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Compensation and Human Capital Committee annually reviews and analyzes market trends (including, compensation market data from an approved peer group of companies) and adjusts the design and operation of our executive compensation program from time to time as it deems appropriate. As we continue to grow as a public company, the Compensation and Human Capital Committee continues to consider the extent to which the equity compensation of our NEOs should be linked to performance-based results, and the Compensation and Human Capital Committee has recently taken action to further link equity compensation to performance-based results by approving new performance-based equity awards, as briefly described below.</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New Performance-Based Equity Awards Framework</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In an ongoing effort to be responsive to our stockholders, to continue to achieve strong support for our executive compensation program and to further align executive incentives with stockholders, the Compensation and Human Capital Committee considered and evaluated modifications to the long-term equity incentive component in 2023. As a result of this evaluation and, based on peer group data and recommendations provided by Pay Governance, the Compensation and Human Capital Committee decided that, for 2023, each executive’s (including each NEO’s, except the CEO in recognition of his still outstanding 2021 performance-based equity award) long-term incentive award will be delivered as a mix of 30% RSUs, 60% PSUs, and 10% Premium-Priced Options.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The Compensation and Human Capital Committee believes that the PSUs will incentivize and motivate executives (including our NEOs) to achieve key strategic financial and individual objectives and the new Premium-Priced Options will provide direct alignment with our stockholders. </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46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840" w:after="283"/>
        <w:ind w:left="720" w:right="0" w:hanging="0"/>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Executive Compensation Process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00" w:before="40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Roles of the Compensation and Human Capital Committee and Management</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5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Our executive compensation program is administered primarily by the Compensation and Human Capital Committee, which is comprised entirely of independent directors under Nasdaq rules (even though, as a controlled company, we are not required to have an independent Compensation and Human Capital Committee under Nasdaq rules). The Compensation and Human Capital Committee establishes our overall compensation philosophy and objectives and is responsible for establishing, overseeing, and evaluating our executive compensation program. The Compensation and Human Capital Committee reviews and assesses whether our executive compensation program aligns with our compensation philosophy and objectives and approves the cash compensation of our NEOs (other than the CEO), and recommends to the Board for approval, the cash compensation for our CEO and equity grants to our NEOs (including the CEO).</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5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Compensation and Human Capital Committee also consults with and reviews feedback from members of our management team, including our CEO and Human Resources senior leadership, when making compensation decisions. Our CEO works closely with the Compensation and Human Capital Committee and provides the Compensation and Human Capital Committee with performance assessments and compensation recommendations for each NEO (other than himself), based on each NEO’s level of performance and Company performance. While the Compensation and Human Capital Committee considers our CEO’s recommendations, the Compensation and Human Capital Committee ultimately uses its own business judgment and experience in making compensation decisions and recommendations.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Role of Compensation Consultant</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5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Compensation and Human Capital Committee is directly responsible for the appointment, compensation, and oversight of the work of any compensation advisor and has sole authority to approve all such advisors’ fees and other retention terms.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5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Compensation and Human Capital Committee has retained Pay Governance as its compensation consultant since November 2021 to provide the committee with advice and guidance on the design of our executive compensation program. The Nominating and Corporate Governance Committee also has retained Pay Governance as a consultant regarding non-employee director compensation. Pay Governance provides the committees with third-party data and analysis on competitive compensation practices and trends and recommends executive and director compensation levels. Pay Governance has not provided any other services to us and has not received any compensation from us other than with respect to such services to the Compensation and Human Capital Committee and the Nominating and Corporate Governance Committee.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5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Each year, the Compensation and Human Capital Committee reviews the independence of the compensation consultant and other advisors who provide advice to the Compensation and Human Capital Committee, employing the independence factors specified under Nasdaq rules.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5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Compensation and Human Capital Committee has determined that Pay Governance is independent within the meaning of the Nasdaq rules, and the work of Pay Governance for the committee has not raised any conflicts of interest.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Executive Compensation Peer Group</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5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In September 2022, based on input from management and Pay Governance, the Compensation and Human Capital Committee approved an executive compensation peer group to define external benchmarks to help inform compensation decision-making for 2023. While external benchmarks are not the only factor used in the Compensation and Human Capital Committee’s decision process, the Compensation and Human Capital Committee believes external benchmarks to be a valuable tool in setting market competitive compensation policies intended to attract, motivate, and retain top-level talent.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In developing the peer group, consideration was given to our unique combination of key attributes — high price-to-sales, recent commercialization, large-scale manufacturing, and a technology-heavy workforce.</w:t>
      </w:r>
      <w:r>
        <w:rPr>
          <w:rFonts w:ascii="Helvetica;Arial;sans-serif" w:hAnsi="Helvetica;Arial;sans-serif"/>
          <w:b w:val="false"/>
          <w:i w:val="false"/>
          <w:caps w:val="false"/>
          <w:smallCaps w:val="false"/>
          <w:color w:val="000000"/>
          <w:spacing w:val="4"/>
          <w:sz w:val="18"/>
        </w:rPr>
        <w:t xml:space="preserve"> </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47</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84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Our 2023 compensation peer group included the following companies from a variety of business sectors:</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28" w:type="dxa"/>
          <w:right w:w="0" w:type="dxa"/>
        </w:tblCellMar>
      </w:tblPr>
      <w:tblGrid>
        <w:gridCol w:w="124"/>
        <w:gridCol w:w="1415"/>
        <w:gridCol w:w="109"/>
        <w:gridCol w:w="109"/>
        <w:gridCol w:w="1993"/>
        <w:gridCol w:w="109"/>
        <w:gridCol w:w="109"/>
        <w:gridCol w:w="1417"/>
        <w:gridCol w:w="109"/>
        <w:gridCol w:w="109"/>
        <w:gridCol w:w="1841"/>
        <w:gridCol w:w="109"/>
        <w:gridCol w:w="109"/>
        <w:gridCol w:w="1667"/>
        <w:gridCol w:w="156"/>
      </w:tblGrid>
      <w:tr>
        <w:trPr/>
        <w:tc>
          <w:tcPr>
            <w:tcW w:w="124" w:type="dxa"/>
            <w:tcBorders>
              <w:bottom w:val="single" w:sz="6" w:space="0" w:color="000000"/>
            </w:tcBorders>
            <w:vAlign w:val="center"/>
          </w:tcPr>
          <w:p>
            <w:pPr>
              <w:pStyle w:val="TableContents"/>
              <w:bidi w:val="0"/>
              <w:spacing w:before="0" w:after="283"/>
              <w:jc w:val="left"/>
              <w:rPr/>
            </w:pPr>
            <w:r>
              <w:rPr/>
              <w:t>​</w:t>
            </w:r>
          </w:p>
        </w:tc>
        <w:tc>
          <w:tcPr>
            <w:tcW w:w="1415" w:type="dxa"/>
            <w:tcBorders>
              <w:bottom w:val="single" w:sz="6" w:space="0" w:color="000000"/>
            </w:tcBorders>
            <w:tcMar>
              <w:bottom w:w="138" w:type="dxa"/>
            </w:tcMar>
            <w:vAlign w:val="center"/>
          </w:tcPr>
          <w:p>
            <w:pPr>
              <w:pStyle w:val="TableContents"/>
              <w:bidi w:val="0"/>
              <w:spacing w:lineRule="atLeast" w:line="160" w:before="0" w:after="0"/>
              <w:ind w:left="160" w:right="0" w:hanging="0"/>
              <w:jc w:val="left"/>
              <w:rPr/>
            </w:pPr>
            <w:r>
              <w:rPr/>
              <w:t xml:space="preserve">Airbnb, Inc. </w:t>
            </w:r>
            <w:r>
              <mc:AlternateContent>
                <mc:Choice Requires="wps">
                  <w:drawing>
                    <wp:anchor behindDoc="0" distT="0" distB="0" distL="0" distR="0" simplePos="0" locked="0" layoutInCell="1" allowOverlap="1" relativeHeight="180">
                      <wp:simplePos x="0" y="0"/>
                      <wp:positionH relativeFrom="column">
                        <wp:align>left</wp:align>
                      </wp:positionH>
                      <wp:positionV relativeFrom="line">
                        <wp:posOffset>635</wp:posOffset>
                      </wp:positionV>
                      <wp:extent cx="101600" cy="525780"/>
                      <wp:effectExtent l="0" t="0" r="0" b="0"/>
                      <wp:wrapSquare wrapText="right"/>
                      <wp:docPr id="170" name="Frame109"/>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6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993" w:type="dxa"/>
            <w:tcBorders>
              <w:bottom w:val="single" w:sz="6" w:space="0" w:color="000000"/>
            </w:tcBorders>
            <w:tcMar>
              <w:bottom w:w="138" w:type="dxa"/>
            </w:tcMar>
            <w:vAlign w:val="center"/>
          </w:tcPr>
          <w:p>
            <w:pPr>
              <w:pStyle w:val="TableContents"/>
              <w:bidi w:val="0"/>
              <w:spacing w:lineRule="atLeast" w:line="160" w:before="0" w:after="0"/>
              <w:ind w:left="160" w:right="0" w:hanging="0"/>
              <w:jc w:val="left"/>
              <w:rPr/>
            </w:pPr>
            <w:r>
              <w:rPr/>
              <w:t xml:space="preserve">Deere &amp; Company </w:t>
            </w:r>
            <w:r>
              <mc:AlternateContent>
                <mc:Choice Requires="wps">
                  <w:drawing>
                    <wp:anchor behindDoc="0" distT="0" distB="0" distL="0" distR="0" simplePos="0" locked="0" layoutInCell="1" allowOverlap="1" relativeHeight="181">
                      <wp:simplePos x="0" y="0"/>
                      <wp:positionH relativeFrom="column">
                        <wp:align>left</wp:align>
                      </wp:positionH>
                      <wp:positionV relativeFrom="line">
                        <wp:posOffset>635</wp:posOffset>
                      </wp:positionV>
                      <wp:extent cx="101600" cy="525780"/>
                      <wp:effectExtent l="0" t="0" r="0" b="0"/>
                      <wp:wrapSquare wrapText="right"/>
                      <wp:docPr id="171" name="Frame110"/>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6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17" w:type="dxa"/>
            <w:tcBorders>
              <w:bottom w:val="single" w:sz="6" w:space="0" w:color="000000"/>
            </w:tcBorders>
            <w:tcMar>
              <w:bottom w:w="138" w:type="dxa"/>
            </w:tcMar>
            <w:vAlign w:val="center"/>
          </w:tcPr>
          <w:p>
            <w:pPr>
              <w:pStyle w:val="TableContents"/>
              <w:bidi w:val="0"/>
              <w:spacing w:lineRule="atLeast" w:line="160" w:before="0" w:after="0"/>
              <w:ind w:left="160" w:right="0" w:hanging="0"/>
              <w:jc w:val="left"/>
              <w:rPr/>
            </w:pPr>
            <w:r>
              <w:rPr/>
              <w:t xml:space="preserve">Intel Corporation </w:t>
            </w:r>
            <w:r>
              <mc:AlternateContent>
                <mc:Choice Requires="wps">
                  <w:drawing>
                    <wp:anchor behindDoc="0" distT="0" distB="0" distL="0" distR="0" simplePos="0" locked="0" layoutInCell="1" allowOverlap="1" relativeHeight="182">
                      <wp:simplePos x="0" y="0"/>
                      <wp:positionH relativeFrom="column">
                        <wp:align>left</wp:align>
                      </wp:positionH>
                      <wp:positionV relativeFrom="line">
                        <wp:posOffset>635</wp:posOffset>
                      </wp:positionV>
                      <wp:extent cx="101600" cy="525780"/>
                      <wp:effectExtent l="0" t="0" r="0" b="0"/>
                      <wp:wrapSquare wrapText="right"/>
                      <wp:docPr id="172" name="Frame111"/>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6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841" w:type="dxa"/>
            <w:tcBorders>
              <w:bottom w:val="single" w:sz="6" w:space="0" w:color="000000"/>
            </w:tcBorders>
            <w:tcMar>
              <w:bottom w:w="138" w:type="dxa"/>
            </w:tcMar>
            <w:vAlign w:val="center"/>
          </w:tcPr>
          <w:p>
            <w:pPr>
              <w:pStyle w:val="TableContents"/>
              <w:bidi w:val="0"/>
              <w:spacing w:lineRule="atLeast" w:line="180" w:before="0" w:after="0"/>
              <w:ind w:left="160" w:right="0" w:hanging="0"/>
              <w:jc w:val="left"/>
              <w:rPr/>
            </w:pPr>
            <w:r>
              <w:rPr/>
              <w:t xml:space="preserve">Raytheon Technologies Corporation </w:t>
            </w:r>
            <w:r>
              <mc:AlternateContent>
                <mc:Choice Requires="wps">
                  <w:drawing>
                    <wp:anchor behindDoc="0" distT="0" distB="0" distL="0" distR="0" simplePos="0" locked="0" layoutInCell="1" allowOverlap="1" relativeHeight="183">
                      <wp:simplePos x="0" y="0"/>
                      <wp:positionH relativeFrom="column">
                        <wp:align>left</wp:align>
                      </wp:positionH>
                      <wp:positionV relativeFrom="line">
                        <wp:posOffset>635</wp:posOffset>
                      </wp:positionV>
                      <wp:extent cx="101600" cy="525780"/>
                      <wp:effectExtent l="0" t="0" r="0" b="0"/>
                      <wp:wrapSquare wrapText="right"/>
                      <wp:docPr id="173" name="Frame112"/>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67" w:type="dxa"/>
            <w:tcBorders>
              <w:bottom w:val="single" w:sz="6" w:space="0" w:color="000000"/>
            </w:tcBorders>
            <w:tcMar>
              <w:bottom w:w="138" w:type="dxa"/>
            </w:tcMar>
            <w:vAlign w:val="center"/>
          </w:tcPr>
          <w:p>
            <w:pPr>
              <w:pStyle w:val="TableContents"/>
              <w:bidi w:val="0"/>
              <w:spacing w:lineRule="atLeast" w:line="160" w:before="0" w:after="0"/>
              <w:ind w:left="160" w:right="0" w:hanging="0"/>
              <w:jc w:val="left"/>
              <w:rPr/>
            </w:pPr>
            <w:r>
              <w:rPr/>
              <w:t xml:space="preserve">The Boeing Company </w:t>
            </w:r>
            <w:r>
              <mc:AlternateContent>
                <mc:Choice Requires="wps">
                  <w:drawing>
                    <wp:anchor behindDoc="0" distT="0" distB="0" distL="0" distR="0" simplePos="0" locked="0" layoutInCell="1" allowOverlap="1" relativeHeight="184">
                      <wp:simplePos x="0" y="0"/>
                      <wp:positionH relativeFrom="column">
                        <wp:align>left</wp:align>
                      </wp:positionH>
                      <wp:positionV relativeFrom="line">
                        <wp:posOffset>635</wp:posOffset>
                      </wp:positionV>
                      <wp:extent cx="101600" cy="525780"/>
                      <wp:effectExtent l="0" t="0" r="0" b="0"/>
                      <wp:wrapSquare wrapText="right"/>
                      <wp:docPr id="174" name="Frame113"/>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6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vAlign w:val="center"/>
          </w:tcPr>
          <w:p>
            <w:pPr>
              <w:pStyle w:val="TableContents"/>
              <w:bidi w:val="0"/>
              <w:spacing w:before="0" w:after="283"/>
              <w:jc w:val="left"/>
              <w:rPr/>
            </w:pPr>
            <w:r>
              <w:rPr/>
              <w:t>​</w:t>
            </w:r>
          </w:p>
        </w:tc>
        <w:tc>
          <w:tcPr>
            <w:tcW w:w="1415" w:type="dxa"/>
            <w:tcBorders>
              <w:bottom w:val="single" w:sz="6" w:space="0" w:color="000000"/>
            </w:tcBorders>
            <w:shd w:fill="F7F7F7" w:val="clear"/>
            <w:tcMar>
              <w:bottom w:w="138" w:type="dxa"/>
            </w:tcMar>
            <w:vAlign w:val="center"/>
          </w:tcPr>
          <w:p>
            <w:pPr>
              <w:pStyle w:val="TableContents"/>
              <w:bidi w:val="0"/>
              <w:spacing w:lineRule="atLeast" w:line="160" w:before="0" w:after="0"/>
              <w:ind w:left="160" w:right="0" w:hanging="0"/>
              <w:jc w:val="left"/>
              <w:rPr/>
            </w:pPr>
            <w:r>
              <w:rPr/>
              <w:t xml:space="preserve">Aptiv PLC </w:t>
            </w:r>
            <w:r>
              <mc:AlternateContent>
                <mc:Choice Requires="wps">
                  <w:drawing>
                    <wp:anchor behindDoc="0" distT="0" distB="0" distL="0" distR="0" simplePos="0" locked="0" layoutInCell="1" allowOverlap="1" relativeHeight="185">
                      <wp:simplePos x="0" y="0"/>
                      <wp:positionH relativeFrom="column">
                        <wp:align>left</wp:align>
                      </wp:positionH>
                      <wp:positionV relativeFrom="line">
                        <wp:posOffset>635</wp:posOffset>
                      </wp:positionV>
                      <wp:extent cx="101600" cy="525780"/>
                      <wp:effectExtent l="0" t="0" r="0" b="0"/>
                      <wp:wrapSquare wrapText="right"/>
                      <wp:docPr id="175" name="Frame114"/>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6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993" w:type="dxa"/>
            <w:tcBorders>
              <w:bottom w:val="single" w:sz="6" w:space="0" w:color="000000"/>
            </w:tcBorders>
            <w:shd w:fill="F7F7F7" w:val="clear"/>
            <w:tcMar>
              <w:bottom w:w="138" w:type="dxa"/>
            </w:tcMar>
            <w:vAlign w:val="center"/>
          </w:tcPr>
          <w:p>
            <w:pPr>
              <w:pStyle w:val="TableContents"/>
              <w:bidi w:val="0"/>
              <w:spacing w:lineRule="atLeast" w:line="160" w:before="0" w:after="0"/>
              <w:ind w:left="160" w:right="0" w:hanging="0"/>
              <w:jc w:val="left"/>
              <w:rPr/>
            </w:pPr>
            <w:r>
              <w:rPr/>
              <w:t xml:space="preserve">Ford Motor Company </w:t>
            </w:r>
            <w:r>
              <mc:AlternateContent>
                <mc:Choice Requires="wps">
                  <w:drawing>
                    <wp:anchor behindDoc="0" distT="0" distB="0" distL="0" distR="0" simplePos="0" locked="0" layoutInCell="1" allowOverlap="1" relativeHeight="186">
                      <wp:simplePos x="0" y="0"/>
                      <wp:positionH relativeFrom="column">
                        <wp:align>left</wp:align>
                      </wp:positionH>
                      <wp:positionV relativeFrom="line">
                        <wp:posOffset>635</wp:posOffset>
                      </wp:positionV>
                      <wp:extent cx="101600" cy="525780"/>
                      <wp:effectExtent l="0" t="0" r="0" b="0"/>
                      <wp:wrapSquare wrapText="right"/>
                      <wp:docPr id="176" name="Frame115"/>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6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417" w:type="dxa"/>
            <w:tcBorders>
              <w:bottom w:val="single" w:sz="6" w:space="0" w:color="000000"/>
            </w:tcBorders>
            <w:shd w:fill="F7F7F7" w:val="clear"/>
            <w:tcMar>
              <w:bottom w:w="138" w:type="dxa"/>
            </w:tcMar>
            <w:vAlign w:val="center"/>
          </w:tcPr>
          <w:p>
            <w:pPr>
              <w:pStyle w:val="TableContents"/>
              <w:bidi w:val="0"/>
              <w:spacing w:lineRule="atLeast" w:line="160" w:before="0" w:after="0"/>
              <w:ind w:left="160" w:right="0" w:hanging="0"/>
              <w:jc w:val="left"/>
              <w:rPr/>
            </w:pPr>
            <w:r>
              <w:rPr/>
              <w:t xml:space="preserve">Joby Aviation, Inc. </w:t>
            </w:r>
            <w:r>
              <mc:AlternateContent>
                <mc:Choice Requires="wps">
                  <w:drawing>
                    <wp:anchor behindDoc="0" distT="0" distB="0" distL="0" distR="0" simplePos="0" locked="0" layoutInCell="1" allowOverlap="1" relativeHeight="187">
                      <wp:simplePos x="0" y="0"/>
                      <wp:positionH relativeFrom="column">
                        <wp:align>left</wp:align>
                      </wp:positionH>
                      <wp:positionV relativeFrom="line">
                        <wp:posOffset>635</wp:posOffset>
                      </wp:positionV>
                      <wp:extent cx="101600" cy="525780"/>
                      <wp:effectExtent l="0" t="0" r="0" b="0"/>
                      <wp:wrapSquare wrapText="right"/>
                      <wp:docPr id="177" name="Frame116"/>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6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841" w:type="dxa"/>
            <w:tcBorders>
              <w:bottom w:val="single" w:sz="6" w:space="0" w:color="000000"/>
            </w:tcBorders>
            <w:shd w:fill="F7F7F7" w:val="clear"/>
            <w:tcMar>
              <w:bottom w:w="138" w:type="dxa"/>
            </w:tcMar>
            <w:vAlign w:val="center"/>
          </w:tcPr>
          <w:p>
            <w:pPr>
              <w:pStyle w:val="TableContents"/>
              <w:bidi w:val="0"/>
              <w:spacing w:lineRule="atLeast" w:line="160" w:before="0" w:after="0"/>
              <w:ind w:left="160" w:right="0" w:hanging="0"/>
              <w:jc w:val="left"/>
              <w:rPr/>
            </w:pPr>
            <w:r>
              <w:rPr/>
              <w:t xml:space="preserve">Rivian Automotive, Inc. </w:t>
            </w:r>
            <w:r>
              <mc:AlternateContent>
                <mc:Choice Requires="wps">
                  <w:drawing>
                    <wp:anchor behindDoc="0" distT="0" distB="0" distL="0" distR="0" simplePos="0" locked="0" layoutInCell="1" allowOverlap="1" relativeHeight="188">
                      <wp:simplePos x="0" y="0"/>
                      <wp:positionH relativeFrom="column">
                        <wp:align>left</wp:align>
                      </wp:positionH>
                      <wp:positionV relativeFrom="line">
                        <wp:posOffset>635</wp:posOffset>
                      </wp:positionV>
                      <wp:extent cx="101600" cy="525780"/>
                      <wp:effectExtent l="0" t="0" r="0" b="0"/>
                      <wp:wrapSquare wrapText="right"/>
                      <wp:docPr id="178" name="Frame117"/>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6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667" w:type="dxa"/>
            <w:tcBorders>
              <w:bottom w:val="single" w:sz="6" w:space="0" w:color="000000"/>
            </w:tcBorders>
            <w:shd w:fill="F7F7F7" w:val="clear"/>
            <w:tcMar>
              <w:bottom w:w="138" w:type="dxa"/>
            </w:tcMar>
            <w:vAlign w:val="center"/>
          </w:tcPr>
          <w:p>
            <w:pPr>
              <w:pStyle w:val="TableContents"/>
              <w:bidi w:val="0"/>
              <w:spacing w:lineRule="atLeast" w:line="180" w:before="0" w:after="0"/>
              <w:ind w:left="160" w:right="0" w:hanging="0"/>
              <w:jc w:val="left"/>
              <w:rPr/>
            </w:pPr>
            <w:r>
              <w:rPr/>
              <w:t xml:space="preserve">Uber Technologies, Inc. </w:t>
            </w:r>
            <w:r>
              <mc:AlternateContent>
                <mc:Choice Requires="wps">
                  <w:drawing>
                    <wp:anchor behindDoc="0" distT="0" distB="0" distL="0" distR="0" simplePos="0" locked="0" layoutInCell="1" allowOverlap="1" relativeHeight="189">
                      <wp:simplePos x="0" y="0"/>
                      <wp:positionH relativeFrom="column">
                        <wp:align>left</wp:align>
                      </wp:positionH>
                      <wp:positionV relativeFrom="line">
                        <wp:posOffset>635</wp:posOffset>
                      </wp:positionV>
                      <wp:extent cx="101600" cy="525780"/>
                      <wp:effectExtent l="0" t="0" r="0" b="0"/>
                      <wp:wrapSquare wrapText="right"/>
                      <wp:docPr id="179" name="Frame118"/>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6" w:space="0" w:color="000000"/>
            </w:tcBorders>
            <w:shd w:fill="F7F7F7"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415" w:type="dxa"/>
            <w:tcBorders>
              <w:bottom w:val="single" w:sz="6" w:space="0" w:color="000000"/>
            </w:tcBorders>
            <w:tcMar>
              <w:bottom w:w="138" w:type="dxa"/>
            </w:tcMar>
            <w:vAlign w:val="center"/>
          </w:tcPr>
          <w:p>
            <w:pPr>
              <w:pStyle w:val="TableContents"/>
              <w:bidi w:val="0"/>
              <w:spacing w:lineRule="atLeast" w:line="160" w:before="0" w:after="0"/>
              <w:ind w:left="160" w:right="0" w:hanging="0"/>
              <w:jc w:val="left"/>
              <w:rPr/>
            </w:pPr>
            <w:r>
              <w:rPr/>
              <w:t xml:space="preserve">Cloudflare, Inc. </w:t>
            </w:r>
            <w:r>
              <mc:AlternateContent>
                <mc:Choice Requires="wps">
                  <w:drawing>
                    <wp:anchor behindDoc="0" distT="0" distB="0" distL="0" distR="0" simplePos="0" locked="0" layoutInCell="1" allowOverlap="1" relativeHeight="190">
                      <wp:simplePos x="0" y="0"/>
                      <wp:positionH relativeFrom="column">
                        <wp:align>left</wp:align>
                      </wp:positionH>
                      <wp:positionV relativeFrom="line">
                        <wp:posOffset>635</wp:posOffset>
                      </wp:positionV>
                      <wp:extent cx="101600" cy="525780"/>
                      <wp:effectExtent l="0" t="0" r="0" b="0"/>
                      <wp:wrapSquare wrapText="right"/>
                      <wp:docPr id="180" name="Frame119"/>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6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993" w:type="dxa"/>
            <w:tcBorders>
              <w:bottom w:val="single" w:sz="6" w:space="0" w:color="000000"/>
            </w:tcBorders>
            <w:tcMar>
              <w:bottom w:w="138" w:type="dxa"/>
            </w:tcMar>
            <w:vAlign w:val="center"/>
          </w:tcPr>
          <w:p>
            <w:pPr>
              <w:pStyle w:val="TableContents"/>
              <w:bidi w:val="0"/>
              <w:spacing w:lineRule="atLeast" w:line="180" w:before="0" w:after="0"/>
              <w:ind w:left="160" w:right="0" w:hanging="0"/>
              <w:jc w:val="left"/>
              <w:rPr/>
            </w:pPr>
            <w:r>
              <w:rPr/>
              <w:t xml:space="preserve">General Motors Company </w:t>
            </w:r>
            <w:r>
              <mc:AlternateContent>
                <mc:Choice Requires="wps">
                  <w:drawing>
                    <wp:anchor behindDoc="0" distT="0" distB="0" distL="0" distR="0" simplePos="0" locked="0" layoutInCell="1" allowOverlap="1" relativeHeight="191">
                      <wp:simplePos x="0" y="0"/>
                      <wp:positionH relativeFrom="column">
                        <wp:align>left</wp:align>
                      </wp:positionH>
                      <wp:positionV relativeFrom="line">
                        <wp:posOffset>635</wp:posOffset>
                      </wp:positionV>
                      <wp:extent cx="101600" cy="525780"/>
                      <wp:effectExtent l="0" t="0" r="0" b="0"/>
                      <wp:wrapSquare wrapText="right"/>
                      <wp:docPr id="181" name="Frame120"/>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17" w:type="dxa"/>
            <w:tcBorders>
              <w:bottom w:val="single" w:sz="6" w:space="0" w:color="000000"/>
            </w:tcBorders>
            <w:tcMar>
              <w:bottom w:w="138" w:type="dxa"/>
            </w:tcMar>
            <w:vAlign w:val="center"/>
          </w:tcPr>
          <w:p>
            <w:pPr>
              <w:pStyle w:val="TableContents"/>
              <w:bidi w:val="0"/>
              <w:spacing w:lineRule="atLeast" w:line="160" w:before="0" w:after="0"/>
              <w:ind w:left="160" w:right="0" w:hanging="0"/>
              <w:jc w:val="left"/>
              <w:rPr/>
            </w:pPr>
            <w:r>
              <w:rPr/>
              <w:t xml:space="preserve">Lyft, Inc. </w:t>
            </w:r>
            <w:r>
              <mc:AlternateContent>
                <mc:Choice Requires="wps">
                  <w:drawing>
                    <wp:anchor behindDoc="0" distT="0" distB="0" distL="0" distR="0" simplePos="0" locked="0" layoutInCell="1" allowOverlap="1" relativeHeight="192">
                      <wp:simplePos x="0" y="0"/>
                      <wp:positionH relativeFrom="column">
                        <wp:align>left</wp:align>
                      </wp:positionH>
                      <wp:positionV relativeFrom="line">
                        <wp:posOffset>635</wp:posOffset>
                      </wp:positionV>
                      <wp:extent cx="101600" cy="525780"/>
                      <wp:effectExtent l="0" t="0" r="0" b="0"/>
                      <wp:wrapSquare wrapText="right"/>
                      <wp:docPr id="182" name="Frame121"/>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6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841" w:type="dxa"/>
            <w:tcBorders>
              <w:bottom w:val="single" w:sz="6" w:space="0" w:color="000000"/>
            </w:tcBorders>
            <w:tcMar>
              <w:bottom w:w="138" w:type="dxa"/>
            </w:tcMar>
            <w:vAlign w:val="center"/>
          </w:tcPr>
          <w:p>
            <w:pPr>
              <w:pStyle w:val="TableContents"/>
              <w:bidi w:val="0"/>
              <w:spacing w:lineRule="atLeast" w:line="160" w:before="0" w:after="0"/>
              <w:ind w:left="160" w:right="0" w:hanging="0"/>
              <w:jc w:val="left"/>
              <w:rPr/>
            </w:pPr>
            <w:r>
              <w:rPr/>
              <w:t xml:space="preserve">Snowflake Inc. </w:t>
            </w:r>
            <w:r>
              <mc:AlternateContent>
                <mc:Choice Requires="wps">
                  <w:drawing>
                    <wp:anchor behindDoc="0" distT="0" distB="0" distL="0" distR="0" simplePos="0" locked="0" layoutInCell="1" allowOverlap="1" relativeHeight="193">
                      <wp:simplePos x="0" y="0"/>
                      <wp:positionH relativeFrom="column">
                        <wp:align>left</wp:align>
                      </wp:positionH>
                      <wp:positionV relativeFrom="line">
                        <wp:posOffset>635</wp:posOffset>
                      </wp:positionV>
                      <wp:extent cx="101600" cy="525780"/>
                      <wp:effectExtent l="0" t="0" r="0" b="0"/>
                      <wp:wrapSquare wrapText="right"/>
                      <wp:docPr id="183" name="Frame122"/>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6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67" w:type="dxa"/>
            <w:tcBorders>
              <w:bottom w:val="single" w:sz="6" w:space="0" w:color="000000"/>
            </w:tcBorders>
            <w:tcMar>
              <w:bottom w:w="138" w:type="dxa"/>
            </w:tcMar>
            <w:vAlign w:val="center"/>
          </w:tcPr>
          <w:p>
            <w:pPr>
              <w:pStyle w:val="TableContents"/>
              <w:bidi w:val="0"/>
              <w:spacing w:lineRule="atLeast" w:line="160" w:before="0" w:after="0"/>
              <w:ind w:left="160" w:right="0" w:hanging="0"/>
              <w:jc w:val="left"/>
              <w:rPr/>
            </w:pPr>
            <w:r>
              <w:rPr/>
              <w:t xml:space="preserve">Zscaler, Inc. </w:t>
            </w:r>
            <w:r>
              <mc:AlternateContent>
                <mc:Choice Requires="wps">
                  <w:drawing>
                    <wp:anchor behindDoc="0" distT="0" distB="0" distL="0" distR="0" simplePos="0" locked="0" layoutInCell="1" allowOverlap="1" relativeHeight="194">
                      <wp:simplePos x="0" y="0"/>
                      <wp:positionH relativeFrom="column">
                        <wp:align>left</wp:align>
                      </wp:positionH>
                      <wp:positionV relativeFrom="line">
                        <wp:posOffset>635</wp:posOffset>
                      </wp:positionV>
                      <wp:extent cx="101600" cy="525780"/>
                      <wp:effectExtent l="0" t="0" r="0" b="0"/>
                      <wp:wrapSquare wrapText="right"/>
                      <wp:docPr id="184" name="Frame123"/>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6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vAlign w:val="center"/>
          </w:tcPr>
          <w:p>
            <w:pPr>
              <w:pStyle w:val="TableContents"/>
              <w:bidi w:val="0"/>
              <w:spacing w:before="0" w:after="283"/>
              <w:jc w:val="left"/>
              <w:rPr/>
            </w:pPr>
            <w:r>
              <w:rPr/>
              <w:t>​</w:t>
            </w:r>
          </w:p>
        </w:tc>
        <w:tc>
          <w:tcPr>
            <w:tcW w:w="1415" w:type="dxa"/>
            <w:tcBorders>
              <w:bottom w:val="single" w:sz="6" w:space="0" w:color="000000"/>
            </w:tcBorders>
            <w:shd w:fill="F7F7F7" w:val="clear"/>
            <w:tcMar>
              <w:bottom w:w="138" w:type="dxa"/>
            </w:tcMar>
            <w:vAlign w:val="center"/>
          </w:tcPr>
          <w:p>
            <w:pPr>
              <w:pStyle w:val="TableContents"/>
              <w:bidi w:val="0"/>
              <w:spacing w:lineRule="atLeast" w:line="180" w:before="0" w:after="0"/>
              <w:ind w:left="160" w:right="0" w:hanging="0"/>
              <w:jc w:val="left"/>
              <w:rPr/>
            </w:pPr>
            <w:r>
              <w:rPr/>
              <w:t xml:space="preserve">CrowdStrike </w:t>
              <w:br/>
              <w:t xml:space="preserve">Holdings, Inc. </w:t>
            </w:r>
            <w:r>
              <mc:AlternateContent>
                <mc:Choice Requires="wps">
                  <w:drawing>
                    <wp:anchor behindDoc="0" distT="0" distB="0" distL="0" distR="0" simplePos="0" locked="0" layoutInCell="1" allowOverlap="1" relativeHeight="195">
                      <wp:simplePos x="0" y="0"/>
                      <wp:positionH relativeFrom="column">
                        <wp:align>left</wp:align>
                      </wp:positionH>
                      <wp:positionV relativeFrom="line">
                        <wp:posOffset>635</wp:posOffset>
                      </wp:positionV>
                      <wp:extent cx="101600" cy="525780"/>
                      <wp:effectExtent l="0" t="0" r="0" b="0"/>
                      <wp:wrapSquare wrapText="right"/>
                      <wp:docPr id="185" name="Frame124"/>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8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993" w:type="dxa"/>
            <w:tcBorders>
              <w:bottom w:val="single" w:sz="6" w:space="0" w:color="000000"/>
            </w:tcBorders>
            <w:shd w:fill="F7F7F7" w:val="clear"/>
            <w:tcMar>
              <w:bottom w:w="138" w:type="dxa"/>
            </w:tcMar>
            <w:vAlign w:val="center"/>
          </w:tcPr>
          <w:p>
            <w:pPr>
              <w:pStyle w:val="TableContents"/>
              <w:bidi w:val="0"/>
              <w:spacing w:lineRule="atLeast" w:line="160" w:before="0" w:after="0"/>
              <w:ind w:left="160" w:right="0" w:hanging="0"/>
              <w:jc w:val="left"/>
              <w:rPr/>
            </w:pPr>
            <w:r>
              <w:rPr/>
              <w:t xml:space="preserve">Harley-Davidson, Inc. </w:t>
            </w:r>
            <w:r>
              <mc:AlternateContent>
                <mc:Choice Requires="wps">
                  <w:drawing>
                    <wp:anchor behindDoc="0" distT="0" distB="0" distL="0" distR="0" simplePos="0" locked="0" layoutInCell="1" allowOverlap="1" relativeHeight="196">
                      <wp:simplePos x="0" y="0"/>
                      <wp:positionH relativeFrom="column">
                        <wp:align>left</wp:align>
                      </wp:positionH>
                      <wp:positionV relativeFrom="line">
                        <wp:posOffset>635</wp:posOffset>
                      </wp:positionV>
                      <wp:extent cx="101600" cy="525780"/>
                      <wp:effectExtent l="0" t="0" r="0" b="0"/>
                      <wp:wrapSquare wrapText="right"/>
                      <wp:docPr id="186" name="Frame125"/>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6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417" w:type="dxa"/>
            <w:tcBorders>
              <w:bottom w:val="single" w:sz="6" w:space="0" w:color="000000"/>
            </w:tcBorders>
            <w:shd w:fill="F7F7F7" w:val="clear"/>
            <w:tcMar>
              <w:bottom w:w="138" w:type="dxa"/>
            </w:tcMar>
            <w:vAlign w:val="center"/>
          </w:tcPr>
          <w:p>
            <w:pPr>
              <w:pStyle w:val="TableContents"/>
              <w:bidi w:val="0"/>
              <w:spacing w:lineRule="atLeast" w:line="160" w:before="0" w:after="0"/>
              <w:ind w:left="160" w:right="0" w:hanging="0"/>
              <w:jc w:val="left"/>
              <w:rPr/>
            </w:pPr>
            <w:r>
              <w:rPr/>
              <w:t xml:space="preserve">Proterra Inc. </w:t>
            </w:r>
            <w:r>
              <mc:AlternateContent>
                <mc:Choice Requires="wps">
                  <w:drawing>
                    <wp:anchor behindDoc="0" distT="0" distB="0" distL="0" distR="0" simplePos="0" locked="0" layoutInCell="1" allowOverlap="1" relativeHeight="197">
                      <wp:simplePos x="0" y="0"/>
                      <wp:positionH relativeFrom="column">
                        <wp:align>left</wp:align>
                      </wp:positionH>
                      <wp:positionV relativeFrom="line">
                        <wp:posOffset>635</wp:posOffset>
                      </wp:positionV>
                      <wp:extent cx="101600" cy="525780"/>
                      <wp:effectExtent l="0" t="0" r="0" b="0"/>
                      <wp:wrapSquare wrapText="right"/>
                      <wp:docPr id="187" name="Frame126"/>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6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841" w:type="dxa"/>
            <w:tcBorders>
              <w:bottom w:val="single" w:sz="6" w:space="0" w:color="000000"/>
            </w:tcBorders>
            <w:shd w:fill="F7F7F7" w:val="clear"/>
            <w:tcMar>
              <w:bottom w:w="138" w:type="dxa"/>
            </w:tcMar>
            <w:vAlign w:val="center"/>
          </w:tcPr>
          <w:p>
            <w:pPr>
              <w:pStyle w:val="TableContents"/>
              <w:bidi w:val="0"/>
              <w:spacing w:lineRule="atLeast" w:line="160" w:before="0" w:after="0"/>
              <w:ind w:left="160" w:right="0" w:hanging="0"/>
              <w:jc w:val="left"/>
              <w:rPr/>
            </w:pPr>
            <w:r>
              <w:rPr/>
              <w:t xml:space="preserve">Tesla, Inc. </w:t>
            </w:r>
            <w:r>
              <mc:AlternateContent>
                <mc:Choice Requires="wps">
                  <w:drawing>
                    <wp:anchor behindDoc="0" distT="0" distB="0" distL="0" distR="0" simplePos="0" locked="0" layoutInCell="1" allowOverlap="1" relativeHeight="198">
                      <wp:simplePos x="0" y="0"/>
                      <wp:positionH relativeFrom="column">
                        <wp:align>left</wp:align>
                      </wp:positionH>
                      <wp:positionV relativeFrom="line">
                        <wp:posOffset>635</wp:posOffset>
                      </wp:positionV>
                      <wp:extent cx="101600" cy="525780"/>
                      <wp:effectExtent l="0" t="0" r="0" b="0"/>
                      <wp:wrapSquare wrapText="right"/>
                      <wp:docPr id="188" name="Frame127"/>
                      <a:graphic xmlns:a="http://schemas.openxmlformats.org/drawingml/2006/main">
                        <a:graphicData uri="http://schemas.microsoft.com/office/word/2010/wordprocessingShape">
                          <wps:wsp>
                            <wps:cNvSpPr txBox="1"/>
                            <wps:spPr>
                              <a:xfrm>
                                <a:off x="0" y="0"/>
                                <a:ext cx="101600" cy="525780"/>
                              </a:xfrm>
                              <a:prstGeom prst="rect"/>
                              <a:solidFill>
                                <a:srgbClr val="FFFFFF"/>
                              </a:solidFill>
                            </wps:spPr>
                            <wps:txbx>
                              <w:txbxContent>
                                <w:p>
                                  <w:pPr>
                                    <w:pStyle w:val="TextBody"/>
                                    <w:bidi w:val="0"/>
                                    <w:spacing w:lineRule="atLeast" w:line="16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8A6B2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667" w:type="dxa"/>
            <w:tcBorders>
              <w:bottom w:val="single" w:sz="6" w:space="0" w:color="000000"/>
            </w:tcBorders>
            <w:shd w:fill="F7F7F7" w:val="clear"/>
            <w:tcMar>
              <w:bottom w:w="138" w:type="dxa"/>
            </w:tcMar>
            <w:vAlign w:val="center"/>
          </w:tcPr>
          <w:p>
            <w:pPr>
              <w:pStyle w:val="TableContents"/>
              <w:bidi w:val="0"/>
              <w:spacing w:before="0" w:after="283"/>
              <w:jc w:val="left"/>
              <w:rPr/>
            </w:pPr>
            <w:r>
              <w:rPr/>
              <w:t>​</w:t>
            </w:r>
          </w:p>
        </w:tc>
        <w:tc>
          <w:tcPr>
            <w:tcW w:w="156" w:type="dxa"/>
            <w:tcBorders>
              <w:bottom w:val="single" w:sz="6" w:space="0" w:color="000000"/>
            </w:tcBorders>
            <w:shd w:fill="F7F7F7" w:val="clear"/>
            <w:vAlign w:val="center"/>
          </w:tcPr>
          <w:p>
            <w:pPr>
              <w:pStyle w:val="TableContents"/>
              <w:bidi w:val="0"/>
              <w:spacing w:before="0" w:after="283"/>
              <w:jc w:val="left"/>
              <w:rPr/>
            </w:pPr>
            <w:r>
              <w:rPr/>
              <w:t>​</w:t>
            </w:r>
          </w:p>
        </w:tc>
      </w:tr>
    </w:tbl>
    <w:p>
      <w:pPr>
        <w:pStyle w:val="TextBody"/>
        <w:bidi w:val="0"/>
        <w:spacing w:lineRule="atLeast" w:line="240" w:before="242"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Compensation and Human Capital Committee reviews the compensation peer group annually to ensure continued appropriateness. The peer group companies are intended to be a reasonable frame of reference for compensation benchmarking, aligned with the Company’s business attributes, and size appropriate, taking into account changes in both our business and the businesses of the companies in the peer group.</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Analysis of 2023 Compensation</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00" w:before="40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Compensation Elements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2023 executive compensation program consisted of the following elements: base salary, annual cash incentive awards, and long-term equity incentive awards. Each element, which is further discussed below, is intended to reward and motivate executives in different ways consistent with our overall compensation philosophy.</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Compensation-Setting Process and Competitive Positioning</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In August 2023, the Compensation and Human Capital Committee reviewed the base salaries, target annual cash incentive opportunities, and annual long-term equity incentive values for our NEOs at that time (excluding Messrs. Gagan and Winterhoff, who became our NEOs in December 2023), as compared to similarly situated executives in the peer group. Pay Governance provided data at the 25th, 50th, and 75th percentiles for such compensation, which the committee used as a reference. The Compensation and Human Capital Committee considers such data relevant to, but not determinative of, its consideration of overall executive compensation matters. The Compensation and Human Capital Committee did not benchmark any compensation element to a specific percentile, and the committee instead established our NEOs’ compensation at levels it deemed appropriate after considering such data in conjunction with other factors, including our overall financial and operating performance and each NEO’s experience, performance, contributions and responsibilities, internal pay equity, our short-term and long-term objectives, retention considerations, prevailing market conditions, and feedback from stockholder engagement.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Base Salary</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Base salaries provide a fixed source of compensation to our NEOs and are intended to drive short-term performance. We believe generally that a competitive base salary is a necessary element of our executive compensation program and is critical in attracting and retaining executive talent, including our NEOs. Base salaries for our NEOs are also intended to be competitive with those received by other individuals in similar positions at the companies with which we compete for talent, as well as equitable internally across our executive team.</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Compensation and Human Capital Committee annually reviews the base salaries of our NEOs and makes adjustments as it deems necessary or appropriate based on peer group data and the other factors described above in “Compensation-Setting Process and Competitive Positioning.” For each NEO, other than the CEO, the Compensation and Human Capital Committee receives a performance assessment and salary adjustment recommendation from the CEO.</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The Compensation and Human Capital Committee reviewed the base salaries of our NEOs and considered the recommendations of our CEO (except with respect to his own base salary). Consistent with our intended approach to provide compensation competitive with a benchmark group of companies and in recognition of their performance, the Compensation and Human </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48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50" w:before="84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Capital Committee recommended to the Board, and the Board approved, increases in the annual base salaries for several of our NEOs in September 2023. The base salary increases were effective immediately upon approval.</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Our NEOs’ base salaries for 2023, both immediately preceding and after the increase, are set forth in the table below:</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center"/>
        <w:rPr>
          <w:rFonts w:ascii="Helvetica;Arial;sans-serif" w:hAnsi="Helvetica;Arial;sans-serif"/>
          <w:b/>
          <w:i w:val="false"/>
          <w:caps w:val="false"/>
          <w:smallCaps w:val="false"/>
          <w:color w:val="000000"/>
          <w:sz w:val="18"/>
        </w:rPr>
      </w:pPr>
      <w:r>
        <w:rPr>
          <w:rFonts w:ascii="Helvetica;Arial;sans-serif" w:hAnsi="Helvetica;Arial;sans-serif"/>
          <w:b/>
          <w:i w:val="false"/>
          <w:caps w:val="false"/>
          <w:smallCaps w:val="false"/>
          <w:color w:val="000000"/>
          <w:sz w:val="18"/>
        </w:rPr>
        <w:t>2023 Base Salary</w:t>
      </w:r>
      <w:r>
        <w:rPr>
          <w:rFonts w:ascii="Helvetica;Arial;sans-serif" w:hAnsi="Helvetica;Arial;sans-serif"/>
          <w:b/>
          <w:i w:val="false"/>
          <w:caps w:val="false"/>
          <w:smallCaps w:val="false"/>
          <w:color w:val="000000"/>
          <w:spacing w:val="4"/>
          <w:sz w:val="18"/>
        </w:rPr>
        <w:t xml:space="preserve"> </w:t>
      </w:r>
    </w:p>
    <w:tbl>
      <w:tblPr>
        <w:tblW w:w="6383" w:type="dxa"/>
        <w:jc w:val="left"/>
        <w:tblInd w:w="720" w:type="dxa"/>
        <w:tblLayout w:type="fixed"/>
        <w:tblCellMar>
          <w:top w:w="0" w:type="dxa"/>
          <w:left w:w="0" w:type="dxa"/>
          <w:bottom w:w="0" w:type="dxa"/>
          <w:right w:w="0" w:type="dxa"/>
        </w:tblCellMar>
      </w:tblPr>
      <w:tblGrid>
        <w:gridCol w:w="124"/>
        <w:gridCol w:w="2596"/>
        <w:gridCol w:w="109"/>
        <w:gridCol w:w="109"/>
        <w:gridCol w:w="135"/>
        <w:gridCol w:w="280"/>
        <w:gridCol w:w="1099"/>
        <w:gridCol w:w="135"/>
        <w:gridCol w:w="109"/>
        <w:gridCol w:w="109"/>
        <w:gridCol w:w="115"/>
        <w:gridCol w:w="242"/>
        <w:gridCol w:w="948"/>
        <w:gridCol w:w="119"/>
        <w:gridCol w:w="154"/>
      </w:tblGrid>
      <w:tr>
        <w:trPr/>
        <w:tc>
          <w:tcPr>
            <w:tcW w:w="124" w:type="dxa"/>
            <w:tcBorders/>
            <w:shd w:fill="000000" w:val="clear"/>
            <w:vAlign w:val="center"/>
          </w:tcPr>
          <w:p>
            <w:pPr>
              <w:pStyle w:val="TableContents"/>
              <w:bidi w:val="0"/>
              <w:spacing w:before="0" w:after="283"/>
              <w:jc w:val="left"/>
              <w:rPr/>
            </w:pPr>
            <w:r>
              <w:rPr/>
              <w:t>​</w:t>
            </w:r>
          </w:p>
        </w:tc>
        <w:tc>
          <w:tcPr>
            <w:tcW w:w="2596" w:type="dxa"/>
            <w:tcBorders/>
            <w:shd w:fill="000000" w:val="clear"/>
            <w:vAlign w:val="center"/>
          </w:tcPr>
          <w:p>
            <w:pPr>
              <w:pStyle w:val="TableContents"/>
              <w:bidi w:val="0"/>
              <w:spacing w:before="0" w:after="0"/>
              <w:jc w:val="left"/>
              <w:rPr/>
            </w:pPr>
            <w:r>
              <w:rPr/>
              <w:t xml:space="preserve">Named Executive Officer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49" w:type="dxa"/>
            <w:gridSpan w:val="4"/>
            <w:tcBorders/>
            <w:shd w:fill="000000" w:val="clear"/>
            <w:vAlign w:val="center"/>
          </w:tcPr>
          <w:p>
            <w:pPr>
              <w:pStyle w:val="TableContents"/>
              <w:bidi w:val="0"/>
              <w:spacing w:before="0" w:after="0"/>
              <w:jc w:val="center"/>
              <w:rPr/>
            </w:pPr>
            <w:r>
              <w:rPr/>
              <w:t>Base Salary</w:t>
              <w:br/>
              <w:t xml:space="preserve">Before Increase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24" w:type="dxa"/>
            <w:gridSpan w:val="4"/>
            <w:tcBorders/>
            <w:shd w:fill="000000" w:val="clear"/>
            <w:vAlign w:val="center"/>
          </w:tcPr>
          <w:p>
            <w:pPr>
              <w:pStyle w:val="TableContents"/>
              <w:bidi w:val="0"/>
              <w:spacing w:before="0" w:after="0"/>
              <w:jc w:val="center"/>
              <w:rPr/>
            </w:pPr>
            <w:r>
              <w:rPr/>
              <w:t>Base Salary</w:t>
              <w:br/>
              <w:t xml:space="preserve">Post-Increase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tcMar>
              <w:bottom w:w="145" w:type="dxa"/>
            </w:tcMar>
            <w:vAlign w:val="center"/>
          </w:tcPr>
          <w:p>
            <w:pPr>
              <w:pStyle w:val="TableContents"/>
              <w:bidi w:val="0"/>
              <w:spacing w:before="0" w:after="283"/>
              <w:jc w:val="left"/>
              <w:rPr/>
            </w:pPr>
            <w:r>
              <w:rPr/>
              <w:t xml:space="preserve">Peter Rawlinson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5" w:type="dxa"/>
            <w:tcBorders>
              <w:bottom w:val="single" w:sz="6" w:space="0" w:color="000000"/>
            </w:tcBorders>
            <w:tcMar>
              <w:bottom w:w="28" w:type="dxa"/>
            </w:tcMar>
            <w:vAlign w:val="center"/>
          </w:tcPr>
          <w:p>
            <w:pPr>
              <w:pStyle w:val="TableContents"/>
              <w:bidi w:val="0"/>
              <w:spacing w:before="0" w:after="283"/>
              <w:jc w:val="left"/>
              <w:rPr/>
            </w:pPr>
            <w:r>
              <w:rPr/>
              <w:t>​</w:t>
            </w:r>
          </w:p>
        </w:tc>
        <w:tc>
          <w:tcPr>
            <w:tcW w:w="280" w:type="dxa"/>
            <w:tcBorders>
              <w:bottom w:val="single" w:sz="6" w:space="0" w:color="000000"/>
            </w:tcBorders>
            <w:tcMar>
              <w:bottom w:w="145" w:type="dxa"/>
            </w:tcMar>
            <w:vAlign w:val="center"/>
          </w:tcPr>
          <w:p>
            <w:pPr>
              <w:pStyle w:val="TableContents"/>
              <w:bidi w:val="0"/>
              <w:spacing w:before="0" w:after="283"/>
              <w:jc w:val="right"/>
              <w:rPr/>
            </w:pPr>
            <w:r>
              <w:rPr/>
              <w:t>$</w:t>
            </w:r>
          </w:p>
        </w:tc>
        <w:tc>
          <w:tcPr>
            <w:tcW w:w="1099" w:type="dxa"/>
            <w:tcBorders>
              <w:bottom w:val="single" w:sz="6" w:space="0" w:color="000000"/>
            </w:tcBorders>
            <w:tcMar>
              <w:bottom w:w="145" w:type="dxa"/>
            </w:tcMar>
            <w:vAlign w:val="center"/>
          </w:tcPr>
          <w:p>
            <w:pPr>
              <w:pStyle w:val="TableContents"/>
              <w:bidi w:val="0"/>
              <w:spacing w:before="0" w:after="283"/>
              <w:jc w:val="right"/>
              <w:rPr/>
            </w:pPr>
            <w:r>
              <w:rPr/>
              <w:t>575,000</w:t>
            </w:r>
          </w:p>
        </w:tc>
        <w:tc>
          <w:tcPr>
            <w:tcW w:w="135"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5" w:type="dxa"/>
            <w:tcBorders>
              <w:bottom w:val="single" w:sz="6" w:space="0" w:color="000000"/>
            </w:tcBorders>
            <w:tcMar>
              <w:bottom w:w="28" w:type="dxa"/>
            </w:tcMar>
            <w:vAlign w:val="center"/>
          </w:tcPr>
          <w:p>
            <w:pPr>
              <w:pStyle w:val="TableContents"/>
              <w:bidi w:val="0"/>
              <w:spacing w:before="0" w:after="283"/>
              <w:jc w:val="left"/>
              <w:rPr/>
            </w:pPr>
            <w:r>
              <w:rPr/>
              <w:t>​</w:t>
            </w:r>
          </w:p>
        </w:tc>
        <w:tc>
          <w:tcPr>
            <w:tcW w:w="242" w:type="dxa"/>
            <w:tcBorders>
              <w:bottom w:val="single" w:sz="6" w:space="0" w:color="000000"/>
            </w:tcBorders>
            <w:tcMar>
              <w:bottom w:w="145" w:type="dxa"/>
            </w:tcMar>
            <w:vAlign w:val="center"/>
          </w:tcPr>
          <w:p>
            <w:pPr>
              <w:pStyle w:val="TableContents"/>
              <w:bidi w:val="0"/>
              <w:spacing w:before="0" w:after="283"/>
              <w:jc w:val="right"/>
              <w:rPr/>
            </w:pPr>
            <w:r>
              <w:rPr/>
              <w:t>$</w:t>
            </w:r>
          </w:p>
        </w:tc>
        <w:tc>
          <w:tcPr>
            <w:tcW w:w="948" w:type="dxa"/>
            <w:tcBorders>
              <w:bottom w:val="single" w:sz="6" w:space="0" w:color="000000"/>
            </w:tcBorders>
            <w:tcMar>
              <w:bottom w:w="145" w:type="dxa"/>
            </w:tcMar>
            <w:vAlign w:val="center"/>
          </w:tcPr>
          <w:p>
            <w:pPr>
              <w:pStyle w:val="TableContents"/>
              <w:bidi w:val="0"/>
              <w:spacing w:before="0" w:after="283"/>
              <w:jc w:val="right"/>
              <w:rPr/>
            </w:pPr>
            <w:r>
              <w:rPr/>
              <w:t>625,000</w:t>
            </w:r>
          </w:p>
        </w:tc>
        <w:tc>
          <w:tcPr>
            <w:tcW w:w="11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shd w:fill="F7F7F7" w:val="clear"/>
            <w:tcMar>
              <w:bottom w:w="145" w:type="dxa"/>
            </w:tcMar>
            <w:vAlign w:val="center"/>
          </w:tcPr>
          <w:p>
            <w:pPr>
              <w:pStyle w:val="TableContents"/>
              <w:bidi w:val="0"/>
              <w:spacing w:before="0" w:after="283"/>
              <w:jc w:val="left"/>
              <w:rPr/>
            </w:pPr>
            <w:r>
              <w:rPr/>
              <w:t>Gagan Dhingra</w:t>
            </w:r>
            <w:r>
              <w:rPr>
                <w:sz w:val="10"/>
              </w:rPr>
              <w:t>(1)</w:t>
            </w: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80"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099" w:type="dxa"/>
            <w:tcBorders>
              <w:bottom w:val="single" w:sz="6" w:space="0" w:color="000000"/>
            </w:tcBorders>
            <w:shd w:fill="F7F7F7" w:val="clear"/>
            <w:tcMar>
              <w:bottom w:w="145" w:type="dxa"/>
            </w:tcMar>
            <w:vAlign w:val="center"/>
          </w:tcPr>
          <w:p>
            <w:pPr>
              <w:pStyle w:val="TableContents"/>
              <w:bidi w:val="0"/>
              <w:spacing w:before="0" w:after="283"/>
              <w:jc w:val="right"/>
              <w:rPr/>
            </w:pPr>
            <w:r>
              <w:rPr/>
              <w:t>382,000</w:t>
            </w:r>
          </w:p>
        </w:tc>
        <w:tc>
          <w:tcPr>
            <w:tcW w:w="13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42"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948" w:type="dxa"/>
            <w:tcBorders>
              <w:bottom w:val="single" w:sz="6" w:space="0" w:color="000000"/>
            </w:tcBorders>
            <w:shd w:fill="F7F7F7" w:val="clear"/>
            <w:tcMar>
              <w:bottom w:w="145" w:type="dxa"/>
            </w:tcMar>
            <w:vAlign w:val="center"/>
          </w:tcPr>
          <w:p>
            <w:pPr>
              <w:pStyle w:val="TableContents"/>
              <w:bidi w:val="0"/>
              <w:spacing w:before="0" w:after="283"/>
              <w:jc w:val="right"/>
              <w:rPr/>
            </w:pPr>
            <w:r>
              <w:rPr/>
              <w:t xml:space="preserve">— </w:t>
            </w:r>
          </w:p>
        </w:tc>
        <w:tc>
          <w:tcPr>
            <w:tcW w:w="11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tcMar>
              <w:bottom w:w="145" w:type="dxa"/>
            </w:tcMar>
            <w:vAlign w:val="center"/>
          </w:tcPr>
          <w:p>
            <w:pPr>
              <w:pStyle w:val="TableContents"/>
              <w:bidi w:val="0"/>
              <w:spacing w:before="0" w:after="283"/>
              <w:jc w:val="left"/>
              <w:rPr/>
            </w:pPr>
            <w:r>
              <w:rPr/>
              <w:t>Marc Winterhoff</w:t>
            </w:r>
            <w:r>
              <w:rPr>
                <w:sz w:val="10"/>
              </w:rPr>
              <w:t>(1)</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5" w:type="dxa"/>
            <w:tcBorders>
              <w:bottom w:val="single" w:sz="6" w:space="0" w:color="000000"/>
            </w:tcBorders>
            <w:tcMar>
              <w:bottom w:w="28" w:type="dxa"/>
            </w:tcMar>
            <w:vAlign w:val="center"/>
          </w:tcPr>
          <w:p>
            <w:pPr>
              <w:pStyle w:val="TableContents"/>
              <w:bidi w:val="0"/>
              <w:spacing w:before="0" w:after="283"/>
              <w:jc w:val="left"/>
              <w:rPr/>
            </w:pPr>
            <w:r>
              <w:rPr/>
              <w:t>​</w:t>
            </w:r>
          </w:p>
        </w:tc>
        <w:tc>
          <w:tcPr>
            <w:tcW w:w="280" w:type="dxa"/>
            <w:tcBorders>
              <w:bottom w:val="single" w:sz="6" w:space="0" w:color="000000"/>
            </w:tcBorders>
            <w:tcMar>
              <w:bottom w:w="145" w:type="dxa"/>
            </w:tcMar>
            <w:vAlign w:val="center"/>
          </w:tcPr>
          <w:p>
            <w:pPr>
              <w:pStyle w:val="TableContents"/>
              <w:bidi w:val="0"/>
              <w:spacing w:before="0" w:after="283"/>
              <w:jc w:val="right"/>
              <w:rPr/>
            </w:pPr>
            <w:r>
              <w:rPr/>
              <w:t>$</w:t>
            </w:r>
          </w:p>
        </w:tc>
        <w:tc>
          <w:tcPr>
            <w:tcW w:w="1099" w:type="dxa"/>
            <w:tcBorders>
              <w:bottom w:val="single" w:sz="6" w:space="0" w:color="000000"/>
            </w:tcBorders>
            <w:tcMar>
              <w:bottom w:w="145" w:type="dxa"/>
            </w:tcMar>
            <w:vAlign w:val="center"/>
          </w:tcPr>
          <w:p>
            <w:pPr>
              <w:pStyle w:val="TableContents"/>
              <w:bidi w:val="0"/>
              <w:spacing w:before="0" w:after="283"/>
              <w:jc w:val="right"/>
              <w:rPr/>
            </w:pPr>
            <w:r>
              <w:rPr/>
              <w:t>595,000</w:t>
            </w:r>
          </w:p>
        </w:tc>
        <w:tc>
          <w:tcPr>
            <w:tcW w:w="135"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5" w:type="dxa"/>
            <w:tcBorders>
              <w:bottom w:val="single" w:sz="6" w:space="0" w:color="000000"/>
            </w:tcBorders>
            <w:tcMar>
              <w:bottom w:w="28" w:type="dxa"/>
            </w:tcMar>
            <w:vAlign w:val="center"/>
          </w:tcPr>
          <w:p>
            <w:pPr>
              <w:pStyle w:val="TableContents"/>
              <w:bidi w:val="0"/>
              <w:spacing w:before="0" w:after="283"/>
              <w:jc w:val="left"/>
              <w:rPr/>
            </w:pPr>
            <w:r>
              <w:rPr/>
              <w:t>​</w:t>
            </w:r>
          </w:p>
        </w:tc>
        <w:tc>
          <w:tcPr>
            <w:tcW w:w="242" w:type="dxa"/>
            <w:tcBorders>
              <w:bottom w:val="single" w:sz="6" w:space="0" w:color="000000"/>
            </w:tcBorders>
            <w:tcMar>
              <w:bottom w:w="145" w:type="dxa"/>
            </w:tcMar>
            <w:vAlign w:val="center"/>
          </w:tcPr>
          <w:p>
            <w:pPr>
              <w:pStyle w:val="TableContents"/>
              <w:bidi w:val="0"/>
              <w:spacing w:before="0" w:after="283"/>
              <w:jc w:val="right"/>
              <w:rPr/>
            </w:pPr>
            <w:r>
              <w:rPr/>
              <w:t>​</w:t>
            </w:r>
          </w:p>
        </w:tc>
        <w:tc>
          <w:tcPr>
            <w:tcW w:w="948" w:type="dxa"/>
            <w:tcBorders>
              <w:bottom w:val="single" w:sz="6" w:space="0" w:color="000000"/>
            </w:tcBorders>
            <w:tcMar>
              <w:bottom w:w="145" w:type="dxa"/>
            </w:tcMar>
            <w:vAlign w:val="center"/>
          </w:tcPr>
          <w:p>
            <w:pPr>
              <w:pStyle w:val="TableContents"/>
              <w:bidi w:val="0"/>
              <w:spacing w:before="0" w:after="283"/>
              <w:jc w:val="right"/>
              <w:rPr/>
            </w:pPr>
            <w:r>
              <w:rPr/>
              <w:t xml:space="preserve">— </w:t>
            </w:r>
          </w:p>
        </w:tc>
        <w:tc>
          <w:tcPr>
            <w:tcW w:w="11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shd w:fill="F7F7F7" w:val="clear"/>
            <w:tcMar>
              <w:bottom w:w="145" w:type="dxa"/>
            </w:tcMar>
            <w:vAlign w:val="center"/>
          </w:tcPr>
          <w:p>
            <w:pPr>
              <w:pStyle w:val="TableContents"/>
              <w:bidi w:val="0"/>
              <w:spacing w:before="0" w:after="283"/>
              <w:jc w:val="left"/>
              <w:rPr/>
            </w:pPr>
            <w:r>
              <w:rPr/>
              <w:t xml:space="preserve">Eric Bach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80"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099" w:type="dxa"/>
            <w:tcBorders>
              <w:bottom w:val="single" w:sz="6" w:space="0" w:color="000000"/>
            </w:tcBorders>
            <w:shd w:fill="F7F7F7" w:val="clear"/>
            <w:tcMar>
              <w:bottom w:w="145" w:type="dxa"/>
            </w:tcMar>
            <w:vAlign w:val="center"/>
          </w:tcPr>
          <w:p>
            <w:pPr>
              <w:pStyle w:val="TableContents"/>
              <w:bidi w:val="0"/>
              <w:spacing w:before="0" w:after="283"/>
              <w:jc w:val="right"/>
              <w:rPr/>
            </w:pPr>
            <w:r>
              <w:rPr/>
              <w:t>525,000</w:t>
            </w:r>
          </w:p>
        </w:tc>
        <w:tc>
          <w:tcPr>
            <w:tcW w:w="13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42"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948" w:type="dxa"/>
            <w:tcBorders>
              <w:bottom w:val="single" w:sz="6" w:space="0" w:color="000000"/>
            </w:tcBorders>
            <w:shd w:fill="F7F7F7" w:val="clear"/>
            <w:tcMar>
              <w:bottom w:w="145" w:type="dxa"/>
            </w:tcMar>
            <w:vAlign w:val="center"/>
          </w:tcPr>
          <w:p>
            <w:pPr>
              <w:pStyle w:val="TableContents"/>
              <w:bidi w:val="0"/>
              <w:spacing w:before="0" w:after="283"/>
              <w:jc w:val="right"/>
              <w:rPr/>
            </w:pPr>
            <w:r>
              <w:rPr/>
              <w:t>560,000</w:t>
            </w:r>
          </w:p>
        </w:tc>
        <w:tc>
          <w:tcPr>
            <w:tcW w:w="11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tcMar>
              <w:bottom w:w="145" w:type="dxa"/>
            </w:tcMar>
            <w:vAlign w:val="center"/>
          </w:tcPr>
          <w:p>
            <w:pPr>
              <w:pStyle w:val="TableContents"/>
              <w:bidi w:val="0"/>
              <w:spacing w:before="0" w:after="283"/>
              <w:jc w:val="left"/>
              <w:rPr/>
            </w:pPr>
            <w:r>
              <w:rPr/>
              <w:t>Michael Bell</w:t>
            </w:r>
            <w:r>
              <w:rPr>
                <w:sz w:val="10"/>
              </w:rPr>
              <w:t>(1)</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5" w:type="dxa"/>
            <w:tcBorders>
              <w:bottom w:val="single" w:sz="6" w:space="0" w:color="000000"/>
            </w:tcBorders>
            <w:tcMar>
              <w:bottom w:w="28" w:type="dxa"/>
            </w:tcMar>
            <w:vAlign w:val="center"/>
          </w:tcPr>
          <w:p>
            <w:pPr>
              <w:pStyle w:val="TableContents"/>
              <w:bidi w:val="0"/>
              <w:spacing w:before="0" w:after="283"/>
              <w:jc w:val="left"/>
              <w:rPr/>
            </w:pPr>
            <w:r>
              <w:rPr/>
              <w:t>​</w:t>
            </w:r>
          </w:p>
        </w:tc>
        <w:tc>
          <w:tcPr>
            <w:tcW w:w="280" w:type="dxa"/>
            <w:tcBorders>
              <w:bottom w:val="single" w:sz="6" w:space="0" w:color="000000"/>
            </w:tcBorders>
            <w:tcMar>
              <w:bottom w:w="145" w:type="dxa"/>
            </w:tcMar>
            <w:vAlign w:val="center"/>
          </w:tcPr>
          <w:p>
            <w:pPr>
              <w:pStyle w:val="TableContents"/>
              <w:bidi w:val="0"/>
              <w:spacing w:before="0" w:after="283"/>
              <w:jc w:val="right"/>
              <w:rPr/>
            </w:pPr>
            <w:r>
              <w:rPr/>
              <w:t>$</w:t>
            </w:r>
          </w:p>
        </w:tc>
        <w:tc>
          <w:tcPr>
            <w:tcW w:w="1099" w:type="dxa"/>
            <w:tcBorders>
              <w:bottom w:val="single" w:sz="6" w:space="0" w:color="000000"/>
            </w:tcBorders>
            <w:tcMar>
              <w:bottom w:w="145" w:type="dxa"/>
            </w:tcMar>
            <w:vAlign w:val="center"/>
          </w:tcPr>
          <w:p>
            <w:pPr>
              <w:pStyle w:val="TableContents"/>
              <w:bidi w:val="0"/>
              <w:spacing w:before="0" w:after="283"/>
              <w:jc w:val="right"/>
              <w:rPr/>
            </w:pPr>
            <w:r>
              <w:rPr/>
              <w:t>525,000</w:t>
            </w:r>
          </w:p>
        </w:tc>
        <w:tc>
          <w:tcPr>
            <w:tcW w:w="135"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5" w:type="dxa"/>
            <w:tcBorders>
              <w:bottom w:val="single" w:sz="6" w:space="0" w:color="000000"/>
            </w:tcBorders>
            <w:tcMar>
              <w:bottom w:w="28" w:type="dxa"/>
            </w:tcMar>
            <w:vAlign w:val="center"/>
          </w:tcPr>
          <w:p>
            <w:pPr>
              <w:pStyle w:val="TableContents"/>
              <w:bidi w:val="0"/>
              <w:spacing w:before="0" w:after="283"/>
              <w:jc w:val="left"/>
              <w:rPr/>
            </w:pPr>
            <w:r>
              <w:rPr/>
              <w:t>​</w:t>
            </w:r>
          </w:p>
        </w:tc>
        <w:tc>
          <w:tcPr>
            <w:tcW w:w="242" w:type="dxa"/>
            <w:tcBorders>
              <w:bottom w:val="single" w:sz="6" w:space="0" w:color="000000"/>
            </w:tcBorders>
            <w:tcMar>
              <w:bottom w:w="145" w:type="dxa"/>
            </w:tcMar>
            <w:vAlign w:val="center"/>
          </w:tcPr>
          <w:p>
            <w:pPr>
              <w:pStyle w:val="TableContents"/>
              <w:bidi w:val="0"/>
              <w:spacing w:before="0" w:after="283"/>
              <w:jc w:val="right"/>
              <w:rPr/>
            </w:pPr>
            <w:r>
              <w:rPr/>
              <w:t>​</w:t>
            </w:r>
          </w:p>
        </w:tc>
        <w:tc>
          <w:tcPr>
            <w:tcW w:w="948" w:type="dxa"/>
            <w:tcBorders>
              <w:bottom w:val="single" w:sz="6" w:space="0" w:color="000000"/>
            </w:tcBorders>
            <w:tcMar>
              <w:bottom w:w="145" w:type="dxa"/>
            </w:tcMar>
            <w:vAlign w:val="center"/>
          </w:tcPr>
          <w:p>
            <w:pPr>
              <w:pStyle w:val="TableContents"/>
              <w:bidi w:val="0"/>
              <w:spacing w:before="0" w:after="283"/>
              <w:jc w:val="right"/>
              <w:rPr/>
            </w:pPr>
            <w:r>
              <w:rPr/>
              <w:t xml:space="preserve">— </w:t>
            </w:r>
          </w:p>
        </w:tc>
        <w:tc>
          <w:tcPr>
            <w:tcW w:w="11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shd w:fill="F7F7F7" w:val="clear"/>
            <w:tcMar>
              <w:bottom w:w="145" w:type="dxa"/>
            </w:tcMar>
            <w:vAlign w:val="center"/>
          </w:tcPr>
          <w:p>
            <w:pPr>
              <w:pStyle w:val="TableContents"/>
              <w:bidi w:val="0"/>
              <w:spacing w:before="0" w:after="283"/>
              <w:jc w:val="left"/>
              <w:rPr/>
            </w:pPr>
            <w:r>
              <w:rPr/>
              <w:t xml:space="preserve">Sherry House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80"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099" w:type="dxa"/>
            <w:tcBorders>
              <w:bottom w:val="single" w:sz="6" w:space="0" w:color="000000"/>
            </w:tcBorders>
            <w:shd w:fill="F7F7F7" w:val="clear"/>
            <w:tcMar>
              <w:bottom w:w="145" w:type="dxa"/>
            </w:tcMar>
            <w:vAlign w:val="center"/>
          </w:tcPr>
          <w:p>
            <w:pPr>
              <w:pStyle w:val="TableContents"/>
              <w:bidi w:val="0"/>
              <w:spacing w:before="0" w:after="283"/>
              <w:jc w:val="right"/>
              <w:rPr/>
            </w:pPr>
            <w:r>
              <w:rPr/>
              <w:t>535,000</w:t>
            </w:r>
          </w:p>
        </w:tc>
        <w:tc>
          <w:tcPr>
            <w:tcW w:w="13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42"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948" w:type="dxa"/>
            <w:tcBorders>
              <w:bottom w:val="single" w:sz="6" w:space="0" w:color="000000"/>
            </w:tcBorders>
            <w:shd w:fill="F7F7F7" w:val="clear"/>
            <w:tcMar>
              <w:bottom w:w="145" w:type="dxa"/>
            </w:tcMar>
            <w:vAlign w:val="center"/>
          </w:tcPr>
          <w:p>
            <w:pPr>
              <w:pStyle w:val="TableContents"/>
              <w:bidi w:val="0"/>
              <w:spacing w:before="0" w:after="283"/>
              <w:jc w:val="right"/>
              <w:rPr/>
            </w:pPr>
            <w:r>
              <w:rPr/>
              <w:t>575,000</w:t>
            </w:r>
          </w:p>
        </w:tc>
        <w:tc>
          <w:tcPr>
            <w:tcW w:w="11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4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There was no base salary adjustment for Messrs. Dhingra and Winterhoff, following their NEO appointments in December 2023, nor for Mr. Bell.</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215900" distB="0" distL="0" distR="0" simplePos="0" locked="0" layoutInCell="1" allowOverlap="1" relativeHeight="199">
                <wp:simplePos x="0" y="0"/>
                <wp:positionH relativeFrom="column">
                  <wp:align>left</wp:align>
                </wp:positionH>
                <wp:positionV relativeFrom="line">
                  <wp:align>top</wp:align>
                </wp:positionV>
                <wp:extent cx="81915" cy="270510"/>
                <wp:effectExtent l="0" t="0" r="0" b="0"/>
                <wp:wrapSquare wrapText="right"/>
                <wp:docPr id="189" name="Frame128"/>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(1)</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Annual Cash Incentive Compensation</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Our Annual Cash Incentive Program is intended to motivate our NEOs to achieve our short-term strategic and operational objectives.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In June 2023, the Compensation and Human Capital Committee approved the Annual Cash Incentive Program for fiscal year 2023 (the “2023 AIP”). Payouts under this plan may range from 0% to 150% of target, based on the following formula:</w:t>
      </w:r>
      <w:r>
        <w:rPr>
          <w:rFonts w:ascii="Helvetica;Arial;sans-serif" w:hAnsi="Helvetica;Arial;sans-serif"/>
          <w:b w:val="false"/>
          <w:i w:val="false"/>
          <w:caps w:val="false"/>
          <w:smallCaps w:val="false"/>
          <w:color w:val="000000"/>
          <w:spacing w:val="4"/>
          <w:sz w:val="18"/>
        </w:rPr>
        <w:t xml:space="preserve"> </w:t>
      </w:r>
    </w:p>
    <w:p>
      <w:pPr>
        <w:pStyle w:val="TextBody"/>
        <w:bidi w:val="0"/>
        <w:spacing w:before="324" w:after="283"/>
        <w:jc w:val="center"/>
        <w:rPr>
          <w:caps w:val="false"/>
          <w:smallCaps w:val="false"/>
          <w:color w:val="000000"/>
        </w:rPr>
      </w:pPr>
      <w:r>
        <w:rPr>
          <w:caps w:val="false"/>
          <w:smallCaps w:val="false"/>
          <w:color w:val="000000"/>
        </w:rPr>
        <w:drawing>
          <wp:inline distT="0" distB="0" distL="0" distR="0">
            <wp:extent cx="4791075" cy="1362075"/>
            <wp:effectExtent l="0" t="0" r="0" b="0"/>
            <wp:docPr id="190"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59" descr=""/>
                    <pic:cNvPicPr>
                      <a:picLocks noChangeAspect="1" noChangeArrowheads="1"/>
                    </pic:cNvPicPr>
                  </pic:nvPicPr>
                  <pic:blipFill>
                    <a:blip r:embed="rId63"/>
                    <a:stretch>
                      <a:fillRect/>
                    </a:stretch>
                  </pic:blipFill>
                  <pic:spPr bwMode="auto">
                    <a:xfrm>
                      <a:off x="0" y="0"/>
                      <a:ext cx="4791075" cy="1362075"/>
                    </a:xfrm>
                    <a:prstGeom prst="rect">
                      <a:avLst/>
                    </a:prstGeom>
                  </pic:spPr>
                </pic:pic>
              </a:graphicData>
            </a:graphic>
          </wp:inline>
        </w:drawing>
      </w:r>
      <w:r>
        <w:rPr>
          <w:caps w:val="false"/>
          <w:smallCaps w:val="false"/>
          <w:color w:val="000000"/>
        </w:rPr>
        <w:t xml:space="preserve"> </w:t>
      </w:r>
    </w:p>
    <w:p>
      <w:pPr>
        <w:pStyle w:val="TextBody"/>
        <w:bidi w:val="0"/>
        <w:spacing w:lineRule="atLeast" w:line="250" w:before="394" w:after="283"/>
        <w:jc w:val="left"/>
        <w:rPr>
          <w:rFonts w:ascii="Helvetica;Arial;sans-serif" w:hAnsi="Helvetica;Arial;sans-serif"/>
          <w:b w:val="false"/>
          <w:i w:val="false"/>
          <w:caps w:val="false"/>
          <w:smallCaps w:val="false"/>
          <w:color w:val="000000"/>
          <w:sz w:val="18"/>
        </w:rPr>
      </w:pPr>
      <w:r>
        <w:rPr>
          <w:rFonts w:ascii="Helvetica;Arial;sans-serif" w:hAnsi="Helvetica;Arial;sans-serif"/>
          <w:b/>
          <w:i w:val="false"/>
          <w:caps w:val="false"/>
          <w:smallCaps w:val="false"/>
          <w:color w:val="000000"/>
          <w:sz w:val="18"/>
        </w:rPr>
        <w:t>Target Bonus Opportunity.</w:t>
      </w:r>
      <w:r>
        <w:rPr>
          <w:rFonts w:ascii="Helvetica;Arial;sans-serif" w:hAnsi="Helvetica;Arial;sans-serif"/>
          <w:b w:val="false"/>
          <w:i w:val="false"/>
          <w:caps w:val="false"/>
          <w:smallCaps w:val="false"/>
          <w:color w:val="000000"/>
          <w:sz w:val="18"/>
        </w:rPr>
        <w:t xml:space="preserve"> The target bonus is a specified percentage of base salary in effect at the end of the year for each of our executives (including our NEOs) (the “Target Bonus Opportunity”). The Compensation and Human Capital Committee reviewed the Target Bonus Opportunities for our NEOs under the 2023 AIP, taking into consideration a competitive market analysis performed by its compensation consultant, Pay Governance. The Compensation and Human Capital Committee did not increase the target bonus as a percentage of salary from the prior year, but the increase in base salaries for several NEOs (as discussed above) resulted in higher Target Bonus Opportunities for them.</w:t>
      </w:r>
      <w:r>
        <w:rPr>
          <w:rFonts w:ascii="Helvetica;Arial;sans-serif" w:hAnsi="Helvetica;Arial;sans-serif"/>
          <w:b w:val="false"/>
          <w:i w:val="false"/>
          <w:caps w:val="false"/>
          <w:smallCaps w:val="false"/>
          <w:color w:val="000000"/>
          <w:spacing w:val="4"/>
          <w:sz w:val="18"/>
        </w:rPr>
        <w:t xml:space="preserve"> </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49</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84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Our NEOs’ Target Bonus Opportunities for 2023 are set forth in the table below as a percentage of base salary and in dollar amounts:</w:t>
      </w:r>
      <w:r>
        <w:rPr>
          <w:rFonts w:ascii="Helvetica;Arial;sans-serif" w:hAnsi="Helvetica;Arial;sans-serif"/>
          <w:b w:val="false"/>
          <w:i w:val="false"/>
          <w:caps w:val="false"/>
          <w:smallCaps w:val="false"/>
          <w:color w:val="000000"/>
          <w:spacing w:val="4"/>
          <w:sz w:val="18"/>
        </w:rPr>
        <w:t xml:space="preserve"> </w:t>
      </w:r>
    </w:p>
    <w:tbl>
      <w:tblPr>
        <w:tblW w:w="6649" w:type="dxa"/>
        <w:jc w:val="left"/>
        <w:tblInd w:w="720" w:type="dxa"/>
        <w:tblLayout w:type="fixed"/>
        <w:tblCellMar>
          <w:top w:w="0" w:type="dxa"/>
          <w:left w:w="0" w:type="dxa"/>
          <w:bottom w:w="28" w:type="dxa"/>
          <w:right w:w="0" w:type="dxa"/>
        </w:tblCellMar>
      </w:tblPr>
      <w:tblGrid>
        <w:gridCol w:w="124"/>
        <w:gridCol w:w="2701"/>
        <w:gridCol w:w="109"/>
        <w:gridCol w:w="109"/>
        <w:gridCol w:w="198"/>
        <w:gridCol w:w="198"/>
        <w:gridCol w:w="1205"/>
        <w:gridCol w:w="198"/>
        <w:gridCol w:w="112"/>
        <w:gridCol w:w="112"/>
        <w:gridCol w:w="112"/>
        <w:gridCol w:w="232"/>
        <w:gridCol w:w="973"/>
        <w:gridCol w:w="112"/>
        <w:gridCol w:w="154"/>
      </w:tblGrid>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2701"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3452" w:type="dxa"/>
            <w:gridSpan w:val="10"/>
            <w:tcBorders>
              <w:bottom w:val="single" w:sz="2" w:space="0" w:color="FEFEFE"/>
            </w:tcBorders>
            <w:shd w:fill="000000" w:val="clear"/>
            <w:tcMar>
              <w:bottom w:w="110" w:type="dxa"/>
            </w:tcMar>
            <w:vAlign w:val="center"/>
          </w:tcPr>
          <w:p>
            <w:pPr>
              <w:pStyle w:val="TableContents"/>
              <w:bidi w:val="0"/>
              <w:spacing w:before="0" w:after="0"/>
              <w:jc w:val="center"/>
              <w:rPr/>
            </w:pPr>
            <w:r>
              <w:rPr/>
              <w:t xml:space="preserve">Target Bonus Opportunity </w:t>
            </w:r>
          </w:p>
        </w:tc>
        <w:tc>
          <w:tcPr>
            <w:tcW w:w="154" w:type="dxa"/>
            <w:tcBorders>
              <w:bottom w:val="single" w:sz="2" w:space="0" w:color="000000"/>
            </w:tcBorders>
            <w:shd w:fill="000000" w:val="clear"/>
            <w:vAlign w:val="center"/>
          </w:tcPr>
          <w:p>
            <w:pPr>
              <w:pStyle w:val="TableContents"/>
              <w:bidi w:val="0"/>
              <w:spacing w:before="0" w:after="283"/>
              <w:jc w:val="left"/>
              <w:rPr/>
            </w:pPr>
            <w:r>
              <w:rPr/>
              <w:t>​</w:t>
            </w:r>
          </w:p>
        </w:tc>
      </w:tr>
      <w:tr>
        <w:trPr/>
        <w:tc>
          <w:tcPr>
            <w:tcW w:w="124" w:type="dxa"/>
            <w:tcBorders/>
            <w:shd w:fill="000000" w:val="clear"/>
            <w:tcMar>
              <w:bottom w:w="0" w:type="dxa"/>
            </w:tcMar>
            <w:vAlign w:val="center"/>
          </w:tcPr>
          <w:p>
            <w:pPr>
              <w:pStyle w:val="TableContents"/>
              <w:bidi w:val="0"/>
              <w:spacing w:before="0" w:after="283"/>
              <w:jc w:val="left"/>
              <w:rPr/>
            </w:pPr>
            <w:r>
              <w:rPr/>
              <w:t>​</w:t>
            </w:r>
          </w:p>
        </w:tc>
        <w:tc>
          <w:tcPr>
            <w:tcW w:w="2701" w:type="dxa"/>
            <w:tcBorders/>
            <w:shd w:fill="000000" w:val="clear"/>
            <w:tcMar>
              <w:bottom w:w="0" w:type="dxa"/>
            </w:tcMar>
            <w:vAlign w:val="center"/>
          </w:tcPr>
          <w:p>
            <w:pPr>
              <w:pStyle w:val="TableContents"/>
              <w:bidi w:val="0"/>
              <w:spacing w:lineRule="atLeast" w:line="142" w:before="0" w:after="0"/>
              <w:jc w:val="left"/>
              <w:rPr/>
            </w:pPr>
            <w:r>
              <w:rPr/>
              <w:t>Named Executive Officer</w:t>
            </w:r>
            <w:r>
              <w:rPr>
                <w:sz w:val="9"/>
              </w:rPr>
              <w:t>(1)</w:t>
            </w:r>
            <w:r>
              <w:rP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799" w:type="dxa"/>
            <w:gridSpan w:val="4"/>
            <w:tcBorders/>
            <w:shd w:fill="000000" w:val="clear"/>
            <w:tcMar>
              <w:bottom w:w="0" w:type="dxa"/>
            </w:tcMar>
            <w:vAlign w:val="center"/>
          </w:tcPr>
          <w:p>
            <w:pPr>
              <w:pStyle w:val="TableContents"/>
              <w:bidi w:val="0"/>
              <w:spacing w:before="0" w:after="0"/>
              <w:jc w:val="center"/>
              <w:rPr/>
            </w:pPr>
            <w:r>
              <w:rPr/>
              <w:t xml:space="preserve">% of Base Salary </w:t>
            </w:r>
          </w:p>
        </w:tc>
        <w:tc>
          <w:tcPr>
            <w:tcW w:w="112" w:type="dxa"/>
            <w:tcBorders/>
            <w:shd w:fill="000000" w:val="clear"/>
            <w:tcMar>
              <w:bottom w:w="0" w:type="dxa"/>
            </w:tcMar>
            <w:vAlign w:val="center"/>
          </w:tcPr>
          <w:p>
            <w:pPr>
              <w:pStyle w:val="TableContents"/>
              <w:bidi w:val="0"/>
              <w:spacing w:before="0" w:after="283"/>
              <w:jc w:val="left"/>
              <w:rPr/>
            </w:pPr>
            <w:r>
              <w:rPr/>
              <w:t>​</w:t>
            </w:r>
          </w:p>
        </w:tc>
        <w:tc>
          <w:tcPr>
            <w:tcW w:w="112" w:type="dxa"/>
            <w:tcBorders/>
            <w:shd w:fill="000000" w:val="clear"/>
            <w:tcMar>
              <w:bottom w:w="0" w:type="dxa"/>
            </w:tcMar>
            <w:vAlign w:val="center"/>
          </w:tcPr>
          <w:p>
            <w:pPr>
              <w:pStyle w:val="TableContents"/>
              <w:bidi w:val="0"/>
              <w:spacing w:before="0" w:after="283"/>
              <w:jc w:val="left"/>
              <w:rPr/>
            </w:pPr>
            <w:r>
              <w:rPr/>
              <w:t>​</w:t>
            </w:r>
          </w:p>
        </w:tc>
        <w:tc>
          <w:tcPr>
            <w:tcW w:w="1429" w:type="dxa"/>
            <w:gridSpan w:val="4"/>
            <w:tcBorders/>
            <w:shd w:fill="000000" w:val="clear"/>
            <w:tcMar>
              <w:bottom w:w="0" w:type="dxa"/>
            </w:tcMar>
            <w:vAlign w:val="center"/>
          </w:tcPr>
          <w:p>
            <w:pPr>
              <w:pStyle w:val="TableContents"/>
              <w:bidi w:val="0"/>
              <w:spacing w:before="0" w:after="0"/>
              <w:jc w:val="center"/>
              <w:rPr/>
            </w:pPr>
            <w:r>
              <w:rPr/>
              <w:t xml:space="preserve">Amount </w:t>
            </w:r>
          </w:p>
        </w:tc>
        <w:tc>
          <w:tcPr>
            <w:tcW w:w="154" w:type="dxa"/>
            <w:tcBorders/>
            <w:shd w:fill="000000"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2701" w:type="dxa"/>
            <w:tcBorders>
              <w:bottom w:val="single" w:sz="6" w:space="0" w:color="000000"/>
            </w:tcBorders>
            <w:tcMar>
              <w:bottom w:w="95" w:type="dxa"/>
            </w:tcMar>
            <w:vAlign w:val="center"/>
          </w:tcPr>
          <w:p>
            <w:pPr>
              <w:pStyle w:val="TableContents"/>
              <w:bidi w:val="0"/>
              <w:spacing w:before="0" w:after="283"/>
              <w:jc w:val="left"/>
              <w:rPr/>
            </w:pPr>
            <w:r>
              <w:rPr/>
              <w:t xml:space="preserve">Peter Rawlinson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98" w:type="dxa"/>
            <w:tcBorders>
              <w:bottom w:val="single" w:sz="6" w:space="0" w:color="000000"/>
            </w:tcBorders>
            <w:vAlign w:val="center"/>
          </w:tcPr>
          <w:p>
            <w:pPr>
              <w:pStyle w:val="TableContents"/>
              <w:bidi w:val="0"/>
              <w:spacing w:before="0" w:after="283"/>
              <w:jc w:val="left"/>
              <w:rPr/>
            </w:pPr>
            <w:r>
              <w:rPr/>
              <w:t>​</w:t>
            </w:r>
          </w:p>
        </w:tc>
        <w:tc>
          <w:tcPr>
            <w:tcW w:w="198" w:type="dxa"/>
            <w:tcBorders>
              <w:bottom w:val="single" w:sz="6" w:space="0" w:color="000000"/>
            </w:tcBorders>
            <w:tcMar>
              <w:bottom w:w="95" w:type="dxa"/>
            </w:tcMar>
            <w:vAlign w:val="center"/>
          </w:tcPr>
          <w:p>
            <w:pPr>
              <w:pStyle w:val="TableContents"/>
              <w:bidi w:val="0"/>
              <w:spacing w:before="0" w:after="283"/>
              <w:jc w:val="right"/>
              <w:rPr/>
            </w:pPr>
            <w:r>
              <w:rPr/>
              <w:t>​</w:t>
            </w:r>
          </w:p>
        </w:tc>
        <w:tc>
          <w:tcPr>
            <w:tcW w:w="1205" w:type="dxa"/>
            <w:tcBorders>
              <w:bottom w:val="single" w:sz="6" w:space="0" w:color="000000"/>
            </w:tcBorders>
            <w:tcMar>
              <w:bottom w:w="95" w:type="dxa"/>
            </w:tcMar>
            <w:vAlign w:val="center"/>
          </w:tcPr>
          <w:p>
            <w:pPr>
              <w:pStyle w:val="TableContents"/>
              <w:bidi w:val="0"/>
              <w:spacing w:before="0" w:after="283"/>
              <w:jc w:val="right"/>
              <w:rPr/>
            </w:pPr>
            <w:r>
              <w:rPr/>
              <w:t>100%</w:t>
            </w:r>
          </w:p>
        </w:tc>
        <w:tc>
          <w:tcPr>
            <w:tcW w:w="198" w:type="dxa"/>
            <w:tcBorders>
              <w:bottom w:val="single" w:sz="6" w:space="0" w:color="000000"/>
            </w:tcBorders>
            <w:vAlign w:val="center"/>
          </w:tcPr>
          <w:p>
            <w:pPr>
              <w:pStyle w:val="TableContents"/>
              <w:bidi w:val="0"/>
              <w:spacing w:before="0" w:after="283"/>
              <w:jc w:val="left"/>
              <w:rPr/>
            </w:pPr>
            <w:r>
              <w:rPr/>
              <w:t>​</w:t>
            </w:r>
          </w:p>
        </w:tc>
        <w:tc>
          <w:tcPr>
            <w:tcW w:w="112" w:type="dxa"/>
            <w:tcBorders>
              <w:bottom w:val="single" w:sz="6" w:space="0" w:color="000000"/>
            </w:tcBorders>
            <w:vAlign w:val="center"/>
          </w:tcPr>
          <w:p>
            <w:pPr>
              <w:pStyle w:val="TableContents"/>
              <w:bidi w:val="0"/>
              <w:spacing w:before="0" w:after="283"/>
              <w:jc w:val="left"/>
              <w:rPr/>
            </w:pPr>
            <w:r>
              <w:rPr/>
              <w:t>​</w:t>
            </w:r>
          </w:p>
        </w:tc>
        <w:tc>
          <w:tcPr>
            <w:tcW w:w="112" w:type="dxa"/>
            <w:tcBorders>
              <w:bottom w:val="single" w:sz="6" w:space="0" w:color="000000"/>
            </w:tcBorders>
            <w:vAlign w:val="center"/>
          </w:tcPr>
          <w:p>
            <w:pPr>
              <w:pStyle w:val="TableContents"/>
              <w:bidi w:val="0"/>
              <w:spacing w:before="0" w:after="283"/>
              <w:jc w:val="left"/>
              <w:rPr/>
            </w:pPr>
            <w:r>
              <w:rPr/>
              <w:t>​</w:t>
            </w:r>
          </w:p>
        </w:tc>
        <w:tc>
          <w:tcPr>
            <w:tcW w:w="112" w:type="dxa"/>
            <w:tcBorders>
              <w:bottom w:val="single" w:sz="6" w:space="0" w:color="000000"/>
            </w:tcBorders>
            <w:vAlign w:val="center"/>
          </w:tcPr>
          <w:p>
            <w:pPr>
              <w:pStyle w:val="TableContents"/>
              <w:bidi w:val="0"/>
              <w:spacing w:before="0" w:after="283"/>
              <w:jc w:val="left"/>
              <w:rPr/>
            </w:pPr>
            <w:r>
              <w:rPr/>
              <w:t>​</w:t>
            </w:r>
          </w:p>
        </w:tc>
        <w:tc>
          <w:tcPr>
            <w:tcW w:w="232" w:type="dxa"/>
            <w:tcBorders>
              <w:bottom w:val="single" w:sz="6" w:space="0" w:color="000000"/>
            </w:tcBorders>
            <w:tcMar>
              <w:bottom w:w="95" w:type="dxa"/>
            </w:tcMar>
            <w:vAlign w:val="center"/>
          </w:tcPr>
          <w:p>
            <w:pPr>
              <w:pStyle w:val="TableContents"/>
              <w:bidi w:val="0"/>
              <w:spacing w:before="0" w:after="283"/>
              <w:jc w:val="right"/>
              <w:rPr/>
            </w:pPr>
            <w:r>
              <w:rPr/>
              <w:t>$</w:t>
            </w:r>
          </w:p>
        </w:tc>
        <w:tc>
          <w:tcPr>
            <w:tcW w:w="973" w:type="dxa"/>
            <w:tcBorders>
              <w:bottom w:val="single" w:sz="6" w:space="0" w:color="000000"/>
            </w:tcBorders>
            <w:tcMar>
              <w:bottom w:w="95" w:type="dxa"/>
            </w:tcMar>
            <w:vAlign w:val="center"/>
          </w:tcPr>
          <w:p>
            <w:pPr>
              <w:pStyle w:val="TableContents"/>
              <w:bidi w:val="0"/>
              <w:spacing w:before="0" w:after="283"/>
              <w:jc w:val="right"/>
              <w:rPr/>
            </w:pPr>
            <w:r>
              <w:rPr/>
              <w:t>625,000</w:t>
            </w:r>
          </w:p>
        </w:tc>
        <w:tc>
          <w:tcPr>
            <w:tcW w:w="112"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vAlign w:val="center"/>
          </w:tcPr>
          <w:p>
            <w:pPr>
              <w:pStyle w:val="TableContents"/>
              <w:bidi w:val="0"/>
              <w:spacing w:before="0" w:after="283"/>
              <w:jc w:val="left"/>
              <w:rPr/>
            </w:pPr>
            <w:r>
              <w:rPr/>
              <w:t>​</w:t>
            </w:r>
          </w:p>
        </w:tc>
        <w:tc>
          <w:tcPr>
            <w:tcW w:w="2701" w:type="dxa"/>
            <w:tcBorders>
              <w:bottom w:val="single" w:sz="6" w:space="0" w:color="000000"/>
            </w:tcBorders>
            <w:shd w:fill="F7F7F7" w:val="clear"/>
            <w:tcMar>
              <w:bottom w:w="95" w:type="dxa"/>
            </w:tcMar>
            <w:vAlign w:val="center"/>
          </w:tcPr>
          <w:p>
            <w:pPr>
              <w:pStyle w:val="TableContents"/>
              <w:bidi w:val="0"/>
              <w:spacing w:before="0" w:after="283"/>
              <w:jc w:val="left"/>
              <w:rPr/>
            </w:pPr>
            <w:r>
              <w:rPr/>
              <w:t xml:space="preserve">Gagan Dhingra </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98" w:type="dxa"/>
            <w:tcBorders>
              <w:bottom w:val="single" w:sz="6" w:space="0" w:color="000000"/>
            </w:tcBorders>
            <w:shd w:fill="F7F7F7" w:val="clear"/>
            <w:vAlign w:val="center"/>
          </w:tcPr>
          <w:p>
            <w:pPr>
              <w:pStyle w:val="TableContents"/>
              <w:bidi w:val="0"/>
              <w:spacing w:before="0" w:after="283"/>
              <w:jc w:val="left"/>
              <w:rPr/>
            </w:pPr>
            <w:r>
              <w:rPr/>
              <w:t>​</w:t>
            </w:r>
          </w:p>
        </w:tc>
        <w:tc>
          <w:tcPr>
            <w:tcW w:w="198"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1205" w:type="dxa"/>
            <w:tcBorders>
              <w:bottom w:val="single" w:sz="6" w:space="0" w:color="000000"/>
            </w:tcBorders>
            <w:shd w:fill="F7F7F7" w:val="clear"/>
            <w:tcMar>
              <w:bottom w:w="95" w:type="dxa"/>
            </w:tcMar>
            <w:vAlign w:val="center"/>
          </w:tcPr>
          <w:p>
            <w:pPr>
              <w:pStyle w:val="TableContents"/>
              <w:bidi w:val="0"/>
              <w:spacing w:before="0" w:after="283"/>
              <w:jc w:val="right"/>
              <w:rPr/>
            </w:pPr>
            <w:r>
              <w:rPr/>
              <w:t>50%</w:t>
            </w:r>
          </w:p>
        </w:tc>
        <w:tc>
          <w:tcPr>
            <w:tcW w:w="198" w:type="dxa"/>
            <w:tcBorders>
              <w:bottom w:val="single" w:sz="6" w:space="0" w:color="000000"/>
            </w:tcBorders>
            <w:shd w:fill="F7F7F7" w:val="clear"/>
            <w:vAlign w:val="center"/>
          </w:tcPr>
          <w:p>
            <w:pPr>
              <w:pStyle w:val="TableContents"/>
              <w:bidi w:val="0"/>
              <w:spacing w:before="0" w:after="283"/>
              <w:jc w:val="left"/>
              <w:rPr/>
            </w:pPr>
            <w:r>
              <w:rPr/>
              <w:t>​</w:t>
            </w:r>
          </w:p>
        </w:tc>
        <w:tc>
          <w:tcPr>
            <w:tcW w:w="112" w:type="dxa"/>
            <w:tcBorders>
              <w:bottom w:val="single" w:sz="6" w:space="0" w:color="000000"/>
            </w:tcBorders>
            <w:shd w:fill="F7F7F7" w:val="clear"/>
            <w:vAlign w:val="center"/>
          </w:tcPr>
          <w:p>
            <w:pPr>
              <w:pStyle w:val="TableContents"/>
              <w:bidi w:val="0"/>
              <w:spacing w:before="0" w:after="283"/>
              <w:jc w:val="left"/>
              <w:rPr/>
            </w:pPr>
            <w:r>
              <w:rPr/>
              <w:t>​</w:t>
            </w:r>
          </w:p>
        </w:tc>
        <w:tc>
          <w:tcPr>
            <w:tcW w:w="112" w:type="dxa"/>
            <w:tcBorders>
              <w:bottom w:val="single" w:sz="6" w:space="0" w:color="000000"/>
            </w:tcBorders>
            <w:shd w:fill="F7F7F7" w:val="clear"/>
            <w:vAlign w:val="center"/>
          </w:tcPr>
          <w:p>
            <w:pPr>
              <w:pStyle w:val="TableContents"/>
              <w:bidi w:val="0"/>
              <w:spacing w:before="0" w:after="283"/>
              <w:jc w:val="left"/>
              <w:rPr/>
            </w:pPr>
            <w:r>
              <w:rPr/>
              <w:t>​</w:t>
            </w:r>
          </w:p>
        </w:tc>
        <w:tc>
          <w:tcPr>
            <w:tcW w:w="112" w:type="dxa"/>
            <w:tcBorders>
              <w:bottom w:val="single" w:sz="6" w:space="0" w:color="000000"/>
            </w:tcBorders>
            <w:shd w:fill="F7F7F7" w:val="clear"/>
            <w:vAlign w:val="center"/>
          </w:tcPr>
          <w:p>
            <w:pPr>
              <w:pStyle w:val="TableContents"/>
              <w:bidi w:val="0"/>
              <w:spacing w:before="0" w:after="283"/>
              <w:jc w:val="left"/>
              <w:rPr/>
            </w:pPr>
            <w:r>
              <w:rPr/>
              <w:t>​</w:t>
            </w:r>
          </w:p>
        </w:tc>
        <w:tc>
          <w:tcPr>
            <w:tcW w:w="232"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973" w:type="dxa"/>
            <w:tcBorders>
              <w:bottom w:val="single" w:sz="6" w:space="0" w:color="000000"/>
            </w:tcBorders>
            <w:shd w:fill="F7F7F7" w:val="clear"/>
            <w:tcMar>
              <w:bottom w:w="95" w:type="dxa"/>
            </w:tcMar>
            <w:vAlign w:val="center"/>
          </w:tcPr>
          <w:p>
            <w:pPr>
              <w:pStyle w:val="TableContents"/>
              <w:bidi w:val="0"/>
              <w:spacing w:before="0" w:after="283"/>
              <w:jc w:val="right"/>
              <w:rPr/>
            </w:pPr>
            <w:r>
              <w:rPr/>
              <w:t>191,000</w:t>
            </w:r>
          </w:p>
        </w:tc>
        <w:tc>
          <w:tcPr>
            <w:tcW w:w="112" w:type="dxa"/>
            <w:tcBorders>
              <w:bottom w:val="single" w:sz="6" w:space="0" w:color="000000"/>
            </w:tcBorders>
            <w:shd w:fill="F7F7F7" w:val="clear"/>
            <w:vAlign w:val="center"/>
          </w:tcPr>
          <w:p>
            <w:pPr>
              <w:pStyle w:val="TableContents"/>
              <w:bidi w:val="0"/>
              <w:spacing w:before="0" w:after="283"/>
              <w:jc w:val="left"/>
              <w:rPr/>
            </w:pPr>
            <w:r>
              <w:rPr/>
              <w:t>​</w:t>
            </w:r>
          </w:p>
        </w:tc>
        <w:tc>
          <w:tcPr>
            <w:tcW w:w="154" w:type="dxa"/>
            <w:tcBorders>
              <w:bottom w:val="single" w:sz="6" w:space="0" w:color="000000"/>
            </w:tcBorders>
            <w:shd w:fill="F7F7F7"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2701" w:type="dxa"/>
            <w:tcBorders>
              <w:bottom w:val="single" w:sz="6" w:space="0" w:color="000000"/>
            </w:tcBorders>
            <w:tcMar>
              <w:bottom w:w="95" w:type="dxa"/>
            </w:tcMar>
            <w:vAlign w:val="center"/>
          </w:tcPr>
          <w:p>
            <w:pPr>
              <w:pStyle w:val="TableContents"/>
              <w:bidi w:val="0"/>
              <w:spacing w:before="0" w:after="283"/>
              <w:jc w:val="left"/>
              <w:rPr/>
            </w:pPr>
            <w:r>
              <w:rPr/>
              <w:t xml:space="preserve">Eric Bach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98" w:type="dxa"/>
            <w:tcBorders>
              <w:bottom w:val="single" w:sz="6" w:space="0" w:color="000000"/>
            </w:tcBorders>
            <w:vAlign w:val="center"/>
          </w:tcPr>
          <w:p>
            <w:pPr>
              <w:pStyle w:val="TableContents"/>
              <w:bidi w:val="0"/>
              <w:spacing w:before="0" w:after="283"/>
              <w:jc w:val="left"/>
              <w:rPr/>
            </w:pPr>
            <w:r>
              <w:rPr/>
              <w:t>​</w:t>
            </w:r>
          </w:p>
        </w:tc>
        <w:tc>
          <w:tcPr>
            <w:tcW w:w="198" w:type="dxa"/>
            <w:tcBorders>
              <w:bottom w:val="single" w:sz="6" w:space="0" w:color="000000"/>
            </w:tcBorders>
            <w:tcMar>
              <w:bottom w:w="95" w:type="dxa"/>
            </w:tcMar>
            <w:vAlign w:val="center"/>
          </w:tcPr>
          <w:p>
            <w:pPr>
              <w:pStyle w:val="TableContents"/>
              <w:bidi w:val="0"/>
              <w:spacing w:before="0" w:after="283"/>
              <w:jc w:val="right"/>
              <w:rPr/>
            </w:pPr>
            <w:r>
              <w:rPr/>
              <w:t>​</w:t>
            </w:r>
          </w:p>
        </w:tc>
        <w:tc>
          <w:tcPr>
            <w:tcW w:w="1205" w:type="dxa"/>
            <w:tcBorders>
              <w:bottom w:val="single" w:sz="6" w:space="0" w:color="000000"/>
            </w:tcBorders>
            <w:tcMar>
              <w:bottom w:w="95" w:type="dxa"/>
            </w:tcMar>
            <w:vAlign w:val="center"/>
          </w:tcPr>
          <w:p>
            <w:pPr>
              <w:pStyle w:val="TableContents"/>
              <w:bidi w:val="0"/>
              <w:spacing w:before="0" w:after="283"/>
              <w:jc w:val="right"/>
              <w:rPr/>
            </w:pPr>
            <w:r>
              <w:rPr/>
              <w:t>75%</w:t>
            </w:r>
          </w:p>
        </w:tc>
        <w:tc>
          <w:tcPr>
            <w:tcW w:w="198" w:type="dxa"/>
            <w:tcBorders>
              <w:bottom w:val="single" w:sz="6" w:space="0" w:color="000000"/>
            </w:tcBorders>
            <w:vAlign w:val="center"/>
          </w:tcPr>
          <w:p>
            <w:pPr>
              <w:pStyle w:val="TableContents"/>
              <w:bidi w:val="0"/>
              <w:spacing w:before="0" w:after="283"/>
              <w:jc w:val="left"/>
              <w:rPr/>
            </w:pPr>
            <w:r>
              <w:rPr/>
              <w:t>​</w:t>
            </w:r>
          </w:p>
        </w:tc>
        <w:tc>
          <w:tcPr>
            <w:tcW w:w="112" w:type="dxa"/>
            <w:tcBorders>
              <w:bottom w:val="single" w:sz="6" w:space="0" w:color="000000"/>
            </w:tcBorders>
            <w:vAlign w:val="center"/>
          </w:tcPr>
          <w:p>
            <w:pPr>
              <w:pStyle w:val="TableContents"/>
              <w:bidi w:val="0"/>
              <w:spacing w:before="0" w:after="283"/>
              <w:jc w:val="left"/>
              <w:rPr/>
            </w:pPr>
            <w:r>
              <w:rPr/>
              <w:t>​</w:t>
            </w:r>
          </w:p>
        </w:tc>
        <w:tc>
          <w:tcPr>
            <w:tcW w:w="112" w:type="dxa"/>
            <w:tcBorders>
              <w:bottom w:val="single" w:sz="6" w:space="0" w:color="000000"/>
            </w:tcBorders>
            <w:vAlign w:val="center"/>
          </w:tcPr>
          <w:p>
            <w:pPr>
              <w:pStyle w:val="TableContents"/>
              <w:bidi w:val="0"/>
              <w:spacing w:before="0" w:after="283"/>
              <w:jc w:val="left"/>
              <w:rPr/>
            </w:pPr>
            <w:r>
              <w:rPr/>
              <w:t>​</w:t>
            </w:r>
          </w:p>
        </w:tc>
        <w:tc>
          <w:tcPr>
            <w:tcW w:w="112" w:type="dxa"/>
            <w:tcBorders>
              <w:bottom w:val="single" w:sz="6" w:space="0" w:color="000000"/>
            </w:tcBorders>
            <w:vAlign w:val="center"/>
          </w:tcPr>
          <w:p>
            <w:pPr>
              <w:pStyle w:val="TableContents"/>
              <w:bidi w:val="0"/>
              <w:spacing w:before="0" w:after="283"/>
              <w:jc w:val="left"/>
              <w:rPr/>
            </w:pPr>
            <w:r>
              <w:rPr/>
              <w:t>​</w:t>
            </w:r>
          </w:p>
        </w:tc>
        <w:tc>
          <w:tcPr>
            <w:tcW w:w="232" w:type="dxa"/>
            <w:tcBorders>
              <w:bottom w:val="single" w:sz="6" w:space="0" w:color="000000"/>
            </w:tcBorders>
            <w:tcMar>
              <w:bottom w:w="95" w:type="dxa"/>
            </w:tcMar>
            <w:vAlign w:val="center"/>
          </w:tcPr>
          <w:p>
            <w:pPr>
              <w:pStyle w:val="TableContents"/>
              <w:bidi w:val="0"/>
              <w:spacing w:before="0" w:after="283"/>
              <w:jc w:val="right"/>
              <w:rPr/>
            </w:pPr>
            <w:r>
              <w:rPr/>
              <w:t>$</w:t>
            </w:r>
          </w:p>
        </w:tc>
        <w:tc>
          <w:tcPr>
            <w:tcW w:w="973" w:type="dxa"/>
            <w:tcBorders>
              <w:bottom w:val="single" w:sz="6" w:space="0" w:color="000000"/>
            </w:tcBorders>
            <w:tcMar>
              <w:bottom w:w="95" w:type="dxa"/>
            </w:tcMar>
            <w:vAlign w:val="center"/>
          </w:tcPr>
          <w:p>
            <w:pPr>
              <w:pStyle w:val="TableContents"/>
              <w:bidi w:val="0"/>
              <w:spacing w:before="0" w:after="283"/>
              <w:jc w:val="right"/>
              <w:rPr/>
            </w:pPr>
            <w:r>
              <w:rPr/>
              <w:t>420,000</w:t>
            </w:r>
          </w:p>
        </w:tc>
        <w:tc>
          <w:tcPr>
            <w:tcW w:w="112"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vAlign w:val="center"/>
          </w:tcPr>
          <w:p>
            <w:pPr>
              <w:pStyle w:val="TableContents"/>
              <w:bidi w:val="0"/>
              <w:spacing w:before="0" w:after="283"/>
              <w:jc w:val="left"/>
              <w:rPr/>
            </w:pPr>
            <w:r>
              <w:rPr/>
              <w:t>​</w:t>
            </w:r>
          </w:p>
        </w:tc>
        <w:tc>
          <w:tcPr>
            <w:tcW w:w="2701" w:type="dxa"/>
            <w:tcBorders>
              <w:bottom w:val="single" w:sz="6" w:space="0" w:color="000000"/>
            </w:tcBorders>
            <w:shd w:fill="F7F7F7" w:val="clear"/>
            <w:tcMar>
              <w:bottom w:w="95" w:type="dxa"/>
            </w:tcMar>
            <w:vAlign w:val="center"/>
          </w:tcPr>
          <w:p>
            <w:pPr>
              <w:pStyle w:val="TableContents"/>
              <w:bidi w:val="0"/>
              <w:spacing w:before="0" w:after="283"/>
              <w:jc w:val="left"/>
              <w:rPr/>
            </w:pPr>
            <w:r>
              <w:rPr/>
              <w:t xml:space="preserve">Michael Bell </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98" w:type="dxa"/>
            <w:tcBorders>
              <w:bottom w:val="single" w:sz="6" w:space="0" w:color="000000"/>
            </w:tcBorders>
            <w:shd w:fill="F7F7F7" w:val="clear"/>
            <w:vAlign w:val="center"/>
          </w:tcPr>
          <w:p>
            <w:pPr>
              <w:pStyle w:val="TableContents"/>
              <w:bidi w:val="0"/>
              <w:spacing w:before="0" w:after="283"/>
              <w:jc w:val="left"/>
              <w:rPr/>
            </w:pPr>
            <w:r>
              <w:rPr/>
              <w:t>​</w:t>
            </w:r>
          </w:p>
        </w:tc>
        <w:tc>
          <w:tcPr>
            <w:tcW w:w="198"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1205" w:type="dxa"/>
            <w:tcBorders>
              <w:bottom w:val="single" w:sz="6" w:space="0" w:color="000000"/>
            </w:tcBorders>
            <w:shd w:fill="F7F7F7" w:val="clear"/>
            <w:tcMar>
              <w:bottom w:w="95" w:type="dxa"/>
            </w:tcMar>
            <w:vAlign w:val="center"/>
          </w:tcPr>
          <w:p>
            <w:pPr>
              <w:pStyle w:val="TableContents"/>
              <w:bidi w:val="0"/>
              <w:spacing w:before="0" w:after="283"/>
              <w:jc w:val="right"/>
              <w:rPr/>
            </w:pPr>
            <w:r>
              <w:rPr/>
              <w:t>75%</w:t>
            </w:r>
          </w:p>
        </w:tc>
        <w:tc>
          <w:tcPr>
            <w:tcW w:w="198" w:type="dxa"/>
            <w:tcBorders>
              <w:bottom w:val="single" w:sz="6" w:space="0" w:color="000000"/>
            </w:tcBorders>
            <w:shd w:fill="F7F7F7" w:val="clear"/>
            <w:vAlign w:val="center"/>
          </w:tcPr>
          <w:p>
            <w:pPr>
              <w:pStyle w:val="TableContents"/>
              <w:bidi w:val="0"/>
              <w:spacing w:before="0" w:after="283"/>
              <w:jc w:val="left"/>
              <w:rPr/>
            </w:pPr>
            <w:r>
              <w:rPr/>
              <w:t>​</w:t>
            </w:r>
          </w:p>
        </w:tc>
        <w:tc>
          <w:tcPr>
            <w:tcW w:w="112" w:type="dxa"/>
            <w:tcBorders>
              <w:bottom w:val="single" w:sz="6" w:space="0" w:color="000000"/>
            </w:tcBorders>
            <w:shd w:fill="F7F7F7" w:val="clear"/>
            <w:vAlign w:val="center"/>
          </w:tcPr>
          <w:p>
            <w:pPr>
              <w:pStyle w:val="TableContents"/>
              <w:bidi w:val="0"/>
              <w:spacing w:before="0" w:after="283"/>
              <w:jc w:val="left"/>
              <w:rPr/>
            </w:pPr>
            <w:r>
              <w:rPr/>
              <w:t>​</w:t>
            </w:r>
          </w:p>
        </w:tc>
        <w:tc>
          <w:tcPr>
            <w:tcW w:w="112" w:type="dxa"/>
            <w:tcBorders>
              <w:bottom w:val="single" w:sz="6" w:space="0" w:color="000000"/>
            </w:tcBorders>
            <w:shd w:fill="F7F7F7" w:val="clear"/>
            <w:vAlign w:val="center"/>
          </w:tcPr>
          <w:p>
            <w:pPr>
              <w:pStyle w:val="TableContents"/>
              <w:bidi w:val="0"/>
              <w:spacing w:before="0" w:after="283"/>
              <w:jc w:val="left"/>
              <w:rPr/>
            </w:pPr>
            <w:r>
              <w:rPr/>
              <w:t>​</w:t>
            </w:r>
          </w:p>
        </w:tc>
        <w:tc>
          <w:tcPr>
            <w:tcW w:w="112" w:type="dxa"/>
            <w:tcBorders>
              <w:bottom w:val="single" w:sz="6" w:space="0" w:color="000000"/>
            </w:tcBorders>
            <w:shd w:fill="F7F7F7" w:val="clear"/>
            <w:vAlign w:val="center"/>
          </w:tcPr>
          <w:p>
            <w:pPr>
              <w:pStyle w:val="TableContents"/>
              <w:bidi w:val="0"/>
              <w:spacing w:before="0" w:after="283"/>
              <w:jc w:val="left"/>
              <w:rPr/>
            </w:pPr>
            <w:r>
              <w:rPr/>
              <w:t>​</w:t>
            </w:r>
          </w:p>
        </w:tc>
        <w:tc>
          <w:tcPr>
            <w:tcW w:w="232"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973" w:type="dxa"/>
            <w:tcBorders>
              <w:bottom w:val="single" w:sz="6" w:space="0" w:color="000000"/>
            </w:tcBorders>
            <w:shd w:fill="F7F7F7" w:val="clear"/>
            <w:tcMar>
              <w:bottom w:w="95" w:type="dxa"/>
            </w:tcMar>
            <w:vAlign w:val="center"/>
          </w:tcPr>
          <w:p>
            <w:pPr>
              <w:pStyle w:val="TableContents"/>
              <w:bidi w:val="0"/>
              <w:spacing w:before="0" w:after="283"/>
              <w:jc w:val="right"/>
              <w:rPr/>
            </w:pPr>
            <w:r>
              <w:rPr/>
              <w:t xml:space="preserve">393,750 </w:t>
            </w:r>
          </w:p>
        </w:tc>
        <w:tc>
          <w:tcPr>
            <w:tcW w:w="112" w:type="dxa"/>
            <w:tcBorders>
              <w:bottom w:val="single" w:sz="6" w:space="0" w:color="000000"/>
            </w:tcBorders>
            <w:shd w:fill="F7F7F7" w:val="clear"/>
            <w:vAlign w:val="center"/>
          </w:tcPr>
          <w:p>
            <w:pPr>
              <w:pStyle w:val="TableContents"/>
              <w:bidi w:val="0"/>
              <w:spacing w:before="0" w:after="283"/>
              <w:jc w:val="left"/>
              <w:rPr/>
            </w:pPr>
            <w:r>
              <w:rPr/>
              <w:t>​</w:t>
            </w:r>
          </w:p>
        </w:tc>
        <w:tc>
          <w:tcPr>
            <w:tcW w:w="154" w:type="dxa"/>
            <w:tcBorders>
              <w:bottom w:val="single" w:sz="6" w:space="0" w:color="000000"/>
            </w:tcBorders>
            <w:shd w:fill="F7F7F7"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2701" w:type="dxa"/>
            <w:tcBorders>
              <w:bottom w:val="single" w:sz="6" w:space="0" w:color="000000"/>
            </w:tcBorders>
            <w:tcMar>
              <w:bottom w:w="95" w:type="dxa"/>
            </w:tcMar>
            <w:vAlign w:val="center"/>
          </w:tcPr>
          <w:p>
            <w:pPr>
              <w:pStyle w:val="TableContents"/>
              <w:bidi w:val="0"/>
              <w:spacing w:before="0" w:after="283"/>
              <w:jc w:val="left"/>
              <w:rPr/>
            </w:pPr>
            <w:r>
              <w:rPr/>
              <w:t xml:space="preserve">Sherry House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98" w:type="dxa"/>
            <w:tcBorders>
              <w:bottom w:val="single" w:sz="6" w:space="0" w:color="000000"/>
            </w:tcBorders>
            <w:vAlign w:val="center"/>
          </w:tcPr>
          <w:p>
            <w:pPr>
              <w:pStyle w:val="TableContents"/>
              <w:bidi w:val="0"/>
              <w:spacing w:before="0" w:after="283"/>
              <w:jc w:val="left"/>
              <w:rPr/>
            </w:pPr>
            <w:r>
              <w:rPr/>
              <w:t>​</w:t>
            </w:r>
          </w:p>
        </w:tc>
        <w:tc>
          <w:tcPr>
            <w:tcW w:w="198" w:type="dxa"/>
            <w:tcBorders>
              <w:bottom w:val="single" w:sz="6" w:space="0" w:color="000000"/>
            </w:tcBorders>
            <w:tcMar>
              <w:bottom w:w="95" w:type="dxa"/>
            </w:tcMar>
            <w:vAlign w:val="center"/>
          </w:tcPr>
          <w:p>
            <w:pPr>
              <w:pStyle w:val="TableContents"/>
              <w:bidi w:val="0"/>
              <w:spacing w:before="0" w:after="283"/>
              <w:jc w:val="right"/>
              <w:rPr/>
            </w:pPr>
            <w:r>
              <w:rPr/>
              <w:t>​</w:t>
            </w:r>
          </w:p>
        </w:tc>
        <w:tc>
          <w:tcPr>
            <w:tcW w:w="1205" w:type="dxa"/>
            <w:tcBorders>
              <w:bottom w:val="single" w:sz="6" w:space="0" w:color="000000"/>
            </w:tcBorders>
            <w:tcMar>
              <w:bottom w:w="95" w:type="dxa"/>
            </w:tcMar>
            <w:vAlign w:val="center"/>
          </w:tcPr>
          <w:p>
            <w:pPr>
              <w:pStyle w:val="TableContents"/>
              <w:bidi w:val="0"/>
              <w:spacing w:before="0" w:after="283"/>
              <w:jc w:val="right"/>
              <w:rPr/>
            </w:pPr>
            <w:r>
              <w:rPr/>
              <w:t>75%</w:t>
            </w:r>
          </w:p>
        </w:tc>
        <w:tc>
          <w:tcPr>
            <w:tcW w:w="198" w:type="dxa"/>
            <w:tcBorders>
              <w:bottom w:val="single" w:sz="6" w:space="0" w:color="000000"/>
            </w:tcBorders>
            <w:vAlign w:val="center"/>
          </w:tcPr>
          <w:p>
            <w:pPr>
              <w:pStyle w:val="TableContents"/>
              <w:bidi w:val="0"/>
              <w:spacing w:before="0" w:after="283"/>
              <w:jc w:val="left"/>
              <w:rPr/>
            </w:pPr>
            <w:r>
              <w:rPr/>
              <w:t>​</w:t>
            </w:r>
          </w:p>
        </w:tc>
        <w:tc>
          <w:tcPr>
            <w:tcW w:w="112" w:type="dxa"/>
            <w:tcBorders>
              <w:bottom w:val="single" w:sz="6" w:space="0" w:color="000000"/>
            </w:tcBorders>
            <w:vAlign w:val="center"/>
          </w:tcPr>
          <w:p>
            <w:pPr>
              <w:pStyle w:val="TableContents"/>
              <w:bidi w:val="0"/>
              <w:spacing w:before="0" w:after="283"/>
              <w:jc w:val="left"/>
              <w:rPr/>
            </w:pPr>
            <w:r>
              <w:rPr/>
              <w:t>​</w:t>
            </w:r>
          </w:p>
        </w:tc>
        <w:tc>
          <w:tcPr>
            <w:tcW w:w="112" w:type="dxa"/>
            <w:tcBorders>
              <w:bottom w:val="single" w:sz="6" w:space="0" w:color="000000"/>
            </w:tcBorders>
            <w:vAlign w:val="center"/>
          </w:tcPr>
          <w:p>
            <w:pPr>
              <w:pStyle w:val="TableContents"/>
              <w:bidi w:val="0"/>
              <w:spacing w:before="0" w:after="283"/>
              <w:jc w:val="left"/>
              <w:rPr/>
            </w:pPr>
            <w:r>
              <w:rPr/>
              <w:t>​</w:t>
            </w:r>
          </w:p>
        </w:tc>
        <w:tc>
          <w:tcPr>
            <w:tcW w:w="112" w:type="dxa"/>
            <w:tcBorders>
              <w:bottom w:val="single" w:sz="6" w:space="0" w:color="000000"/>
            </w:tcBorders>
            <w:vAlign w:val="center"/>
          </w:tcPr>
          <w:p>
            <w:pPr>
              <w:pStyle w:val="TableContents"/>
              <w:bidi w:val="0"/>
              <w:spacing w:before="0" w:after="283"/>
              <w:jc w:val="left"/>
              <w:rPr/>
            </w:pPr>
            <w:r>
              <w:rPr/>
              <w:t>​</w:t>
            </w:r>
          </w:p>
        </w:tc>
        <w:tc>
          <w:tcPr>
            <w:tcW w:w="232" w:type="dxa"/>
            <w:tcBorders>
              <w:bottom w:val="single" w:sz="6" w:space="0" w:color="000000"/>
            </w:tcBorders>
            <w:tcMar>
              <w:bottom w:w="95" w:type="dxa"/>
            </w:tcMar>
            <w:vAlign w:val="center"/>
          </w:tcPr>
          <w:p>
            <w:pPr>
              <w:pStyle w:val="TableContents"/>
              <w:bidi w:val="0"/>
              <w:spacing w:before="0" w:after="283"/>
              <w:jc w:val="right"/>
              <w:rPr/>
            </w:pPr>
            <w:r>
              <w:rPr/>
              <w:t>$</w:t>
            </w:r>
          </w:p>
        </w:tc>
        <w:tc>
          <w:tcPr>
            <w:tcW w:w="973" w:type="dxa"/>
            <w:tcBorders>
              <w:bottom w:val="single" w:sz="6" w:space="0" w:color="000000"/>
            </w:tcBorders>
            <w:tcMar>
              <w:bottom w:w="95" w:type="dxa"/>
            </w:tcMar>
            <w:vAlign w:val="center"/>
          </w:tcPr>
          <w:p>
            <w:pPr>
              <w:pStyle w:val="TableContents"/>
              <w:bidi w:val="0"/>
              <w:spacing w:before="0" w:after="283"/>
              <w:jc w:val="right"/>
              <w:rPr/>
            </w:pPr>
            <w:r>
              <w:rPr/>
              <w:t>431,250</w:t>
            </w:r>
          </w:p>
        </w:tc>
        <w:tc>
          <w:tcPr>
            <w:tcW w:w="112"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3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Having commenced employment with the Company in December 2023, Mr. Winterhoff was not eligible to participate in the 2023 AIP. Beginning in 2024, Mr. Winterhoff’s Target Bonus Opportunity will be 90% of his base salary. In connection with Ms. House’s separation on December 31, 2023, she received an annual bonus for 2023 in the amount of  $215,000.</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209550" distB="0" distL="0" distR="0" simplePos="0" locked="0" layoutInCell="1" allowOverlap="1" relativeHeight="200">
                <wp:simplePos x="0" y="0"/>
                <wp:positionH relativeFrom="column">
                  <wp:align>left</wp:align>
                </wp:positionH>
                <wp:positionV relativeFrom="line">
                  <wp:align>top</wp:align>
                </wp:positionV>
                <wp:extent cx="81915" cy="270510"/>
                <wp:effectExtent l="0" t="0" r="0" b="0"/>
                <wp:wrapSquare wrapText="right"/>
                <wp:docPr id="191" name="Frame129"/>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(1)</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16.5pt;mso-wrap-distance-bottom:0pt;margin-top:16.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30" w:before="172" w:after="283"/>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i w:val="false"/>
          <w:caps w:val="false"/>
          <w:smallCaps w:val="false"/>
          <w:color w:val="000000"/>
          <w:sz w:val="18"/>
        </w:rPr>
        <w:t>Company Performance Goals.</w:t>
      </w:r>
      <w:r>
        <w:rPr>
          <w:rFonts w:ascii="Helvetica;Arial;sans-serif" w:hAnsi="Helvetica;Arial;sans-serif"/>
          <w:b w:val="false"/>
          <w:i w:val="false"/>
          <w:caps w:val="false"/>
          <w:smallCaps w:val="false"/>
          <w:color w:val="000000"/>
          <w:sz w:val="18"/>
        </w:rPr>
        <w:t xml:space="preserve"> In June 2023, the Compensation and Human Capital Committee selected revenue, gross margin, and free cash flow as financial metrics (the “Company Performance Goals”) for the 2023 fiscal year as the basis for payout under the 2023 AIP.</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2064"/>
        <w:gridCol w:w="109"/>
        <w:gridCol w:w="109"/>
        <w:gridCol w:w="6924"/>
        <w:gridCol w:w="155"/>
      </w:tblGrid>
      <w:tr>
        <w:trPr/>
        <w:tc>
          <w:tcPr>
            <w:tcW w:w="124" w:type="dxa"/>
            <w:tcBorders/>
            <w:shd w:fill="000000" w:val="clear"/>
            <w:vAlign w:val="center"/>
          </w:tcPr>
          <w:p>
            <w:pPr>
              <w:pStyle w:val="TableContents"/>
              <w:bidi w:val="0"/>
              <w:spacing w:before="0" w:after="283"/>
              <w:jc w:val="left"/>
              <w:rPr/>
            </w:pPr>
            <w:r>
              <w:rPr/>
              <w:t>​</w:t>
            </w:r>
          </w:p>
        </w:tc>
        <w:tc>
          <w:tcPr>
            <w:tcW w:w="2064" w:type="dxa"/>
            <w:tcBorders/>
            <w:shd w:fill="000000" w:val="clear"/>
            <w:vAlign w:val="center"/>
          </w:tcPr>
          <w:p>
            <w:pPr>
              <w:pStyle w:val="TableContents"/>
              <w:bidi w:val="0"/>
              <w:spacing w:before="0" w:after="0"/>
              <w:jc w:val="left"/>
              <w:rPr/>
            </w:pPr>
            <w:r>
              <w:rPr/>
              <w:t xml:space="preserve">Company Performance Goal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6924" w:type="dxa"/>
            <w:tcBorders/>
            <w:shd w:fill="000000" w:val="clear"/>
            <w:vAlign w:val="center"/>
          </w:tcPr>
          <w:p>
            <w:pPr>
              <w:pStyle w:val="TableContents"/>
              <w:bidi w:val="0"/>
              <w:spacing w:before="0" w:after="0"/>
              <w:jc w:val="center"/>
              <w:rPr/>
            </w:pPr>
            <w:r>
              <w:rPr/>
              <w:t xml:space="preserve">Metric Description </w:t>
            </w:r>
          </w:p>
        </w:tc>
        <w:tc>
          <w:tcPr>
            <w:tcW w:w="155"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064" w:type="dxa"/>
            <w:tcBorders>
              <w:bottom w:val="single" w:sz="6" w:space="0" w:color="000000"/>
            </w:tcBorders>
            <w:tcMar>
              <w:bottom w:w="138" w:type="dxa"/>
            </w:tcMar>
            <w:vAlign w:val="center"/>
          </w:tcPr>
          <w:p>
            <w:pPr>
              <w:pStyle w:val="TableContents"/>
              <w:bidi w:val="0"/>
              <w:spacing w:before="0" w:after="283"/>
              <w:jc w:val="left"/>
              <w:rPr/>
            </w:pPr>
            <w:r>
              <w:rPr/>
              <w:t xml:space="preserve">Revenue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924" w:type="dxa"/>
            <w:tcBorders>
              <w:bottom w:val="single" w:sz="6" w:space="0" w:color="000000"/>
            </w:tcBorders>
            <w:tcMar>
              <w:bottom w:w="138" w:type="dxa"/>
            </w:tcMar>
            <w:vAlign w:val="center"/>
          </w:tcPr>
          <w:p>
            <w:pPr>
              <w:pStyle w:val="TableContents"/>
              <w:bidi w:val="0"/>
              <w:spacing w:before="0" w:after="283"/>
              <w:jc w:val="left"/>
              <w:rPr/>
            </w:pPr>
            <w:r>
              <w:rPr/>
              <w:t xml:space="preserve">Revenue as set forth in the Company’s financial statements. </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064" w:type="dxa"/>
            <w:tcBorders>
              <w:bottom w:val="single" w:sz="6" w:space="0" w:color="000000"/>
            </w:tcBorders>
            <w:shd w:fill="F7F7F7" w:val="clear"/>
            <w:tcMar>
              <w:bottom w:w="138" w:type="dxa"/>
            </w:tcMar>
            <w:vAlign w:val="center"/>
          </w:tcPr>
          <w:p>
            <w:pPr>
              <w:pStyle w:val="TableContents"/>
              <w:bidi w:val="0"/>
              <w:spacing w:before="0" w:after="283"/>
              <w:jc w:val="left"/>
              <w:rPr/>
            </w:pPr>
            <w:r>
              <w:rPr/>
              <w:t xml:space="preserve">Gross Margin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6924" w:type="dxa"/>
            <w:tcBorders>
              <w:bottom w:val="single" w:sz="6" w:space="0" w:color="000000"/>
            </w:tcBorders>
            <w:shd w:fill="F7F7F7" w:val="clear"/>
            <w:tcMar>
              <w:bottom w:w="138" w:type="dxa"/>
            </w:tcMar>
            <w:vAlign w:val="center"/>
          </w:tcPr>
          <w:p>
            <w:pPr>
              <w:pStyle w:val="TableContents"/>
              <w:bidi w:val="0"/>
              <w:spacing w:before="0" w:after="283"/>
              <w:jc w:val="left"/>
              <w:rPr/>
            </w:pPr>
            <w:r>
              <w:rPr/>
              <w:t xml:space="preserve">The Company’s sales minus its cost of goods sold, expressed as a percentage of sales. </w:t>
            </w:r>
          </w:p>
        </w:tc>
        <w:tc>
          <w:tcPr>
            <w:tcW w:w="15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064" w:type="dxa"/>
            <w:tcBorders>
              <w:bottom w:val="single" w:sz="6" w:space="0" w:color="000000"/>
            </w:tcBorders>
            <w:tcMar>
              <w:bottom w:w="138" w:type="dxa"/>
            </w:tcMar>
            <w:vAlign w:val="center"/>
          </w:tcPr>
          <w:p>
            <w:pPr>
              <w:pStyle w:val="TableContents"/>
              <w:bidi w:val="0"/>
              <w:spacing w:before="0" w:after="283"/>
              <w:jc w:val="left"/>
              <w:rPr/>
            </w:pPr>
            <w:r>
              <w:rPr/>
              <w:t xml:space="preserve">Free Cash Flow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924" w:type="dxa"/>
            <w:tcBorders>
              <w:bottom w:val="single" w:sz="6" w:space="0" w:color="000000"/>
            </w:tcBorders>
            <w:tcMar>
              <w:bottom w:w="138" w:type="dxa"/>
            </w:tcMar>
            <w:vAlign w:val="center"/>
          </w:tcPr>
          <w:p>
            <w:pPr>
              <w:pStyle w:val="TableContents"/>
              <w:bidi w:val="0"/>
              <w:spacing w:before="0" w:after="283"/>
              <w:jc w:val="left"/>
              <w:rPr/>
            </w:pPr>
            <w:r>
              <w:rPr/>
              <w:t>The Company’s net cash from operations less capital expenditures, subject to any cash balance adjustments not connected to operations.</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lineRule="atLeast" w:line="230" w:before="180" w:after="283"/>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Company Performance Goals are aligned with our annual growth objectives as well as our long-term business plan, with each Company Performance Goal determining the payout of one-third of the total award. The combined performance of the three Company Performance Goals for fiscal year 2023 is referred to as the “Business Achievement Percentage.” For fiscal year 2023, the Company achieved its target goal for one of its three Company Performance Goals, free cash flow. The Company’s performance did not meet the minimum threshold requirements for its other two Company Performance Goals, revenue and gross margin. As a result, there were no payouts relating to the revenue- and gross margin-related metrics. The Company exceeded its $(3.865) billion in free cash flow target goal, resulting in a Business Achievement Percentage of 37.34%. Taken together, the Target Bonus Opportunity, Business Achievement Percentage, and any individual performance modifier resulted in the following AIP payouts for 2023: $233,377 for Mr. Rawlinson, $71,319 for Mr. Dhingra, $196,035 for Mr. Bach, and $73,513 for Mr. Bell. (Having commenced employment with the Company in December 2023, Mr. Winterhoff was not eligible to participate in the 2023 AIP; and in connection with Ms. House’s separation on December 31, 2023, she received an annual bonus for 2023 in the amount of  $215,000.)</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Long-Term Incentive Compensation</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We believe that providing long-term incentive compensation in the form of equity awards is a critical element of our executive compensation program as it encourages our NEOs to take a long-term outlook and reinforces our pay-for-performance culture. By providing opportunities for our employees (including our NEOs) to benefit from future successes in Lucid through the appreciation of the value of their equity awards, the Compensation and Human Capital Committee and the Board believe that equity awards align employees’ interests and contributions with the long-term interests of Lucid’s stockholders. Offering meaningful equity ownership in Lucid is also helpful in retaining our NEOs and other key employees.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Based on the feedback received from stockholder engagement, we introduced PSUs and Premium-Priced Options as a significant component of our equity awards program for our executive leaders. For 2023, the total value of equity awards granted to our executives (including our NEOs) was allocated 30% to RSUs, 60% to PSUs, and 10% to Premium-Priced Options.</w:t>
      </w:r>
      <w:r>
        <w:rPr>
          <w:rFonts w:ascii="Helvetica;Arial;sans-serif" w:hAnsi="Helvetica;Arial;sans-serif"/>
          <w:b w:val="false"/>
          <w:i w:val="false"/>
          <w:caps w:val="false"/>
          <w:smallCaps w:val="false"/>
          <w:color w:val="000000"/>
          <w:spacing w:val="4"/>
          <w:sz w:val="18"/>
        </w:rPr>
        <w:t xml:space="preserve"> </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50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84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On September 10, 2023, our executive officers (including our NEOs, other than Mr. Rawlinson), received equity awards. In addition to further incentivizing their continued employment with the Company and aligning their interests with those of our stockholders, awards were informed by competitive benchmark information from the peer group, individual performance, and internal equity considerations. After review of peer group data provided by Pay Governance, and in view of still-outstanding value from the 2021 CEO Grant (defined below), the Board determined not to grant Mr. Rawlinson an equity award in 2023.</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total value (at target) of equity awards granted to each of our NEOs in 2023 is set forth in the table below:</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2028"/>
        <w:gridCol w:w="109"/>
        <w:gridCol w:w="109"/>
        <w:gridCol w:w="109"/>
        <w:gridCol w:w="226"/>
        <w:gridCol w:w="1186"/>
        <w:gridCol w:w="109"/>
        <w:gridCol w:w="109"/>
        <w:gridCol w:w="109"/>
        <w:gridCol w:w="109"/>
        <w:gridCol w:w="226"/>
        <w:gridCol w:w="1066"/>
        <w:gridCol w:w="109"/>
        <w:gridCol w:w="109"/>
        <w:gridCol w:w="109"/>
        <w:gridCol w:w="109"/>
        <w:gridCol w:w="226"/>
        <w:gridCol w:w="1066"/>
        <w:gridCol w:w="109"/>
        <w:gridCol w:w="109"/>
        <w:gridCol w:w="109"/>
        <w:gridCol w:w="119"/>
        <w:gridCol w:w="246"/>
        <w:gridCol w:w="1168"/>
        <w:gridCol w:w="121"/>
        <w:gridCol w:w="157"/>
      </w:tblGrid>
      <w:tr>
        <w:trPr/>
        <w:tc>
          <w:tcPr>
            <w:tcW w:w="124" w:type="dxa"/>
            <w:tcBorders/>
            <w:shd w:fill="000000" w:val="clear"/>
            <w:vAlign w:val="center"/>
          </w:tcPr>
          <w:p>
            <w:pPr>
              <w:pStyle w:val="TableContents"/>
              <w:bidi w:val="0"/>
              <w:spacing w:before="0" w:after="283"/>
              <w:jc w:val="left"/>
              <w:rPr/>
            </w:pPr>
            <w:r>
              <w:rPr/>
              <w:t>​</w:t>
            </w:r>
          </w:p>
        </w:tc>
        <w:tc>
          <w:tcPr>
            <w:tcW w:w="2028" w:type="dxa"/>
            <w:tcBorders/>
            <w:shd w:fill="000000" w:val="clear"/>
            <w:vAlign w:val="center"/>
          </w:tcPr>
          <w:p>
            <w:pPr>
              <w:pStyle w:val="TableContents"/>
              <w:bidi w:val="0"/>
              <w:spacing w:before="0" w:after="0"/>
              <w:jc w:val="left"/>
              <w:rPr/>
            </w:pPr>
            <w:r>
              <w:rPr/>
              <w:t xml:space="preserve">Named Executive Officer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0" w:type="dxa"/>
            <w:gridSpan w:val="4"/>
            <w:tcBorders/>
            <w:shd w:fill="000000" w:val="clear"/>
            <w:vAlign w:val="center"/>
          </w:tcPr>
          <w:p>
            <w:pPr>
              <w:pStyle w:val="TableContents"/>
              <w:bidi w:val="0"/>
              <w:spacing w:before="0" w:after="0"/>
              <w:jc w:val="center"/>
              <w:rPr/>
            </w:pPr>
            <w:r>
              <w:rPr/>
              <w:t>Total</w:t>
              <w:br/>
              <w:t xml:space="preserve">Grant Value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10" w:type="dxa"/>
            <w:gridSpan w:val="4"/>
            <w:tcBorders/>
            <w:shd w:fill="000000" w:val="clear"/>
            <w:vAlign w:val="center"/>
          </w:tcPr>
          <w:p>
            <w:pPr>
              <w:pStyle w:val="TableContents"/>
              <w:bidi w:val="0"/>
              <w:spacing w:before="0" w:after="0"/>
              <w:jc w:val="center"/>
              <w:rPr/>
            </w:pPr>
            <w:r>
              <w:rPr/>
              <w:t xml:space="preserve">RSUs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10" w:type="dxa"/>
            <w:gridSpan w:val="4"/>
            <w:tcBorders/>
            <w:shd w:fill="000000" w:val="clear"/>
            <w:vAlign w:val="center"/>
          </w:tcPr>
          <w:p>
            <w:pPr>
              <w:pStyle w:val="TableContents"/>
              <w:bidi w:val="0"/>
              <w:spacing w:before="0" w:after="0"/>
              <w:jc w:val="center"/>
              <w:rPr/>
            </w:pPr>
            <w:r>
              <w:rPr/>
              <w:t>PSUs</w:t>
              <w:br/>
              <w:t xml:space="preserve">(at target)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54" w:type="dxa"/>
            <w:gridSpan w:val="4"/>
            <w:tcBorders/>
            <w:shd w:fill="000000" w:val="clear"/>
            <w:vAlign w:val="center"/>
          </w:tcPr>
          <w:p>
            <w:pPr>
              <w:pStyle w:val="TableContents"/>
              <w:bidi w:val="0"/>
              <w:spacing w:before="0" w:after="0"/>
              <w:jc w:val="center"/>
              <w:rPr/>
            </w:pPr>
            <w:r>
              <w:rPr/>
              <w:t xml:space="preserve">Premium-Priced </w:t>
              <w:br/>
              <w:t xml:space="preserve">Options </w:t>
            </w:r>
          </w:p>
        </w:tc>
        <w:tc>
          <w:tcPr>
            <w:tcW w:w="157"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028" w:type="dxa"/>
            <w:tcBorders>
              <w:bottom w:val="single" w:sz="6" w:space="0" w:color="000000"/>
            </w:tcBorders>
            <w:tcMar>
              <w:bottom w:w="95" w:type="dxa"/>
            </w:tcMar>
            <w:vAlign w:val="center"/>
          </w:tcPr>
          <w:p>
            <w:pPr>
              <w:pStyle w:val="TableContents"/>
              <w:bidi w:val="0"/>
              <w:spacing w:before="0" w:after="283"/>
              <w:jc w:val="left"/>
              <w:rPr/>
            </w:pPr>
            <w:r>
              <w:rPr/>
              <w:t>Peter Rawlinson</w:t>
            </w:r>
            <w:r>
              <w:rPr>
                <w:sz w:val="10"/>
              </w:rPr>
              <w:t>(1)</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95" w:type="dxa"/>
            </w:tcMar>
            <w:vAlign w:val="center"/>
          </w:tcPr>
          <w:p>
            <w:pPr>
              <w:pStyle w:val="TableContents"/>
              <w:bidi w:val="0"/>
              <w:spacing w:before="0" w:after="283"/>
              <w:jc w:val="right"/>
              <w:rPr/>
            </w:pPr>
            <w:r>
              <w:rPr/>
              <w:t>​</w:t>
            </w:r>
          </w:p>
        </w:tc>
        <w:tc>
          <w:tcPr>
            <w:tcW w:w="1186" w:type="dxa"/>
            <w:tcBorders>
              <w:bottom w:val="single" w:sz="6" w:space="0" w:color="000000"/>
            </w:tcBorders>
            <w:tcMar>
              <w:bottom w:w="95"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95" w:type="dxa"/>
            </w:tcMar>
            <w:vAlign w:val="center"/>
          </w:tcPr>
          <w:p>
            <w:pPr>
              <w:pStyle w:val="TableContents"/>
              <w:bidi w:val="0"/>
              <w:spacing w:before="0" w:after="283"/>
              <w:jc w:val="right"/>
              <w:rPr/>
            </w:pPr>
            <w:r>
              <w:rPr/>
              <w:t>​</w:t>
            </w:r>
          </w:p>
        </w:tc>
        <w:tc>
          <w:tcPr>
            <w:tcW w:w="1066" w:type="dxa"/>
            <w:tcBorders>
              <w:bottom w:val="single" w:sz="6" w:space="0" w:color="000000"/>
            </w:tcBorders>
            <w:tcMar>
              <w:bottom w:w="95"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95" w:type="dxa"/>
            </w:tcMar>
            <w:vAlign w:val="center"/>
          </w:tcPr>
          <w:p>
            <w:pPr>
              <w:pStyle w:val="TableContents"/>
              <w:bidi w:val="0"/>
              <w:spacing w:before="0" w:after="283"/>
              <w:jc w:val="right"/>
              <w:rPr/>
            </w:pPr>
            <w:r>
              <w:rPr/>
              <w:t>​</w:t>
            </w:r>
          </w:p>
        </w:tc>
        <w:tc>
          <w:tcPr>
            <w:tcW w:w="1066" w:type="dxa"/>
            <w:tcBorders>
              <w:bottom w:val="single" w:sz="6" w:space="0" w:color="000000"/>
            </w:tcBorders>
            <w:tcMar>
              <w:bottom w:w="95"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9" w:type="dxa"/>
            <w:tcBorders>
              <w:bottom w:val="single" w:sz="6" w:space="0" w:color="000000"/>
            </w:tcBorders>
            <w:tcMar>
              <w:bottom w:w="28" w:type="dxa"/>
            </w:tcMar>
            <w:vAlign w:val="center"/>
          </w:tcPr>
          <w:p>
            <w:pPr>
              <w:pStyle w:val="TableContents"/>
              <w:bidi w:val="0"/>
              <w:spacing w:before="0" w:after="283"/>
              <w:jc w:val="left"/>
              <w:rPr/>
            </w:pPr>
            <w:r>
              <w:rPr/>
              <w:t>​</w:t>
            </w:r>
          </w:p>
        </w:tc>
        <w:tc>
          <w:tcPr>
            <w:tcW w:w="246" w:type="dxa"/>
            <w:tcBorders>
              <w:bottom w:val="single" w:sz="6" w:space="0" w:color="000000"/>
            </w:tcBorders>
            <w:tcMar>
              <w:bottom w:w="95" w:type="dxa"/>
            </w:tcMar>
            <w:vAlign w:val="center"/>
          </w:tcPr>
          <w:p>
            <w:pPr>
              <w:pStyle w:val="TableContents"/>
              <w:bidi w:val="0"/>
              <w:spacing w:before="0" w:after="283"/>
              <w:jc w:val="right"/>
              <w:rPr/>
            </w:pPr>
            <w:r>
              <w:rPr/>
              <w:t>​</w:t>
            </w:r>
          </w:p>
        </w:tc>
        <w:tc>
          <w:tcPr>
            <w:tcW w:w="1168" w:type="dxa"/>
            <w:tcBorders>
              <w:bottom w:val="single" w:sz="6" w:space="0" w:color="000000"/>
            </w:tcBorders>
            <w:tcMar>
              <w:bottom w:w="95" w:type="dxa"/>
            </w:tcMar>
            <w:vAlign w:val="center"/>
          </w:tcPr>
          <w:p>
            <w:pPr>
              <w:pStyle w:val="TableContents"/>
              <w:bidi w:val="0"/>
              <w:spacing w:before="0" w:after="283"/>
              <w:jc w:val="right"/>
              <w:rPr/>
            </w:pPr>
            <w:r>
              <w:rPr/>
              <w:t>—</w:t>
            </w:r>
          </w:p>
        </w:tc>
        <w:tc>
          <w:tcPr>
            <w:tcW w:w="121" w:type="dxa"/>
            <w:tcBorders>
              <w:bottom w:val="single" w:sz="6" w:space="0" w:color="000000"/>
            </w:tcBorders>
            <w:tcMar>
              <w:bottom w:w="28" w:type="dxa"/>
            </w:tcMar>
            <w:vAlign w:val="center"/>
          </w:tcPr>
          <w:p>
            <w:pPr>
              <w:pStyle w:val="TableContents"/>
              <w:bidi w:val="0"/>
              <w:spacing w:before="0" w:after="283"/>
              <w:jc w:val="left"/>
              <w:rPr/>
            </w:pPr>
            <w:r>
              <w:rPr/>
              <w:t>​</w:t>
            </w:r>
          </w:p>
        </w:tc>
        <w:tc>
          <w:tcPr>
            <w:tcW w:w="157"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028" w:type="dxa"/>
            <w:tcBorders>
              <w:bottom w:val="single" w:sz="6" w:space="0" w:color="000000"/>
            </w:tcBorders>
            <w:shd w:fill="F7F7F7" w:val="clear"/>
            <w:tcMar>
              <w:bottom w:w="95" w:type="dxa"/>
            </w:tcMar>
            <w:vAlign w:val="center"/>
          </w:tcPr>
          <w:p>
            <w:pPr>
              <w:pStyle w:val="TableContents"/>
              <w:bidi w:val="0"/>
              <w:spacing w:before="0" w:after="283"/>
              <w:jc w:val="left"/>
              <w:rPr/>
            </w:pPr>
            <w:r>
              <w:rPr/>
              <w:t>Gagan Dhingra</w:t>
            </w:r>
            <w:r>
              <w:rPr>
                <w:sz w:val="10"/>
              </w:rPr>
              <w:t>(2)</w:t>
            </w: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1186" w:type="dxa"/>
            <w:tcBorders>
              <w:bottom w:val="single" w:sz="6" w:space="0" w:color="000000"/>
            </w:tcBorders>
            <w:shd w:fill="F7F7F7" w:val="clear"/>
            <w:tcMar>
              <w:bottom w:w="95" w:type="dxa"/>
            </w:tcMar>
            <w:vAlign w:val="center"/>
          </w:tcPr>
          <w:p>
            <w:pPr>
              <w:pStyle w:val="TableContents"/>
              <w:bidi w:val="0"/>
              <w:spacing w:before="0" w:after="283"/>
              <w:jc w:val="right"/>
              <w:rPr/>
            </w:pPr>
            <w:r>
              <w:rPr/>
              <w:t>2,500,000</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1066" w:type="dxa"/>
            <w:tcBorders>
              <w:bottom w:val="single" w:sz="6" w:space="0" w:color="000000"/>
            </w:tcBorders>
            <w:shd w:fill="F7F7F7" w:val="clear"/>
            <w:tcMar>
              <w:bottom w:w="95" w:type="dxa"/>
            </w:tcMar>
            <w:vAlign w:val="center"/>
          </w:tcPr>
          <w:p>
            <w:pPr>
              <w:pStyle w:val="TableContents"/>
              <w:bidi w:val="0"/>
              <w:spacing w:before="0" w:after="283"/>
              <w:jc w:val="right"/>
              <w:rPr/>
            </w:pPr>
            <w:r>
              <w:rPr/>
              <w:t>750,000</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1066" w:type="dxa"/>
            <w:tcBorders>
              <w:bottom w:val="single" w:sz="6" w:space="0" w:color="000000"/>
            </w:tcBorders>
            <w:shd w:fill="F7F7F7" w:val="clear"/>
            <w:tcMar>
              <w:bottom w:w="95" w:type="dxa"/>
            </w:tcMar>
            <w:vAlign w:val="center"/>
          </w:tcPr>
          <w:p>
            <w:pPr>
              <w:pStyle w:val="TableContents"/>
              <w:bidi w:val="0"/>
              <w:spacing w:before="0" w:after="283"/>
              <w:jc w:val="right"/>
              <w:rPr/>
            </w:pPr>
            <w:r>
              <w:rPr/>
              <w:t>1,500,000</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46"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1168" w:type="dxa"/>
            <w:tcBorders>
              <w:bottom w:val="single" w:sz="6" w:space="0" w:color="000000"/>
            </w:tcBorders>
            <w:shd w:fill="F7F7F7" w:val="clear"/>
            <w:tcMar>
              <w:bottom w:w="95" w:type="dxa"/>
            </w:tcMar>
            <w:vAlign w:val="center"/>
          </w:tcPr>
          <w:p>
            <w:pPr>
              <w:pStyle w:val="TableContents"/>
              <w:bidi w:val="0"/>
              <w:spacing w:before="0" w:after="283"/>
              <w:jc w:val="right"/>
              <w:rPr/>
            </w:pPr>
            <w:r>
              <w:rPr/>
              <w:t>250,000</w:t>
            </w:r>
          </w:p>
        </w:tc>
        <w:tc>
          <w:tcPr>
            <w:tcW w:w="12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7"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028" w:type="dxa"/>
            <w:tcBorders>
              <w:bottom w:val="single" w:sz="6" w:space="0" w:color="000000"/>
            </w:tcBorders>
            <w:tcMar>
              <w:bottom w:w="95" w:type="dxa"/>
            </w:tcMar>
            <w:vAlign w:val="center"/>
          </w:tcPr>
          <w:p>
            <w:pPr>
              <w:pStyle w:val="TableContents"/>
              <w:bidi w:val="0"/>
              <w:spacing w:before="0" w:after="283"/>
              <w:jc w:val="left"/>
              <w:rPr/>
            </w:pPr>
            <w:r>
              <w:rPr/>
              <w:t>Marc Winterhoff</w:t>
            </w:r>
            <w:r>
              <w:rPr>
                <w:sz w:val="10"/>
              </w:rPr>
              <w:t>(3)</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95" w:type="dxa"/>
            </w:tcMar>
            <w:vAlign w:val="center"/>
          </w:tcPr>
          <w:p>
            <w:pPr>
              <w:pStyle w:val="TableContents"/>
              <w:bidi w:val="0"/>
              <w:spacing w:before="0" w:after="283"/>
              <w:jc w:val="right"/>
              <w:rPr/>
            </w:pPr>
            <w:r>
              <w:rPr/>
              <w:t>$</w:t>
            </w:r>
          </w:p>
        </w:tc>
        <w:tc>
          <w:tcPr>
            <w:tcW w:w="1186" w:type="dxa"/>
            <w:tcBorders>
              <w:bottom w:val="single" w:sz="6" w:space="0" w:color="000000"/>
            </w:tcBorders>
            <w:tcMar>
              <w:bottom w:w="95" w:type="dxa"/>
            </w:tcMar>
            <w:vAlign w:val="center"/>
          </w:tcPr>
          <w:p>
            <w:pPr>
              <w:pStyle w:val="TableContents"/>
              <w:bidi w:val="0"/>
              <w:spacing w:before="0" w:after="283"/>
              <w:jc w:val="right"/>
              <w:rPr/>
            </w:pPr>
            <w:r>
              <w:rPr/>
              <w:t>10,000,000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95" w:type="dxa"/>
            </w:tcMar>
            <w:vAlign w:val="center"/>
          </w:tcPr>
          <w:p>
            <w:pPr>
              <w:pStyle w:val="TableContents"/>
              <w:bidi w:val="0"/>
              <w:spacing w:before="0" w:after="283"/>
              <w:jc w:val="right"/>
              <w:rPr/>
            </w:pPr>
            <w:r>
              <w:rPr/>
              <w:t>$</w:t>
            </w:r>
          </w:p>
        </w:tc>
        <w:tc>
          <w:tcPr>
            <w:tcW w:w="1066" w:type="dxa"/>
            <w:tcBorders>
              <w:bottom w:val="single" w:sz="6" w:space="0" w:color="000000"/>
            </w:tcBorders>
            <w:tcMar>
              <w:bottom w:w="95" w:type="dxa"/>
            </w:tcMar>
            <w:vAlign w:val="center"/>
          </w:tcPr>
          <w:p>
            <w:pPr>
              <w:pStyle w:val="TableContents"/>
              <w:bidi w:val="0"/>
              <w:spacing w:before="0" w:after="283"/>
              <w:jc w:val="right"/>
              <w:rPr/>
            </w:pPr>
            <w:r>
              <w:rPr/>
              <w:t>3,000,000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95" w:type="dxa"/>
            </w:tcMar>
            <w:vAlign w:val="center"/>
          </w:tcPr>
          <w:p>
            <w:pPr>
              <w:pStyle w:val="TableContents"/>
              <w:bidi w:val="0"/>
              <w:spacing w:before="0" w:after="283"/>
              <w:jc w:val="right"/>
              <w:rPr/>
            </w:pPr>
            <w:r>
              <w:rPr/>
              <w:t>$</w:t>
            </w:r>
          </w:p>
        </w:tc>
        <w:tc>
          <w:tcPr>
            <w:tcW w:w="1066" w:type="dxa"/>
            <w:tcBorders>
              <w:bottom w:val="single" w:sz="6" w:space="0" w:color="000000"/>
            </w:tcBorders>
            <w:tcMar>
              <w:bottom w:w="95" w:type="dxa"/>
            </w:tcMar>
            <w:vAlign w:val="center"/>
          </w:tcPr>
          <w:p>
            <w:pPr>
              <w:pStyle w:val="TableContents"/>
              <w:bidi w:val="0"/>
              <w:spacing w:before="0" w:after="283"/>
              <w:jc w:val="right"/>
              <w:rPr/>
            </w:pPr>
            <w:r>
              <w:rPr/>
              <w:t>6,000,000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9" w:type="dxa"/>
            <w:tcBorders>
              <w:bottom w:val="single" w:sz="6" w:space="0" w:color="000000"/>
            </w:tcBorders>
            <w:tcMar>
              <w:bottom w:w="28" w:type="dxa"/>
            </w:tcMar>
            <w:vAlign w:val="center"/>
          </w:tcPr>
          <w:p>
            <w:pPr>
              <w:pStyle w:val="TableContents"/>
              <w:bidi w:val="0"/>
              <w:spacing w:before="0" w:after="283"/>
              <w:jc w:val="left"/>
              <w:rPr/>
            </w:pPr>
            <w:r>
              <w:rPr/>
              <w:t>​</w:t>
            </w:r>
          </w:p>
        </w:tc>
        <w:tc>
          <w:tcPr>
            <w:tcW w:w="246" w:type="dxa"/>
            <w:tcBorders>
              <w:bottom w:val="single" w:sz="6" w:space="0" w:color="000000"/>
            </w:tcBorders>
            <w:tcMar>
              <w:bottom w:w="95" w:type="dxa"/>
            </w:tcMar>
            <w:vAlign w:val="center"/>
          </w:tcPr>
          <w:p>
            <w:pPr>
              <w:pStyle w:val="TableContents"/>
              <w:bidi w:val="0"/>
              <w:spacing w:before="0" w:after="283"/>
              <w:jc w:val="right"/>
              <w:rPr/>
            </w:pPr>
            <w:r>
              <w:rPr/>
              <w:t>$</w:t>
            </w:r>
          </w:p>
        </w:tc>
        <w:tc>
          <w:tcPr>
            <w:tcW w:w="1168" w:type="dxa"/>
            <w:tcBorders>
              <w:bottom w:val="single" w:sz="6" w:space="0" w:color="000000"/>
            </w:tcBorders>
            <w:tcMar>
              <w:bottom w:w="95" w:type="dxa"/>
            </w:tcMar>
            <w:vAlign w:val="center"/>
          </w:tcPr>
          <w:p>
            <w:pPr>
              <w:pStyle w:val="TableContents"/>
              <w:bidi w:val="0"/>
              <w:spacing w:before="0" w:after="283"/>
              <w:jc w:val="right"/>
              <w:rPr/>
            </w:pPr>
            <w:r>
              <w:rPr/>
              <w:t>1,000,000</w:t>
            </w:r>
          </w:p>
        </w:tc>
        <w:tc>
          <w:tcPr>
            <w:tcW w:w="121" w:type="dxa"/>
            <w:tcBorders>
              <w:bottom w:val="single" w:sz="6" w:space="0" w:color="000000"/>
            </w:tcBorders>
            <w:tcMar>
              <w:bottom w:w="28" w:type="dxa"/>
            </w:tcMar>
            <w:vAlign w:val="center"/>
          </w:tcPr>
          <w:p>
            <w:pPr>
              <w:pStyle w:val="TableContents"/>
              <w:bidi w:val="0"/>
              <w:spacing w:before="0" w:after="283"/>
              <w:jc w:val="left"/>
              <w:rPr/>
            </w:pPr>
            <w:r>
              <w:rPr/>
              <w:t>​</w:t>
            </w:r>
          </w:p>
        </w:tc>
        <w:tc>
          <w:tcPr>
            <w:tcW w:w="157"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028" w:type="dxa"/>
            <w:tcBorders>
              <w:bottom w:val="single" w:sz="6" w:space="0" w:color="000000"/>
            </w:tcBorders>
            <w:shd w:fill="F7F7F7" w:val="clear"/>
            <w:tcMar>
              <w:bottom w:w="95" w:type="dxa"/>
            </w:tcMar>
            <w:vAlign w:val="center"/>
          </w:tcPr>
          <w:p>
            <w:pPr>
              <w:pStyle w:val="TableContents"/>
              <w:bidi w:val="0"/>
              <w:spacing w:before="0" w:after="283"/>
              <w:jc w:val="left"/>
              <w:rPr/>
            </w:pPr>
            <w:r>
              <w:rPr/>
              <w:t xml:space="preserve">Eric Bach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1186" w:type="dxa"/>
            <w:tcBorders>
              <w:bottom w:val="single" w:sz="6" w:space="0" w:color="000000"/>
            </w:tcBorders>
            <w:shd w:fill="F7F7F7" w:val="clear"/>
            <w:tcMar>
              <w:bottom w:w="95" w:type="dxa"/>
            </w:tcMar>
            <w:vAlign w:val="center"/>
          </w:tcPr>
          <w:p>
            <w:pPr>
              <w:pStyle w:val="TableContents"/>
              <w:bidi w:val="0"/>
              <w:spacing w:before="0" w:after="283"/>
              <w:jc w:val="right"/>
              <w:rPr/>
            </w:pPr>
            <w:r>
              <w:rPr/>
              <w:t>9,000,000</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1066" w:type="dxa"/>
            <w:tcBorders>
              <w:bottom w:val="single" w:sz="6" w:space="0" w:color="000000"/>
            </w:tcBorders>
            <w:shd w:fill="F7F7F7" w:val="clear"/>
            <w:tcMar>
              <w:bottom w:w="95" w:type="dxa"/>
            </w:tcMar>
            <w:vAlign w:val="center"/>
          </w:tcPr>
          <w:p>
            <w:pPr>
              <w:pStyle w:val="TableContents"/>
              <w:bidi w:val="0"/>
              <w:spacing w:before="0" w:after="283"/>
              <w:jc w:val="right"/>
              <w:rPr/>
            </w:pPr>
            <w:r>
              <w:rPr/>
              <w:t>2,700,000</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1066" w:type="dxa"/>
            <w:tcBorders>
              <w:bottom w:val="single" w:sz="6" w:space="0" w:color="000000"/>
            </w:tcBorders>
            <w:shd w:fill="F7F7F7" w:val="clear"/>
            <w:tcMar>
              <w:bottom w:w="95" w:type="dxa"/>
            </w:tcMar>
            <w:vAlign w:val="center"/>
          </w:tcPr>
          <w:p>
            <w:pPr>
              <w:pStyle w:val="TableContents"/>
              <w:bidi w:val="0"/>
              <w:spacing w:before="0" w:after="283"/>
              <w:jc w:val="right"/>
              <w:rPr/>
            </w:pPr>
            <w:r>
              <w:rPr/>
              <w:t>5,400,000</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46"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1168" w:type="dxa"/>
            <w:tcBorders>
              <w:bottom w:val="single" w:sz="6" w:space="0" w:color="000000"/>
            </w:tcBorders>
            <w:shd w:fill="F7F7F7" w:val="clear"/>
            <w:tcMar>
              <w:bottom w:w="95" w:type="dxa"/>
            </w:tcMar>
            <w:vAlign w:val="center"/>
          </w:tcPr>
          <w:p>
            <w:pPr>
              <w:pStyle w:val="TableContents"/>
              <w:bidi w:val="0"/>
              <w:spacing w:before="0" w:after="283"/>
              <w:jc w:val="right"/>
              <w:rPr/>
            </w:pPr>
            <w:r>
              <w:rPr/>
              <w:t>900,000</w:t>
            </w:r>
          </w:p>
        </w:tc>
        <w:tc>
          <w:tcPr>
            <w:tcW w:w="12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7"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028" w:type="dxa"/>
            <w:tcBorders>
              <w:bottom w:val="single" w:sz="6" w:space="0" w:color="000000"/>
            </w:tcBorders>
            <w:tcMar>
              <w:bottom w:w="95" w:type="dxa"/>
            </w:tcMar>
            <w:vAlign w:val="center"/>
          </w:tcPr>
          <w:p>
            <w:pPr>
              <w:pStyle w:val="TableContents"/>
              <w:bidi w:val="0"/>
              <w:spacing w:before="0" w:after="283"/>
              <w:jc w:val="left"/>
              <w:rPr/>
            </w:pPr>
            <w:r>
              <w:rPr/>
              <w:t xml:space="preserve">Michael Bell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95" w:type="dxa"/>
            </w:tcMar>
            <w:vAlign w:val="center"/>
          </w:tcPr>
          <w:p>
            <w:pPr>
              <w:pStyle w:val="TableContents"/>
              <w:bidi w:val="0"/>
              <w:spacing w:before="0" w:after="283"/>
              <w:jc w:val="right"/>
              <w:rPr/>
            </w:pPr>
            <w:r>
              <w:rPr/>
              <w:t>$</w:t>
            </w:r>
          </w:p>
        </w:tc>
        <w:tc>
          <w:tcPr>
            <w:tcW w:w="1186" w:type="dxa"/>
            <w:tcBorders>
              <w:bottom w:val="single" w:sz="6" w:space="0" w:color="000000"/>
            </w:tcBorders>
            <w:tcMar>
              <w:bottom w:w="95" w:type="dxa"/>
            </w:tcMar>
            <w:vAlign w:val="center"/>
          </w:tcPr>
          <w:p>
            <w:pPr>
              <w:pStyle w:val="TableContents"/>
              <w:bidi w:val="0"/>
              <w:spacing w:before="0" w:after="283"/>
              <w:jc w:val="right"/>
              <w:rPr/>
            </w:pPr>
            <w:r>
              <w:rPr/>
              <w:t>9,000,000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95" w:type="dxa"/>
            </w:tcMar>
            <w:vAlign w:val="center"/>
          </w:tcPr>
          <w:p>
            <w:pPr>
              <w:pStyle w:val="TableContents"/>
              <w:bidi w:val="0"/>
              <w:spacing w:before="0" w:after="283"/>
              <w:jc w:val="right"/>
              <w:rPr/>
            </w:pPr>
            <w:r>
              <w:rPr/>
              <w:t>$</w:t>
            </w:r>
          </w:p>
        </w:tc>
        <w:tc>
          <w:tcPr>
            <w:tcW w:w="1066" w:type="dxa"/>
            <w:tcBorders>
              <w:bottom w:val="single" w:sz="6" w:space="0" w:color="000000"/>
            </w:tcBorders>
            <w:tcMar>
              <w:bottom w:w="95" w:type="dxa"/>
            </w:tcMar>
            <w:vAlign w:val="center"/>
          </w:tcPr>
          <w:p>
            <w:pPr>
              <w:pStyle w:val="TableContents"/>
              <w:bidi w:val="0"/>
              <w:spacing w:before="0" w:after="283"/>
              <w:jc w:val="right"/>
              <w:rPr/>
            </w:pPr>
            <w:r>
              <w:rPr/>
              <w:t>2,700,000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95" w:type="dxa"/>
            </w:tcMar>
            <w:vAlign w:val="center"/>
          </w:tcPr>
          <w:p>
            <w:pPr>
              <w:pStyle w:val="TableContents"/>
              <w:bidi w:val="0"/>
              <w:spacing w:before="0" w:after="283"/>
              <w:jc w:val="right"/>
              <w:rPr/>
            </w:pPr>
            <w:r>
              <w:rPr/>
              <w:t>$</w:t>
            </w:r>
          </w:p>
        </w:tc>
        <w:tc>
          <w:tcPr>
            <w:tcW w:w="1066" w:type="dxa"/>
            <w:tcBorders>
              <w:bottom w:val="single" w:sz="6" w:space="0" w:color="000000"/>
            </w:tcBorders>
            <w:tcMar>
              <w:bottom w:w="95" w:type="dxa"/>
            </w:tcMar>
            <w:vAlign w:val="center"/>
          </w:tcPr>
          <w:p>
            <w:pPr>
              <w:pStyle w:val="TableContents"/>
              <w:bidi w:val="0"/>
              <w:spacing w:before="0" w:after="283"/>
              <w:jc w:val="right"/>
              <w:rPr/>
            </w:pPr>
            <w:r>
              <w:rPr/>
              <w:t>5,400,000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9" w:type="dxa"/>
            <w:tcBorders>
              <w:bottom w:val="single" w:sz="6" w:space="0" w:color="000000"/>
            </w:tcBorders>
            <w:tcMar>
              <w:bottom w:w="28" w:type="dxa"/>
            </w:tcMar>
            <w:vAlign w:val="center"/>
          </w:tcPr>
          <w:p>
            <w:pPr>
              <w:pStyle w:val="TableContents"/>
              <w:bidi w:val="0"/>
              <w:spacing w:before="0" w:after="283"/>
              <w:jc w:val="left"/>
              <w:rPr/>
            </w:pPr>
            <w:r>
              <w:rPr/>
              <w:t>​</w:t>
            </w:r>
          </w:p>
        </w:tc>
        <w:tc>
          <w:tcPr>
            <w:tcW w:w="246" w:type="dxa"/>
            <w:tcBorders>
              <w:bottom w:val="single" w:sz="6" w:space="0" w:color="000000"/>
            </w:tcBorders>
            <w:tcMar>
              <w:bottom w:w="95" w:type="dxa"/>
            </w:tcMar>
            <w:vAlign w:val="center"/>
          </w:tcPr>
          <w:p>
            <w:pPr>
              <w:pStyle w:val="TableContents"/>
              <w:bidi w:val="0"/>
              <w:spacing w:before="0" w:after="283"/>
              <w:jc w:val="right"/>
              <w:rPr/>
            </w:pPr>
            <w:r>
              <w:rPr/>
              <w:t>$</w:t>
            </w:r>
          </w:p>
        </w:tc>
        <w:tc>
          <w:tcPr>
            <w:tcW w:w="1168" w:type="dxa"/>
            <w:tcBorders>
              <w:bottom w:val="single" w:sz="6" w:space="0" w:color="000000"/>
            </w:tcBorders>
            <w:tcMar>
              <w:bottom w:w="95" w:type="dxa"/>
            </w:tcMar>
            <w:vAlign w:val="center"/>
          </w:tcPr>
          <w:p>
            <w:pPr>
              <w:pStyle w:val="TableContents"/>
              <w:bidi w:val="0"/>
              <w:spacing w:before="0" w:after="283"/>
              <w:jc w:val="right"/>
              <w:rPr/>
            </w:pPr>
            <w:r>
              <w:rPr/>
              <w:t>900,000</w:t>
            </w:r>
          </w:p>
        </w:tc>
        <w:tc>
          <w:tcPr>
            <w:tcW w:w="121" w:type="dxa"/>
            <w:tcBorders>
              <w:bottom w:val="single" w:sz="6" w:space="0" w:color="000000"/>
            </w:tcBorders>
            <w:tcMar>
              <w:bottom w:w="28" w:type="dxa"/>
            </w:tcMar>
            <w:vAlign w:val="center"/>
          </w:tcPr>
          <w:p>
            <w:pPr>
              <w:pStyle w:val="TableContents"/>
              <w:bidi w:val="0"/>
              <w:spacing w:before="0" w:after="283"/>
              <w:jc w:val="left"/>
              <w:rPr/>
            </w:pPr>
            <w:r>
              <w:rPr/>
              <w:t>​</w:t>
            </w:r>
          </w:p>
        </w:tc>
        <w:tc>
          <w:tcPr>
            <w:tcW w:w="157"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028" w:type="dxa"/>
            <w:tcBorders>
              <w:bottom w:val="single" w:sz="6" w:space="0" w:color="000000"/>
            </w:tcBorders>
            <w:shd w:fill="F7F7F7" w:val="clear"/>
            <w:tcMar>
              <w:bottom w:w="95" w:type="dxa"/>
            </w:tcMar>
            <w:vAlign w:val="center"/>
          </w:tcPr>
          <w:p>
            <w:pPr>
              <w:pStyle w:val="TableContents"/>
              <w:bidi w:val="0"/>
              <w:spacing w:before="0" w:after="283"/>
              <w:jc w:val="left"/>
              <w:rPr/>
            </w:pPr>
            <w:r>
              <w:rPr/>
              <w:t>Sherry House</w:t>
            </w:r>
            <w:r>
              <w:rPr>
                <w:sz w:val="10"/>
              </w:rPr>
              <w:t>(4)</w:t>
            </w: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1186" w:type="dxa"/>
            <w:tcBorders>
              <w:bottom w:val="single" w:sz="6" w:space="0" w:color="000000"/>
            </w:tcBorders>
            <w:shd w:fill="F7F7F7" w:val="clear"/>
            <w:tcMar>
              <w:bottom w:w="95" w:type="dxa"/>
            </w:tcMar>
            <w:vAlign w:val="center"/>
          </w:tcPr>
          <w:p>
            <w:pPr>
              <w:pStyle w:val="TableContents"/>
              <w:bidi w:val="0"/>
              <w:spacing w:before="0" w:after="283"/>
              <w:jc w:val="right"/>
              <w:rPr/>
            </w:pPr>
            <w:r>
              <w:rPr/>
              <w:t>9,000,000</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1066" w:type="dxa"/>
            <w:tcBorders>
              <w:bottom w:val="single" w:sz="6" w:space="0" w:color="000000"/>
            </w:tcBorders>
            <w:shd w:fill="F7F7F7" w:val="clear"/>
            <w:tcMar>
              <w:bottom w:w="95" w:type="dxa"/>
            </w:tcMar>
            <w:vAlign w:val="center"/>
          </w:tcPr>
          <w:p>
            <w:pPr>
              <w:pStyle w:val="TableContents"/>
              <w:bidi w:val="0"/>
              <w:spacing w:before="0" w:after="283"/>
              <w:jc w:val="right"/>
              <w:rPr/>
            </w:pPr>
            <w:r>
              <w:rPr/>
              <w:t>2,700,000</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1066" w:type="dxa"/>
            <w:tcBorders>
              <w:bottom w:val="single" w:sz="6" w:space="0" w:color="000000"/>
            </w:tcBorders>
            <w:shd w:fill="F7F7F7" w:val="clear"/>
            <w:tcMar>
              <w:bottom w:w="95" w:type="dxa"/>
            </w:tcMar>
            <w:vAlign w:val="center"/>
          </w:tcPr>
          <w:p>
            <w:pPr>
              <w:pStyle w:val="TableContents"/>
              <w:bidi w:val="0"/>
              <w:spacing w:before="0" w:after="283"/>
              <w:jc w:val="right"/>
              <w:rPr/>
            </w:pPr>
            <w:r>
              <w:rPr/>
              <w:t>5,400,000</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46"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1168" w:type="dxa"/>
            <w:tcBorders>
              <w:bottom w:val="single" w:sz="6" w:space="0" w:color="000000"/>
            </w:tcBorders>
            <w:shd w:fill="F7F7F7" w:val="clear"/>
            <w:tcMar>
              <w:bottom w:w="95" w:type="dxa"/>
            </w:tcMar>
            <w:vAlign w:val="center"/>
          </w:tcPr>
          <w:p>
            <w:pPr>
              <w:pStyle w:val="TableContents"/>
              <w:bidi w:val="0"/>
              <w:spacing w:before="0" w:after="283"/>
              <w:jc w:val="right"/>
              <w:rPr/>
            </w:pPr>
            <w:r>
              <w:rPr/>
              <w:t>900,000</w:t>
            </w:r>
          </w:p>
        </w:tc>
        <w:tc>
          <w:tcPr>
            <w:tcW w:w="12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7"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4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In view of still-outstanding value from the 2021 CEO Grant, the Board determined not to grant Mr. Rawlinson an equity award in 2023.</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215900" distB="0" distL="0" distR="0" simplePos="0" locked="0" layoutInCell="1" allowOverlap="1" relativeHeight="201">
                <wp:simplePos x="0" y="0"/>
                <wp:positionH relativeFrom="column">
                  <wp:align>left</wp:align>
                </wp:positionH>
                <wp:positionV relativeFrom="line">
                  <wp:align>top</wp:align>
                </wp:positionV>
                <wp:extent cx="81915" cy="270510"/>
                <wp:effectExtent l="0" t="0" r="0" b="0"/>
                <wp:wrapSquare wrapText="right"/>
                <wp:docPr id="192" name="Frame130"/>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(1)</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08"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This grant does not include the $500,000 of RSUs awarded to Mr. Dhingra as a special, one-time grant in connection with his appointment as our Interim Chief Financial Officer on December 11, 2023. For additional information on the special, one-time grant, please see “</w:t>
      </w:r>
      <w:r>
        <w:rPr>
          <w:rFonts w:ascii="Helvetica;Arial;sans-serif" w:hAnsi="Helvetica;Arial;sans-serif"/>
          <w:b w:val="false"/>
          <w:i/>
          <w:caps w:val="false"/>
          <w:smallCaps w:val="false"/>
          <w:color w:val="000000"/>
          <w:sz w:val="12"/>
        </w:rPr>
        <w:t>Employment Arrangements — Mr. Dhingra Interim Chief Financial Officer Terms</w:t>
      </w:r>
      <w:r>
        <w:rPr>
          <w:rFonts w:ascii="Helvetica;Arial;sans-serif" w:hAnsi="Helvetica;Arial;sans-serif"/>
          <w:b w:val="false"/>
          <w:i w:val="false"/>
          <w:caps w:val="false"/>
          <w:smallCaps w:val="false"/>
          <w:color w:val="000000"/>
          <w:sz w:val="12"/>
        </w:rPr>
        <w:t>” below.</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8580" distB="0" distL="0" distR="0" simplePos="0" locked="0" layoutInCell="1" allowOverlap="1" relativeHeight="202">
                <wp:simplePos x="0" y="0"/>
                <wp:positionH relativeFrom="column">
                  <wp:align>left</wp:align>
                </wp:positionH>
                <wp:positionV relativeFrom="line">
                  <wp:align>top</wp:align>
                </wp:positionV>
                <wp:extent cx="81915" cy="270510"/>
                <wp:effectExtent l="0" t="0" r="0" b="0"/>
                <wp:wrapSquare wrapText="right"/>
                <wp:docPr id="193" name="Frame131"/>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(2)</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5.4pt;mso-wrap-distance-bottom:0pt;margin-top:5.4pt;mso-position-vertical:top;mso-position-vertical-relative:text;margin-left:6.45pt;mso-position-horizontal:left;mso-position-horizontal-relative:text">
                <v:textbox>
                  <w:txbxContent>
                    <w:p>
                      <w:pPr>
                        <w:pStyle w:val="TextBody"/>
                        <w:bidi w:val="0"/>
                        <w:spacing w:lineRule="atLeast" w:line="142" w:before="0" w:after="283"/>
                        <w:jc w:val="left"/>
                        <w:rPr>
                          <w:sz w:val="12"/>
                        </w:rPr>
                      </w:pPr>
                      <w:r>
                        <w:rPr>
                          <w:sz w:val="9"/>
                        </w:rPr>
                        <w:t>(2)</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08"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Mr. Winterhoff’s 2023 RSUs and Premium-Priced Options were granted in connection with the commencement of his employment with the Company on December 4, 2023. Pursuant to his offer letter, he is entitled to receive PSUs in 2024 when the performance metrics are determined for the 2024 Long-Term Incentive Plan.</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8580" distB="0" distL="0" distR="0" simplePos="0" locked="0" layoutInCell="1" allowOverlap="1" relativeHeight="203">
                <wp:simplePos x="0" y="0"/>
                <wp:positionH relativeFrom="column">
                  <wp:align>left</wp:align>
                </wp:positionH>
                <wp:positionV relativeFrom="line">
                  <wp:align>top</wp:align>
                </wp:positionV>
                <wp:extent cx="81915" cy="270510"/>
                <wp:effectExtent l="0" t="0" r="0" b="0"/>
                <wp:wrapSquare wrapText="right"/>
                <wp:docPr id="194" name="Frame132"/>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(3)</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5.4pt;mso-wrap-distance-bottom:0pt;margin-top:5.4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(3)</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28" w:after="283"/>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9"/>
        </w:rPr>
        <w:t>(4)</w:t>
      </w:r>
      <w:r>
        <w:rPr>
          <w:rFonts w:ascii="Helvetica;Arial;sans-serif" w:hAnsi="Helvetica;Arial;sans-serif"/>
          <w:b w:val="false"/>
          <w:i w:val="false"/>
          <w:caps w:val="false"/>
          <w:smallCaps w:val="false"/>
          <w:color w:val="000000"/>
          <w:sz w:val="12"/>
        </w:rPr>
        <w:t xml:space="preserve"> In connection with Ms. House’s separation on December 31, 2023, vesting on a portion of her PSU award was accelerated and unvested RSUs and Premium-Priced Options were forfeited.</w:t>
      </w:r>
      <w:r>
        <w:rPr>
          <w:rFonts w:ascii="Helvetica;Arial;sans-serif" w:hAnsi="Helvetica;Arial;sans-serif"/>
          <w:b w:val="false"/>
          <w:i w:val="false"/>
          <w:caps w:val="false"/>
          <w:smallCaps w:val="false"/>
          <w:color w:val="000000"/>
          <w:spacing w:val="2"/>
          <w:sz w:val="12"/>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total grant value of each RSU, PSU, and Premium-Priced Option award is converted into a number of shares of our Common Stock, as discussed below.</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RSUs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total number of shares of our Common Stock subject to each RSU award granted to our employees (including our NEOs) is determined by dividing the total dollar value of the award by the volume-weighted average price of the Company’s Common Stock during the 30 consecutive trading day period ending on the grant date (the “30-day VWAP”). Such average is determined based upon the closing price for each such trading day and the number of shares traded on such day.</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Our NEOs’ RSU awards in 2023 are set forth in the table below:</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center"/>
        <w:rPr>
          <w:rFonts w:ascii="Helvetica;Arial;sans-serif" w:hAnsi="Helvetica;Arial;sans-serif"/>
          <w:b/>
          <w:i w:val="false"/>
          <w:caps w:val="false"/>
          <w:smallCaps w:val="false"/>
          <w:color w:val="000000"/>
          <w:sz w:val="18"/>
        </w:rPr>
      </w:pPr>
      <w:r>
        <w:rPr>
          <w:rFonts w:ascii="Helvetica;Arial;sans-serif" w:hAnsi="Helvetica;Arial;sans-serif"/>
          <w:b/>
          <w:i w:val="false"/>
          <w:caps w:val="false"/>
          <w:smallCaps w:val="false"/>
          <w:color w:val="000000"/>
          <w:sz w:val="18"/>
        </w:rPr>
        <w:t>2023 RSU Awards to NEOs</w:t>
      </w:r>
      <w:r>
        <w:rPr>
          <w:rFonts w:ascii="Helvetica;Arial;sans-serif" w:hAnsi="Helvetica;Arial;sans-serif"/>
          <w:b/>
          <w:i w:val="false"/>
          <w:caps w:val="false"/>
          <w:smallCaps w:val="false"/>
          <w:color w:val="000000"/>
          <w:spacing w:val="4"/>
          <w:sz w:val="18"/>
        </w:rPr>
        <w:t xml:space="preserve"> </w:t>
      </w:r>
    </w:p>
    <w:tbl>
      <w:tblPr>
        <w:tblW w:w="7461" w:type="dxa"/>
        <w:jc w:val="left"/>
        <w:tblInd w:w="720" w:type="dxa"/>
        <w:tblLayout w:type="fixed"/>
        <w:tblCellMar>
          <w:top w:w="0" w:type="dxa"/>
          <w:left w:w="0" w:type="dxa"/>
          <w:bottom w:w="0" w:type="dxa"/>
          <w:right w:w="0" w:type="dxa"/>
        </w:tblCellMar>
      </w:tblPr>
      <w:tblGrid>
        <w:gridCol w:w="124"/>
        <w:gridCol w:w="2596"/>
        <w:gridCol w:w="109"/>
        <w:gridCol w:w="109"/>
        <w:gridCol w:w="109"/>
        <w:gridCol w:w="226"/>
        <w:gridCol w:w="1066"/>
        <w:gridCol w:w="109"/>
        <w:gridCol w:w="109"/>
        <w:gridCol w:w="109"/>
        <w:gridCol w:w="109"/>
        <w:gridCol w:w="226"/>
        <w:gridCol w:w="766"/>
        <w:gridCol w:w="109"/>
        <w:gridCol w:w="109"/>
        <w:gridCol w:w="109"/>
        <w:gridCol w:w="109"/>
        <w:gridCol w:w="109"/>
        <w:gridCol w:w="886"/>
        <w:gridCol w:w="109"/>
        <w:gridCol w:w="154"/>
      </w:tblGrid>
      <w:tr>
        <w:trPr/>
        <w:tc>
          <w:tcPr>
            <w:tcW w:w="124" w:type="dxa"/>
            <w:tcBorders/>
            <w:shd w:fill="000000" w:val="clear"/>
            <w:vAlign w:val="center"/>
          </w:tcPr>
          <w:p>
            <w:pPr>
              <w:pStyle w:val="TableContents"/>
              <w:bidi w:val="0"/>
              <w:spacing w:before="0" w:after="283"/>
              <w:jc w:val="left"/>
              <w:rPr/>
            </w:pPr>
            <w:r>
              <w:rPr/>
              <w:t>​</w:t>
            </w:r>
          </w:p>
        </w:tc>
        <w:tc>
          <w:tcPr>
            <w:tcW w:w="2596" w:type="dxa"/>
            <w:tcBorders/>
            <w:shd w:fill="000000" w:val="clear"/>
            <w:vAlign w:val="center"/>
          </w:tcPr>
          <w:p>
            <w:pPr>
              <w:pStyle w:val="TableContents"/>
              <w:bidi w:val="0"/>
              <w:spacing w:before="0" w:after="0"/>
              <w:jc w:val="left"/>
              <w:rPr/>
            </w:pPr>
            <w:r>
              <w:rPr/>
              <w:t xml:space="preserve">Named Executive Officer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10" w:type="dxa"/>
            <w:gridSpan w:val="4"/>
            <w:tcBorders/>
            <w:shd w:fill="000000" w:val="clear"/>
            <w:vAlign w:val="center"/>
          </w:tcPr>
          <w:p>
            <w:pPr>
              <w:pStyle w:val="TableContents"/>
              <w:bidi w:val="0"/>
              <w:spacing w:before="0" w:after="0"/>
              <w:jc w:val="center"/>
              <w:rPr/>
            </w:pPr>
            <w:r>
              <w:rPr/>
              <w:t xml:space="preserve">RSUs </w:t>
              <w:br/>
              <w:t xml:space="preserve">(Value)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10" w:type="dxa"/>
            <w:gridSpan w:val="4"/>
            <w:tcBorders/>
            <w:shd w:fill="000000" w:val="clear"/>
            <w:vAlign w:val="center"/>
          </w:tcPr>
          <w:p>
            <w:pPr>
              <w:pStyle w:val="TableContents"/>
              <w:bidi w:val="0"/>
              <w:spacing w:before="0" w:after="0"/>
              <w:jc w:val="center"/>
              <w:rPr/>
            </w:pPr>
            <w:r>
              <w:rPr/>
              <w:t>30-Day</w:t>
              <w:br/>
              <w:t xml:space="preserve">VWAP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13" w:type="dxa"/>
            <w:gridSpan w:val="4"/>
            <w:tcBorders/>
            <w:shd w:fill="000000" w:val="clear"/>
            <w:vAlign w:val="center"/>
          </w:tcPr>
          <w:p>
            <w:pPr>
              <w:pStyle w:val="TableContents"/>
              <w:bidi w:val="0"/>
              <w:spacing w:before="0" w:after="0"/>
              <w:jc w:val="center"/>
              <w:rPr/>
            </w:pPr>
            <w:r>
              <w:rPr/>
              <w:t xml:space="preserve">RSUs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tcMar>
              <w:bottom w:w="95" w:type="dxa"/>
            </w:tcMar>
            <w:vAlign w:val="center"/>
          </w:tcPr>
          <w:p>
            <w:pPr>
              <w:pStyle w:val="TableContents"/>
              <w:bidi w:val="0"/>
              <w:spacing w:before="0" w:after="283"/>
              <w:jc w:val="left"/>
              <w:rPr/>
            </w:pPr>
            <w:r>
              <w:rPr/>
              <w:t>Peter Rawlinson</w:t>
            </w:r>
            <w:r>
              <w:rPr>
                <w:sz w:val="10"/>
              </w:rPr>
              <w:t>(1)</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95" w:type="dxa"/>
            </w:tcMar>
            <w:vAlign w:val="center"/>
          </w:tcPr>
          <w:p>
            <w:pPr>
              <w:pStyle w:val="TableContents"/>
              <w:bidi w:val="0"/>
              <w:spacing w:before="0" w:after="283"/>
              <w:jc w:val="right"/>
              <w:rPr/>
            </w:pPr>
            <w:r>
              <w:rPr/>
              <w:t>​</w:t>
            </w:r>
          </w:p>
        </w:tc>
        <w:tc>
          <w:tcPr>
            <w:tcW w:w="1066" w:type="dxa"/>
            <w:tcBorders>
              <w:bottom w:val="single" w:sz="6" w:space="0" w:color="000000"/>
            </w:tcBorders>
            <w:tcMar>
              <w:bottom w:w="95"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95" w:type="dxa"/>
            </w:tcMar>
            <w:vAlign w:val="center"/>
          </w:tcPr>
          <w:p>
            <w:pPr>
              <w:pStyle w:val="TableContents"/>
              <w:bidi w:val="0"/>
              <w:spacing w:before="0" w:after="283"/>
              <w:jc w:val="right"/>
              <w:rPr/>
            </w:pPr>
            <w:r>
              <w:rPr/>
              <w:t>​</w:t>
            </w:r>
          </w:p>
        </w:tc>
        <w:tc>
          <w:tcPr>
            <w:tcW w:w="766" w:type="dxa"/>
            <w:tcBorders>
              <w:bottom w:val="single" w:sz="6" w:space="0" w:color="000000"/>
            </w:tcBorders>
            <w:tcMar>
              <w:bottom w:w="95"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95" w:type="dxa"/>
            </w:tcMar>
            <w:vAlign w:val="center"/>
          </w:tcPr>
          <w:p>
            <w:pPr>
              <w:pStyle w:val="TableContents"/>
              <w:bidi w:val="0"/>
              <w:spacing w:before="0" w:after="283"/>
              <w:jc w:val="right"/>
              <w:rPr/>
            </w:pPr>
            <w:r>
              <w:rPr/>
              <w:t>​</w:t>
            </w:r>
          </w:p>
        </w:tc>
        <w:tc>
          <w:tcPr>
            <w:tcW w:w="886" w:type="dxa"/>
            <w:tcBorders>
              <w:bottom w:val="single" w:sz="6" w:space="0" w:color="000000"/>
            </w:tcBorders>
            <w:tcMar>
              <w:bottom w:w="95"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shd w:fill="F7F7F7" w:val="clear"/>
            <w:tcMar>
              <w:bottom w:w="95" w:type="dxa"/>
            </w:tcMar>
            <w:vAlign w:val="center"/>
          </w:tcPr>
          <w:p>
            <w:pPr>
              <w:pStyle w:val="TableContents"/>
              <w:bidi w:val="0"/>
              <w:spacing w:before="0" w:after="283"/>
              <w:jc w:val="left"/>
              <w:rPr/>
            </w:pPr>
            <w:r>
              <w:rPr/>
              <w:t xml:space="preserve">Gagan Dhingra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1066" w:type="dxa"/>
            <w:tcBorders>
              <w:bottom w:val="single" w:sz="6" w:space="0" w:color="000000"/>
            </w:tcBorders>
            <w:shd w:fill="F7F7F7" w:val="clear"/>
            <w:tcMar>
              <w:bottom w:w="95" w:type="dxa"/>
            </w:tcMar>
            <w:vAlign w:val="center"/>
          </w:tcPr>
          <w:p>
            <w:pPr>
              <w:pStyle w:val="TableContents"/>
              <w:bidi w:val="0"/>
              <w:spacing w:before="0" w:after="283"/>
              <w:jc w:val="right"/>
              <w:rPr/>
            </w:pPr>
            <w:r>
              <w:rPr/>
              <w:t>750,000</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766" w:type="dxa"/>
            <w:tcBorders>
              <w:bottom w:val="single" w:sz="6" w:space="0" w:color="000000"/>
            </w:tcBorders>
            <w:shd w:fill="F7F7F7" w:val="clear"/>
            <w:tcMar>
              <w:bottom w:w="95" w:type="dxa"/>
            </w:tcMar>
            <w:vAlign w:val="center"/>
          </w:tcPr>
          <w:p>
            <w:pPr>
              <w:pStyle w:val="TableContents"/>
              <w:bidi w:val="0"/>
              <w:spacing w:before="0" w:after="283"/>
              <w:jc w:val="right"/>
              <w:rPr/>
            </w:pPr>
            <w:r>
              <w:rPr/>
              <w:t>6.6069</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886" w:type="dxa"/>
            <w:tcBorders>
              <w:bottom w:val="single" w:sz="6" w:space="0" w:color="000000"/>
            </w:tcBorders>
            <w:shd w:fill="F7F7F7" w:val="clear"/>
            <w:tcMar>
              <w:bottom w:w="95" w:type="dxa"/>
            </w:tcMar>
            <w:vAlign w:val="center"/>
          </w:tcPr>
          <w:p>
            <w:pPr>
              <w:pStyle w:val="TableContents"/>
              <w:bidi w:val="0"/>
              <w:spacing w:before="0" w:after="283"/>
              <w:jc w:val="right"/>
              <w:rPr/>
            </w:pPr>
            <w:r>
              <w:rPr/>
              <w:t>113,517</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tcMar>
              <w:bottom w:w="95" w:type="dxa"/>
            </w:tcMar>
            <w:vAlign w:val="center"/>
          </w:tcPr>
          <w:p>
            <w:pPr>
              <w:pStyle w:val="TableContents"/>
              <w:bidi w:val="0"/>
              <w:spacing w:before="0" w:after="283"/>
              <w:jc w:val="left"/>
              <w:rPr/>
            </w:pPr>
            <w:r>
              <w:rPr/>
              <w:t xml:space="preserve">Marc Winterhoff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95" w:type="dxa"/>
            </w:tcMar>
            <w:vAlign w:val="center"/>
          </w:tcPr>
          <w:p>
            <w:pPr>
              <w:pStyle w:val="TableContents"/>
              <w:bidi w:val="0"/>
              <w:spacing w:before="0" w:after="283"/>
              <w:jc w:val="right"/>
              <w:rPr/>
            </w:pPr>
            <w:r>
              <w:rPr/>
              <w:t>$</w:t>
            </w:r>
          </w:p>
        </w:tc>
        <w:tc>
          <w:tcPr>
            <w:tcW w:w="1066" w:type="dxa"/>
            <w:tcBorders>
              <w:bottom w:val="single" w:sz="6" w:space="0" w:color="000000"/>
            </w:tcBorders>
            <w:tcMar>
              <w:bottom w:w="95" w:type="dxa"/>
            </w:tcMar>
            <w:vAlign w:val="center"/>
          </w:tcPr>
          <w:p>
            <w:pPr>
              <w:pStyle w:val="TableContents"/>
              <w:bidi w:val="0"/>
              <w:spacing w:before="0" w:after="283"/>
              <w:jc w:val="right"/>
              <w:rPr/>
            </w:pPr>
            <w:r>
              <w:rPr/>
              <w:t>3,000,000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95" w:type="dxa"/>
            </w:tcMar>
            <w:vAlign w:val="center"/>
          </w:tcPr>
          <w:p>
            <w:pPr>
              <w:pStyle w:val="TableContents"/>
              <w:bidi w:val="0"/>
              <w:spacing w:before="0" w:after="283"/>
              <w:jc w:val="right"/>
              <w:rPr/>
            </w:pPr>
            <w:r>
              <w:rPr/>
              <w:t>$</w:t>
            </w:r>
          </w:p>
        </w:tc>
        <w:tc>
          <w:tcPr>
            <w:tcW w:w="766" w:type="dxa"/>
            <w:tcBorders>
              <w:bottom w:val="single" w:sz="6" w:space="0" w:color="000000"/>
            </w:tcBorders>
            <w:tcMar>
              <w:bottom w:w="95" w:type="dxa"/>
            </w:tcMar>
            <w:vAlign w:val="center"/>
          </w:tcPr>
          <w:p>
            <w:pPr>
              <w:pStyle w:val="TableContents"/>
              <w:bidi w:val="0"/>
              <w:spacing w:before="0" w:after="283"/>
              <w:jc w:val="right"/>
              <w:rPr/>
            </w:pPr>
            <w:r>
              <w:rPr/>
              <w:t>4.2022</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95" w:type="dxa"/>
            </w:tcMar>
            <w:vAlign w:val="center"/>
          </w:tcPr>
          <w:p>
            <w:pPr>
              <w:pStyle w:val="TableContents"/>
              <w:bidi w:val="0"/>
              <w:spacing w:before="0" w:after="283"/>
              <w:jc w:val="right"/>
              <w:rPr/>
            </w:pPr>
            <w:r>
              <w:rPr/>
              <w:t>​</w:t>
            </w:r>
          </w:p>
        </w:tc>
        <w:tc>
          <w:tcPr>
            <w:tcW w:w="886" w:type="dxa"/>
            <w:tcBorders>
              <w:bottom w:val="single" w:sz="6" w:space="0" w:color="000000"/>
            </w:tcBorders>
            <w:tcMar>
              <w:bottom w:w="95" w:type="dxa"/>
            </w:tcMar>
            <w:vAlign w:val="center"/>
          </w:tcPr>
          <w:p>
            <w:pPr>
              <w:pStyle w:val="TableContents"/>
              <w:bidi w:val="0"/>
              <w:spacing w:before="0" w:after="283"/>
              <w:jc w:val="right"/>
              <w:rPr/>
            </w:pPr>
            <w:r>
              <w:rPr/>
              <w:t>713,911</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shd w:fill="F7F7F7" w:val="clear"/>
            <w:tcMar>
              <w:bottom w:w="95" w:type="dxa"/>
            </w:tcMar>
            <w:vAlign w:val="center"/>
          </w:tcPr>
          <w:p>
            <w:pPr>
              <w:pStyle w:val="TableContents"/>
              <w:bidi w:val="0"/>
              <w:spacing w:before="0" w:after="283"/>
              <w:jc w:val="left"/>
              <w:rPr/>
            </w:pPr>
            <w:r>
              <w:rPr/>
              <w:t xml:space="preserve">Eric Bach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1066" w:type="dxa"/>
            <w:tcBorders>
              <w:bottom w:val="single" w:sz="6" w:space="0" w:color="000000"/>
            </w:tcBorders>
            <w:shd w:fill="F7F7F7" w:val="clear"/>
            <w:tcMar>
              <w:bottom w:w="95" w:type="dxa"/>
            </w:tcMar>
            <w:vAlign w:val="center"/>
          </w:tcPr>
          <w:p>
            <w:pPr>
              <w:pStyle w:val="TableContents"/>
              <w:bidi w:val="0"/>
              <w:spacing w:before="0" w:after="283"/>
              <w:jc w:val="right"/>
              <w:rPr/>
            </w:pPr>
            <w:r>
              <w:rPr/>
              <w:t>2,700,000</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766" w:type="dxa"/>
            <w:tcBorders>
              <w:bottom w:val="single" w:sz="6" w:space="0" w:color="000000"/>
            </w:tcBorders>
            <w:shd w:fill="F7F7F7" w:val="clear"/>
            <w:tcMar>
              <w:bottom w:w="95" w:type="dxa"/>
            </w:tcMar>
            <w:vAlign w:val="center"/>
          </w:tcPr>
          <w:p>
            <w:pPr>
              <w:pStyle w:val="TableContents"/>
              <w:bidi w:val="0"/>
              <w:spacing w:before="0" w:after="283"/>
              <w:jc w:val="right"/>
              <w:rPr/>
            </w:pPr>
            <w:r>
              <w:rPr/>
              <w:t>6.6069</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886" w:type="dxa"/>
            <w:tcBorders>
              <w:bottom w:val="single" w:sz="6" w:space="0" w:color="000000"/>
            </w:tcBorders>
            <w:shd w:fill="F7F7F7" w:val="clear"/>
            <w:tcMar>
              <w:bottom w:w="95" w:type="dxa"/>
            </w:tcMar>
            <w:vAlign w:val="center"/>
          </w:tcPr>
          <w:p>
            <w:pPr>
              <w:pStyle w:val="TableContents"/>
              <w:bidi w:val="0"/>
              <w:spacing w:before="0" w:after="283"/>
              <w:jc w:val="right"/>
              <w:rPr/>
            </w:pPr>
            <w:r>
              <w:rPr/>
              <w:t>408,663</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tcMar>
              <w:bottom w:w="95" w:type="dxa"/>
            </w:tcMar>
            <w:vAlign w:val="center"/>
          </w:tcPr>
          <w:p>
            <w:pPr>
              <w:pStyle w:val="TableContents"/>
              <w:bidi w:val="0"/>
              <w:spacing w:before="0" w:after="283"/>
              <w:jc w:val="left"/>
              <w:rPr/>
            </w:pPr>
            <w:r>
              <w:rPr/>
              <w:t xml:space="preserve">Michael Bell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95" w:type="dxa"/>
            </w:tcMar>
            <w:vAlign w:val="center"/>
          </w:tcPr>
          <w:p>
            <w:pPr>
              <w:pStyle w:val="TableContents"/>
              <w:bidi w:val="0"/>
              <w:spacing w:before="0" w:after="283"/>
              <w:jc w:val="right"/>
              <w:rPr/>
            </w:pPr>
            <w:r>
              <w:rPr/>
              <w:t>$</w:t>
            </w:r>
          </w:p>
        </w:tc>
        <w:tc>
          <w:tcPr>
            <w:tcW w:w="1066" w:type="dxa"/>
            <w:tcBorders>
              <w:bottom w:val="single" w:sz="6" w:space="0" w:color="000000"/>
            </w:tcBorders>
            <w:tcMar>
              <w:bottom w:w="95" w:type="dxa"/>
            </w:tcMar>
            <w:vAlign w:val="center"/>
          </w:tcPr>
          <w:p>
            <w:pPr>
              <w:pStyle w:val="TableContents"/>
              <w:bidi w:val="0"/>
              <w:spacing w:before="0" w:after="283"/>
              <w:jc w:val="right"/>
              <w:rPr/>
            </w:pPr>
            <w:r>
              <w:rPr/>
              <w:t>2,700,000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95" w:type="dxa"/>
            </w:tcMar>
            <w:vAlign w:val="center"/>
          </w:tcPr>
          <w:p>
            <w:pPr>
              <w:pStyle w:val="TableContents"/>
              <w:bidi w:val="0"/>
              <w:spacing w:before="0" w:after="283"/>
              <w:jc w:val="right"/>
              <w:rPr/>
            </w:pPr>
            <w:r>
              <w:rPr/>
              <w:t>$</w:t>
            </w:r>
          </w:p>
        </w:tc>
        <w:tc>
          <w:tcPr>
            <w:tcW w:w="766" w:type="dxa"/>
            <w:tcBorders>
              <w:bottom w:val="single" w:sz="6" w:space="0" w:color="000000"/>
            </w:tcBorders>
            <w:tcMar>
              <w:bottom w:w="95" w:type="dxa"/>
            </w:tcMar>
            <w:vAlign w:val="center"/>
          </w:tcPr>
          <w:p>
            <w:pPr>
              <w:pStyle w:val="TableContents"/>
              <w:bidi w:val="0"/>
              <w:spacing w:before="0" w:after="283"/>
              <w:jc w:val="right"/>
              <w:rPr/>
            </w:pPr>
            <w:r>
              <w:rPr/>
              <w:t>6.6069</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95" w:type="dxa"/>
            </w:tcMar>
            <w:vAlign w:val="center"/>
          </w:tcPr>
          <w:p>
            <w:pPr>
              <w:pStyle w:val="TableContents"/>
              <w:bidi w:val="0"/>
              <w:spacing w:before="0" w:after="283"/>
              <w:jc w:val="right"/>
              <w:rPr/>
            </w:pPr>
            <w:r>
              <w:rPr/>
              <w:t>​</w:t>
            </w:r>
          </w:p>
        </w:tc>
        <w:tc>
          <w:tcPr>
            <w:tcW w:w="886" w:type="dxa"/>
            <w:tcBorders>
              <w:bottom w:val="single" w:sz="6" w:space="0" w:color="000000"/>
            </w:tcBorders>
            <w:tcMar>
              <w:bottom w:w="95" w:type="dxa"/>
            </w:tcMar>
            <w:vAlign w:val="center"/>
          </w:tcPr>
          <w:p>
            <w:pPr>
              <w:pStyle w:val="TableContents"/>
              <w:bidi w:val="0"/>
              <w:spacing w:before="0" w:after="283"/>
              <w:jc w:val="right"/>
              <w:rPr/>
            </w:pPr>
            <w:r>
              <w:rPr/>
              <w:t>408,663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shd w:fill="F7F7F7" w:val="clear"/>
            <w:tcMar>
              <w:bottom w:w="95" w:type="dxa"/>
            </w:tcMar>
            <w:vAlign w:val="center"/>
          </w:tcPr>
          <w:p>
            <w:pPr>
              <w:pStyle w:val="TableContents"/>
              <w:bidi w:val="0"/>
              <w:spacing w:before="0" w:after="283"/>
              <w:jc w:val="left"/>
              <w:rPr/>
            </w:pPr>
            <w:r>
              <w:rPr/>
              <w:t>Sherry House</w:t>
            </w:r>
            <w:r>
              <w:rPr>
                <w:sz w:val="10"/>
              </w:rPr>
              <w:t>(2)</w:t>
            </w: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1066" w:type="dxa"/>
            <w:tcBorders>
              <w:bottom w:val="single" w:sz="6" w:space="0" w:color="000000"/>
            </w:tcBorders>
            <w:shd w:fill="F7F7F7" w:val="clear"/>
            <w:tcMar>
              <w:bottom w:w="95" w:type="dxa"/>
            </w:tcMar>
            <w:vAlign w:val="center"/>
          </w:tcPr>
          <w:p>
            <w:pPr>
              <w:pStyle w:val="TableContents"/>
              <w:bidi w:val="0"/>
              <w:spacing w:before="0" w:after="283"/>
              <w:jc w:val="right"/>
              <w:rPr/>
            </w:pPr>
            <w:r>
              <w:rPr/>
              <w:t>2,700,000</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766" w:type="dxa"/>
            <w:tcBorders>
              <w:bottom w:val="single" w:sz="6" w:space="0" w:color="000000"/>
            </w:tcBorders>
            <w:shd w:fill="F7F7F7" w:val="clear"/>
            <w:tcMar>
              <w:bottom w:w="95" w:type="dxa"/>
            </w:tcMar>
            <w:vAlign w:val="center"/>
          </w:tcPr>
          <w:p>
            <w:pPr>
              <w:pStyle w:val="TableContents"/>
              <w:bidi w:val="0"/>
              <w:spacing w:before="0" w:after="283"/>
              <w:jc w:val="right"/>
              <w:rPr/>
            </w:pPr>
            <w:r>
              <w:rPr/>
              <w:t>6.6069</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886" w:type="dxa"/>
            <w:tcBorders>
              <w:bottom w:val="single" w:sz="6" w:space="0" w:color="000000"/>
            </w:tcBorders>
            <w:shd w:fill="F7F7F7" w:val="clear"/>
            <w:tcMar>
              <w:bottom w:w="95" w:type="dxa"/>
            </w:tcMar>
            <w:vAlign w:val="center"/>
          </w:tcPr>
          <w:p>
            <w:pPr>
              <w:pStyle w:val="TableContents"/>
              <w:bidi w:val="0"/>
              <w:spacing w:before="0" w:after="283"/>
              <w:jc w:val="right"/>
              <w:rPr/>
            </w:pPr>
            <w:r>
              <w:rPr/>
              <w:t>408,663</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4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In view of still-outstanding value from the 2021 CEO Grant, the Board determined not to grant Mr. Rawlinson an equity award in 2023.</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215900" distB="0" distL="0" distR="0" simplePos="0" locked="0" layoutInCell="1" allowOverlap="1" relativeHeight="204">
                <wp:simplePos x="0" y="0"/>
                <wp:positionH relativeFrom="column">
                  <wp:align>left</wp:align>
                </wp:positionH>
                <wp:positionV relativeFrom="line">
                  <wp:align>top</wp:align>
                </wp:positionV>
                <wp:extent cx="81915" cy="270510"/>
                <wp:effectExtent l="0" t="0" r="0" b="0"/>
                <wp:wrapSquare wrapText="right"/>
                <wp:docPr id="195" name="Frame133"/>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(1)</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In connection with her separation on December 31, 2023, Ms. House forfeited 332,039 of her 2023 RSUs, since no vesting was accelerated on this award, but 76,624 shares were previously vested.</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05">
                <wp:simplePos x="0" y="0"/>
                <wp:positionH relativeFrom="column">
                  <wp:align>left</wp:align>
                </wp:positionH>
                <wp:positionV relativeFrom="line">
                  <wp:align>top</wp:align>
                </wp:positionV>
                <wp:extent cx="81915" cy="270510"/>
                <wp:effectExtent l="0" t="0" r="0" b="0"/>
                <wp:wrapSquare wrapText="right"/>
                <wp:docPr id="196" name="Frame134"/>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(2)</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5.5pt;mso-wrap-distance-bottom:0pt;margin-top:5.5pt;mso-position-vertical:top;mso-position-vertical-relative:text;margin-left:6.45pt;mso-position-horizontal:left;mso-position-horizontal-relative:text">
                <v:textbox>
                  <w:txbxContent>
                    <w:p>
                      <w:pPr>
                        <w:pStyle w:val="TextBody"/>
                        <w:bidi w:val="0"/>
                        <w:spacing w:lineRule="atLeast" w:line="142" w:before="0" w:after="283"/>
                        <w:jc w:val="left"/>
                        <w:rPr>
                          <w:sz w:val="12"/>
                        </w:rPr>
                      </w:pPr>
                      <w:r>
                        <w:rPr>
                          <w:sz w:val="9"/>
                        </w:rPr>
                        <w:t>(2)</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51</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84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RSUs for Messrs. Dhingra, Bach and Bell and Ms. House vest over four years, with 1/8</w:t>
      </w:r>
      <w:r>
        <w:rPr>
          <w:rFonts w:ascii="Helvetica;Arial;sans-serif" w:hAnsi="Helvetica;Arial;sans-serif"/>
          <w:b w:val="false"/>
          <w:i w:val="false"/>
          <w:caps w:val="false"/>
          <w:smallCaps w:val="false"/>
          <w:color w:val="000000"/>
          <w:sz w:val="14"/>
        </w:rPr>
        <w:t>th</w:t>
      </w:r>
      <w:r>
        <w:rPr>
          <w:rFonts w:ascii="Helvetica;Arial;sans-serif" w:hAnsi="Helvetica;Arial;sans-serif"/>
          <w:b w:val="false"/>
          <w:i w:val="false"/>
          <w:caps w:val="false"/>
          <w:smallCaps w:val="false"/>
          <w:color w:val="000000"/>
          <w:sz w:val="18"/>
        </w:rPr>
        <w:t xml:space="preserve"> vesting on the September 10, 2023 grant date, and the remainder vesting in substantially equal quarterly installments beginning on December 5, 2023 and ending on March 5, 2027, subject to the NEO’s continued employment through the applicable vesting dates.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RSUs for Mr. Winterhoff vest over four years, with 1/4</w:t>
      </w:r>
      <w:r>
        <w:rPr>
          <w:rFonts w:ascii="Helvetica;Arial;sans-serif" w:hAnsi="Helvetica;Arial;sans-serif"/>
          <w:b w:val="false"/>
          <w:i w:val="false"/>
          <w:caps w:val="false"/>
          <w:smallCaps w:val="false"/>
          <w:color w:val="000000"/>
          <w:sz w:val="14"/>
        </w:rPr>
        <w:t>th</w:t>
      </w:r>
      <w:r>
        <w:rPr>
          <w:rFonts w:ascii="Helvetica;Arial;sans-serif" w:hAnsi="Helvetica;Arial;sans-serif"/>
          <w:b w:val="false"/>
          <w:i w:val="false"/>
          <w:caps w:val="false"/>
          <w:smallCaps w:val="false"/>
          <w:color w:val="000000"/>
          <w:sz w:val="18"/>
        </w:rPr>
        <w:t xml:space="preserve"> vesting on December 4, 2024, and the remainder vesting in substantially equal quarterly installments beginning on March 5, 2025 and ending on December 5, 2027, subject to his continued employment through the applicable vesting dates.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PSUs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target number of shares of our Common Stock subject to each PSU award granted to our executives (including our NEOs) is determined by dividing the total dollar value of the award by the 30-day VWAP. The number of earned PSUs is based on the achievement of the Company Performance Goals: revenue (weighted 40%), gross margin (weighted 30%), and free cash flow (weighted 30%), as adjusted by an individual performance modifier. The PSUs use the same performance goals as the 2023 AIP, since success in these metrics was seen as mission-critical at the onset of the 2023 fiscal year. Over time, the intent is to shift toward longer-term measurements.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number of earned shares under the PSU awards may range from 0% to 150% of target, based on the following formula:</w:t>
      </w:r>
      <w:r>
        <w:rPr>
          <w:rFonts w:ascii="Helvetica;Arial;sans-serif" w:hAnsi="Helvetica;Arial;sans-serif"/>
          <w:b w:val="false"/>
          <w:i w:val="false"/>
          <w:caps w:val="false"/>
          <w:smallCaps w:val="false"/>
          <w:color w:val="000000"/>
          <w:spacing w:val="4"/>
          <w:sz w:val="18"/>
        </w:rPr>
        <w:t xml:space="preserve"> </w:t>
      </w:r>
    </w:p>
    <w:p>
      <w:pPr>
        <w:pStyle w:val="TextBody"/>
        <w:bidi w:val="0"/>
        <w:spacing w:before="298" w:after="283"/>
        <w:jc w:val="center"/>
        <w:rPr>
          <w:caps w:val="false"/>
          <w:smallCaps w:val="false"/>
          <w:color w:val="000000"/>
        </w:rPr>
      </w:pPr>
      <w:r>
        <w:rPr>
          <w:caps w:val="false"/>
          <w:smallCaps w:val="false"/>
          <w:color w:val="000000"/>
        </w:rPr>
        <w:drawing>
          <wp:inline distT="0" distB="0" distL="0" distR="0">
            <wp:extent cx="4572000" cy="1409700"/>
            <wp:effectExtent l="0" t="0" r="0" b="0"/>
            <wp:docPr id="197"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60" descr=""/>
                    <pic:cNvPicPr>
                      <a:picLocks noChangeAspect="1" noChangeArrowheads="1"/>
                    </pic:cNvPicPr>
                  </pic:nvPicPr>
                  <pic:blipFill>
                    <a:blip r:embed="rId64"/>
                    <a:stretch>
                      <a:fillRect/>
                    </a:stretch>
                  </pic:blipFill>
                  <pic:spPr bwMode="auto">
                    <a:xfrm>
                      <a:off x="0" y="0"/>
                      <a:ext cx="4572000" cy="14097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56"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Our NEOs’ target PSU awards in 2023 are set forth in the table below:</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center"/>
        <w:rPr>
          <w:rFonts w:ascii="Helvetica;Arial;sans-serif" w:hAnsi="Helvetica;Arial;sans-serif"/>
          <w:b/>
          <w:i w:val="false"/>
          <w:caps w:val="false"/>
          <w:smallCaps w:val="false"/>
          <w:color w:val="000000"/>
          <w:sz w:val="18"/>
        </w:rPr>
      </w:pPr>
      <w:r>
        <w:rPr>
          <w:rFonts w:ascii="Helvetica;Arial;sans-serif" w:hAnsi="Helvetica;Arial;sans-serif"/>
          <w:b/>
          <w:i w:val="false"/>
          <w:caps w:val="false"/>
          <w:smallCaps w:val="false"/>
          <w:color w:val="000000"/>
          <w:sz w:val="18"/>
        </w:rPr>
        <w:t>2023 Target PSU Awards to NEOs</w:t>
      </w:r>
      <w:r>
        <w:rPr>
          <w:rFonts w:ascii="Helvetica;Arial;sans-serif" w:hAnsi="Helvetica;Arial;sans-serif"/>
          <w:b/>
          <w:i w:val="false"/>
          <w:caps w:val="false"/>
          <w:smallCaps w:val="false"/>
          <w:color w:val="000000"/>
          <w:spacing w:val="4"/>
          <w:sz w:val="18"/>
        </w:rPr>
        <w:t xml:space="preserve"> </w:t>
      </w:r>
    </w:p>
    <w:tbl>
      <w:tblPr>
        <w:tblW w:w="7748" w:type="dxa"/>
        <w:jc w:val="left"/>
        <w:tblInd w:w="720" w:type="dxa"/>
        <w:tblLayout w:type="fixed"/>
        <w:tblCellMar>
          <w:top w:w="0" w:type="dxa"/>
          <w:left w:w="0" w:type="dxa"/>
          <w:bottom w:w="0" w:type="dxa"/>
          <w:right w:w="0" w:type="dxa"/>
        </w:tblCellMar>
      </w:tblPr>
      <w:tblGrid>
        <w:gridCol w:w="124"/>
        <w:gridCol w:w="2596"/>
        <w:gridCol w:w="109"/>
        <w:gridCol w:w="109"/>
        <w:gridCol w:w="109"/>
        <w:gridCol w:w="226"/>
        <w:gridCol w:w="1126"/>
        <w:gridCol w:w="109"/>
        <w:gridCol w:w="109"/>
        <w:gridCol w:w="109"/>
        <w:gridCol w:w="109"/>
        <w:gridCol w:w="226"/>
        <w:gridCol w:w="826"/>
        <w:gridCol w:w="109"/>
        <w:gridCol w:w="109"/>
        <w:gridCol w:w="109"/>
        <w:gridCol w:w="118"/>
        <w:gridCol w:w="118"/>
        <w:gridCol w:w="1026"/>
        <w:gridCol w:w="118"/>
        <w:gridCol w:w="154"/>
      </w:tblGrid>
      <w:tr>
        <w:trPr/>
        <w:tc>
          <w:tcPr>
            <w:tcW w:w="124" w:type="dxa"/>
            <w:tcBorders/>
            <w:shd w:fill="000000" w:val="clear"/>
            <w:vAlign w:val="center"/>
          </w:tcPr>
          <w:p>
            <w:pPr>
              <w:pStyle w:val="TableContents"/>
              <w:bidi w:val="0"/>
              <w:spacing w:before="0" w:after="283"/>
              <w:jc w:val="left"/>
              <w:rPr/>
            </w:pPr>
            <w:r>
              <w:rPr/>
              <w:t>​</w:t>
            </w:r>
          </w:p>
        </w:tc>
        <w:tc>
          <w:tcPr>
            <w:tcW w:w="2596" w:type="dxa"/>
            <w:tcBorders/>
            <w:shd w:fill="000000" w:val="clear"/>
            <w:vAlign w:val="center"/>
          </w:tcPr>
          <w:p>
            <w:pPr>
              <w:pStyle w:val="TableContents"/>
              <w:bidi w:val="0"/>
              <w:spacing w:before="0" w:after="0"/>
              <w:jc w:val="left"/>
              <w:rPr/>
            </w:pPr>
            <w:r>
              <w:rPr/>
              <w:t xml:space="preserve">Named Executive Officer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70" w:type="dxa"/>
            <w:gridSpan w:val="4"/>
            <w:tcBorders/>
            <w:shd w:fill="000000" w:val="clear"/>
            <w:vAlign w:val="center"/>
          </w:tcPr>
          <w:p>
            <w:pPr>
              <w:pStyle w:val="TableContents"/>
              <w:bidi w:val="0"/>
              <w:spacing w:before="0" w:after="0"/>
              <w:jc w:val="center"/>
              <w:rPr/>
            </w:pPr>
            <w:r>
              <w:rPr/>
              <w:t xml:space="preserve">Target PSUs </w:t>
              <w:b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70" w:type="dxa"/>
            <w:gridSpan w:val="4"/>
            <w:tcBorders/>
            <w:shd w:fill="000000" w:val="clear"/>
            <w:vAlign w:val="center"/>
          </w:tcPr>
          <w:p>
            <w:pPr>
              <w:pStyle w:val="TableContents"/>
              <w:bidi w:val="0"/>
              <w:spacing w:before="0" w:after="0"/>
              <w:jc w:val="center"/>
              <w:rPr/>
            </w:pPr>
            <w:r>
              <w:rPr/>
              <w:t>30-Day</w:t>
              <w:br/>
              <w:t xml:space="preserve">VWAP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80" w:type="dxa"/>
            <w:gridSpan w:val="4"/>
            <w:tcBorders/>
            <w:shd w:fill="000000" w:val="clear"/>
            <w:vAlign w:val="center"/>
          </w:tcPr>
          <w:p>
            <w:pPr>
              <w:pStyle w:val="TableContents"/>
              <w:bidi w:val="0"/>
              <w:spacing w:before="0" w:after="0"/>
              <w:jc w:val="center"/>
              <w:rPr/>
            </w:pPr>
            <w:r>
              <w:rPr/>
              <w:t xml:space="preserve">Target PSUs </w:t>
              <w:br/>
              <w:t>(#)</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tcMar>
              <w:bottom w:w="145" w:type="dxa"/>
            </w:tcMar>
            <w:vAlign w:val="center"/>
          </w:tcPr>
          <w:p>
            <w:pPr>
              <w:pStyle w:val="TableContents"/>
              <w:bidi w:val="0"/>
              <w:spacing w:before="0" w:after="283"/>
              <w:jc w:val="left"/>
              <w:rPr/>
            </w:pPr>
            <w:r>
              <w:rPr/>
              <w:t>Peter Rawlinson</w:t>
            </w:r>
            <w:r>
              <w:rPr>
                <w:sz w:val="10"/>
              </w:rPr>
              <w:t>(1)</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1126" w:type="dxa"/>
            <w:tcBorders>
              <w:bottom w:val="single" w:sz="6" w:space="0" w:color="000000"/>
            </w:tcBorders>
            <w:tcMar>
              <w:bottom w:w="145" w:type="dxa"/>
            </w:tcMar>
            <w:vAlign w:val="center"/>
          </w:tcPr>
          <w:p>
            <w:pPr>
              <w:pStyle w:val="TableContents"/>
              <w:bidi w:val="0"/>
              <w:spacing w:before="0" w:after="283"/>
              <w:jc w:val="righ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826" w:type="dxa"/>
            <w:tcBorders>
              <w:bottom w:val="single" w:sz="6" w:space="0" w:color="000000"/>
            </w:tcBorders>
            <w:tcMar>
              <w:bottom w:w="145" w:type="dxa"/>
            </w:tcMar>
            <w:vAlign w:val="center"/>
          </w:tcPr>
          <w:p>
            <w:pPr>
              <w:pStyle w:val="TableContents"/>
              <w:bidi w:val="0"/>
              <w:spacing w:before="0" w:after="283"/>
              <w:jc w:val="righ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8" w:type="dxa"/>
            <w:tcBorders>
              <w:bottom w:val="single" w:sz="6" w:space="0" w:color="000000"/>
            </w:tcBorders>
            <w:tcMar>
              <w:bottom w:w="28" w:type="dxa"/>
            </w:tcMar>
            <w:vAlign w:val="center"/>
          </w:tcPr>
          <w:p>
            <w:pPr>
              <w:pStyle w:val="TableContents"/>
              <w:bidi w:val="0"/>
              <w:spacing w:before="0" w:after="283"/>
              <w:jc w:val="left"/>
              <w:rPr/>
            </w:pPr>
            <w:r>
              <w:rPr/>
              <w:t>​</w:t>
            </w:r>
          </w:p>
        </w:tc>
        <w:tc>
          <w:tcPr>
            <w:tcW w:w="118" w:type="dxa"/>
            <w:tcBorders>
              <w:bottom w:val="single" w:sz="6" w:space="0" w:color="000000"/>
            </w:tcBorders>
            <w:tcMar>
              <w:bottom w:w="145" w:type="dxa"/>
            </w:tcMar>
            <w:vAlign w:val="center"/>
          </w:tcPr>
          <w:p>
            <w:pPr>
              <w:pStyle w:val="TableContents"/>
              <w:bidi w:val="0"/>
              <w:spacing w:before="0" w:after="283"/>
              <w:jc w:val="right"/>
              <w:rPr/>
            </w:pPr>
            <w:r>
              <w:rPr/>
              <w:t>​</w:t>
            </w:r>
          </w:p>
        </w:tc>
        <w:tc>
          <w:tcPr>
            <w:tcW w:w="1026" w:type="dxa"/>
            <w:tcBorders>
              <w:bottom w:val="single" w:sz="6" w:space="0" w:color="000000"/>
            </w:tcBorders>
            <w:tcMar>
              <w:bottom w:w="145" w:type="dxa"/>
            </w:tcMar>
            <w:vAlign w:val="center"/>
          </w:tcPr>
          <w:p>
            <w:pPr>
              <w:pStyle w:val="TableContents"/>
              <w:bidi w:val="0"/>
              <w:spacing w:before="0" w:after="283"/>
              <w:jc w:val="right"/>
              <w:rPr/>
            </w:pPr>
            <w:r>
              <w:rPr/>
              <w:t xml:space="preserve">— </w:t>
            </w:r>
          </w:p>
        </w:tc>
        <w:tc>
          <w:tcPr>
            <w:tcW w:w="118"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shd w:fill="F7F7F7" w:val="clear"/>
            <w:tcMar>
              <w:bottom w:w="145" w:type="dxa"/>
            </w:tcMar>
            <w:vAlign w:val="center"/>
          </w:tcPr>
          <w:p>
            <w:pPr>
              <w:pStyle w:val="TableContents"/>
              <w:bidi w:val="0"/>
              <w:spacing w:before="0" w:after="283"/>
              <w:jc w:val="left"/>
              <w:rPr/>
            </w:pPr>
            <w:r>
              <w:rPr/>
              <w:t xml:space="preserve">Gagan Dhingra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126" w:type="dxa"/>
            <w:tcBorders>
              <w:bottom w:val="single" w:sz="6" w:space="0" w:color="000000"/>
            </w:tcBorders>
            <w:shd w:fill="F7F7F7" w:val="clear"/>
            <w:tcMar>
              <w:bottom w:w="145" w:type="dxa"/>
            </w:tcMar>
            <w:vAlign w:val="center"/>
          </w:tcPr>
          <w:p>
            <w:pPr>
              <w:pStyle w:val="TableContents"/>
              <w:bidi w:val="0"/>
              <w:spacing w:before="0" w:after="283"/>
              <w:jc w:val="right"/>
              <w:rPr/>
            </w:pPr>
            <w:r>
              <w:rPr/>
              <w:t xml:space="preserve">1,500,000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826" w:type="dxa"/>
            <w:tcBorders>
              <w:bottom w:val="single" w:sz="6" w:space="0" w:color="000000"/>
            </w:tcBorders>
            <w:shd w:fill="F7F7F7" w:val="clear"/>
            <w:tcMar>
              <w:bottom w:w="145" w:type="dxa"/>
            </w:tcMar>
            <w:vAlign w:val="center"/>
          </w:tcPr>
          <w:p>
            <w:pPr>
              <w:pStyle w:val="TableContents"/>
              <w:bidi w:val="0"/>
              <w:spacing w:before="0" w:after="283"/>
              <w:jc w:val="right"/>
              <w:rPr/>
            </w:pPr>
            <w:r>
              <w:rPr/>
              <w:t xml:space="preserve">6.6069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8"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8"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026" w:type="dxa"/>
            <w:tcBorders>
              <w:bottom w:val="single" w:sz="6" w:space="0" w:color="000000"/>
            </w:tcBorders>
            <w:shd w:fill="F7F7F7" w:val="clear"/>
            <w:tcMar>
              <w:bottom w:w="145" w:type="dxa"/>
            </w:tcMar>
            <w:vAlign w:val="center"/>
          </w:tcPr>
          <w:p>
            <w:pPr>
              <w:pStyle w:val="TableContents"/>
              <w:bidi w:val="0"/>
              <w:spacing w:before="0" w:after="283"/>
              <w:jc w:val="right"/>
              <w:rPr/>
            </w:pPr>
            <w:r>
              <w:rPr/>
              <w:t xml:space="preserve">227,035 </w:t>
            </w:r>
          </w:p>
        </w:tc>
        <w:tc>
          <w:tcPr>
            <w:tcW w:w="118"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tcMar>
              <w:bottom w:w="145" w:type="dxa"/>
            </w:tcMar>
            <w:vAlign w:val="center"/>
          </w:tcPr>
          <w:p>
            <w:pPr>
              <w:pStyle w:val="TableContents"/>
              <w:bidi w:val="0"/>
              <w:spacing w:before="0" w:after="283"/>
              <w:jc w:val="left"/>
              <w:rPr/>
            </w:pPr>
            <w:r>
              <w:rPr/>
              <w:t>Marc Winterhoff</w:t>
            </w:r>
            <w:r>
              <w:rPr>
                <w:sz w:val="10"/>
              </w:rPr>
              <w:t>(2)</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1126" w:type="dxa"/>
            <w:tcBorders>
              <w:bottom w:val="single" w:sz="6" w:space="0" w:color="000000"/>
            </w:tcBorders>
            <w:tcMar>
              <w:bottom w:w="145" w:type="dxa"/>
            </w:tcMar>
            <w:vAlign w:val="center"/>
          </w:tcPr>
          <w:p>
            <w:pPr>
              <w:pStyle w:val="TableContents"/>
              <w:bidi w:val="0"/>
              <w:spacing w:before="0" w:after="283"/>
              <w:jc w:val="righ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826" w:type="dxa"/>
            <w:tcBorders>
              <w:bottom w:val="single" w:sz="6" w:space="0" w:color="000000"/>
            </w:tcBorders>
            <w:tcMar>
              <w:bottom w:w="145" w:type="dxa"/>
            </w:tcMar>
            <w:vAlign w:val="center"/>
          </w:tcPr>
          <w:p>
            <w:pPr>
              <w:pStyle w:val="TableContents"/>
              <w:bidi w:val="0"/>
              <w:spacing w:before="0" w:after="283"/>
              <w:jc w:val="righ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8" w:type="dxa"/>
            <w:tcBorders>
              <w:bottom w:val="single" w:sz="6" w:space="0" w:color="000000"/>
            </w:tcBorders>
            <w:tcMar>
              <w:bottom w:w="28" w:type="dxa"/>
            </w:tcMar>
            <w:vAlign w:val="center"/>
          </w:tcPr>
          <w:p>
            <w:pPr>
              <w:pStyle w:val="TableContents"/>
              <w:bidi w:val="0"/>
              <w:spacing w:before="0" w:after="283"/>
              <w:jc w:val="left"/>
              <w:rPr/>
            </w:pPr>
            <w:r>
              <w:rPr/>
              <w:t>​</w:t>
            </w:r>
          </w:p>
        </w:tc>
        <w:tc>
          <w:tcPr>
            <w:tcW w:w="118" w:type="dxa"/>
            <w:tcBorders>
              <w:bottom w:val="single" w:sz="6" w:space="0" w:color="000000"/>
            </w:tcBorders>
            <w:tcMar>
              <w:bottom w:w="145" w:type="dxa"/>
            </w:tcMar>
            <w:vAlign w:val="center"/>
          </w:tcPr>
          <w:p>
            <w:pPr>
              <w:pStyle w:val="TableContents"/>
              <w:bidi w:val="0"/>
              <w:spacing w:before="0" w:after="283"/>
              <w:jc w:val="right"/>
              <w:rPr/>
            </w:pPr>
            <w:r>
              <w:rPr/>
              <w:t>​</w:t>
            </w:r>
          </w:p>
        </w:tc>
        <w:tc>
          <w:tcPr>
            <w:tcW w:w="1026" w:type="dxa"/>
            <w:tcBorders>
              <w:bottom w:val="single" w:sz="6" w:space="0" w:color="000000"/>
            </w:tcBorders>
            <w:tcMar>
              <w:bottom w:w="145" w:type="dxa"/>
            </w:tcMar>
            <w:vAlign w:val="center"/>
          </w:tcPr>
          <w:p>
            <w:pPr>
              <w:pStyle w:val="TableContents"/>
              <w:bidi w:val="0"/>
              <w:spacing w:before="0" w:after="283"/>
              <w:jc w:val="right"/>
              <w:rPr/>
            </w:pPr>
            <w:r>
              <w:rPr/>
              <w:t xml:space="preserve">— </w:t>
            </w:r>
          </w:p>
        </w:tc>
        <w:tc>
          <w:tcPr>
            <w:tcW w:w="118"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shd w:fill="F7F7F7" w:val="clear"/>
            <w:tcMar>
              <w:bottom w:w="145" w:type="dxa"/>
            </w:tcMar>
            <w:vAlign w:val="center"/>
          </w:tcPr>
          <w:p>
            <w:pPr>
              <w:pStyle w:val="TableContents"/>
              <w:bidi w:val="0"/>
              <w:spacing w:before="0" w:after="283"/>
              <w:jc w:val="left"/>
              <w:rPr/>
            </w:pPr>
            <w:r>
              <w:rPr/>
              <w:t xml:space="preserve">Eric Bach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126" w:type="dxa"/>
            <w:tcBorders>
              <w:bottom w:val="single" w:sz="6" w:space="0" w:color="000000"/>
            </w:tcBorders>
            <w:shd w:fill="F7F7F7" w:val="clear"/>
            <w:tcMar>
              <w:bottom w:w="145" w:type="dxa"/>
            </w:tcMar>
            <w:vAlign w:val="center"/>
          </w:tcPr>
          <w:p>
            <w:pPr>
              <w:pStyle w:val="TableContents"/>
              <w:bidi w:val="0"/>
              <w:spacing w:before="0" w:after="283"/>
              <w:jc w:val="right"/>
              <w:rPr/>
            </w:pPr>
            <w:r>
              <w:rPr/>
              <w:t xml:space="preserve">5,400,000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826" w:type="dxa"/>
            <w:tcBorders>
              <w:bottom w:val="single" w:sz="6" w:space="0" w:color="000000"/>
            </w:tcBorders>
            <w:shd w:fill="F7F7F7" w:val="clear"/>
            <w:tcMar>
              <w:bottom w:w="145" w:type="dxa"/>
            </w:tcMar>
            <w:vAlign w:val="center"/>
          </w:tcPr>
          <w:p>
            <w:pPr>
              <w:pStyle w:val="TableContents"/>
              <w:bidi w:val="0"/>
              <w:spacing w:before="0" w:after="283"/>
              <w:jc w:val="right"/>
              <w:rPr/>
            </w:pPr>
            <w:r>
              <w:rPr/>
              <w:t xml:space="preserve">6.6069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8"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8"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026" w:type="dxa"/>
            <w:tcBorders>
              <w:bottom w:val="single" w:sz="6" w:space="0" w:color="000000"/>
            </w:tcBorders>
            <w:shd w:fill="F7F7F7" w:val="clear"/>
            <w:tcMar>
              <w:bottom w:w="145" w:type="dxa"/>
            </w:tcMar>
            <w:vAlign w:val="center"/>
          </w:tcPr>
          <w:p>
            <w:pPr>
              <w:pStyle w:val="TableContents"/>
              <w:bidi w:val="0"/>
              <w:spacing w:before="0" w:after="283"/>
              <w:jc w:val="right"/>
              <w:rPr/>
            </w:pPr>
            <w:r>
              <w:rPr/>
              <w:t xml:space="preserve">817,327 </w:t>
            </w:r>
          </w:p>
        </w:tc>
        <w:tc>
          <w:tcPr>
            <w:tcW w:w="118"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tcMar>
              <w:bottom w:w="145" w:type="dxa"/>
            </w:tcMar>
            <w:vAlign w:val="center"/>
          </w:tcPr>
          <w:p>
            <w:pPr>
              <w:pStyle w:val="TableContents"/>
              <w:bidi w:val="0"/>
              <w:spacing w:before="0" w:after="283"/>
              <w:jc w:val="left"/>
              <w:rPr/>
            </w:pPr>
            <w:r>
              <w:rPr/>
              <w:t xml:space="preserve">Michael Bell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1126" w:type="dxa"/>
            <w:tcBorders>
              <w:bottom w:val="single" w:sz="6" w:space="0" w:color="000000"/>
            </w:tcBorders>
            <w:tcMar>
              <w:bottom w:w="145" w:type="dxa"/>
            </w:tcMar>
            <w:vAlign w:val="center"/>
          </w:tcPr>
          <w:p>
            <w:pPr>
              <w:pStyle w:val="TableContents"/>
              <w:bidi w:val="0"/>
              <w:spacing w:before="0" w:after="283"/>
              <w:jc w:val="right"/>
              <w:rPr/>
            </w:pPr>
            <w:r>
              <w:rPr/>
              <w:t xml:space="preserve">5,400,000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826" w:type="dxa"/>
            <w:tcBorders>
              <w:bottom w:val="single" w:sz="6" w:space="0" w:color="000000"/>
            </w:tcBorders>
            <w:tcMar>
              <w:bottom w:w="145" w:type="dxa"/>
            </w:tcMar>
            <w:vAlign w:val="center"/>
          </w:tcPr>
          <w:p>
            <w:pPr>
              <w:pStyle w:val="TableContents"/>
              <w:bidi w:val="0"/>
              <w:spacing w:before="0" w:after="283"/>
              <w:jc w:val="right"/>
              <w:rPr/>
            </w:pPr>
            <w:r>
              <w:rPr/>
              <w:t xml:space="preserve">6.6069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8" w:type="dxa"/>
            <w:tcBorders>
              <w:bottom w:val="single" w:sz="6" w:space="0" w:color="000000"/>
            </w:tcBorders>
            <w:tcMar>
              <w:bottom w:w="28" w:type="dxa"/>
            </w:tcMar>
            <w:vAlign w:val="center"/>
          </w:tcPr>
          <w:p>
            <w:pPr>
              <w:pStyle w:val="TableContents"/>
              <w:bidi w:val="0"/>
              <w:spacing w:before="0" w:after="283"/>
              <w:jc w:val="left"/>
              <w:rPr/>
            </w:pPr>
            <w:r>
              <w:rPr/>
              <w:t>​</w:t>
            </w:r>
          </w:p>
        </w:tc>
        <w:tc>
          <w:tcPr>
            <w:tcW w:w="118" w:type="dxa"/>
            <w:tcBorders>
              <w:bottom w:val="single" w:sz="6" w:space="0" w:color="000000"/>
            </w:tcBorders>
            <w:tcMar>
              <w:bottom w:w="145" w:type="dxa"/>
            </w:tcMar>
            <w:vAlign w:val="center"/>
          </w:tcPr>
          <w:p>
            <w:pPr>
              <w:pStyle w:val="TableContents"/>
              <w:bidi w:val="0"/>
              <w:spacing w:before="0" w:after="283"/>
              <w:jc w:val="right"/>
              <w:rPr/>
            </w:pPr>
            <w:r>
              <w:rPr/>
              <w:t>​</w:t>
            </w:r>
          </w:p>
        </w:tc>
        <w:tc>
          <w:tcPr>
            <w:tcW w:w="1026" w:type="dxa"/>
            <w:tcBorders>
              <w:bottom w:val="single" w:sz="6" w:space="0" w:color="000000"/>
            </w:tcBorders>
            <w:tcMar>
              <w:bottom w:w="145" w:type="dxa"/>
            </w:tcMar>
            <w:vAlign w:val="center"/>
          </w:tcPr>
          <w:p>
            <w:pPr>
              <w:pStyle w:val="TableContents"/>
              <w:bidi w:val="0"/>
              <w:spacing w:before="0" w:after="283"/>
              <w:jc w:val="right"/>
              <w:rPr/>
            </w:pPr>
            <w:r>
              <w:rPr/>
              <w:t xml:space="preserve">817,327 </w:t>
            </w:r>
          </w:p>
        </w:tc>
        <w:tc>
          <w:tcPr>
            <w:tcW w:w="118"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shd w:fill="F7F7F7" w:val="clear"/>
            <w:tcMar>
              <w:bottom w:w="145" w:type="dxa"/>
            </w:tcMar>
            <w:vAlign w:val="center"/>
          </w:tcPr>
          <w:p>
            <w:pPr>
              <w:pStyle w:val="TableContents"/>
              <w:bidi w:val="0"/>
              <w:spacing w:before="0" w:after="283"/>
              <w:jc w:val="left"/>
              <w:rPr/>
            </w:pPr>
            <w:r>
              <w:rPr/>
              <w:t xml:space="preserve">Sherry House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126" w:type="dxa"/>
            <w:tcBorders>
              <w:bottom w:val="single" w:sz="6" w:space="0" w:color="000000"/>
            </w:tcBorders>
            <w:shd w:fill="F7F7F7" w:val="clear"/>
            <w:tcMar>
              <w:bottom w:w="145" w:type="dxa"/>
            </w:tcMar>
            <w:vAlign w:val="center"/>
          </w:tcPr>
          <w:p>
            <w:pPr>
              <w:pStyle w:val="TableContents"/>
              <w:bidi w:val="0"/>
              <w:spacing w:before="0" w:after="283"/>
              <w:jc w:val="right"/>
              <w:rPr/>
            </w:pPr>
            <w:r>
              <w:rPr/>
              <w:t xml:space="preserve">5,400,000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826" w:type="dxa"/>
            <w:tcBorders>
              <w:bottom w:val="single" w:sz="6" w:space="0" w:color="000000"/>
            </w:tcBorders>
            <w:shd w:fill="F7F7F7" w:val="clear"/>
            <w:tcMar>
              <w:bottom w:w="145" w:type="dxa"/>
            </w:tcMar>
            <w:vAlign w:val="center"/>
          </w:tcPr>
          <w:p>
            <w:pPr>
              <w:pStyle w:val="TableContents"/>
              <w:bidi w:val="0"/>
              <w:spacing w:before="0" w:after="283"/>
              <w:jc w:val="right"/>
              <w:rPr/>
            </w:pPr>
            <w:r>
              <w:rPr/>
              <w:t xml:space="preserve">6.6069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8"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8"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026" w:type="dxa"/>
            <w:tcBorders>
              <w:bottom w:val="single" w:sz="6" w:space="0" w:color="000000"/>
            </w:tcBorders>
            <w:shd w:fill="F7F7F7" w:val="clear"/>
            <w:tcMar>
              <w:bottom w:w="145" w:type="dxa"/>
            </w:tcMar>
            <w:vAlign w:val="center"/>
          </w:tcPr>
          <w:p>
            <w:pPr>
              <w:pStyle w:val="TableContents"/>
              <w:bidi w:val="0"/>
              <w:spacing w:before="0" w:after="283"/>
              <w:jc w:val="right"/>
              <w:rPr/>
            </w:pPr>
            <w:r>
              <w:rPr/>
              <w:t>817,327</w:t>
            </w:r>
          </w:p>
        </w:tc>
        <w:tc>
          <w:tcPr>
            <w:tcW w:w="118"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4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In view of still-outstanding value from the 2021 CEO Grant, the Board determined not to grant Mr. Rawlinson an equity award in 2023.</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215900" distB="0" distL="0" distR="0" simplePos="0" locked="0" layoutInCell="1" allowOverlap="1" relativeHeight="206">
                <wp:simplePos x="0" y="0"/>
                <wp:positionH relativeFrom="column">
                  <wp:align>left</wp:align>
                </wp:positionH>
                <wp:positionV relativeFrom="line">
                  <wp:align>top</wp:align>
                </wp:positionV>
                <wp:extent cx="81915" cy="270510"/>
                <wp:effectExtent l="0" t="0" r="0" b="0"/>
                <wp:wrapSquare wrapText="right"/>
                <wp:docPr id="198" name="Frame135"/>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(1)</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Having commenced employment with the Company in December 2023, Mr. Winterhoff was not eligible to receive PSUs for the 2023 performance period. Pursuant to his offer letter, Mr. Winterhoff is eligible to receive $6,000,000 in PSUs in 2024 when the performance metrics are determined for the 2024 Long-Term Incentive Plan.</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07">
                <wp:simplePos x="0" y="0"/>
                <wp:positionH relativeFrom="column">
                  <wp:align>left</wp:align>
                </wp:positionH>
                <wp:positionV relativeFrom="line">
                  <wp:align>top</wp:align>
                </wp:positionV>
                <wp:extent cx="81915" cy="270510"/>
                <wp:effectExtent l="0" t="0" r="0" b="0"/>
                <wp:wrapSquare wrapText="right"/>
                <wp:docPr id="199" name="Frame136"/>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(2)</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5.5pt;mso-wrap-distance-bottom:0pt;margin-top:5.5pt;mso-position-vertical:top;mso-position-vertical-relative:text;margin-left:6.45pt;mso-position-horizontal:left;mso-position-horizontal-relative:text">
                <v:textbox>
                  <w:txbxContent>
                    <w:p>
                      <w:pPr>
                        <w:pStyle w:val="TextBody"/>
                        <w:bidi w:val="0"/>
                        <w:spacing w:lineRule="atLeast" w:line="142" w:before="0" w:after="283"/>
                        <w:jc w:val="left"/>
                        <w:rPr>
                          <w:sz w:val="12"/>
                        </w:rPr>
                      </w:pPr>
                      <w:r>
                        <w:rPr>
                          <w:sz w:val="9"/>
                        </w:rPr>
                        <w:t>(2)</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In connection with Ms. House’s separation on December 31, 2023, vesting was accelerated for 136,221 of her 2023 PSUs and the remaining 681,106 PSUs were forfeited.</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08">
                <wp:simplePos x="0" y="0"/>
                <wp:positionH relativeFrom="column">
                  <wp:align>left</wp:align>
                </wp:positionH>
                <wp:positionV relativeFrom="line">
                  <wp:align>top</wp:align>
                </wp:positionV>
                <wp:extent cx="81915" cy="270510"/>
                <wp:effectExtent l="0" t="0" r="0" b="0"/>
                <wp:wrapSquare wrapText="right"/>
                <wp:docPr id="200" name="Frame137"/>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(3)</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(3)</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Similar to the 2023 AIP, the Compensation and Human Capital Committee selected revenue, gross margin, and free cash flow financial metrics, which were set at levels that would require significant effort on the part of the executives to achieve, although with differing weights. For purposes of the Company’s PSU awards, the combined performance of the three Company Performance </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52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84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Goals for the fiscal year 2023 is referred to as the “Earned Units Percentage.” For fiscal year 2023, the Company achieved its target goal for one of its three Company Performance Goals, free cash flow. The Company’s performance did not meet the minimum threshold requirements for its other two Company Performance Goals, revenue and gross margin. As a result, there were no earned PSUs for the revenue- and gross margin-related metrics. The Company exceeded its $(3.865) billion in free cash flow target goal, resulting in an Earned Units Percentage of 33.61%. Taken together, the Target PSUs Awarded, Earned Units Percentage, and any individual performance modifier resulted in the following earned PSUs for 2023: 76,306 shares for Mr. Dhingra, 343,380 shares for Mr. Bach, and 137,352 shares for Mr. Bell. (In view of still-outstanding value from the 2021 CEO Grant, the Board determined not to grant Mr. Rawlinson an equity award in 2023; having commenced employment with the Company in December 2023, Mr. Winterhoff was not eligible to receive PSUs for the 2023 performance period; and in connection with Ms. House’s separation on December 31, 2023, a 136,221 of her 2023 PSUs were accelerated and the remainder forfeited.)</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Any earned PSUs will vest over three years, with 1/3</w:t>
      </w:r>
      <w:r>
        <w:rPr>
          <w:rFonts w:ascii="Helvetica;Arial;sans-serif" w:hAnsi="Helvetica;Arial;sans-serif"/>
          <w:b w:val="false"/>
          <w:i w:val="false"/>
          <w:caps w:val="false"/>
          <w:smallCaps w:val="false"/>
          <w:color w:val="000000"/>
          <w:sz w:val="14"/>
        </w:rPr>
        <w:t>rd</w:t>
      </w:r>
      <w:r>
        <w:rPr>
          <w:rFonts w:ascii="Helvetica;Arial;sans-serif" w:hAnsi="Helvetica;Arial;sans-serif"/>
          <w:b w:val="false"/>
          <w:i w:val="false"/>
          <w:caps w:val="false"/>
          <w:smallCaps w:val="false"/>
          <w:color w:val="000000"/>
          <w:sz w:val="18"/>
        </w:rPr>
        <w:t xml:space="preserve"> vesting on the later of March 5, 2024 and the date the level of achievement with respect to the Company Performance Goals is certified and the remainder vesting in equal quarterly installments beginning on June 5, 2024 and ending on March 5, 2026, subject to the NEO’s continued employment through the applicable vesting dates.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Premium-Priced Options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Premium-Priced Options only have value equal to any appreciation over the exercise price. The exercise price is set at 25% above the 30-day VWAP (or the grant date closing price, if higher). The term of the Premium-Priced Option is seven years. Our NEOs’ Premium-Priced Option awards in 2023 are set forth in the table below:</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center"/>
        <w:rPr>
          <w:rFonts w:ascii="Helvetica;Arial;sans-serif" w:hAnsi="Helvetica;Arial;sans-serif"/>
          <w:b/>
          <w:i w:val="false"/>
          <w:caps w:val="false"/>
          <w:smallCaps w:val="false"/>
          <w:color w:val="000000"/>
          <w:sz w:val="18"/>
        </w:rPr>
      </w:pPr>
      <w:r>
        <w:rPr>
          <w:rFonts w:ascii="Helvetica;Arial;sans-serif" w:hAnsi="Helvetica;Arial;sans-serif"/>
          <w:b/>
          <w:i w:val="false"/>
          <w:caps w:val="false"/>
          <w:smallCaps w:val="false"/>
          <w:color w:val="000000"/>
          <w:sz w:val="18"/>
        </w:rPr>
        <w:t>2023 Premium-Priced Option Awards to NEOs</w:t>
      </w:r>
      <w:r>
        <w:rPr>
          <w:rFonts w:ascii="Helvetica;Arial;sans-serif" w:hAnsi="Helvetica;Arial;sans-serif"/>
          <w:b/>
          <w:i w:val="false"/>
          <w:caps w:val="false"/>
          <w:smallCaps w:val="false"/>
          <w:color w:val="000000"/>
          <w:spacing w:val="4"/>
          <w:sz w:val="18"/>
        </w:rPr>
        <w:t xml:space="preserve"> </w:t>
      </w:r>
    </w:p>
    <w:tbl>
      <w:tblPr>
        <w:tblW w:w="6340" w:type="dxa"/>
        <w:jc w:val="left"/>
        <w:tblInd w:w="720" w:type="dxa"/>
        <w:tblLayout w:type="fixed"/>
        <w:tblCellMar>
          <w:top w:w="0" w:type="dxa"/>
          <w:left w:w="0" w:type="dxa"/>
          <w:bottom w:w="0" w:type="dxa"/>
          <w:right w:w="0" w:type="dxa"/>
        </w:tblCellMar>
      </w:tblPr>
      <w:tblGrid>
        <w:gridCol w:w="124"/>
        <w:gridCol w:w="2596"/>
        <w:gridCol w:w="109"/>
        <w:gridCol w:w="109"/>
        <w:gridCol w:w="170"/>
        <w:gridCol w:w="353"/>
        <w:gridCol w:w="822"/>
        <w:gridCol w:w="170"/>
        <w:gridCol w:w="109"/>
        <w:gridCol w:w="109"/>
        <w:gridCol w:w="136"/>
        <w:gridCol w:w="136"/>
        <w:gridCol w:w="1107"/>
        <w:gridCol w:w="136"/>
        <w:gridCol w:w="154"/>
      </w:tblGrid>
      <w:tr>
        <w:trPr/>
        <w:tc>
          <w:tcPr>
            <w:tcW w:w="124" w:type="dxa"/>
            <w:tcBorders/>
            <w:shd w:fill="000000" w:val="clear"/>
            <w:vAlign w:val="center"/>
          </w:tcPr>
          <w:p>
            <w:pPr>
              <w:pStyle w:val="TableContents"/>
              <w:bidi w:val="0"/>
              <w:spacing w:before="0" w:after="283"/>
              <w:jc w:val="left"/>
              <w:rPr/>
            </w:pPr>
            <w:r>
              <w:rPr/>
              <w:t>​</w:t>
            </w:r>
          </w:p>
        </w:tc>
        <w:tc>
          <w:tcPr>
            <w:tcW w:w="2596" w:type="dxa"/>
            <w:tcBorders/>
            <w:shd w:fill="000000" w:val="clear"/>
            <w:vAlign w:val="center"/>
          </w:tcPr>
          <w:p>
            <w:pPr>
              <w:pStyle w:val="TableContents"/>
              <w:bidi w:val="0"/>
              <w:spacing w:before="0" w:after="0"/>
              <w:jc w:val="left"/>
              <w:rPr/>
            </w:pPr>
            <w:r>
              <w:rPr/>
              <w:t xml:space="preserve">Named Executive Officer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15" w:type="dxa"/>
            <w:gridSpan w:val="4"/>
            <w:tcBorders/>
            <w:shd w:fill="000000" w:val="clear"/>
            <w:vAlign w:val="center"/>
          </w:tcPr>
          <w:p>
            <w:pPr>
              <w:pStyle w:val="TableContents"/>
              <w:bidi w:val="0"/>
              <w:spacing w:before="0" w:after="0"/>
              <w:jc w:val="center"/>
              <w:rPr/>
            </w:pPr>
            <w:r>
              <w:rPr/>
              <w:t xml:space="preserve">Exercise Price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15" w:type="dxa"/>
            <w:gridSpan w:val="4"/>
            <w:tcBorders/>
            <w:shd w:fill="000000" w:val="clear"/>
            <w:vAlign w:val="center"/>
          </w:tcPr>
          <w:p>
            <w:pPr>
              <w:pStyle w:val="TableContents"/>
              <w:bidi w:val="0"/>
              <w:spacing w:before="0" w:after="0"/>
              <w:jc w:val="center"/>
              <w:rPr/>
            </w:pPr>
            <w:r>
              <w:rPr/>
              <w:t xml:space="preserve">Option Shares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tcMar>
              <w:bottom w:w="145" w:type="dxa"/>
            </w:tcMar>
            <w:vAlign w:val="center"/>
          </w:tcPr>
          <w:p>
            <w:pPr>
              <w:pStyle w:val="TableContents"/>
              <w:bidi w:val="0"/>
              <w:spacing w:before="0" w:after="283"/>
              <w:jc w:val="left"/>
              <w:rPr/>
            </w:pPr>
            <w:r>
              <w:rPr/>
              <w:t>Peter Rawlinson</w:t>
            </w:r>
            <w:r>
              <w:rPr>
                <w:sz w:val="10"/>
              </w:rPr>
              <w:t>(1)</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70" w:type="dxa"/>
            <w:tcBorders>
              <w:bottom w:val="single" w:sz="6" w:space="0" w:color="000000"/>
            </w:tcBorders>
            <w:tcMar>
              <w:bottom w:w="28" w:type="dxa"/>
            </w:tcMar>
            <w:vAlign w:val="center"/>
          </w:tcPr>
          <w:p>
            <w:pPr>
              <w:pStyle w:val="TableContents"/>
              <w:bidi w:val="0"/>
              <w:spacing w:before="0" w:after="283"/>
              <w:jc w:val="left"/>
              <w:rPr/>
            </w:pPr>
            <w:r>
              <w:rPr/>
              <w:t>​</w:t>
            </w:r>
          </w:p>
        </w:tc>
        <w:tc>
          <w:tcPr>
            <w:tcW w:w="353" w:type="dxa"/>
            <w:tcBorders>
              <w:bottom w:val="single" w:sz="6" w:space="0" w:color="000000"/>
            </w:tcBorders>
            <w:tcMar>
              <w:bottom w:w="145" w:type="dxa"/>
            </w:tcMar>
            <w:vAlign w:val="center"/>
          </w:tcPr>
          <w:p>
            <w:pPr>
              <w:pStyle w:val="TableContents"/>
              <w:bidi w:val="0"/>
              <w:spacing w:before="0" w:after="283"/>
              <w:jc w:val="right"/>
              <w:rPr/>
            </w:pPr>
            <w:r>
              <w:rPr/>
              <w:t>​</w:t>
            </w:r>
          </w:p>
        </w:tc>
        <w:tc>
          <w:tcPr>
            <w:tcW w:w="822" w:type="dxa"/>
            <w:tcBorders>
              <w:bottom w:val="single" w:sz="6" w:space="0" w:color="000000"/>
            </w:tcBorders>
            <w:tcMar>
              <w:bottom w:w="145" w:type="dxa"/>
            </w:tcMar>
            <w:vAlign w:val="center"/>
          </w:tcPr>
          <w:p>
            <w:pPr>
              <w:pStyle w:val="TableContents"/>
              <w:bidi w:val="0"/>
              <w:spacing w:before="0" w:after="283"/>
              <w:jc w:val="right"/>
              <w:rPr/>
            </w:pPr>
            <w:r>
              <w:rPr/>
              <w:t>—</w:t>
            </w:r>
          </w:p>
        </w:tc>
        <w:tc>
          <w:tcPr>
            <w:tcW w:w="170"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6" w:type="dxa"/>
            <w:tcBorders>
              <w:bottom w:val="single" w:sz="6" w:space="0" w:color="000000"/>
            </w:tcBorders>
            <w:tcMar>
              <w:bottom w:w="28" w:type="dxa"/>
            </w:tcMar>
            <w:vAlign w:val="center"/>
          </w:tcPr>
          <w:p>
            <w:pPr>
              <w:pStyle w:val="TableContents"/>
              <w:bidi w:val="0"/>
              <w:spacing w:before="0" w:after="283"/>
              <w:jc w:val="left"/>
              <w:rPr/>
            </w:pPr>
            <w:r>
              <w:rPr/>
              <w:t>​</w:t>
            </w:r>
          </w:p>
        </w:tc>
        <w:tc>
          <w:tcPr>
            <w:tcW w:w="136" w:type="dxa"/>
            <w:tcBorders>
              <w:bottom w:val="single" w:sz="6" w:space="0" w:color="000000"/>
            </w:tcBorders>
            <w:tcMar>
              <w:bottom w:w="145" w:type="dxa"/>
            </w:tcMar>
            <w:vAlign w:val="center"/>
          </w:tcPr>
          <w:p>
            <w:pPr>
              <w:pStyle w:val="TableContents"/>
              <w:bidi w:val="0"/>
              <w:spacing w:before="0" w:after="283"/>
              <w:jc w:val="right"/>
              <w:rPr/>
            </w:pPr>
            <w:r>
              <w:rPr/>
              <w:t>​</w:t>
            </w:r>
          </w:p>
        </w:tc>
        <w:tc>
          <w:tcPr>
            <w:tcW w:w="1107" w:type="dxa"/>
            <w:tcBorders>
              <w:bottom w:val="single" w:sz="6" w:space="0" w:color="000000"/>
            </w:tcBorders>
            <w:tcMar>
              <w:bottom w:w="145" w:type="dxa"/>
            </w:tcMar>
            <w:vAlign w:val="center"/>
          </w:tcPr>
          <w:p>
            <w:pPr>
              <w:pStyle w:val="TableContents"/>
              <w:bidi w:val="0"/>
              <w:spacing w:before="0" w:after="283"/>
              <w:jc w:val="right"/>
              <w:rPr/>
            </w:pPr>
            <w:r>
              <w:rPr/>
              <w:t>—</w:t>
            </w:r>
          </w:p>
        </w:tc>
        <w:tc>
          <w:tcPr>
            <w:tcW w:w="136"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shd w:fill="F7F7F7" w:val="clear"/>
            <w:tcMar>
              <w:bottom w:w="145" w:type="dxa"/>
            </w:tcMar>
            <w:vAlign w:val="center"/>
          </w:tcPr>
          <w:p>
            <w:pPr>
              <w:pStyle w:val="TableContents"/>
              <w:bidi w:val="0"/>
              <w:spacing w:before="0" w:after="283"/>
              <w:jc w:val="left"/>
              <w:rPr/>
            </w:pPr>
            <w:r>
              <w:rPr/>
              <w:t xml:space="preserve">Gagan Dhingra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70"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353"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822" w:type="dxa"/>
            <w:tcBorders>
              <w:bottom w:val="single" w:sz="6" w:space="0" w:color="000000"/>
            </w:tcBorders>
            <w:shd w:fill="F7F7F7" w:val="clear"/>
            <w:tcMar>
              <w:bottom w:w="145" w:type="dxa"/>
            </w:tcMar>
            <w:vAlign w:val="center"/>
          </w:tcPr>
          <w:p>
            <w:pPr>
              <w:pStyle w:val="TableContents"/>
              <w:bidi w:val="0"/>
              <w:spacing w:before="0" w:after="283"/>
              <w:jc w:val="right"/>
              <w:rPr/>
            </w:pPr>
            <w:r>
              <w:rPr/>
              <w:t>8.26</w:t>
            </w:r>
          </w:p>
        </w:tc>
        <w:tc>
          <w:tcPr>
            <w:tcW w:w="170"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107" w:type="dxa"/>
            <w:tcBorders>
              <w:bottom w:val="single" w:sz="6" w:space="0" w:color="000000"/>
            </w:tcBorders>
            <w:shd w:fill="F7F7F7" w:val="clear"/>
            <w:tcMar>
              <w:bottom w:w="145" w:type="dxa"/>
            </w:tcMar>
            <w:vAlign w:val="center"/>
          </w:tcPr>
          <w:p>
            <w:pPr>
              <w:pStyle w:val="TableContents"/>
              <w:bidi w:val="0"/>
              <w:spacing w:before="0" w:after="283"/>
              <w:jc w:val="right"/>
              <w:rPr/>
            </w:pPr>
            <w:r>
              <w:rPr/>
              <w:t>113,517</w:t>
            </w:r>
          </w:p>
        </w:tc>
        <w:tc>
          <w:tcPr>
            <w:tcW w:w="13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tcMar>
              <w:bottom w:w="145" w:type="dxa"/>
            </w:tcMar>
            <w:vAlign w:val="center"/>
          </w:tcPr>
          <w:p>
            <w:pPr>
              <w:pStyle w:val="TableContents"/>
              <w:bidi w:val="0"/>
              <w:spacing w:before="0" w:after="283"/>
              <w:jc w:val="left"/>
              <w:rPr/>
            </w:pPr>
            <w:r>
              <w:rPr/>
              <w:t xml:space="preserve">Marc Winterhoff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70" w:type="dxa"/>
            <w:tcBorders>
              <w:bottom w:val="single" w:sz="6" w:space="0" w:color="000000"/>
            </w:tcBorders>
            <w:tcMar>
              <w:bottom w:w="28" w:type="dxa"/>
            </w:tcMar>
            <w:vAlign w:val="center"/>
          </w:tcPr>
          <w:p>
            <w:pPr>
              <w:pStyle w:val="TableContents"/>
              <w:bidi w:val="0"/>
              <w:spacing w:before="0" w:after="283"/>
              <w:jc w:val="left"/>
              <w:rPr/>
            </w:pPr>
            <w:r>
              <w:rPr/>
              <w:t>​</w:t>
            </w:r>
          </w:p>
        </w:tc>
        <w:tc>
          <w:tcPr>
            <w:tcW w:w="353" w:type="dxa"/>
            <w:tcBorders>
              <w:bottom w:val="single" w:sz="6" w:space="0" w:color="000000"/>
            </w:tcBorders>
            <w:tcMar>
              <w:bottom w:w="145" w:type="dxa"/>
            </w:tcMar>
            <w:vAlign w:val="center"/>
          </w:tcPr>
          <w:p>
            <w:pPr>
              <w:pStyle w:val="TableContents"/>
              <w:bidi w:val="0"/>
              <w:spacing w:before="0" w:after="283"/>
              <w:jc w:val="right"/>
              <w:rPr/>
            </w:pPr>
            <w:r>
              <w:rPr/>
              <w:t>$</w:t>
            </w:r>
          </w:p>
        </w:tc>
        <w:tc>
          <w:tcPr>
            <w:tcW w:w="822" w:type="dxa"/>
            <w:tcBorders>
              <w:bottom w:val="single" w:sz="6" w:space="0" w:color="000000"/>
            </w:tcBorders>
            <w:tcMar>
              <w:bottom w:w="145" w:type="dxa"/>
            </w:tcMar>
            <w:vAlign w:val="center"/>
          </w:tcPr>
          <w:p>
            <w:pPr>
              <w:pStyle w:val="TableContents"/>
              <w:bidi w:val="0"/>
              <w:spacing w:before="0" w:after="283"/>
              <w:jc w:val="right"/>
              <w:rPr/>
            </w:pPr>
            <w:r>
              <w:rPr/>
              <w:t>5.25</w:t>
            </w:r>
          </w:p>
        </w:tc>
        <w:tc>
          <w:tcPr>
            <w:tcW w:w="170"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6" w:type="dxa"/>
            <w:tcBorders>
              <w:bottom w:val="single" w:sz="6" w:space="0" w:color="000000"/>
            </w:tcBorders>
            <w:tcMar>
              <w:bottom w:w="28" w:type="dxa"/>
            </w:tcMar>
            <w:vAlign w:val="center"/>
          </w:tcPr>
          <w:p>
            <w:pPr>
              <w:pStyle w:val="TableContents"/>
              <w:bidi w:val="0"/>
              <w:spacing w:before="0" w:after="283"/>
              <w:jc w:val="left"/>
              <w:rPr/>
            </w:pPr>
            <w:r>
              <w:rPr/>
              <w:t>​</w:t>
            </w:r>
          </w:p>
        </w:tc>
        <w:tc>
          <w:tcPr>
            <w:tcW w:w="136" w:type="dxa"/>
            <w:tcBorders>
              <w:bottom w:val="single" w:sz="6" w:space="0" w:color="000000"/>
            </w:tcBorders>
            <w:tcMar>
              <w:bottom w:w="145" w:type="dxa"/>
            </w:tcMar>
            <w:vAlign w:val="center"/>
          </w:tcPr>
          <w:p>
            <w:pPr>
              <w:pStyle w:val="TableContents"/>
              <w:bidi w:val="0"/>
              <w:spacing w:before="0" w:after="283"/>
              <w:jc w:val="right"/>
              <w:rPr/>
            </w:pPr>
            <w:r>
              <w:rPr/>
              <w:t>​</w:t>
            </w:r>
          </w:p>
        </w:tc>
        <w:tc>
          <w:tcPr>
            <w:tcW w:w="1107" w:type="dxa"/>
            <w:tcBorders>
              <w:bottom w:val="single" w:sz="6" w:space="0" w:color="000000"/>
            </w:tcBorders>
            <w:tcMar>
              <w:bottom w:w="145" w:type="dxa"/>
            </w:tcMar>
            <w:vAlign w:val="center"/>
          </w:tcPr>
          <w:p>
            <w:pPr>
              <w:pStyle w:val="TableContents"/>
              <w:bidi w:val="0"/>
              <w:spacing w:before="0" w:after="283"/>
              <w:jc w:val="right"/>
              <w:rPr/>
            </w:pPr>
            <w:r>
              <w:rPr/>
              <w:t>713,910</w:t>
            </w:r>
          </w:p>
        </w:tc>
        <w:tc>
          <w:tcPr>
            <w:tcW w:w="136"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shd w:fill="F7F7F7" w:val="clear"/>
            <w:tcMar>
              <w:bottom w:w="145" w:type="dxa"/>
            </w:tcMar>
            <w:vAlign w:val="center"/>
          </w:tcPr>
          <w:p>
            <w:pPr>
              <w:pStyle w:val="TableContents"/>
              <w:bidi w:val="0"/>
              <w:spacing w:before="0" w:after="283"/>
              <w:jc w:val="left"/>
              <w:rPr/>
            </w:pPr>
            <w:r>
              <w:rPr/>
              <w:t xml:space="preserve">Eric Bach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70"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353"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822" w:type="dxa"/>
            <w:tcBorders>
              <w:bottom w:val="single" w:sz="6" w:space="0" w:color="000000"/>
            </w:tcBorders>
            <w:shd w:fill="F7F7F7" w:val="clear"/>
            <w:tcMar>
              <w:bottom w:w="145" w:type="dxa"/>
            </w:tcMar>
            <w:vAlign w:val="center"/>
          </w:tcPr>
          <w:p>
            <w:pPr>
              <w:pStyle w:val="TableContents"/>
              <w:bidi w:val="0"/>
              <w:spacing w:before="0" w:after="283"/>
              <w:jc w:val="right"/>
              <w:rPr/>
            </w:pPr>
            <w:r>
              <w:rPr/>
              <w:t>8.26</w:t>
            </w:r>
          </w:p>
        </w:tc>
        <w:tc>
          <w:tcPr>
            <w:tcW w:w="170"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107" w:type="dxa"/>
            <w:tcBorders>
              <w:bottom w:val="single" w:sz="6" w:space="0" w:color="000000"/>
            </w:tcBorders>
            <w:shd w:fill="F7F7F7" w:val="clear"/>
            <w:tcMar>
              <w:bottom w:w="145" w:type="dxa"/>
            </w:tcMar>
            <w:vAlign w:val="center"/>
          </w:tcPr>
          <w:p>
            <w:pPr>
              <w:pStyle w:val="TableContents"/>
              <w:bidi w:val="0"/>
              <w:spacing w:before="0" w:after="283"/>
              <w:jc w:val="right"/>
              <w:rPr/>
            </w:pPr>
            <w:r>
              <w:rPr/>
              <w:t>408,663</w:t>
            </w:r>
          </w:p>
        </w:tc>
        <w:tc>
          <w:tcPr>
            <w:tcW w:w="13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tcMar>
              <w:bottom w:w="145" w:type="dxa"/>
            </w:tcMar>
            <w:vAlign w:val="center"/>
          </w:tcPr>
          <w:p>
            <w:pPr>
              <w:pStyle w:val="TableContents"/>
              <w:bidi w:val="0"/>
              <w:spacing w:before="0" w:after="283"/>
              <w:jc w:val="left"/>
              <w:rPr/>
            </w:pPr>
            <w:r>
              <w:rPr/>
              <w:t xml:space="preserve">Michael Bell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70" w:type="dxa"/>
            <w:tcBorders>
              <w:bottom w:val="single" w:sz="6" w:space="0" w:color="000000"/>
            </w:tcBorders>
            <w:tcMar>
              <w:bottom w:w="28" w:type="dxa"/>
            </w:tcMar>
            <w:vAlign w:val="center"/>
          </w:tcPr>
          <w:p>
            <w:pPr>
              <w:pStyle w:val="TableContents"/>
              <w:bidi w:val="0"/>
              <w:spacing w:before="0" w:after="283"/>
              <w:jc w:val="left"/>
              <w:rPr/>
            </w:pPr>
            <w:r>
              <w:rPr/>
              <w:t>​</w:t>
            </w:r>
          </w:p>
        </w:tc>
        <w:tc>
          <w:tcPr>
            <w:tcW w:w="353" w:type="dxa"/>
            <w:tcBorders>
              <w:bottom w:val="single" w:sz="6" w:space="0" w:color="000000"/>
            </w:tcBorders>
            <w:tcMar>
              <w:bottom w:w="145" w:type="dxa"/>
            </w:tcMar>
            <w:vAlign w:val="center"/>
          </w:tcPr>
          <w:p>
            <w:pPr>
              <w:pStyle w:val="TableContents"/>
              <w:bidi w:val="0"/>
              <w:spacing w:before="0" w:after="283"/>
              <w:jc w:val="right"/>
              <w:rPr/>
            </w:pPr>
            <w:r>
              <w:rPr/>
              <w:t>$</w:t>
            </w:r>
          </w:p>
        </w:tc>
        <w:tc>
          <w:tcPr>
            <w:tcW w:w="822" w:type="dxa"/>
            <w:tcBorders>
              <w:bottom w:val="single" w:sz="6" w:space="0" w:color="000000"/>
            </w:tcBorders>
            <w:tcMar>
              <w:bottom w:w="145" w:type="dxa"/>
            </w:tcMar>
            <w:vAlign w:val="center"/>
          </w:tcPr>
          <w:p>
            <w:pPr>
              <w:pStyle w:val="TableContents"/>
              <w:bidi w:val="0"/>
              <w:spacing w:before="0" w:after="283"/>
              <w:jc w:val="right"/>
              <w:rPr/>
            </w:pPr>
            <w:r>
              <w:rPr/>
              <w:t>8.26</w:t>
            </w:r>
          </w:p>
        </w:tc>
        <w:tc>
          <w:tcPr>
            <w:tcW w:w="170"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6" w:type="dxa"/>
            <w:tcBorders>
              <w:bottom w:val="single" w:sz="6" w:space="0" w:color="000000"/>
            </w:tcBorders>
            <w:tcMar>
              <w:bottom w:w="28" w:type="dxa"/>
            </w:tcMar>
            <w:vAlign w:val="center"/>
          </w:tcPr>
          <w:p>
            <w:pPr>
              <w:pStyle w:val="TableContents"/>
              <w:bidi w:val="0"/>
              <w:spacing w:before="0" w:after="283"/>
              <w:jc w:val="left"/>
              <w:rPr/>
            </w:pPr>
            <w:r>
              <w:rPr/>
              <w:t>​</w:t>
            </w:r>
          </w:p>
        </w:tc>
        <w:tc>
          <w:tcPr>
            <w:tcW w:w="136" w:type="dxa"/>
            <w:tcBorders>
              <w:bottom w:val="single" w:sz="6" w:space="0" w:color="000000"/>
            </w:tcBorders>
            <w:tcMar>
              <w:bottom w:w="145" w:type="dxa"/>
            </w:tcMar>
            <w:vAlign w:val="center"/>
          </w:tcPr>
          <w:p>
            <w:pPr>
              <w:pStyle w:val="TableContents"/>
              <w:bidi w:val="0"/>
              <w:spacing w:before="0" w:after="283"/>
              <w:jc w:val="right"/>
              <w:rPr/>
            </w:pPr>
            <w:r>
              <w:rPr/>
              <w:t>​</w:t>
            </w:r>
          </w:p>
        </w:tc>
        <w:tc>
          <w:tcPr>
            <w:tcW w:w="1107" w:type="dxa"/>
            <w:tcBorders>
              <w:bottom w:val="single" w:sz="6" w:space="0" w:color="000000"/>
            </w:tcBorders>
            <w:tcMar>
              <w:bottom w:w="145" w:type="dxa"/>
            </w:tcMar>
            <w:vAlign w:val="center"/>
          </w:tcPr>
          <w:p>
            <w:pPr>
              <w:pStyle w:val="TableContents"/>
              <w:bidi w:val="0"/>
              <w:spacing w:before="0" w:after="283"/>
              <w:jc w:val="right"/>
              <w:rPr/>
            </w:pPr>
            <w:r>
              <w:rPr/>
              <w:t>408,663</w:t>
            </w:r>
          </w:p>
        </w:tc>
        <w:tc>
          <w:tcPr>
            <w:tcW w:w="136"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596" w:type="dxa"/>
            <w:tcBorders>
              <w:bottom w:val="single" w:sz="6" w:space="0" w:color="000000"/>
            </w:tcBorders>
            <w:shd w:fill="F7F7F7" w:val="clear"/>
            <w:tcMar>
              <w:bottom w:w="145" w:type="dxa"/>
            </w:tcMar>
            <w:vAlign w:val="center"/>
          </w:tcPr>
          <w:p>
            <w:pPr>
              <w:pStyle w:val="TableContents"/>
              <w:bidi w:val="0"/>
              <w:spacing w:before="0" w:after="283"/>
              <w:jc w:val="left"/>
              <w:rPr/>
            </w:pPr>
            <w:r>
              <w:rPr/>
              <w:t>Sherry House</w:t>
            </w:r>
            <w:r>
              <w:rPr>
                <w:sz w:val="10"/>
              </w:rPr>
              <w:t>(2)</w:t>
            </w: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70"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353"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822" w:type="dxa"/>
            <w:tcBorders>
              <w:bottom w:val="single" w:sz="6" w:space="0" w:color="000000"/>
            </w:tcBorders>
            <w:shd w:fill="F7F7F7" w:val="clear"/>
            <w:tcMar>
              <w:bottom w:w="145" w:type="dxa"/>
            </w:tcMar>
            <w:vAlign w:val="center"/>
          </w:tcPr>
          <w:p>
            <w:pPr>
              <w:pStyle w:val="TableContents"/>
              <w:bidi w:val="0"/>
              <w:spacing w:before="0" w:after="283"/>
              <w:jc w:val="right"/>
              <w:rPr/>
            </w:pPr>
            <w:r>
              <w:rPr/>
              <w:t>8.26</w:t>
            </w:r>
          </w:p>
        </w:tc>
        <w:tc>
          <w:tcPr>
            <w:tcW w:w="170"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107" w:type="dxa"/>
            <w:tcBorders>
              <w:bottom w:val="single" w:sz="6" w:space="0" w:color="000000"/>
            </w:tcBorders>
            <w:shd w:fill="F7F7F7" w:val="clear"/>
            <w:tcMar>
              <w:bottom w:w="145" w:type="dxa"/>
            </w:tcMar>
            <w:vAlign w:val="center"/>
          </w:tcPr>
          <w:p>
            <w:pPr>
              <w:pStyle w:val="TableContents"/>
              <w:bidi w:val="0"/>
              <w:spacing w:before="0" w:after="283"/>
              <w:jc w:val="right"/>
              <w:rPr/>
            </w:pPr>
            <w:r>
              <w:rPr/>
              <w:t>408,663</w:t>
            </w:r>
          </w:p>
        </w:tc>
        <w:tc>
          <w:tcPr>
            <w:tcW w:w="13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4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Mr. Rawlinson did not receive an equity award in 2023 in view of still-outstanding value from the 2021 CEO Grant.</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215900" distB="0" distL="0" distR="0" simplePos="0" locked="0" layoutInCell="1" allowOverlap="1" relativeHeight="209">
                <wp:simplePos x="0" y="0"/>
                <wp:positionH relativeFrom="column">
                  <wp:align>left</wp:align>
                </wp:positionH>
                <wp:positionV relativeFrom="line">
                  <wp:align>top</wp:align>
                </wp:positionV>
                <wp:extent cx="81915" cy="270510"/>
                <wp:effectExtent l="0" t="0" r="0" b="0"/>
                <wp:wrapSquare wrapText="right"/>
                <wp:docPr id="201" name="Frame138"/>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(1)</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08"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In connection with Ms. House’s separation, 349,067 of her stock options granted in 2023 were forfeited, since no vesting was accelerated on this award, but 59,596 that were previously vested remained exercisable for three months following her separation date on December 31, 2023.</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8580" distB="0" distL="0" distR="0" simplePos="0" locked="0" layoutInCell="1" allowOverlap="1" relativeHeight="210">
                <wp:simplePos x="0" y="0"/>
                <wp:positionH relativeFrom="column">
                  <wp:align>left</wp:align>
                </wp:positionH>
                <wp:positionV relativeFrom="line">
                  <wp:align>top</wp:align>
                </wp:positionV>
                <wp:extent cx="81915" cy="270510"/>
                <wp:effectExtent l="0" t="0" r="0" b="0"/>
                <wp:wrapSquare wrapText="right"/>
                <wp:docPr id="202" name="Frame139"/>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(2)</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5.4pt;mso-wrap-distance-bottom:0pt;margin-top:5.4pt;mso-position-vertical:top;mso-position-vertical-relative:text;margin-left:6.45pt;mso-position-horizontal:left;mso-position-horizontal-relative:text">
                <v:textbox>
                  <w:txbxContent>
                    <w:p>
                      <w:pPr>
                        <w:pStyle w:val="TextBody"/>
                        <w:bidi w:val="0"/>
                        <w:spacing w:lineRule="atLeast" w:line="142" w:before="0" w:after="283"/>
                        <w:jc w:val="left"/>
                        <w:rPr>
                          <w:sz w:val="12"/>
                        </w:rPr>
                      </w:pPr>
                      <w:r>
                        <w:rPr>
                          <w:sz w:val="9"/>
                        </w:rPr>
                        <w:t>(2)</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Premium-Priced Options for Messrs. Dhingra, Bach and Bell and Ms. House vest over four years, with 5/48</w:t>
      </w:r>
      <w:r>
        <w:rPr>
          <w:rFonts w:ascii="Helvetica;Arial;sans-serif" w:hAnsi="Helvetica;Arial;sans-serif"/>
          <w:b w:val="false"/>
          <w:i w:val="false"/>
          <w:caps w:val="false"/>
          <w:smallCaps w:val="false"/>
          <w:color w:val="000000"/>
          <w:sz w:val="14"/>
        </w:rPr>
        <w:t>th</w:t>
      </w:r>
      <w:r>
        <w:rPr>
          <w:rFonts w:ascii="Helvetica;Arial;sans-serif" w:hAnsi="Helvetica;Arial;sans-serif"/>
          <w:b w:val="false"/>
          <w:i w:val="false"/>
          <w:caps w:val="false"/>
          <w:smallCaps w:val="false"/>
          <w:color w:val="000000"/>
          <w:sz w:val="18"/>
        </w:rPr>
        <w:t xml:space="preserve"> vesting on the first monthly anniversary of the grant date, and the remainder vesting in substantially equal monthly installments thereafter, subject to the NEO’s continued employment through the applicable vesting dates.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Premium-Priced Options for Mr. Winterhoff vest over four years, with 1/4</w:t>
      </w:r>
      <w:r>
        <w:rPr>
          <w:rFonts w:ascii="Helvetica;Arial;sans-serif" w:hAnsi="Helvetica;Arial;sans-serif"/>
          <w:b w:val="false"/>
          <w:i w:val="false"/>
          <w:caps w:val="false"/>
          <w:smallCaps w:val="false"/>
          <w:color w:val="000000"/>
          <w:sz w:val="14"/>
        </w:rPr>
        <w:t>th</w:t>
      </w:r>
      <w:r>
        <w:rPr>
          <w:rFonts w:ascii="Helvetica;Arial;sans-serif" w:hAnsi="Helvetica;Arial;sans-serif"/>
          <w:b w:val="false"/>
          <w:i w:val="false"/>
          <w:caps w:val="false"/>
          <w:smallCaps w:val="false"/>
          <w:color w:val="000000"/>
          <w:sz w:val="18"/>
        </w:rPr>
        <w:t xml:space="preserve"> vesting on December 4, 2024, and the remainder vesting in substantially equal monthly installments thereafter, subject to his continued employment through the applicable vesting dates.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Special Bonus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Company unveiled the Lucid Gravity, a luxury sport utility vehicle, to the public at the Los Angeles Auto Show in November 2023, which marked a major technical, commercial, and design milestone achievement for the Company. In recognition of their significant contributions to this milestone achievement, the Company awarded a $6,000,000 cash bonus to Mr. Rawlinson and $1,000,000 cash bonus to Mr. Bach (the “Gravity Bonuses”). Although approved and paid in 2024, the Gravity Bonuses reward years of development that led to the public reveal in 2023 and the anticipated success of a new line of Lucid vehicles for years to come.</w:t>
      </w:r>
      <w:r>
        <w:rPr>
          <w:rFonts w:ascii="Helvetica;Arial;sans-serif" w:hAnsi="Helvetica;Arial;sans-serif"/>
          <w:b w:val="false"/>
          <w:i w:val="false"/>
          <w:caps w:val="false"/>
          <w:smallCaps w:val="false"/>
          <w:color w:val="000000"/>
          <w:spacing w:val="4"/>
          <w:sz w:val="18"/>
        </w:rPr>
        <w:t xml:space="preserve"> </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53</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840" w:after="283"/>
        <w:ind w:left="720" w:right="0" w:hanging="0"/>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Other Compensation</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Perquisites and Other Personal Benefits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5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Compensation and Human Capital Committee periodically reviews the perquisites and other personal benefits provided to our NEOs to ensure that they are reasonable, competitive, and consistent with the overall compensation program. We do not view perquisites or other personal benefits as a significant component of our executive compensation program and we do not provide material perquisites or personal benefits to our NEOs. Perquisites and other personal benefits include for certain of our executive officers (as set forth in more detail in the Summary Compensation Table below and accompanying footnotes): (i)  for Ms. House and Mr. Dhingra, a Company buyback of employee-purchased Lucid Air vehicles with a tax gross-up, and replacement with the personal usage of a Company-provided Lucid Air vehicle on or about December 2023 with a tax gross-up and (ii) for Mr. Rawlinson, annual reimbursement for tax advisory and preparation fees up to $20,000 less applicable tax deductions and withholdings.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Retirement and Other Employee Benefits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5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We maintain a 401(k) retirement savings plan for our employees in the United States, including the NEOs. Our NEOs are eligible to participate in the 401(k) plan on the same terms as other full-time employees. In addition, all of our full-time employees, including the NEOs, are eligible to participate in our health and welfare plans, including medical, dental, and vision benefits, health and dependent care flexible spending accounts, and disability and life insurance.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Employment Arrangements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00" w:before="260" w:after="283"/>
        <w:jc w:val="left"/>
        <w:rPr>
          <w:rFonts w:ascii="Helvetica;Arial;sans-serif" w:hAnsi="Helvetica;Arial;sans-serif"/>
          <w:b/>
          <w:i/>
          <w:caps w:val="false"/>
          <w:smallCaps w:val="false"/>
          <w:color w:val="000000"/>
          <w:sz w:val="16"/>
        </w:rPr>
      </w:pPr>
      <w:r>
        <w:rPr>
          <w:rFonts w:ascii="Helvetica;Arial;sans-serif" w:hAnsi="Helvetica;Arial;sans-serif"/>
          <w:b/>
          <w:i/>
          <w:caps w:val="false"/>
          <w:smallCaps w:val="false"/>
          <w:color w:val="000000"/>
          <w:sz w:val="16"/>
        </w:rPr>
        <w:t>At-Will Employment and Restrictive Covenants</w:t>
      </w:r>
      <w:r>
        <w:rPr>
          <w:rFonts w:ascii="Helvetica;Arial;sans-serif" w:hAnsi="Helvetica;Arial;sans-serif"/>
          <w:b/>
          <w:i/>
          <w:caps w:val="false"/>
          <w:smallCaps w:val="false"/>
          <w:color w:val="000000"/>
          <w:spacing w:val="3"/>
          <w:sz w:val="16"/>
        </w:rPr>
        <w:t xml:space="preserve"> </w:t>
      </w:r>
    </w:p>
    <w:p>
      <w:pPr>
        <w:pStyle w:val="TextBody"/>
        <w:bidi w:val="0"/>
        <w:spacing w:lineRule="atLeast" w:line="25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Messrs. Rawlinson, Dhingra, Winterhoff, Bach and Bell are at-will employees with no specified term of employment. As a condition of their employment, each of the NEOs was required to sign a Confidential Information and Invention Assignment Agreement (“Restrictive Covenant Agreement”) which includes, among other provisions, a 24-month post-employment non-solicit of employees and customers, a perpetual confidentiality covenant, and an assignment of inventions provision.</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caps w:val="false"/>
          <w:smallCaps w:val="false"/>
          <w:color w:val="000000"/>
          <w:sz w:val="16"/>
        </w:rPr>
      </w:pPr>
      <w:r>
        <w:rPr>
          <w:rFonts w:ascii="Helvetica;Arial;sans-serif" w:hAnsi="Helvetica;Arial;sans-serif"/>
          <w:b/>
          <w:i/>
          <w:caps w:val="false"/>
          <w:smallCaps w:val="false"/>
          <w:color w:val="000000"/>
          <w:sz w:val="16"/>
        </w:rPr>
        <w:t>Mr. Dhingra Interim Chief Financial Officer Terms</w:t>
      </w:r>
      <w:r>
        <w:rPr>
          <w:rFonts w:ascii="Helvetica;Arial;sans-serif" w:hAnsi="Helvetica;Arial;sans-serif"/>
          <w:b/>
          <w:i/>
          <w:caps w:val="false"/>
          <w:smallCaps w:val="false"/>
          <w:color w:val="000000"/>
          <w:spacing w:val="3"/>
          <w:sz w:val="16"/>
        </w:rPr>
        <w:t xml:space="preserve"> </w:t>
      </w:r>
    </w:p>
    <w:p>
      <w:pPr>
        <w:pStyle w:val="TextBody"/>
        <w:bidi w:val="0"/>
        <w:spacing w:lineRule="atLeast" w:line="25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In connection with Mr. Dhingra’s appointment as our Interim Chief Financial Officer on December 11, 2023, Mr. Dhingra (i) received an award of RSUs with a grant value of  $500,000 that vests 50% on June 5, 2024 and 50% on December 5, 2024; (ii) received an initial appointment bonus of  $68,000; and (iii) is entitled to receive a quarterly bonus of  $50,000 and a monthly stipend of  $25,000 for as long as he continues to serve as our Interim Chief Financial Officer.</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caps w:val="false"/>
          <w:smallCaps w:val="false"/>
          <w:color w:val="000000"/>
          <w:sz w:val="16"/>
        </w:rPr>
      </w:pPr>
      <w:r>
        <w:rPr>
          <w:rFonts w:ascii="Helvetica;Arial;sans-serif" w:hAnsi="Helvetica;Arial;sans-serif"/>
          <w:b/>
          <w:i/>
          <w:caps w:val="false"/>
          <w:smallCaps w:val="false"/>
          <w:color w:val="000000"/>
          <w:sz w:val="16"/>
        </w:rPr>
        <w:t>Mr. Winterhoff Offer Letter</w:t>
      </w:r>
      <w:r>
        <w:rPr>
          <w:rFonts w:ascii="Helvetica;Arial;sans-serif" w:hAnsi="Helvetica;Arial;sans-serif"/>
          <w:b/>
          <w:i/>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In connection with Mr. Winterhoff’s appointment as our Chief Operating Officer on December 4, 2023, the Company provided Mr. Winterhoff with a one-time sign-on bonus of  $3,350,000. A portion of the sign-on bonus was intended to compensate him for certain payments that he forfeited upon his departure from his prior employer. Under the terms of his offer letter dated November 7, 2023, if Mr. Winterhoff is terminated for “cause” or resigns other than due to a “constructive termination” ​(each as defined in the Executive Severance Plan described below) prior to August 1, 2027, the sign-on bonus will be subject to a whole or partial clawback in accordance with the table below depending on when such termination occurs.</w:t>
      </w:r>
      <w:r>
        <w:rPr>
          <w:rFonts w:ascii="Helvetica;Arial;sans-serif" w:hAnsi="Helvetica;Arial;sans-serif"/>
          <w:b w:val="false"/>
          <w:i w:val="false"/>
          <w:caps w:val="false"/>
          <w:smallCaps w:val="false"/>
          <w:color w:val="000000"/>
          <w:spacing w:val="4"/>
          <w:sz w:val="18"/>
        </w:rPr>
        <w:t xml:space="preserve"> </w:t>
      </w:r>
    </w:p>
    <w:tbl>
      <w:tblPr>
        <w:tblW w:w="8820" w:type="dxa"/>
        <w:jc w:val="left"/>
        <w:tblInd w:w="720" w:type="dxa"/>
        <w:tblLayout w:type="fixed"/>
        <w:tblCellMar>
          <w:top w:w="0" w:type="dxa"/>
          <w:left w:w="0" w:type="dxa"/>
          <w:bottom w:w="0" w:type="dxa"/>
          <w:right w:w="0" w:type="dxa"/>
        </w:tblCellMar>
      </w:tblPr>
      <w:tblGrid>
        <w:gridCol w:w="124"/>
        <w:gridCol w:w="6361"/>
        <w:gridCol w:w="109"/>
        <w:gridCol w:w="109"/>
        <w:gridCol w:w="141"/>
        <w:gridCol w:w="294"/>
        <w:gridCol w:w="1387"/>
        <w:gridCol w:w="141"/>
        <w:gridCol w:w="154"/>
      </w:tblGrid>
      <w:tr>
        <w:trPr/>
        <w:tc>
          <w:tcPr>
            <w:tcW w:w="124" w:type="dxa"/>
            <w:tcBorders/>
            <w:shd w:fill="000000" w:val="clear"/>
            <w:vAlign w:val="center"/>
          </w:tcPr>
          <w:p>
            <w:pPr>
              <w:pStyle w:val="TableContents"/>
              <w:bidi w:val="0"/>
              <w:spacing w:before="0" w:after="283"/>
              <w:jc w:val="left"/>
              <w:rPr/>
            </w:pPr>
            <w:r>
              <w:rPr/>
              <w:t>​</w:t>
            </w:r>
          </w:p>
        </w:tc>
        <w:tc>
          <w:tcPr>
            <w:tcW w:w="6361" w:type="dxa"/>
            <w:tcBorders/>
            <w:shd w:fill="000000" w:val="clear"/>
            <w:vAlign w:val="center"/>
          </w:tcPr>
          <w:p>
            <w:pPr>
              <w:pStyle w:val="TableContents"/>
              <w:bidi w:val="0"/>
              <w:spacing w:before="0" w:after="0"/>
              <w:jc w:val="left"/>
              <w:rPr/>
            </w:pPr>
            <w:r>
              <w:rPr/>
              <w:t xml:space="preserve">Termination Date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963" w:type="dxa"/>
            <w:gridSpan w:val="4"/>
            <w:tcBorders/>
            <w:shd w:fill="000000" w:val="clear"/>
            <w:vAlign w:val="center"/>
          </w:tcPr>
          <w:p>
            <w:pPr>
              <w:pStyle w:val="TableContents"/>
              <w:bidi w:val="0"/>
              <w:spacing w:before="0" w:after="0"/>
              <w:jc w:val="center"/>
              <w:rPr/>
            </w:pPr>
            <w:r>
              <w:rPr/>
              <w:t xml:space="preserve">Clawback Amount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6361" w:type="dxa"/>
            <w:tcBorders>
              <w:bottom w:val="single" w:sz="6" w:space="0" w:color="000000"/>
            </w:tcBorders>
            <w:tcMar>
              <w:bottom w:w="145" w:type="dxa"/>
            </w:tcMar>
            <w:vAlign w:val="center"/>
          </w:tcPr>
          <w:p>
            <w:pPr>
              <w:pStyle w:val="TableContents"/>
              <w:bidi w:val="0"/>
              <w:spacing w:before="0" w:after="283"/>
              <w:jc w:val="left"/>
              <w:rPr/>
            </w:pPr>
            <w:r>
              <w:rPr/>
              <w:t xml:space="preserve">On or prior to November 30, 2024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1" w:type="dxa"/>
            <w:tcBorders>
              <w:bottom w:val="single" w:sz="6" w:space="0" w:color="000000"/>
            </w:tcBorders>
            <w:tcMar>
              <w:bottom w:w="28" w:type="dxa"/>
            </w:tcMar>
            <w:vAlign w:val="center"/>
          </w:tcPr>
          <w:p>
            <w:pPr>
              <w:pStyle w:val="TableContents"/>
              <w:bidi w:val="0"/>
              <w:spacing w:before="0" w:after="283"/>
              <w:jc w:val="left"/>
              <w:rPr/>
            </w:pPr>
            <w:r>
              <w:rPr/>
              <w:t>​</w:t>
            </w:r>
          </w:p>
        </w:tc>
        <w:tc>
          <w:tcPr>
            <w:tcW w:w="294" w:type="dxa"/>
            <w:tcBorders>
              <w:bottom w:val="single" w:sz="6" w:space="0" w:color="000000"/>
            </w:tcBorders>
            <w:tcMar>
              <w:bottom w:w="145" w:type="dxa"/>
            </w:tcMar>
            <w:vAlign w:val="center"/>
          </w:tcPr>
          <w:p>
            <w:pPr>
              <w:pStyle w:val="TableContents"/>
              <w:bidi w:val="0"/>
              <w:spacing w:before="0" w:after="283"/>
              <w:jc w:val="right"/>
              <w:rPr/>
            </w:pPr>
            <w:r>
              <w:rPr/>
              <w:t>$</w:t>
            </w:r>
          </w:p>
        </w:tc>
        <w:tc>
          <w:tcPr>
            <w:tcW w:w="1387" w:type="dxa"/>
            <w:tcBorders>
              <w:bottom w:val="single" w:sz="6" w:space="0" w:color="000000"/>
            </w:tcBorders>
            <w:tcMar>
              <w:bottom w:w="145" w:type="dxa"/>
            </w:tcMar>
            <w:vAlign w:val="center"/>
          </w:tcPr>
          <w:p>
            <w:pPr>
              <w:pStyle w:val="TableContents"/>
              <w:bidi w:val="0"/>
              <w:spacing w:before="0" w:after="283"/>
              <w:jc w:val="right"/>
              <w:rPr/>
            </w:pPr>
            <w:r>
              <w:rPr/>
              <w:t>3,350,000</w:t>
            </w:r>
          </w:p>
        </w:tc>
        <w:tc>
          <w:tcPr>
            <w:tcW w:w="141"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6361" w:type="dxa"/>
            <w:tcBorders>
              <w:bottom w:val="single" w:sz="6" w:space="0" w:color="000000"/>
            </w:tcBorders>
            <w:shd w:fill="F7F7F7" w:val="clear"/>
            <w:tcMar>
              <w:bottom w:w="145" w:type="dxa"/>
            </w:tcMar>
            <w:vAlign w:val="center"/>
          </w:tcPr>
          <w:p>
            <w:pPr>
              <w:pStyle w:val="TableContents"/>
              <w:bidi w:val="0"/>
              <w:spacing w:before="0" w:after="283"/>
              <w:jc w:val="left"/>
              <w:rPr/>
            </w:pPr>
            <w:r>
              <w:rPr/>
              <w:t xml:space="preserve">On or after December 1, 2024 but on or prior to July 31, 2025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9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387" w:type="dxa"/>
            <w:tcBorders>
              <w:bottom w:val="single" w:sz="6" w:space="0" w:color="000000"/>
            </w:tcBorders>
            <w:shd w:fill="F7F7F7" w:val="clear"/>
            <w:tcMar>
              <w:bottom w:w="145" w:type="dxa"/>
            </w:tcMar>
            <w:vAlign w:val="center"/>
          </w:tcPr>
          <w:p>
            <w:pPr>
              <w:pStyle w:val="TableContents"/>
              <w:bidi w:val="0"/>
              <w:spacing w:before="0" w:after="283"/>
              <w:jc w:val="right"/>
              <w:rPr/>
            </w:pPr>
            <w:r>
              <w:rPr/>
              <w:t>2,100,000</w:t>
            </w:r>
          </w:p>
        </w:tc>
        <w:tc>
          <w:tcPr>
            <w:tcW w:w="14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6361" w:type="dxa"/>
            <w:tcBorders>
              <w:bottom w:val="single" w:sz="6" w:space="0" w:color="000000"/>
            </w:tcBorders>
            <w:tcMar>
              <w:bottom w:w="145" w:type="dxa"/>
            </w:tcMar>
            <w:vAlign w:val="center"/>
          </w:tcPr>
          <w:p>
            <w:pPr>
              <w:pStyle w:val="TableContents"/>
              <w:bidi w:val="0"/>
              <w:spacing w:before="0" w:after="283"/>
              <w:jc w:val="left"/>
              <w:rPr/>
            </w:pPr>
            <w:r>
              <w:rPr/>
              <w:t xml:space="preserve">On or after August 1, 2025 but on or prior to November 31, 2025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1" w:type="dxa"/>
            <w:tcBorders>
              <w:bottom w:val="single" w:sz="6" w:space="0" w:color="000000"/>
            </w:tcBorders>
            <w:tcMar>
              <w:bottom w:w="28" w:type="dxa"/>
            </w:tcMar>
            <w:vAlign w:val="center"/>
          </w:tcPr>
          <w:p>
            <w:pPr>
              <w:pStyle w:val="TableContents"/>
              <w:bidi w:val="0"/>
              <w:spacing w:before="0" w:after="283"/>
              <w:jc w:val="left"/>
              <w:rPr/>
            </w:pPr>
            <w:r>
              <w:rPr/>
              <w:t>​</w:t>
            </w:r>
          </w:p>
        </w:tc>
        <w:tc>
          <w:tcPr>
            <w:tcW w:w="294" w:type="dxa"/>
            <w:tcBorders>
              <w:bottom w:val="single" w:sz="6" w:space="0" w:color="000000"/>
            </w:tcBorders>
            <w:tcMar>
              <w:bottom w:w="145" w:type="dxa"/>
            </w:tcMar>
            <w:vAlign w:val="center"/>
          </w:tcPr>
          <w:p>
            <w:pPr>
              <w:pStyle w:val="TableContents"/>
              <w:bidi w:val="0"/>
              <w:spacing w:before="0" w:after="283"/>
              <w:jc w:val="right"/>
              <w:rPr/>
            </w:pPr>
            <w:r>
              <w:rPr/>
              <w:t>$</w:t>
            </w:r>
          </w:p>
        </w:tc>
        <w:tc>
          <w:tcPr>
            <w:tcW w:w="1387" w:type="dxa"/>
            <w:tcBorders>
              <w:bottom w:val="single" w:sz="6" w:space="0" w:color="000000"/>
            </w:tcBorders>
            <w:tcMar>
              <w:bottom w:w="145" w:type="dxa"/>
            </w:tcMar>
            <w:vAlign w:val="center"/>
          </w:tcPr>
          <w:p>
            <w:pPr>
              <w:pStyle w:val="TableContents"/>
              <w:bidi w:val="0"/>
              <w:spacing w:before="0" w:after="283"/>
              <w:jc w:val="right"/>
              <w:rPr/>
            </w:pPr>
            <w:r>
              <w:rPr/>
              <w:t>1,800,000</w:t>
            </w:r>
          </w:p>
        </w:tc>
        <w:tc>
          <w:tcPr>
            <w:tcW w:w="141"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6361" w:type="dxa"/>
            <w:tcBorders>
              <w:bottom w:val="single" w:sz="6" w:space="0" w:color="000000"/>
            </w:tcBorders>
            <w:shd w:fill="F7F7F7" w:val="clear"/>
            <w:tcMar>
              <w:bottom w:w="145" w:type="dxa"/>
            </w:tcMar>
            <w:vAlign w:val="center"/>
          </w:tcPr>
          <w:p>
            <w:pPr>
              <w:pStyle w:val="TableContents"/>
              <w:bidi w:val="0"/>
              <w:spacing w:before="0" w:after="283"/>
              <w:jc w:val="left"/>
              <w:rPr/>
            </w:pPr>
            <w:r>
              <w:rPr/>
              <w:t xml:space="preserve">On or after December 1, 2025 but on or prior to July 31, 2026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9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387" w:type="dxa"/>
            <w:tcBorders>
              <w:bottom w:val="single" w:sz="6" w:space="0" w:color="000000"/>
            </w:tcBorders>
            <w:shd w:fill="F7F7F7" w:val="clear"/>
            <w:tcMar>
              <w:bottom w:w="145" w:type="dxa"/>
            </w:tcMar>
            <w:vAlign w:val="center"/>
          </w:tcPr>
          <w:p>
            <w:pPr>
              <w:pStyle w:val="TableContents"/>
              <w:bidi w:val="0"/>
              <w:spacing w:before="0" w:after="283"/>
              <w:jc w:val="right"/>
              <w:rPr/>
            </w:pPr>
            <w:r>
              <w:rPr/>
              <w:t>550,000</w:t>
            </w:r>
          </w:p>
        </w:tc>
        <w:tc>
          <w:tcPr>
            <w:tcW w:w="14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6361" w:type="dxa"/>
            <w:tcBorders>
              <w:bottom w:val="single" w:sz="6" w:space="0" w:color="000000"/>
            </w:tcBorders>
            <w:tcMar>
              <w:bottom w:w="145" w:type="dxa"/>
            </w:tcMar>
            <w:vAlign w:val="center"/>
          </w:tcPr>
          <w:p>
            <w:pPr>
              <w:pStyle w:val="TableContents"/>
              <w:bidi w:val="0"/>
              <w:spacing w:before="0" w:after="283"/>
              <w:jc w:val="left"/>
              <w:rPr/>
            </w:pPr>
            <w:r>
              <w:rPr/>
              <w:t xml:space="preserve">On or after August 1, 2026 and on or prior to July 31, 2027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1" w:type="dxa"/>
            <w:tcBorders>
              <w:bottom w:val="single" w:sz="6" w:space="0" w:color="000000"/>
            </w:tcBorders>
            <w:tcMar>
              <w:bottom w:w="28" w:type="dxa"/>
            </w:tcMar>
            <w:vAlign w:val="center"/>
          </w:tcPr>
          <w:p>
            <w:pPr>
              <w:pStyle w:val="TableContents"/>
              <w:bidi w:val="0"/>
              <w:spacing w:before="0" w:after="283"/>
              <w:jc w:val="left"/>
              <w:rPr/>
            </w:pPr>
            <w:r>
              <w:rPr/>
              <w:t>​</w:t>
            </w:r>
          </w:p>
        </w:tc>
        <w:tc>
          <w:tcPr>
            <w:tcW w:w="294" w:type="dxa"/>
            <w:tcBorders>
              <w:bottom w:val="single" w:sz="6" w:space="0" w:color="000000"/>
            </w:tcBorders>
            <w:tcMar>
              <w:bottom w:w="145" w:type="dxa"/>
            </w:tcMar>
            <w:vAlign w:val="center"/>
          </w:tcPr>
          <w:p>
            <w:pPr>
              <w:pStyle w:val="TableContents"/>
              <w:bidi w:val="0"/>
              <w:spacing w:before="0" w:after="283"/>
              <w:jc w:val="right"/>
              <w:rPr/>
            </w:pPr>
            <w:r>
              <w:rPr/>
              <w:t>$</w:t>
            </w:r>
          </w:p>
        </w:tc>
        <w:tc>
          <w:tcPr>
            <w:tcW w:w="1387" w:type="dxa"/>
            <w:tcBorders>
              <w:bottom w:val="single" w:sz="6" w:space="0" w:color="000000"/>
            </w:tcBorders>
            <w:tcMar>
              <w:bottom w:w="145" w:type="dxa"/>
            </w:tcMar>
            <w:vAlign w:val="center"/>
          </w:tcPr>
          <w:p>
            <w:pPr>
              <w:pStyle w:val="TableContents"/>
              <w:bidi w:val="0"/>
              <w:spacing w:before="0" w:after="283"/>
              <w:jc w:val="right"/>
              <w:rPr/>
            </w:pPr>
            <w:r>
              <w:rPr/>
              <w:t>250,000</w:t>
            </w:r>
          </w:p>
        </w:tc>
        <w:tc>
          <w:tcPr>
            <w:tcW w:w="141"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bl>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54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50" w:before="84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In addition, Mr. Winterhoff’s offer letter provides for an RSU award with a grant value of  $3,000,000 (which was granted on December 4, 2023 as described above), a Premium-Priced Option award with a grant value of  $1,000,000 (which was also granted on December 4, 2023 as described above), and a PSU award with a target grant value of  $6,000,000 (which will be granted in 2024) (collectively, the “Sign-On Awards”). If Mr. Winterhoff is terminated without “cause” or resigns due to a “constructive termination,” his Sign-On Awards will vest in full (provided that the PSUs will remain subject to the applicable performance-vesting conditions based on actual performance), conditioned upon his execution of a release of claims. In addition, upon such termination of employment, Mr. Winterhoff may be eligible to receive a prorated incentive bonus for the year of termination based on the projected Company performance at the time of his termination (unless duplicative under the Executive Severance Plan discussed below).</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Termination and Change in Control Agreements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00" w:before="260" w:after="283"/>
        <w:jc w:val="left"/>
        <w:rPr>
          <w:rFonts w:ascii="Helvetica;Arial;sans-serif" w:hAnsi="Helvetica;Arial;sans-serif"/>
          <w:b/>
          <w:i/>
          <w:caps w:val="false"/>
          <w:smallCaps w:val="false"/>
          <w:color w:val="000000"/>
          <w:sz w:val="16"/>
        </w:rPr>
      </w:pPr>
      <w:r>
        <w:rPr>
          <w:rFonts w:ascii="Helvetica;Arial;sans-serif" w:hAnsi="Helvetica;Arial;sans-serif"/>
          <w:b/>
          <w:i/>
          <w:caps w:val="false"/>
          <w:smallCaps w:val="false"/>
          <w:color w:val="000000"/>
          <w:sz w:val="16"/>
        </w:rPr>
        <w:t>Executive Severance Plan</w:t>
      </w:r>
      <w:r>
        <w:rPr>
          <w:rFonts w:ascii="Helvetica;Arial;sans-serif" w:hAnsi="Helvetica;Arial;sans-serif"/>
          <w:b/>
          <w:i/>
          <w:caps w:val="false"/>
          <w:smallCaps w:val="false"/>
          <w:color w:val="000000"/>
          <w:spacing w:val="3"/>
          <w:sz w:val="16"/>
        </w:rPr>
        <w:t xml:space="preserve"> </w:t>
      </w:r>
    </w:p>
    <w:p>
      <w:pPr>
        <w:pStyle w:val="TextBody"/>
        <w:bidi w:val="0"/>
        <w:spacing w:lineRule="atLeast" w:line="25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Company established the Lucid Group, Inc. Executive Severance Benefit Plan, effective July 23, 2021 (the “Executive Severance Plan”), in which executives (including our NEOs) participate. Under the terms of the Executive Severance Plan, participants are entitled to receive the following in the event of a termination without “cause” or a “constructive termination” ​(as each such term is defined in the Executive Severance Plan) that is not a Change in Control Termination (as defined below), subject to the participant’s execution of a release of claims: (i) base salary continuation for the number of months set forth in the participant’s participation agreement, (ii) Company-paid COBRA premiums for healthcare continuation coverage (including a gross-up for applicable taxes) up to the number of months set forth in the participant’s participation agreement, and (iii) accelerated vesting of an “applicable percentage” of the participant’s outstanding and unvested equity awards granted prior to July 23, 2021 (but such accelerated vesting under the Executive Severance Plan does not apply to the 2021 CEO Grant, which contains its own accelerated vesting terms under certain circumstances (as described below), nor to any equity awards granted on or after July 23, 2021). For purposes of determining the accelerated vesting of pre-July 23, 2021 awards, the “applicable percentage” is equal to 25% of the unvested equity award at the time of such termination plus 5% for each year of service, up to 50%.</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5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In the event of a termination without “cause” or a “constructive termination” in each case within three months prior to or 12 months following a change in control of Lucid (a “Change in Control Termination”), participants are entitled to receive the following, subject to the participant’s execution of a release of claims: (i) a lump-sum payment equal to the sum of base salary and target annual cash incentive divided by 12, multiplied by the number of months set forth in the participant’s participation agreement, (ii) Company-paid COBRA premiums for healthcare continuation coverage (including a gross-up for applicable taxes) up to the number of months set forth in the participant’s participation agreement, and (iii) accelerated vesting of 100% of the participant’s outstanding equity awards (except in the case of the 2021 CEO Grant, as mentioned above).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Under the Executive Severance Plan, a participant’s right to receive severance benefits terminates in the event the participant breaches the Restrictive Covenant Agreement or the participant utilizes our trade secrets to solicit any of our employees to leave us or to induce any of our then-current clients, customers, or suppliers to terminate their business relationship with us. The severance levels that apply to each of the NEOs under the Executive Severance Plan are set forth in the table below:</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2508"/>
        <w:gridCol w:w="109"/>
        <w:gridCol w:w="109"/>
        <w:gridCol w:w="449"/>
        <w:gridCol w:w="449"/>
        <w:gridCol w:w="1430"/>
        <w:gridCol w:w="454"/>
        <w:gridCol w:w="109"/>
        <w:gridCol w:w="109"/>
        <w:gridCol w:w="562"/>
        <w:gridCol w:w="562"/>
        <w:gridCol w:w="1789"/>
        <w:gridCol w:w="565"/>
        <w:gridCol w:w="157"/>
      </w:tblGrid>
      <w:tr>
        <w:trPr/>
        <w:tc>
          <w:tcPr>
            <w:tcW w:w="124" w:type="dxa"/>
            <w:tcBorders/>
            <w:shd w:fill="000000" w:val="clear"/>
            <w:vAlign w:val="center"/>
          </w:tcPr>
          <w:p>
            <w:pPr>
              <w:pStyle w:val="TableContents"/>
              <w:bidi w:val="0"/>
              <w:spacing w:before="0" w:after="283"/>
              <w:jc w:val="left"/>
              <w:rPr/>
            </w:pPr>
            <w:r>
              <w:rPr/>
              <w:t>​</w:t>
            </w:r>
          </w:p>
        </w:tc>
        <w:tc>
          <w:tcPr>
            <w:tcW w:w="2508" w:type="dxa"/>
            <w:tcBorders/>
            <w:shd w:fill="000000" w:val="clear"/>
            <w:vAlign w:val="center"/>
          </w:tcPr>
          <w:p>
            <w:pPr>
              <w:pStyle w:val="TableContents"/>
              <w:bidi w:val="0"/>
              <w:spacing w:before="0" w:after="0"/>
              <w:jc w:val="left"/>
              <w:rPr/>
            </w:pPr>
            <w:r>
              <w:rPr/>
              <w:t xml:space="preserve">Named Executive Officer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782" w:type="dxa"/>
            <w:gridSpan w:val="4"/>
            <w:tcBorders/>
            <w:shd w:fill="000000" w:val="clear"/>
            <w:vAlign w:val="center"/>
          </w:tcPr>
          <w:p>
            <w:pPr>
              <w:pStyle w:val="TableContents"/>
              <w:bidi w:val="0"/>
              <w:spacing w:before="0" w:after="0"/>
              <w:jc w:val="center"/>
              <w:rPr/>
            </w:pPr>
            <w:r>
              <w:rPr/>
              <w:t xml:space="preserve">Severance Not in Connection </w:t>
              <w:br/>
              <w:t>with a Change in Control</w:t>
              <w:br/>
              <w:t xml:space="preserve">(Number of Months)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3478" w:type="dxa"/>
            <w:gridSpan w:val="4"/>
            <w:tcBorders/>
            <w:shd w:fill="000000" w:val="clear"/>
            <w:vAlign w:val="center"/>
          </w:tcPr>
          <w:p>
            <w:pPr>
              <w:pStyle w:val="TableContents"/>
              <w:bidi w:val="0"/>
              <w:spacing w:before="0" w:after="0"/>
              <w:jc w:val="center"/>
              <w:rPr/>
            </w:pPr>
            <w:r>
              <w:rPr/>
              <w:t xml:space="preserve">Severance in Connection </w:t>
              <w:br/>
              <w:t>with a Change in Control Termination</w:t>
              <w:br/>
              <w:t xml:space="preserve">(Number of Months) </w:t>
            </w:r>
          </w:p>
        </w:tc>
        <w:tc>
          <w:tcPr>
            <w:tcW w:w="157"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508" w:type="dxa"/>
            <w:tcBorders>
              <w:bottom w:val="single" w:sz="6" w:space="0" w:color="000000"/>
            </w:tcBorders>
            <w:tcMar>
              <w:bottom w:w="145" w:type="dxa"/>
            </w:tcMar>
            <w:vAlign w:val="center"/>
          </w:tcPr>
          <w:p>
            <w:pPr>
              <w:pStyle w:val="TableContents"/>
              <w:bidi w:val="0"/>
              <w:spacing w:before="0" w:after="283"/>
              <w:jc w:val="left"/>
              <w:rPr/>
            </w:pPr>
            <w:r>
              <w:rPr/>
              <w:t xml:space="preserve">Peter Rawlinson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449" w:type="dxa"/>
            <w:tcBorders>
              <w:bottom w:val="single" w:sz="6" w:space="0" w:color="000000"/>
            </w:tcBorders>
            <w:tcMar>
              <w:bottom w:w="28" w:type="dxa"/>
            </w:tcMar>
            <w:vAlign w:val="center"/>
          </w:tcPr>
          <w:p>
            <w:pPr>
              <w:pStyle w:val="TableContents"/>
              <w:bidi w:val="0"/>
              <w:spacing w:before="0" w:after="283"/>
              <w:jc w:val="left"/>
              <w:rPr/>
            </w:pPr>
            <w:r>
              <w:rPr/>
              <w:t>​</w:t>
            </w:r>
          </w:p>
        </w:tc>
        <w:tc>
          <w:tcPr>
            <w:tcW w:w="449" w:type="dxa"/>
            <w:tcBorders>
              <w:bottom w:val="single" w:sz="6" w:space="0" w:color="000000"/>
            </w:tcBorders>
            <w:tcMar>
              <w:bottom w:w="145" w:type="dxa"/>
            </w:tcMar>
            <w:vAlign w:val="center"/>
          </w:tcPr>
          <w:p>
            <w:pPr>
              <w:pStyle w:val="TableContents"/>
              <w:bidi w:val="0"/>
              <w:spacing w:before="0" w:after="283"/>
              <w:jc w:val="right"/>
              <w:rPr/>
            </w:pPr>
            <w:r>
              <w:rPr/>
              <w:t>​</w:t>
            </w:r>
          </w:p>
        </w:tc>
        <w:tc>
          <w:tcPr>
            <w:tcW w:w="1430" w:type="dxa"/>
            <w:tcBorders>
              <w:bottom w:val="single" w:sz="6" w:space="0" w:color="000000"/>
            </w:tcBorders>
            <w:tcMar>
              <w:bottom w:w="145" w:type="dxa"/>
            </w:tcMar>
            <w:vAlign w:val="center"/>
          </w:tcPr>
          <w:p>
            <w:pPr>
              <w:pStyle w:val="TableContents"/>
              <w:bidi w:val="0"/>
              <w:spacing w:before="0" w:after="283"/>
              <w:jc w:val="right"/>
              <w:rPr/>
            </w:pPr>
            <w:r>
              <w:rPr/>
              <w:t>12</w:t>
            </w:r>
          </w:p>
        </w:tc>
        <w:tc>
          <w:tcPr>
            <w:tcW w:w="45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62" w:type="dxa"/>
            <w:tcBorders>
              <w:bottom w:val="single" w:sz="6" w:space="0" w:color="000000"/>
            </w:tcBorders>
            <w:tcMar>
              <w:bottom w:w="28" w:type="dxa"/>
            </w:tcMar>
            <w:vAlign w:val="center"/>
          </w:tcPr>
          <w:p>
            <w:pPr>
              <w:pStyle w:val="TableContents"/>
              <w:bidi w:val="0"/>
              <w:spacing w:before="0" w:after="283"/>
              <w:jc w:val="left"/>
              <w:rPr/>
            </w:pPr>
            <w:r>
              <w:rPr/>
              <w:t>​</w:t>
            </w:r>
          </w:p>
        </w:tc>
        <w:tc>
          <w:tcPr>
            <w:tcW w:w="562" w:type="dxa"/>
            <w:tcBorders>
              <w:bottom w:val="single" w:sz="6" w:space="0" w:color="000000"/>
            </w:tcBorders>
            <w:tcMar>
              <w:bottom w:w="145" w:type="dxa"/>
            </w:tcMar>
            <w:vAlign w:val="center"/>
          </w:tcPr>
          <w:p>
            <w:pPr>
              <w:pStyle w:val="TableContents"/>
              <w:bidi w:val="0"/>
              <w:spacing w:before="0" w:after="283"/>
              <w:jc w:val="right"/>
              <w:rPr/>
            </w:pPr>
            <w:r>
              <w:rPr/>
              <w:t>​</w:t>
            </w:r>
          </w:p>
        </w:tc>
        <w:tc>
          <w:tcPr>
            <w:tcW w:w="1789" w:type="dxa"/>
            <w:tcBorders>
              <w:bottom w:val="single" w:sz="6" w:space="0" w:color="000000"/>
            </w:tcBorders>
            <w:tcMar>
              <w:bottom w:w="145" w:type="dxa"/>
            </w:tcMar>
            <w:vAlign w:val="center"/>
          </w:tcPr>
          <w:p>
            <w:pPr>
              <w:pStyle w:val="TableContents"/>
              <w:bidi w:val="0"/>
              <w:spacing w:before="0" w:after="283"/>
              <w:jc w:val="right"/>
              <w:rPr/>
            </w:pPr>
            <w:r>
              <w:rPr/>
              <w:t>18</w:t>
            </w:r>
          </w:p>
        </w:tc>
        <w:tc>
          <w:tcPr>
            <w:tcW w:w="565" w:type="dxa"/>
            <w:tcBorders>
              <w:bottom w:val="single" w:sz="6" w:space="0" w:color="000000"/>
            </w:tcBorders>
            <w:tcMar>
              <w:bottom w:w="28" w:type="dxa"/>
            </w:tcMar>
            <w:vAlign w:val="center"/>
          </w:tcPr>
          <w:p>
            <w:pPr>
              <w:pStyle w:val="TableContents"/>
              <w:bidi w:val="0"/>
              <w:spacing w:before="0" w:after="283"/>
              <w:jc w:val="left"/>
              <w:rPr/>
            </w:pPr>
            <w:r>
              <w:rPr/>
              <w:t>​</w:t>
            </w:r>
          </w:p>
        </w:tc>
        <w:tc>
          <w:tcPr>
            <w:tcW w:w="157"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508" w:type="dxa"/>
            <w:tcBorders>
              <w:bottom w:val="single" w:sz="6" w:space="0" w:color="000000"/>
            </w:tcBorders>
            <w:shd w:fill="F7F7F7" w:val="clear"/>
            <w:tcMar>
              <w:bottom w:w="145" w:type="dxa"/>
            </w:tcMar>
            <w:vAlign w:val="center"/>
          </w:tcPr>
          <w:p>
            <w:pPr>
              <w:pStyle w:val="TableContents"/>
              <w:bidi w:val="0"/>
              <w:spacing w:before="0" w:after="283"/>
              <w:jc w:val="left"/>
              <w:rPr/>
            </w:pPr>
            <w:r>
              <w:rPr/>
              <w:t xml:space="preserve">Gagan Dhingra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44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44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430" w:type="dxa"/>
            <w:tcBorders>
              <w:bottom w:val="single" w:sz="6" w:space="0" w:color="000000"/>
            </w:tcBorders>
            <w:shd w:fill="F7F7F7" w:val="clear"/>
            <w:tcMar>
              <w:bottom w:w="145" w:type="dxa"/>
            </w:tcMar>
            <w:vAlign w:val="center"/>
          </w:tcPr>
          <w:p>
            <w:pPr>
              <w:pStyle w:val="TableContents"/>
              <w:bidi w:val="0"/>
              <w:spacing w:before="0" w:after="283"/>
              <w:jc w:val="right"/>
              <w:rPr/>
            </w:pPr>
            <w:r>
              <w:rPr/>
              <w:t>6</w:t>
            </w:r>
          </w:p>
        </w:tc>
        <w:tc>
          <w:tcPr>
            <w:tcW w:w="4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562"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562"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789" w:type="dxa"/>
            <w:tcBorders>
              <w:bottom w:val="single" w:sz="6" w:space="0" w:color="000000"/>
            </w:tcBorders>
            <w:shd w:fill="F7F7F7" w:val="clear"/>
            <w:tcMar>
              <w:bottom w:w="145" w:type="dxa"/>
            </w:tcMar>
            <w:vAlign w:val="center"/>
          </w:tcPr>
          <w:p>
            <w:pPr>
              <w:pStyle w:val="TableContents"/>
              <w:bidi w:val="0"/>
              <w:spacing w:before="0" w:after="283"/>
              <w:jc w:val="right"/>
              <w:rPr/>
            </w:pPr>
            <w:r>
              <w:rPr/>
              <w:t>9</w:t>
            </w:r>
          </w:p>
        </w:tc>
        <w:tc>
          <w:tcPr>
            <w:tcW w:w="56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7"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508" w:type="dxa"/>
            <w:tcBorders>
              <w:bottom w:val="single" w:sz="6" w:space="0" w:color="000000"/>
            </w:tcBorders>
            <w:tcMar>
              <w:bottom w:w="145" w:type="dxa"/>
            </w:tcMar>
            <w:vAlign w:val="center"/>
          </w:tcPr>
          <w:p>
            <w:pPr>
              <w:pStyle w:val="TableContents"/>
              <w:bidi w:val="0"/>
              <w:spacing w:before="0" w:after="283"/>
              <w:jc w:val="left"/>
              <w:rPr/>
            </w:pPr>
            <w:r>
              <w:rPr/>
              <w:t xml:space="preserve">Marc Winterhoff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449" w:type="dxa"/>
            <w:tcBorders>
              <w:bottom w:val="single" w:sz="6" w:space="0" w:color="000000"/>
            </w:tcBorders>
            <w:tcMar>
              <w:bottom w:w="28" w:type="dxa"/>
            </w:tcMar>
            <w:vAlign w:val="center"/>
          </w:tcPr>
          <w:p>
            <w:pPr>
              <w:pStyle w:val="TableContents"/>
              <w:bidi w:val="0"/>
              <w:spacing w:before="0" w:after="283"/>
              <w:jc w:val="left"/>
              <w:rPr/>
            </w:pPr>
            <w:r>
              <w:rPr/>
              <w:t>​</w:t>
            </w:r>
          </w:p>
        </w:tc>
        <w:tc>
          <w:tcPr>
            <w:tcW w:w="449" w:type="dxa"/>
            <w:tcBorders>
              <w:bottom w:val="single" w:sz="6" w:space="0" w:color="000000"/>
            </w:tcBorders>
            <w:tcMar>
              <w:bottom w:w="145" w:type="dxa"/>
            </w:tcMar>
            <w:vAlign w:val="center"/>
          </w:tcPr>
          <w:p>
            <w:pPr>
              <w:pStyle w:val="TableContents"/>
              <w:bidi w:val="0"/>
              <w:spacing w:before="0" w:after="283"/>
              <w:jc w:val="right"/>
              <w:rPr/>
            </w:pPr>
            <w:r>
              <w:rPr/>
              <w:t>​</w:t>
            </w:r>
          </w:p>
        </w:tc>
        <w:tc>
          <w:tcPr>
            <w:tcW w:w="1430" w:type="dxa"/>
            <w:tcBorders>
              <w:bottom w:val="single" w:sz="6" w:space="0" w:color="000000"/>
            </w:tcBorders>
            <w:tcMar>
              <w:bottom w:w="145" w:type="dxa"/>
            </w:tcMar>
            <w:vAlign w:val="center"/>
          </w:tcPr>
          <w:p>
            <w:pPr>
              <w:pStyle w:val="TableContents"/>
              <w:bidi w:val="0"/>
              <w:spacing w:before="0" w:after="283"/>
              <w:jc w:val="right"/>
              <w:rPr/>
            </w:pPr>
            <w:r>
              <w:rPr/>
              <w:t>9</w:t>
            </w:r>
          </w:p>
        </w:tc>
        <w:tc>
          <w:tcPr>
            <w:tcW w:w="45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62" w:type="dxa"/>
            <w:tcBorders>
              <w:bottom w:val="single" w:sz="6" w:space="0" w:color="000000"/>
            </w:tcBorders>
            <w:tcMar>
              <w:bottom w:w="28" w:type="dxa"/>
            </w:tcMar>
            <w:vAlign w:val="center"/>
          </w:tcPr>
          <w:p>
            <w:pPr>
              <w:pStyle w:val="TableContents"/>
              <w:bidi w:val="0"/>
              <w:spacing w:before="0" w:after="283"/>
              <w:jc w:val="left"/>
              <w:rPr/>
            </w:pPr>
            <w:r>
              <w:rPr/>
              <w:t>​</w:t>
            </w:r>
          </w:p>
        </w:tc>
        <w:tc>
          <w:tcPr>
            <w:tcW w:w="562" w:type="dxa"/>
            <w:tcBorders>
              <w:bottom w:val="single" w:sz="6" w:space="0" w:color="000000"/>
            </w:tcBorders>
            <w:tcMar>
              <w:bottom w:w="145" w:type="dxa"/>
            </w:tcMar>
            <w:vAlign w:val="center"/>
          </w:tcPr>
          <w:p>
            <w:pPr>
              <w:pStyle w:val="TableContents"/>
              <w:bidi w:val="0"/>
              <w:spacing w:before="0" w:after="283"/>
              <w:jc w:val="right"/>
              <w:rPr/>
            </w:pPr>
            <w:r>
              <w:rPr/>
              <w:t>​</w:t>
            </w:r>
          </w:p>
        </w:tc>
        <w:tc>
          <w:tcPr>
            <w:tcW w:w="1789" w:type="dxa"/>
            <w:tcBorders>
              <w:bottom w:val="single" w:sz="6" w:space="0" w:color="000000"/>
            </w:tcBorders>
            <w:tcMar>
              <w:bottom w:w="145" w:type="dxa"/>
            </w:tcMar>
            <w:vAlign w:val="center"/>
          </w:tcPr>
          <w:p>
            <w:pPr>
              <w:pStyle w:val="TableContents"/>
              <w:bidi w:val="0"/>
              <w:spacing w:before="0" w:after="283"/>
              <w:jc w:val="right"/>
              <w:rPr/>
            </w:pPr>
            <w:r>
              <w:rPr/>
              <w:t>12</w:t>
            </w:r>
          </w:p>
        </w:tc>
        <w:tc>
          <w:tcPr>
            <w:tcW w:w="565" w:type="dxa"/>
            <w:tcBorders>
              <w:bottom w:val="single" w:sz="6" w:space="0" w:color="000000"/>
            </w:tcBorders>
            <w:tcMar>
              <w:bottom w:w="28" w:type="dxa"/>
            </w:tcMar>
            <w:vAlign w:val="center"/>
          </w:tcPr>
          <w:p>
            <w:pPr>
              <w:pStyle w:val="TableContents"/>
              <w:bidi w:val="0"/>
              <w:spacing w:before="0" w:after="283"/>
              <w:jc w:val="left"/>
              <w:rPr/>
            </w:pPr>
            <w:r>
              <w:rPr/>
              <w:t>​</w:t>
            </w:r>
          </w:p>
        </w:tc>
        <w:tc>
          <w:tcPr>
            <w:tcW w:w="157"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508" w:type="dxa"/>
            <w:tcBorders>
              <w:bottom w:val="single" w:sz="6" w:space="0" w:color="000000"/>
            </w:tcBorders>
            <w:shd w:fill="F7F7F7" w:val="clear"/>
            <w:tcMar>
              <w:bottom w:w="145" w:type="dxa"/>
            </w:tcMar>
            <w:vAlign w:val="center"/>
          </w:tcPr>
          <w:p>
            <w:pPr>
              <w:pStyle w:val="TableContents"/>
              <w:bidi w:val="0"/>
              <w:spacing w:before="0" w:after="283"/>
              <w:jc w:val="left"/>
              <w:rPr/>
            </w:pPr>
            <w:r>
              <w:rPr/>
              <w:t xml:space="preserve">Eric Bach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44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44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430" w:type="dxa"/>
            <w:tcBorders>
              <w:bottom w:val="single" w:sz="6" w:space="0" w:color="000000"/>
            </w:tcBorders>
            <w:shd w:fill="F7F7F7" w:val="clear"/>
            <w:tcMar>
              <w:bottom w:w="145" w:type="dxa"/>
            </w:tcMar>
            <w:vAlign w:val="center"/>
          </w:tcPr>
          <w:p>
            <w:pPr>
              <w:pStyle w:val="TableContents"/>
              <w:bidi w:val="0"/>
              <w:spacing w:before="0" w:after="283"/>
              <w:jc w:val="right"/>
              <w:rPr/>
            </w:pPr>
            <w:r>
              <w:rPr/>
              <w:t>9</w:t>
            </w:r>
          </w:p>
        </w:tc>
        <w:tc>
          <w:tcPr>
            <w:tcW w:w="4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562"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562"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789" w:type="dxa"/>
            <w:tcBorders>
              <w:bottom w:val="single" w:sz="6" w:space="0" w:color="000000"/>
            </w:tcBorders>
            <w:shd w:fill="F7F7F7" w:val="clear"/>
            <w:tcMar>
              <w:bottom w:w="145" w:type="dxa"/>
            </w:tcMar>
            <w:vAlign w:val="center"/>
          </w:tcPr>
          <w:p>
            <w:pPr>
              <w:pStyle w:val="TableContents"/>
              <w:bidi w:val="0"/>
              <w:spacing w:before="0" w:after="283"/>
              <w:jc w:val="right"/>
              <w:rPr/>
            </w:pPr>
            <w:r>
              <w:rPr/>
              <w:t>12</w:t>
            </w:r>
          </w:p>
        </w:tc>
        <w:tc>
          <w:tcPr>
            <w:tcW w:w="56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7"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508" w:type="dxa"/>
            <w:tcBorders>
              <w:bottom w:val="single" w:sz="6" w:space="0" w:color="000000"/>
            </w:tcBorders>
            <w:tcMar>
              <w:bottom w:w="145" w:type="dxa"/>
            </w:tcMar>
            <w:vAlign w:val="center"/>
          </w:tcPr>
          <w:p>
            <w:pPr>
              <w:pStyle w:val="TableContents"/>
              <w:bidi w:val="0"/>
              <w:spacing w:before="0" w:after="283"/>
              <w:jc w:val="left"/>
              <w:rPr/>
            </w:pPr>
            <w:r>
              <w:rPr/>
              <w:t xml:space="preserve">Michael Bell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449" w:type="dxa"/>
            <w:tcBorders>
              <w:bottom w:val="single" w:sz="6" w:space="0" w:color="000000"/>
            </w:tcBorders>
            <w:tcMar>
              <w:bottom w:w="28" w:type="dxa"/>
            </w:tcMar>
            <w:vAlign w:val="center"/>
          </w:tcPr>
          <w:p>
            <w:pPr>
              <w:pStyle w:val="TableContents"/>
              <w:bidi w:val="0"/>
              <w:spacing w:before="0" w:after="283"/>
              <w:jc w:val="left"/>
              <w:rPr/>
            </w:pPr>
            <w:r>
              <w:rPr/>
              <w:t>​</w:t>
            </w:r>
          </w:p>
        </w:tc>
        <w:tc>
          <w:tcPr>
            <w:tcW w:w="449" w:type="dxa"/>
            <w:tcBorders>
              <w:bottom w:val="single" w:sz="6" w:space="0" w:color="000000"/>
            </w:tcBorders>
            <w:tcMar>
              <w:bottom w:w="145" w:type="dxa"/>
            </w:tcMar>
            <w:vAlign w:val="center"/>
          </w:tcPr>
          <w:p>
            <w:pPr>
              <w:pStyle w:val="TableContents"/>
              <w:bidi w:val="0"/>
              <w:spacing w:before="0" w:after="283"/>
              <w:jc w:val="right"/>
              <w:rPr/>
            </w:pPr>
            <w:r>
              <w:rPr/>
              <w:t>​</w:t>
            </w:r>
          </w:p>
        </w:tc>
        <w:tc>
          <w:tcPr>
            <w:tcW w:w="1430" w:type="dxa"/>
            <w:tcBorders>
              <w:bottom w:val="single" w:sz="6" w:space="0" w:color="000000"/>
            </w:tcBorders>
            <w:tcMar>
              <w:bottom w:w="145" w:type="dxa"/>
            </w:tcMar>
            <w:vAlign w:val="center"/>
          </w:tcPr>
          <w:p>
            <w:pPr>
              <w:pStyle w:val="TableContents"/>
              <w:bidi w:val="0"/>
              <w:spacing w:before="0" w:after="283"/>
              <w:jc w:val="right"/>
              <w:rPr/>
            </w:pPr>
            <w:r>
              <w:rPr/>
              <w:t>9</w:t>
            </w:r>
          </w:p>
        </w:tc>
        <w:tc>
          <w:tcPr>
            <w:tcW w:w="45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62" w:type="dxa"/>
            <w:tcBorders>
              <w:bottom w:val="single" w:sz="6" w:space="0" w:color="000000"/>
            </w:tcBorders>
            <w:tcMar>
              <w:bottom w:w="28" w:type="dxa"/>
            </w:tcMar>
            <w:vAlign w:val="center"/>
          </w:tcPr>
          <w:p>
            <w:pPr>
              <w:pStyle w:val="TableContents"/>
              <w:bidi w:val="0"/>
              <w:spacing w:before="0" w:after="283"/>
              <w:jc w:val="left"/>
              <w:rPr/>
            </w:pPr>
            <w:r>
              <w:rPr/>
              <w:t>​</w:t>
            </w:r>
          </w:p>
        </w:tc>
        <w:tc>
          <w:tcPr>
            <w:tcW w:w="562" w:type="dxa"/>
            <w:tcBorders>
              <w:bottom w:val="single" w:sz="6" w:space="0" w:color="000000"/>
            </w:tcBorders>
            <w:tcMar>
              <w:bottom w:w="145" w:type="dxa"/>
            </w:tcMar>
            <w:vAlign w:val="center"/>
          </w:tcPr>
          <w:p>
            <w:pPr>
              <w:pStyle w:val="TableContents"/>
              <w:bidi w:val="0"/>
              <w:spacing w:before="0" w:after="283"/>
              <w:jc w:val="right"/>
              <w:rPr/>
            </w:pPr>
            <w:r>
              <w:rPr/>
              <w:t>​</w:t>
            </w:r>
          </w:p>
        </w:tc>
        <w:tc>
          <w:tcPr>
            <w:tcW w:w="1789" w:type="dxa"/>
            <w:tcBorders>
              <w:bottom w:val="single" w:sz="6" w:space="0" w:color="000000"/>
            </w:tcBorders>
            <w:tcMar>
              <w:bottom w:w="145" w:type="dxa"/>
            </w:tcMar>
            <w:vAlign w:val="center"/>
          </w:tcPr>
          <w:p>
            <w:pPr>
              <w:pStyle w:val="TableContents"/>
              <w:bidi w:val="0"/>
              <w:spacing w:before="0" w:after="283"/>
              <w:jc w:val="right"/>
              <w:rPr/>
            </w:pPr>
            <w:r>
              <w:rPr/>
              <w:t>12</w:t>
            </w:r>
          </w:p>
        </w:tc>
        <w:tc>
          <w:tcPr>
            <w:tcW w:w="565" w:type="dxa"/>
            <w:tcBorders>
              <w:bottom w:val="single" w:sz="6" w:space="0" w:color="000000"/>
            </w:tcBorders>
            <w:tcMar>
              <w:bottom w:w="28" w:type="dxa"/>
            </w:tcMar>
            <w:vAlign w:val="center"/>
          </w:tcPr>
          <w:p>
            <w:pPr>
              <w:pStyle w:val="TableContents"/>
              <w:bidi w:val="0"/>
              <w:spacing w:before="0" w:after="283"/>
              <w:jc w:val="left"/>
              <w:rPr/>
            </w:pPr>
            <w:r>
              <w:rPr/>
              <w:t>​</w:t>
            </w:r>
          </w:p>
        </w:tc>
        <w:tc>
          <w:tcPr>
            <w:tcW w:w="157"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508" w:type="dxa"/>
            <w:tcBorders>
              <w:bottom w:val="single" w:sz="6" w:space="0" w:color="000000"/>
            </w:tcBorders>
            <w:shd w:fill="F7F7F7" w:val="clear"/>
            <w:tcMar>
              <w:bottom w:w="145" w:type="dxa"/>
            </w:tcMar>
            <w:vAlign w:val="center"/>
          </w:tcPr>
          <w:p>
            <w:pPr>
              <w:pStyle w:val="TableContents"/>
              <w:bidi w:val="0"/>
              <w:spacing w:before="0" w:after="283"/>
              <w:jc w:val="left"/>
              <w:rPr/>
            </w:pPr>
            <w:r>
              <w:rPr/>
              <w:t xml:space="preserve">Sherry House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44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44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430" w:type="dxa"/>
            <w:tcBorders>
              <w:bottom w:val="single" w:sz="6" w:space="0" w:color="000000"/>
            </w:tcBorders>
            <w:shd w:fill="F7F7F7" w:val="clear"/>
            <w:tcMar>
              <w:bottom w:w="145" w:type="dxa"/>
            </w:tcMar>
            <w:vAlign w:val="center"/>
          </w:tcPr>
          <w:p>
            <w:pPr>
              <w:pStyle w:val="TableContents"/>
              <w:bidi w:val="0"/>
              <w:spacing w:before="0" w:after="283"/>
              <w:jc w:val="right"/>
              <w:rPr/>
            </w:pPr>
            <w:r>
              <w:rPr/>
              <w:t>9</w:t>
            </w:r>
          </w:p>
        </w:tc>
        <w:tc>
          <w:tcPr>
            <w:tcW w:w="4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562"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562"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789" w:type="dxa"/>
            <w:tcBorders>
              <w:bottom w:val="single" w:sz="6" w:space="0" w:color="000000"/>
            </w:tcBorders>
            <w:shd w:fill="F7F7F7" w:val="clear"/>
            <w:tcMar>
              <w:bottom w:w="145" w:type="dxa"/>
            </w:tcMar>
            <w:vAlign w:val="center"/>
          </w:tcPr>
          <w:p>
            <w:pPr>
              <w:pStyle w:val="TableContents"/>
              <w:bidi w:val="0"/>
              <w:spacing w:before="0" w:after="283"/>
              <w:jc w:val="right"/>
              <w:rPr/>
            </w:pPr>
            <w:r>
              <w:rPr/>
              <w:t>12</w:t>
            </w:r>
          </w:p>
        </w:tc>
        <w:tc>
          <w:tcPr>
            <w:tcW w:w="56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7"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bl>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55</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84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Under the terms of the Lucid Group, Inc. Vesting Acceleration Policy for Death and Disability (the “Acceleration Policy”), our NEOs who are currently employed are also entitled to accelerated vesting of all outstanding unvested time-based and performance-based equity awards in the event of death or disability, except to the extent the policy would be inconsistent with the terms or provisions of any award agreement, employment agreement, or other plan or agreement. The Acceleration Policy also does not apply to any equity awards granted to Mr. Rawlinson prior to September 15, 2021, the date the Acceleration Policy was adopted (including the 2021 CEO Grant). Each NEO’s severance entitlements upon certain terminations of employment are described in more detail below under “Potential Payments Upon Termination or Change in Control.”</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caps w:val="false"/>
          <w:smallCaps w:val="false"/>
          <w:color w:val="000000"/>
          <w:sz w:val="16"/>
        </w:rPr>
      </w:pPr>
      <w:r>
        <w:rPr>
          <w:rFonts w:ascii="Helvetica;Arial;sans-serif" w:hAnsi="Helvetica;Arial;sans-serif"/>
          <w:b/>
          <w:i/>
          <w:caps w:val="false"/>
          <w:smallCaps w:val="false"/>
          <w:color w:val="000000"/>
          <w:sz w:val="16"/>
        </w:rPr>
        <w:t>House Separation Agreement</w:t>
      </w:r>
      <w:r>
        <w:rPr>
          <w:rFonts w:ascii="Helvetica;Arial;sans-serif" w:hAnsi="Helvetica;Arial;sans-serif"/>
          <w:b/>
          <w:i/>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In connection with Ms. House’s separation on December 31, 2023, Ms. House received the following severance benefits pursuant to the terms of her separation agreement: (i) nine months of base salary continuation totaling $431,250, (ii) a 2023 annual bonus of  $215,000, (iii) accelerated vesting of 83,987 RSUs and 136,221 PSUs, (iv) up to nine months of Company-paid COBRA premiums for healthcare continuation coverage (including a gross-up for applicable taxes), (v) ownership of the Company-provided Lucid Air vehicle (including a gross-up for applicable taxes), and (vi) $12,500 to cover the preparation costs of her 2023 tax returns. In addition, 99,150 (or an applicable percentage of 40%) of unvested RSUs subject to Ms. House’s June 29, 2021 RSU grant were accelerated, pursuant to the terms of her participation agreement under the Executive Severance Plan.</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2021 CEO Grant</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In March 2021, as previously disclosed, Mr. Rawlinson was granted (i) 13,834,748 RSUs vesting quarterly over a four-year period beginning on December 5, 2021 (the “CEO Time-Based RSUs”); and (ii) 16,024,411 PSUs vesting in five tranches with each tranche tied to the attainment of market capitalization goals over the course of a five-year performance period as outlined below (the “CEO Performance RSUs”, and collectively, the “2021 CEO Grant”). Of the 13,834,748 CEO Time-Based RSUs, as of December 31, 2023, 7,782,048 have vested and 6,052,700 remain unvested. Of the 16,024,411 CEO Performance RSUs, as of December 31, 2023, 13,934,271 have vested and 2,090,140 remain unvested. The unvested CEO Performance RSUs can be earned until July 23, 2026.</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With respect to the CEO Time-Based RSUs, in the event of a change in control of Lucid, the unvested amount will vest (a) to the extent not assumed or substituted in connection with such change in control if Mr. Rawlinson remains employed through the change in control or (b) upon a termination without “cause” or upon a “constructive termination” ​(as each such term is defined in the 2021 CEO Grant award agreement) 30 days prior to the change in control. If the CEO Time-Based RSUs are assumed or substituted in connection with the change in control, the unvested CEO Time-Based RSUs will vest if Mr. Rawlinson experiences a termination without “cause” or “constructive termination” within 12 months following the change in control.</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With respect to the CEO Performance RSUs, the unvested amount will vest on a change in control if the per share price multiplied by the total number of outstanding shares of our Common Stock exceeds certain previously disclosed market capitalization metrics. In addition, upon a private financing or public offering of our Common Stock with proceeds of at least $1 billion, if Lucid’s total market capitalization implied by the financing exceeds such market capitalization metrics, the CEO Performance RSUs associated with those metrics will vest. Upon a termination without cause or upon a constructive termination, any unvested CEO Performance RSUs will remain outstanding and eligible to vest if Lucid achieves certain market capitalization metrics within six months after such termination of employment. The CEO Performance RSUs that do not vest by July 23, 2026 will be forfeited.</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Compensation Recoupment Policy</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On November 13, 2023, the Company adopted a Compensation Recoupment Policy. The Compensation Recoupment Policy, adopted in compliance with Exchange Act Rule 10D and the corresponding Nasdaq listing standards, applies to current and former executive officers of the Company. In the event the Company is required to restate its financial statements as a result of events described in the Nasdaq listing standards effective October 2, 2023, the Compensation and Human Capital Committee is authorized to recover incentive compensation awarded to a covered executive in accordance with the Compensation Recoupment Policy.</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2023 Say-on-Pay Vote</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At our 2023 annual meeting of stockholders, we held a non-binding advisory stockholder vote on the compensation program for our NEOs, commonly referred to as a “say-on-pay” vote. Approximately 99% of the voting power of shares voted at the 2023 annual meeting of stockholders were cast in favor of our say-on-pay proposal. The Compensation and Human Capital Committee considered the result of this advisory vote to be an endorsement of our compensation program, policies, practices, and philosophy for our NEOs. The Compensation and Human Capital Committee will continue to consider the outcome of our say-on-pay votes </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56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50" w:before="84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and our stockholders’ views when making compensation decisions for our NEOs, including the outcome of Proposal No. 3 (non-binding advisory vote on the compensation of our NEOs) at the Annual Meeting. Based on the results of a separate non-binding advisory stockholder vote on the frequency of future stockholder advisory votes regarding the compensation program for our NEOs, commonly referred to as a “say on frequency” vote, held at our 2023 annual meeting of stockholders, the Board determined that we will hold our say-on-pay vote every year until the next required say on frequency vote. We expect to hold our next advisory vote on the frequency of say-on-pay votes at our annual meeting in 2028.</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Stock Ownership Guidelines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5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Board recently adopted Stock Ownership Guidelines. Under these guidelines, our non-employee directors and executives are expected to maintain a minimum equity stake in the Company. These guidelines embody the Compensation and Human Capital Committee’s belief that our directors and executives should maintain a significant personal financial stake in the Company to align such individuals with our stockholders’ interests, which reduces the incentive for excessive short-term risk taking. Under the guidelines, each covered individual is expected to meet the following ownership goal within five years of January 23, 2023, the effective date of the guidelines, or within five years of the first election or appointment as a covered individual, whichever comes later:</w:t>
      </w:r>
      <w:r>
        <w:rPr>
          <w:rFonts w:ascii="Helvetica;Arial;sans-serif" w:hAnsi="Helvetica;Arial;sans-serif"/>
          <w:b w:val="false"/>
          <w:i w:val="false"/>
          <w:caps w:val="false"/>
          <w:smallCaps w:val="false"/>
          <w:color w:val="000000"/>
          <w:spacing w:val="4"/>
          <w:sz w:val="18"/>
        </w:rPr>
        <w:t xml:space="preserve"> </w:t>
      </w:r>
    </w:p>
    <w:tbl>
      <w:tblPr>
        <w:tblW w:w="8673" w:type="dxa"/>
        <w:jc w:val="left"/>
        <w:tblInd w:w="720" w:type="dxa"/>
        <w:tblLayout w:type="fixed"/>
        <w:tblCellMar>
          <w:top w:w="0" w:type="dxa"/>
          <w:left w:w="0" w:type="dxa"/>
          <w:bottom w:w="0" w:type="dxa"/>
          <w:right w:w="0" w:type="dxa"/>
        </w:tblCellMar>
      </w:tblPr>
      <w:tblGrid>
        <w:gridCol w:w="124"/>
        <w:gridCol w:w="4966"/>
        <w:gridCol w:w="109"/>
        <w:gridCol w:w="109"/>
        <w:gridCol w:w="3211"/>
        <w:gridCol w:w="154"/>
      </w:tblGrid>
      <w:tr>
        <w:trPr/>
        <w:tc>
          <w:tcPr>
            <w:tcW w:w="124" w:type="dxa"/>
            <w:tcBorders/>
            <w:shd w:fill="000000" w:val="clear"/>
            <w:vAlign w:val="center"/>
          </w:tcPr>
          <w:p>
            <w:pPr>
              <w:pStyle w:val="TableContents"/>
              <w:bidi w:val="0"/>
              <w:spacing w:before="0" w:after="283"/>
              <w:jc w:val="left"/>
              <w:rPr/>
            </w:pPr>
            <w:r>
              <w:rPr/>
              <w:t>​</w:t>
            </w:r>
          </w:p>
        </w:tc>
        <w:tc>
          <w:tcPr>
            <w:tcW w:w="4966" w:type="dxa"/>
            <w:tcBorders/>
            <w:shd w:fill="000000" w:val="clear"/>
            <w:vAlign w:val="center"/>
          </w:tcPr>
          <w:p>
            <w:pPr>
              <w:pStyle w:val="TableContents"/>
              <w:bidi w:val="0"/>
              <w:spacing w:before="0" w:after="0"/>
              <w:jc w:val="left"/>
              <w:rPr/>
            </w:pPr>
            <w:r>
              <w:rPr/>
              <w:t xml:space="preserve">Category of Covered Individual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3211" w:type="dxa"/>
            <w:tcBorders/>
            <w:shd w:fill="000000" w:val="clear"/>
            <w:vAlign w:val="center"/>
          </w:tcPr>
          <w:p>
            <w:pPr>
              <w:pStyle w:val="TableContents"/>
              <w:bidi w:val="0"/>
              <w:spacing w:before="0" w:after="0"/>
              <w:jc w:val="left"/>
              <w:rPr/>
            </w:pPr>
            <w:r>
              <w:rPr/>
              <w:t xml:space="preserve">Ownership Goal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4966" w:type="dxa"/>
            <w:tcBorders>
              <w:bottom w:val="single" w:sz="6" w:space="0" w:color="000000"/>
            </w:tcBorders>
            <w:tcMar>
              <w:bottom w:w="145" w:type="dxa"/>
            </w:tcMar>
            <w:vAlign w:val="center"/>
          </w:tcPr>
          <w:p>
            <w:pPr>
              <w:pStyle w:val="TableContents"/>
              <w:bidi w:val="0"/>
              <w:spacing w:before="0" w:after="283"/>
              <w:jc w:val="left"/>
              <w:rPr/>
            </w:pPr>
            <w:r>
              <w:rPr/>
              <w:t xml:space="preserve">Non-Employee Director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211" w:type="dxa"/>
            <w:tcBorders>
              <w:bottom w:val="single" w:sz="6" w:space="0" w:color="000000"/>
            </w:tcBorders>
            <w:tcMar>
              <w:bottom w:w="145" w:type="dxa"/>
            </w:tcMar>
            <w:vAlign w:val="center"/>
          </w:tcPr>
          <w:p>
            <w:pPr>
              <w:pStyle w:val="TableContents"/>
              <w:bidi w:val="0"/>
              <w:spacing w:before="0" w:after="283"/>
              <w:jc w:val="left"/>
              <w:rPr/>
            </w:pPr>
            <w:r>
              <w:rPr/>
              <w:t xml:space="preserve">5x Annual Board Cash Retainer </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4966" w:type="dxa"/>
            <w:tcBorders>
              <w:bottom w:val="single" w:sz="6" w:space="0" w:color="000000"/>
            </w:tcBorders>
            <w:shd w:fill="F7F7F7" w:val="clear"/>
            <w:tcMar>
              <w:bottom w:w="145" w:type="dxa"/>
            </w:tcMar>
            <w:vAlign w:val="center"/>
          </w:tcPr>
          <w:p>
            <w:pPr>
              <w:pStyle w:val="TableContents"/>
              <w:bidi w:val="0"/>
              <w:spacing w:before="0" w:after="283"/>
              <w:jc w:val="left"/>
              <w:rPr/>
            </w:pPr>
            <w:r>
              <w:rPr/>
              <w:t xml:space="preserve">Chief Executive Officer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3211" w:type="dxa"/>
            <w:tcBorders>
              <w:bottom w:val="single" w:sz="6" w:space="0" w:color="000000"/>
            </w:tcBorders>
            <w:shd w:fill="F7F7F7" w:val="clear"/>
            <w:tcMar>
              <w:bottom w:w="145" w:type="dxa"/>
            </w:tcMar>
            <w:vAlign w:val="center"/>
          </w:tcPr>
          <w:p>
            <w:pPr>
              <w:pStyle w:val="TableContents"/>
              <w:bidi w:val="0"/>
              <w:spacing w:before="0" w:after="283"/>
              <w:jc w:val="left"/>
              <w:rPr/>
            </w:pPr>
            <w:r>
              <w:rPr/>
              <w:t xml:space="preserve">6x Annual Base Salary </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4966" w:type="dxa"/>
            <w:tcBorders>
              <w:bottom w:val="single" w:sz="6" w:space="0" w:color="000000"/>
            </w:tcBorders>
            <w:tcMar>
              <w:bottom w:w="145" w:type="dxa"/>
            </w:tcMar>
            <w:vAlign w:val="center"/>
          </w:tcPr>
          <w:p>
            <w:pPr>
              <w:pStyle w:val="TableContents"/>
              <w:bidi w:val="0"/>
              <w:spacing w:before="0" w:after="283"/>
              <w:jc w:val="left"/>
              <w:rPr/>
            </w:pPr>
            <w:r>
              <w:rPr/>
              <w:t xml:space="preserve">Chief Financial Officer and Senior Vice Presidents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211" w:type="dxa"/>
            <w:tcBorders>
              <w:bottom w:val="single" w:sz="6" w:space="0" w:color="000000"/>
            </w:tcBorders>
            <w:tcMar>
              <w:bottom w:w="145" w:type="dxa"/>
            </w:tcMar>
            <w:vAlign w:val="center"/>
          </w:tcPr>
          <w:p>
            <w:pPr>
              <w:pStyle w:val="TableContents"/>
              <w:bidi w:val="0"/>
              <w:spacing w:before="0" w:after="283"/>
              <w:jc w:val="left"/>
              <w:rPr/>
            </w:pPr>
            <w:r>
              <w:rPr/>
              <w:t xml:space="preserve">3x Annual Base Salary </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4966" w:type="dxa"/>
            <w:tcBorders>
              <w:bottom w:val="single" w:sz="6" w:space="0" w:color="000000"/>
            </w:tcBorders>
            <w:shd w:fill="F7F7F7" w:val="clear"/>
            <w:tcMar>
              <w:bottom w:w="145" w:type="dxa"/>
            </w:tcMar>
            <w:vAlign w:val="center"/>
          </w:tcPr>
          <w:p>
            <w:pPr>
              <w:pStyle w:val="TableContents"/>
              <w:bidi w:val="0"/>
              <w:spacing w:before="0" w:after="283"/>
              <w:jc w:val="left"/>
              <w:rPr/>
            </w:pPr>
            <w:r>
              <w:rPr/>
              <w:t xml:space="preserve">Interim Chief Financial Officer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3211" w:type="dxa"/>
            <w:tcBorders>
              <w:bottom w:val="single" w:sz="6" w:space="0" w:color="000000"/>
            </w:tcBorders>
            <w:shd w:fill="F7F7F7" w:val="clear"/>
            <w:tcMar>
              <w:bottom w:w="145" w:type="dxa"/>
            </w:tcMar>
            <w:vAlign w:val="center"/>
          </w:tcPr>
          <w:p>
            <w:pPr>
              <w:pStyle w:val="TableContents"/>
              <w:bidi w:val="0"/>
              <w:spacing w:before="0" w:after="283"/>
              <w:jc w:val="left"/>
              <w:rPr/>
            </w:pPr>
            <w:r>
              <w:rPr/>
              <w:t>2x Annual Base Salary</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bl>
    <w:p>
      <w:pPr>
        <w:pStyle w:val="TextBody"/>
        <w:bidi w:val="0"/>
        <w:spacing w:lineRule="atLeast" w:line="250" w:before="264"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following shares subject to equity awards will be counted toward satisfaction of the ownership goal (in addition to outstanding shares of which the individual is the beneficial owner): (a) shares subject to unvested, or vested but unsettled, RSU awards; and (b) shares subject to performance-based awards for which performance conditions have been satisfied (i.e., earned performance awards at actual achievement, even if they remain subject to time-based vesting conditions). The following shares will not be counted toward satisfaction of the ownership goal: (a) shares subject to performance-based awards for which the performance conditions have not yet been satisfied; (b) shares subject to unexercised stock options or stock appreciation rights, in each case, regardless of whether vested or “in-the-money;” and (c) shares subject to equity-based awards that may only be settled in cash.</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Tax and Accounting Considerations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00" w:before="40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Deductibility of Executive Compensation</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5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Section 162(m) of the Code generally imposes a $1 million cap on the federal income tax deduction for compensation paid to our “covered employees” during any fiscal year. While the Compensation and Human Capital Committee considers the deductibility of awards as one factor in determining executive compensation, the Compensation and Human Capital Committee also looks at other factors in making its decisions, and, in the exercise of its business judgment and in accordance with its compensation philosophy, the Compensation and Human Capital Committee retains the flexibility to award compensation even if the compensation is not deductible by us for tax purposes, and to modify compensation that was initially intended to be tax deductible if it determines such modifications are consistent with our business needs.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Accounting for Stock-Based Compensation</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5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Compensation and Human Capital Committee takes accounting considerations into account in designing compensation plans and arrangements for our NEOs and other employees. We follow Financial Accounting Standard Board Accounting Standards Codification Topic 718 (FASB ASC Topic 718) for our stock-based compensation awards. FASB ASC Topic 718 requires us to measure the compensation expense for all share-based payment awards based on the grant date “fair value” of these awards.</w:t>
      </w:r>
      <w:r>
        <w:rPr>
          <w:rFonts w:ascii="Helvetica;Arial;sans-serif" w:hAnsi="Helvetica;Arial;sans-serif"/>
          <w:b w:val="false"/>
          <w:i w:val="false"/>
          <w:caps w:val="false"/>
          <w:smallCaps w:val="false"/>
          <w:color w:val="000000"/>
          <w:spacing w:val="4"/>
          <w:sz w:val="18"/>
        </w:rPr>
        <w:t xml:space="preserve"> </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57</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840" w:after="283"/>
        <w:ind w:left="720" w:right="0" w:hanging="0"/>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Compensation Risk Assessment</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Compensation and Human Capital Committee believes that the design, implementation, and governance of our executive compensation program are consistent with high standards of risk management. Our executive compensation program reflects an appropriate mix of compensation elements, balancing current and long-term performance objectives, cash and equity compensation, and risks and rewards.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Pay Governance annually conducts a detailed risk assessment of our compensation programs employing a framework to assist the Compensation and Human Capital Committee in ascertaining any potential material adverse risks and how they may link with our compensation programs. The results of Pay Governance’s risk assessment were presented to the Compensation and Human Capital Committee in December 2023. Based on the assessment, Pay Governance concluded, and the Compensation and Human Capital Committee agreed, that our compensation programs do not create any potential risk that is reasonably likely to have a material adverse effect on the Company.</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Based on the above, we believe our executive compensation program effectively (i) ensures that our compensation opportunities do not encourage excessive risk taking, (ii) keeps our NEOs focused on the creation of long-term, sustainable value for our stockholders, and (iii) provides competitive and appropriate levels of compensation over time. </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58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CCR"/>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283"/>
        <w:ind w:left="720" w:right="0" w:hanging="0"/>
        <w:jc w:val="left"/>
        <w:rPr>
          <w:rFonts w:ascii="Times New Roman;Garamond;serif" w:hAnsi="Times New Roman;Garamond;serif"/>
          <w:b/>
          <w:i w:val="false"/>
          <w:caps w:val="false"/>
          <w:smallCaps w:val="false"/>
          <w:color w:val="000000"/>
          <w:sz w:val="40"/>
        </w:rPr>
      </w:pPr>
      <w:r>
        <w:rPr>
          <w:rFonts w:ascii="Times New Roman;Garamond;serif" w:hAnsi="Times New Roman;Garamond;serif"/>
          <w:b/>
          <w:i w:val="false"/>
          <w:caps w:val="false"/>
          <w:smallCaps w:val="false"/>
          <w:color w:val="000000"/>
          <w:sz w:val="40"/>
        </w:rPr>
        <w:t>C</w:t>
      </w:r>
      <w:r>
        <w:rPr>
          <w:rFonts w:ascii="Times New Roman;Garamond;serif" w:hAnsi="Times New Roman;Garamond;serif"/>
          <w:b/>
          <w:i w:val="false"/>
          <w:caps w:val="false"/>
          <w:smallCaps w:val="false"/>
          <w:color w:val="000000"/>
          <w:sz w:val="40"/>
        </w:rPr>
        <w:t>OMPENSATION AND</w:t>
      </w:r>
      <w:r>
        <w:rPr>
          <w:rFonts w:ascii="Times New Roman;Garamond;serif" w:hAnsi="Times New Roman;Garamond;serif"/>
          <w:b/>
          <w:i w:val="false"/>
          <w:caps w:val="false"/>
          <w:smallCaps w:val="false"/>
          <w:color w:val="000000"/>
          <w:sz w:val="40"/>
        </w:rPr>
        <w:t xml:space="preserve"> H</w:t>
      </w:r>
      <w:r>
        <w:rPr>
          <w:rFonts w:ascii="Times New Roman;Garamond;serif" w:hAnsi="Times New Roman;Garamond;serif"/>
          <w:b/>
          <w:i w:val="false"/>
          <w:caps w:val="false"/>
          <w:smallCaps w:val="false"/>
          <w:color w:val="000000"/>
          <w:sz w:val="40"/>
        </w:rPr>
        <w:t>UMAN</w:t>
      </w:r>
      <w:r>
        <w:rPr>
          <w:rFonts w:ascii="Times New Roman;Garamond;serif" w:hAnsi="Times New Roman;Garamond;serif"/>
          <w:b/>
          <w:i w:val="false"/>
          <w:caps w:val="false"/>
          <w:smallCaps w:val="false"/>
          <w:color w:val="000000"/>
          <w:sz w:val="40"/>
        </w:rPr>
        <w:t xml:space="preserve"> C</w:t>
      </w:r>
      <w:r>
        <w:rPr>
          <w:rFonts w:ascii="Times New Roman;Garamond;serif" w:hAnsi="Times New Roman;Garamond;serif"/>
          <w:b/>
          <w:i w:val="false"/>
          <w:caps w:val="false"/>
          <w:smallCaps w:val="false"/>
          <w:color w:val="000000"/>
          <w:sz w:val="40"/>
        </w:rPr>
        <w:t>APITAL</w:t>
      </w:r>
      <w:r>
        <w:rPr>
          <w:rFonts w:ascii="Times New Roman;Garamond;serif" w:hAnsi="Times New Roman;Garamond;serif"/>
          <w:b/>
          <w:i w:val="false"/>
          <w:caps w:val="false"/>
          <w:smallCaps w:val="false"/>
          <w:color w:val="000000"/>
          <w:sz w:val="40"/>
        </w:rPr>
        <w:t xml:space="preserve"> C</w:t>
      </w:r>
      <w:r>
        <w:rPr>
          <w:rFonts w:ascii="Times New Roman;Garamond;serif" w:hAnsi="Times New Roman;Garamond;serif"/>
          <w:b/>
          <w:i w:val="false"/>
          <w:caps w:val="false"/>
          <w:smallCaps w:val="false"/>
          <w:color w:val="000000"/>
          <w:sz w:val="40"/>
        </w:rPr>
        <w:t>OMMITTEE</w:t>
      </w:r>
      <w:r>
        <w:rPr>
          <w:rFonts w:ascii="Times New Roman;Garamond;serif" w:hAnsi="Times New Roman;Garamond;serif"/>
          <w:b/>
          <w:i w:val="false"/>
          <w:caps w:val="false"/>
          <w:smallCaps w:val="false"/>
          <w:color w:val="000000"/>
          <w:sz w:val="40"/>
        </w:rPr>
        <w:t xml:space="preserve"> R</w:t>
      </w:r>
      <w:r>
        <w:rPr>
          <w:rFonts w:ascii="Times New Roman;Garamond;serif" w:hAnsi="Times New Roman;Garamond;serif"/>
          <w:b/>
          <w:i w:val="false"/>
          <w:caps w:val="false"/>
          <w:smallCaps w:val="false"/>
          <w:color w:val="000000"/>
          <w:sz w:val="40"/>
        </w:rPr>
        <w:t>EPORT</w:t>
      </w:r>
      <w:r>
        <w:rPr>
          <w:rFonts w:ascii="Times New Roman;Garamond;serif" w:hAnsi="Times New Roman;Garamond;serif"/>
          <w:b/>
          <w:i w:val="false"/>
          <w:caps w:val="false"/>
          <w:smallCaps w:val="false"/>
          <w:color w:val="000000"/>
          <w:spacing w:val="8"/>
          <w:sz w:val="40"/>
        </w:rPr>
        <w:t xml:space="preserve"> </w:t>
      </w:r>
    </w:p>
    <w:p>
      <w:pPr>
        <w:pStyle w:val="TextBody"/>
        <w:bidi w:val="0"/>
        <w:spacing w:lineRule="atLeast" w:line="240" w:before="40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Compensation and Human Capital Committee has reviewed and discussed this CD&amp;A with management and, based on such review and discussions, the Compensation and Human Capital Committee recommended to the Board that the CD&amp;A be included in this Proxy Statement and incorporated by reference into the Company’s Annual Report on Form 10-K for the fiscal year ended December 31, 2023.</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Andrew Liveris, Chair </w:t>
        <w:br/>
        <w:t xml:space="preserve">Nichelle Maynard-Elliott </w:t>
        <w:br/>
        <w:t>Ori Winitzer</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59</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2SCT"/>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283"/>
        <w:ind w:left="720" w:right="0" w:hanging="0"/>
        <w:jc w:val="left"/>
        <w:rPr>
          <w:rFonts w:ascii="Times New Roman;Garamond;serif" w:hAnsi="Times New Roman;Garamond;serif"/>
          <w:b/>
          <w:i w:val="false"/>
          <w:caps w:val="false"/>
          <w:smallCaps w:val="false"/>
          <w:color w:val="000000"/>
          <w:sz w:val="40"/>
        </w:rPr>
      </w:pPr>
      <w:r>
        <w:rPr>
          <w:rFonts w:ascii="Times New Roman;Garamond;serif" w:hAnsi="Times New Roman;Garamond;serif"/>
          <w:b/>
          <w:i w:val="false"/>
          <w:caps w:val="false"/>
          <w:smallCaps w:val="false"/>
          <w:color w:val="000000"/>
          <w:sz w:val="40"/>
        </w:rPr>
        <w:t>2023 Summary Compensation Table</w:t>
      </w:r>
      <w:r>
        <w:rPr>
          <w:rFonts w:ascii="Times New Roman;Garamond;serif" w:hAnsi="Times New Roman;Garamond;serif"/>
          <w:b/>
          <w:i w:val="false"/>
          <w:caps w:val="false"/>
          <w:smallCaps w:val="false"/>
          <w:color w:val="000000"/>
          <w:spacing w:val="8"/>
          <w:sz w:val="40"/>
        </w:rPr>
        <w:t xml:space="preserve"> </w:t>
      </w:r>
    </w:p>
    <w:p>
      <w:pPr>
        <w:pStyle w:val="TextBody"/>
        <w:bidi w:val="0"/>
        <w:spacing w:lineRule="atLeast" w:line="250" w:before="40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following table sets forth the compensation awarded to or paid to our NEOs for services rendered to the Company during the years ended December 31, 2023, 2022 and 2021.</w:t>
      </w:r>
      <w:r>
        <w:rPr>
          <w:rFonts w:ascii="Helvetica;Arial;sans-serif" w:hAnsi="Helvetica;Arial;sans-serif"/>
          <w:b w:val="false"/>
          <w:i w:val="false"/>
          <w:caps w:val="false"/>
          <w:smallCaps w:val="false"/>
          <w:color w:val="000000"/>
          <w:spacing w:val="4"/>
          <w:sz w:val="18"/>
        </w:rPr>
        <w:t xml:space="preserve"> </w:t>
      </w:r>
    </w:p>
    <w:tbl>
      <w:tblPr>
        <w:tblW w:w="14388" w:type="dxa"/>
        <w:jc w:val="left"/>
        <w:tblInd w:w="720" w:type="dxa"/>
        <w:tblLayout w:type="fixed"/>
        <w:tblCellMar>
          <w:top w:w="0" w:type="dxa"/>
          <w:left w:w="0" w:type="dxa"/>
          <w:bottom w:w="0" w:type="dxa"/>
          <w:right w:w="0" w:type="dxa"/>
        </w:tblCellMar>
      </w:tblPr>
      <w:tblGrid>
        <w:gridCol w:w="124"/>
        <w:gridCol w:w="1216"/>
        <w:gridCol w:w="109"/>
        <w:gridCol w:w="109"/>
        <w:gridCol w:w="109"/>
        <w:gridCol w:w="109"/>
        <w:gridCol w:w="586"/>
        <w:gridCol w:w="109"/>
        <w:gridCol w:w="109"/>
        <w:gridCol w:w="109"/>
        <w:gridCol w:w="109"/>
        <w:gridCol w:w="109"/>
        <w:gridCol w:w="886"/>
        <w:gridCol w:w="109"/>
        <w:gridCol w:w="109"/>
        <w:gridCol w:w="109"/>
        <w:gridCol w:w="109"/>
        <w:gridCol w:w="109"/>
        <w:gridCol w:w="1096"/>
        <w:gridCol w:w="109"/>
        <w:gridCol w:w="109"/>
        <w:gridCol w:w="109"/>
        <w:gridCol w:w="109"/>
        <w:gridCol w:w="109"/>
        <w:gridCol w:w="1306"/>
        <w:gridCol w:w="109"/>
        <w:gridCol w:w="109"/>
        <w:gridCol w:w="109"/>
        <w:gridCol w:w="109"/>
        <w:gridCol w:w="109"/>
        <w:gridCol w:w="1066"/>
        <w:gridCol w:w="109"/>
        <w:gridCol w:w="109"/>
        <w:gridCol w:w="109"/>
        <w:gridCol w:w="132"/>
        <w:gridCol w:w="132"/>
        <w:gridCol w:w="1074"/>
        <w:gridCol w:w="133"/>
        <w:gridCol w:w="109"/>
        <w:gridCol w:w="109"/>
        <w:gridCol w:w="115"/>
        <w:gridCol w:w="115"/>
        <w:gridCol w:w="1125"/>
        <w:gridCol w:w="116"/>
        <w:gridCol w:w="109"/>
        <w:gridCol w:w="109"/>
        <w:gridCol w:w="109"/>
        <w:gridCol w:w="109"/>
        <w:gridCol w:w="1306"/>
        <w:gridCol w:w="109"/>
        <w:gridCol w:w="154"/>
      </w:tblGrid>
      <w:tr>
        <w:trPr/>
        <w:tc>
          <w:tcPr>
            <w:tcW w:w="124" w:type="dxa"/>
            <w:tcBorders/>
            <w:shd w:fill="000000" w:val="clear"/>
            <w:vAlign w:val="center"/>
          </w:tcPr>
          <w:p>
            <w:pPr>
              <w:pStyle w:val="TableContents"/>
              <w:bidi w:val="0"/>
              <w:spacing w:before="0" w:after="283"/>
              <w:jc w:val="left"/>
              <w:rPr/>
            </w:pPr>
            <w:r>
              <w:rPr/>
              <w:t>​</w:t>
            </w:r>
          </w:p>
        </w:tc>
        <w:tc>
          <w:tcPr>
            <w:tcW w:w="1216" w:type="dxa"/>
            <w:tcBorders/>
            <w:shd w:fill="000000" w:val="clear"/>
            <w:vAlign w:val="center"/>
          </w:tcPr>
          <w:p>
            <w:pPr>
              <w:pStyle w:val="TableContents"/>
              <w:bidi w:val="0"/>
              <w:spacing w:before="0" w:after="283"/>
              <w:jc w:val="left"/>
              <w:rPr/>
            </w:pPr>
            <w:r>
              <w:rPr/>
              <w:t xml:space="preserve">Name and Principal </w:t>
              <w:br/>
              <w:t xml:space="preserve">Position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913" w:type="dxa"/>
            <w:gridSpan w:val="4"/>
            <w:tcBorders/>
            <w:shd w:fill="000000" w:val="clear"/>
            <w:vAlign w:val="center"/>
          </w:tcPr>
          <w:p>
            <w:pPr>
              <w:pStyle w:val="TableContents"/>
              <w:bidi w:val="0"/>
              <w:spacing w:before="0" w:after="0"/>
              <w:jc w:val="center"/>
              <w:rPr/>
            </w:pPr>
            <w:r>
              <w:rPr/>
              <w:t xml:space="preserve">Year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13" w:type="dxa"/>
            <w:gridSpan w:val="4"/>
            <w:tcBorders/>
            <w:shd w:fill="000000" w:val="clear"/>
            <w:vAlign w:val="center"/>
          </w:tcPr>
          <w:p>
            <w:pPr>
              <w:pStyle w:val="TableContents"/>
              <w:bidi w:val="0"/>
              <w:spacing w:lineRule="atLeast" w:line="142" w:before="0" w:after="0"/>
              <w:jc w:val="center"/>
              <w:rPr/>
            </w:pPr>
            <w:r>
              <w:rPr/>
              <w:t>Salary</w:t>
              <w:br/>
              <w:t>($)</w:t>
            </w:r>
            <w:r>
              <w:rPr>
                <w:sz w:val="9"/>
              </w:rPr>
              <w:t>(1)</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23" w:type="dxa"/>
            <w:gridSpan w:val="4"/>
            <w:tcBorders/>
            <w:shd w:fill="000000" w:val="clear"/>
            <w:vAlign w:val="center"/>
          </w:tcPr>
          <w:p>
            <w:pPr>
              <w:pStyle w:val="TableContents"/>
              <w:bidi w:val="0"/>
              <w:spacing w:before="0" w:after="0"/>
              <w:jc w:val="center"/>
              <w:rPr/>
            </w:pPr>
            <w:r>
              <w:rPr/>
              <w:t>Bonus</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3" w:type="dxa"/>
            <w:gridSpan w:val="4"/>
            <w:tcBorders/>
            <w:shd w:fill="000000" w:val="clear"/>
            <w:vAlign w:val="center"/>
          </w:tcPr>
          <w:p>
            <w:pPr>
              <w:pStyle w:val="TableContents"/>
              <w:bidi w:val="0"/>
              <w:spacing w:lineRule="atLeast" w:line="142" w:before="0" w:after="0"/>
              <w:jc w:val="center"/>
              <w:rPr/>
            </w:pPr>
            <w:r>
              <w:rPr/>
              <w:t xml:space="preserve">Stock </w:t>
              <w:br/>
              <w:t>Awards</w:t>
              <w:br/>
              <w:t>($)</w:t>
            </w:r>
            <w:r>
              <w:rPr>
                <w:sz w:val="9"/>
              </w:rPr>
              <w:t>(2)</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93" w:type="dxa"/>
            <w:gridSpan w:val="4"/>
            <w:tcBorders/>
            <w:shd w:fill="000000" w:val="clear"/>
            <w:vAlign w:val="center"/>
          </w:tcPr>
          <w:p>
            <w:pPr>
              <w:pStyle w:val="TableContents"/>
              <w:bidi w:val="0"/>
              <w:spacing w:lineRule="atLeast" w:line="142" w:before="0" w:after="0"/>
              <w:jc w:val="center"/>
              <w:rPr/>
            </w:pPr>
            <w:r>
              <w:rPr/>
              <w:t xml:space="preserve">Option </w:t>
              <w:br/>
              <w:t>Awards</w:t>
              <w:br/>
              <w:t>($)</w:t>
            </w:r>
            <w:r>
              <w:rPr>
                <w:sz w:val="9"/>
              </w:rPr>
              <w:t>(2)</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71" w:type="dxa"/>
            <w:gridSpan w:val="4"/>
            <w:tcBorders/>
            <w:shd w:fill="000000" w:val="clear"/>
            <w:vAlign w:val="center"/>
          </w:tcPr>
          <w:p>
            <w:pPr>
              <w:pStyle w:val="TableContents"/>
              <w:bidi w:val="0"/>
              <w:spacing w:lineRule="atLeast" w:line="142" w:before="0" w:after="0"/>
              <w:jc w:val="center"/>
              <w:rPr/>
            </w:pPr>
            <w:r>
              <w:rPr/>
              <w:t xml:space="preserve">Non-Equity </w:t>
              <w:br/>
              <w:t xml:space="preserve">Incentive Plan </w:t>
              <w:br/>
              <w:t xml:space="preserve">Compensation </w:t>
              <w:br/>
              <w:t>($)</w:t>
            </w:r>
            <w:r>
              <w:rPr>
                <w:sz w:val="9"/>
              </w:rPr>
              <w:t>(3)</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71" w:type="dxa"/>
            <w:gridSpan w:val="4"/>
            <w:tcBorders/>
            <w:shd w:fill="000000" w:val="clear"/>
            <w:vAlign w:val="center"/>
          </w:tcPr>
          <w:p>
            <w:pPr>
              <w:pStyle w:val="TableContents"/>
              <w:bidi w:val="0"/>
              <w:spacing w:lineRule="atLeast" w:line="142" w:before="0" w:after="0"/>
              <w:jc w:val="center"/>
              <w:rPr/>
            </w:pPr>
            <w:r>
              <w:rPr/>
              <w:t xml:space="preserve">All Other </w:t>
              <w:br/>
              <w:t xml:space="preserve">Compensation </w:t>
              <w:br/>
              <w:t>($)</w:t>
            </w:r>
            <w:r>
              <w:rPr>
                <w:sz w:val="9"/>
              </w:rPr>
              <w:t>(4)</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33" w:type="dxa"/>
            <w:gridSpan w:val="4"/>
            <w:tcBorders/>
            <w:shd w:fill="000000" w:val="clear"/>
            <w:vAlign w:val="center"/>
          </w:tcPr>
          <w:p>
            <w:pPr>
              <w:pStyle w:val="TableContents"/>
              <w:bidi w:val="0"/>
              <w:spacing w:before="0" w:after="0"/>
              <w:jc w:val="center"/>
              <w:rPr/>
            </w:pPr>
            <w:r>
              <w:rPr/>
              <w:t>Total</w:t>
              <w:br/>
              <w:t xml:space="preserve">($) </w:t>
            </w:r>
          </w:p>
        </w:tc>
        <w:tc>
          <w:tcPr>
            <w:tcW w:w="154" w:type="dxa"/>
            <w:tcBorders/>
            <w:shd w:fill="000000" w:val="clear"/>
            <w:vAlign w:val="center"/>
          </w:tcPr>
          <w:p>
            <w:pPr>
              <w:pStyle w:val="TableContents"/>
              <w:bidi w:val="0"/>
              <w:spacing w:before="0" w:after="283"/>
              <w:jc w:val="left"/>
              <w:rPr/>
            </w:pPr>
            <w:r>
              <w:rPr/>
              <w:t>​</w:t>
            </w:r>
          </w:p>
        </w:tc>
      </w:tr>
      <w:tr>
        <w:trPr/>
        <w:tc>
          <w:tcPr>
            <w:tcW w:w="124"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216" w:type="dxa"/>
            <w:vMerge w:val="restart"/>
            <w:tcBorders>
              <w:bottom w:val="single" w:sz="6" w:space="0" w:color="000000"/>
            </w:tcBorders>
            <w:tcMar>
              <w:bottom w:w="145" w:type="dxa"/>
            </w:tcMar>
            <w:vAlign w:val="center"/>
          </w:tcPr>
          <w:p>
            <w:pPr>
              <w:pStyle w:val="TableContents"/>
              <w:bidi w:val="0"/>
              <w:spacing w:lineRule="atLeast" w:line="200" w:before="0" w:after="0"/>
              <w:jc w:val="left"/>
              <w:rPr>
                <w:b/>
                <w:sz w:val="18"/>
              </w:rPr>
            </w:pPr>
            <w:r>
              <w:rPr>
                <w:b/>
                <w:sz w:val="18"/>
              </w:rPr>
              <w:t>Peter Rawlinson</w:t>
            </w:r>
          </w:p>
          <w:p>
            <w:pPr>
              <w:pStyle w:val="TableContents"/>
              <w:bidi w:val="0"/>
              <w:spacing w:lineRule="atLeast" w:line="180" w:before="60" w:after="283"/>
              <w:jc w:val="left"/>
              <w:rPr>
                <w:i/>
              </w:rPr>
            </w:pPr>
            <w:r>
              <w:rPr>
                <w:i/>
              </w:rPr>
              <w:t xml:space="preserve">Chief Executive Officer </w:t>
              <w:br/>
              <w:t xml:space="preserve">and Chief Technology </w:t>
              <w:br/>
              <w:t>Officer</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0" w:before="0" w:after="283"/>
              <w:jc w:val="right"/>
              <w:rPr/>
            </w:pPr>
            <w:r>
              <w:rPr/>
              <w:t>​</w:t>
            </w:r>
          </w:p>
        </w:tc>
        <w:tc>
          <w:tcPr>
            <w:tcW w:w="586" w:type="dxa"/>
            <w:tcBorders/>
            <w:vAlign w:val="center"/>
          </w:tcPr>
          <w:p>
            <w:pPr>
              <w:pStyle w:val="TableContents"/>
              <w:bidi w:val="0"/>
              <w:spacing w:lineRule="atLeast" w:line="200" w:before="0" w:after="283"/>
              <w:jc w:val="right"/>
              <w:rPr/>
            </w:pPr>
            <w:r>
              <w:rPr/>
              <w:t>2023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0" w:before="0" w:after="283"/>
              <w:jc w:val="right"/>
              <w:rPr/>
            </w:pPr>
            <w:r>
              <w:rPr/>
              <w:t>​</w:t>
            </w:r>
          </w:p>
        </w:tc>
        <w:tc>
          <w:tcPr>
            <w:tcW w:w="886" w:type="dxa"/>
            <w:tcBorders/>
            <w:vAlign w:val="center"/>
          </w:tcPr>
          <w:p>
            <w:pPr>
              <w:pStyle w:val="TableContents"/>
              <w:bidi w:val="0"/>
              <w:spacing w:lineRule="atLeast" w:line="200" w:before="0" w:after="283"/>
              <w:jc w:val="right"/>
              <w:rPr/>
            </w:pPr>
            <w:r>
              <w:rPr/>
              <w:t>584,615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0" w:before="0" w:after="283"/>
              <w:jc w:val="right"/>
              <w:rPr/>
            </w:pPr>
            <w:r>
              <w:rPr/>
              <w:t>​</w:t>
            </w:r>
          </w:p>
        </w:tc>
        <w:tc>
          <w:tcPr>
            <w:tcW w:w="1096" w:type="dxa"/>
            <w:tcBorders/>
            <w:vAlign w:val="center"/>
          </w:tcPr>
          <w:p>
            <w:pPr>
              <w:pStyle w:val="TableContents"/>
              <w:bidi w:val="0"/>
              <w:spacing w:lineRule="atLeast" w:line="200" w:before="0" w:after="283"/>
              <w:jc w:val="right"/>
              <w:rPr/>
            </w:pPr>
            <w:r>
              <w:rPr/>
              <w:t>6,000,000</w:t>
            </w:r>
            <w:r>
              <w:rPr>
                <w:sz w:val="10"/>
              </w:rPr>
              <w:t>(5)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0" w:before="0" w:after="283"/>
              <w:jc w:val="right"/>
              <w:rPr/>
            </w:pPr>
            <w:r>
              <w:rPr/>
              <w:t>​</w:t>
            </w:r>
          </w:p>
        </w:tc>
        <w:tc>
          <w:tcPr>
            <w:tcW w:w="1306" w:type="dxa"/>
            <w:tcBorders/>
            <w:vAlign w:val="center"/>
          </w:tcPr>
          <w:p>
            <w:pPr>
              <w:pStyle w:val="TableContents"/>
              <w:bidi w:val="0"/>
              <w:spacing w:lineRule="atLeast" w:line="200"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0" w:before="0" w:after="283"/>
              <w:jc w:val="right"/>
              <w:rPr/>
            </w:pPr>
            <w:r>
              <w:rPr/>
              <w:t>​</w:t>
            </w:r>
          </w:p>
        </w:tc>
        <w:tc>
          <w:tcPr>
            <w:tcW w:w="1066" w:type="dxa"/>
            <w:tcBorders/>
            <w:vAlign w:val="center"/>
          </w:tcPr>
          <w:p>
            <w:pPr>
              <w:pStyle w:val="TableContents"/>
              <w:bidi w:val="0"/>
              <w:spacing w:lineRule="atLeast" w:line="200"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2" w:type="dxa"/>
            <w:tcBorders/>
            <w:vAlign w:val="center"/>
          </w:tcPr>
          <w:p>
            <w:pPr>
              <w:pStyle w:val="TableContents"/>
              <w:bidi w:val="0"/>
              <w:spacing w:before="0" w:after="283"/>
              <w:jc w:val="left"/>
              <w:rPr/>
            </w:pPr>
            <w:r>
              <w:rPr/>
              <w:t>​</w:t>
            </w:r>
          </w:p>
        </w:tc>
        <w:tc>
          <w:tcPr>
            <w:tcW w:w="132" w:type="dxa"/>
            <w:tcBorders/>
            <w:vAlign w:val="center"/>
          </w:tcPr>
          <w:p>
            <w:pPr>
              <w:pStyle w:val="TableContents"/>
              <w:bidi w:val="0"/>
              <w:spacing w:lineRule="atLeast" w:line="200" w:before="0" w:after="283"/>
              <w:jc w:val="right"/>
              <w:rPr/>
            </w:pPr>
            <w:r>
              <w:rPr/>
              <w:t>​</w:t>
            </w:r>
          </w:p>
        </w:tc>
        <w:tc>
          <w:tcPr>
            <w:tcW w:w="1074" w:type="dxa"/>
            <w:tcBorders/>
            <w:vAlign w:val="center"/>
          </w:tcPr>
          <w:p>
            <w:pPr>
              <w:pStyle w:val="TableContents"/>
              <w:bidi w:val="0"/>
              <w:spacing w:lineRule="atLeast" w:line="200" w:before="0" w:after="283"/>
              <w:jc w:val="right"/>
              <w:rPr/>
            </w:pPr>
            <w:r>
              <w:rPr/>
              <w:t xml:space="preserve">233,377 </w:t>
            </w:r>
          </w:p>
        </w:tc>
        <w:tc>
          <w:tcPr>
            <w:tcW w:w="13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5" w:type="dxa"/>
            <w:tcBorders/>
            <w:vAlign w:val="center"/>
          </w:tcPr>
          <w:p>
            <w:pPr>
              <w:pStyle w:val="TableContents"/>
              <w:bidi w:val="0"/>
              <w:spacing w:before="0" w:after="283"/>
              <w:jc w:val="left"/>
              <w:rPr/>
            </w:pPr>
            <w:r>
              <w:rPr/>
              <w:t>​</w:t>
            </w:r>
          </w:p>
        </w:tc>
        <w:tc>
          <w:tcPr>
            <w:tcW w:w="115" w:type="dxa"/>
            <w:tcBorders/>
            <w:vAlign w:val="center"/>
          </w:tcPr>
          <w:p>
            <w:pPr>
              <w:pStyle w:val="TableContents"/>
              <w:bidi w:val="0"/>
              <w:spacing w:lineRule="atLeast" w:line="200" w:before="0" w:after="283"/>
              <w:jc w:val="right"/>
              <w:rPr/>
            </w:pPr>
            <w:r>
              <w:rPr/>
              <w:t>​</w:t>
            </w:r>
          </w:p>
        </w:tc>
        <w:tc>
          <w:tcPr>
            <w:tcW w:w="1125" w:type="dxa"/>
            <w:tcBorders/>
            <w:vAlign w:val="center"/>
          </w:tcPr>
          <w:p>
            <w:pPr>
              <w:pStyle w:val="TableContents"/>
              <w:bidi w:val="0"/>
              <w:spacing w:lineRule="atLeast" w:line="200" w:before="0" w:after="283"/>
              <w:jc w:val="right"/>
              <w:rPr/>
            </w:pPr>
            <w:r>
              <w:rPr/>
              <w:t>19,223</w:t>
            </w:r>
          </w:p>
        </w:tc>
        <w:tc>
          <w:tcPr>
            <w:tcW w:w="1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0" w:before="0" w:after="283"/>
              <w:jc w:val="right"/>
              <w:rPr/>
            </w:pPr>
            <w:r>
              <w:rPr/>
              <w:t>​</w:t>
            </w:r>
          </w:p>
        </w:tc>
        <w:tc>
          <w:tcPr>
            <w:tcW w:w="1306" w:type="dxa"/>
            <w:tcBorders/>
            <w:vAlign w:val="center"/>
          </w:tcPr>
          <w:p>
            <w:pPr>
              <w:pStyle w:val="TableContents"/>
              <w:bidi w:val="0"/>
              <w:spacing w:lineRule="atLeast" w:line="200" w:before="0" w:after="283"/>
              <w:jc w:val="right"/>
              <w:rPr/>
            </w:pPr>
            <w:r>
              <w:rPr/>
              <w:t>6,837,215</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6" w:space="0" w:color="000000"/>
            </w:tcBorders>
            <w:tcMar>
              <w:bottom w:w="28" w:type="dxa"/>
            </w:tcMar>
            <w:vAlign w:val="center"/>
          </w:tcPr>
          <w:p>
            <w:pPr>
              <w:pStyle w:val="Normal"/>
              <w:bidi w:val="0"/>
              <w:jc w:val="left"/>
              <w:rPr/>
            </w:pPr>
            <w:r>
              <w:rPr/>
            </w:r>
          </w:p>
        </w:tc>
        <w:tc>
          <w:tcPr>
            <w:tcW w:w="1216" w:type="dxa"/>
            <w:vMerge w:val="continue"/>
            <w:tcBorders>
              <w:bottom w:val="single" w:sz="6" w:space="0" w:color="000000"/>
            </w:tcBorders>
            <w:tcMar>
              <w:bottom w:w="145"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2022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575,000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9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2" w:type="dxa"/>
            <w:tcBorders/>
            <w:vAlign w:val="center"/>
          </w:tcPr>
          <w:p>
            <w:pPr>
              <w:pStyle w:val="TableContents"/>
              <w:bidi w:val="0"/>
              <w:spacing w:before="0" w:after="283"/>
              <w:jc w:val="left"/>
              <w:rPr/>
            </w:pPr>
            <w:r>
              <w:rPr/>
              <w:t>​</w:t>
            </w:r>
          </w:p>
        </w:tc>
        <w:tc>
          <w:tcPr>
            <w:tcW w:w="132" w:type="dxa"/>
            <w:tcBorders/>
            <w:vAlign w:val="center"/>
          </w:tcPr>
          <w:p>
            <w:pPr>
              <w:pStyle w:val="TableContents"/>
              <w:bidi w:val="0"/>
              <w:spacing w:before="0" w:after="283"/>
              <w:jc w:val="right"/>
              <w:rPr/>
            </w:pPr>
            <w:r>
              <w:rPr/>
              <w:t>​</w:t>
            </w:r>
          </w:p>
        </w:tc>
        <w:tc>
          <w:tcPr>
            <w:tcW w:w="1074" w:type="dxa"/>
            <w:tcBorders/>
            <w:vAlign w:val="center"/>
          </w:tcPr>
          <w:p>
            <w:pPr>
              <w:pStyle w:val="TableContents"/>
              <w:bidi w:val="0"/>
              <w:spacing w:before="0" w:after="283"/>
              <w:jc w:val="right"/>
              <w:rPr/>
            </w:pPr>
            <w:r>
              <w:rPr/>
              <w:t>—</w:t>
            </w:r>
          </w:p>
        </w:tc>
        <w:tc>
          <w:tcPr>
            <w:tcW w:w="13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5" w:type="dxa"/>
            <w:tcBorders/>
            <w:vAlign w:val="center"/>
          </w:tcPr>
          <w:p>
            <w:pPr>
              <w:pStyle w:val="TableContents"/>
              <w:bidi w:val="0"/>
              <w:spacing w:before="0" w:after="283"/>
              <w:jc w:val="left"/>
              <w:rPr/>
            </w:pPr>
            <w:r>
              <w:rPr/>
              <w:t>​</w:t>
            </w:r>
          </w:p>
        </w:tc>
        <w:tc>
          <w:tcPr>
            <w:tcW w:w="115" w:type="dxa"/>
            <w:tcBorders/>
            <w:vAlign w:val="center"/>
          </w:tcPr>
          <w:p>
            <w:pPr>
              <w:pStyle w:val="TableContents"/>
              <w:bidi w:val="0"/>
              <w:spacing w:before="0" w:after="283"/>
              <w:jc w:val="right"/>
              <w:rPr/>
            </w:pPr>
            <w:r>
              <w:rPr/>
              <w:t>​</w:t>
            </w:r>
          </w:p>
        </w:tc>
        <w:tc>
          <w:tcPr>
            <w:tcW w:w="1125" w:type="dxa"/>
            <w:tcBorders/>
            <w:vAlign w:val="center"/>
          </w:tcPr>
          <w:p>
            <w:pPr>
              <w:pStyle w:val="TableContents"/>
              <w:bidi w:val="0"/>
              <w:spacing w:before="0" w:after="283"/>
              <w:jc w:val="right"/>
              <w:rPr/>
            </w:pPr>
            <w:r>
              <w:rPr/>
              <w:t>21,430</w:t>
            </w:r>
          </w:p>
        </w:tc>
        <w:tc>
          <w:tcPr>
            <w:tcW w:w="1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596,430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6" w:space="0" w:color="000000"/>
            </w:tcBorders>
            <w:tcMar>
              <w:bottom w:w="28" w:type="dxa"/>
            </w:tcMar>
            <w:vAlign w:val="center"/>
          </w:tcPr>
          <w:p>
            <w:pPr>
              <w:pStyle w:val="Normal"/>
              <w:bidi w:val="0"/>
              <w:jc w:val="left"/>
              <w:rPr/>
            </w:pPr>
            <w:r>
              <w:rPr/>
            </w:r>
          </w:p>
        </w:tc>
        <w:tc>
          <w:tcPr>
            <w:tcW w:w="1216" w:type="dxa"/>
            <w:vMerge w:val="continue"/>
            <w:tcBorders>
              <w:bottom w:val="single" w:sz="6" w:space="0" w:color="000000"/>
            </w:tcBorders>
            <w:tcMar>
              <w:bottom w:w="145"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586" w:type="dxa"/>
            <w:tcBorders>
              <w:bottom w:val="single" w:sz="6" w:space="0" w:color="000000"/>
            </w:tcBorders>
            <w:tcMar>
              <w:bottom w:w="145" w:type="dxa"/>
            </w:tcMar>
            <w:vAlign w:val="center"/>
          </w:tcPr>
          <w:p>
            <w:pPr>
              <w:pStyle w:val="TableContents"/>
              <w:bidi w:val="0"/>
              <w:spacing w:before="0" w:after="283"/>
              <w:jc w:val="right"/>
              <w:rPr/>
            </w:pPr>
            <w:r>
              <w:rPr/>
              <w:t>2021</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tcMar>
              <w:bottom w:w="145" w:type="dxa"/>
            </w:tcMar>
            <w:vAlign w:val="center"/>
          </w:tcPr>
          <w:p>
            <w:pPr>
              <w:pStyle w:val="TableContents"/>
              <w:bidi w:val="0"/>
              <w:spacing w:before="0" w:after="283"/>
              <w:jc w:val="right"/>
              <w:rPr/>
            </w:pPr>
            <w:r>
              <w:rPr/>
              <w:t>528,846</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096" w:type="dxa"/>
            <w:tcBorders>
              <w:bottom w:val="single" w:sz="6" w:space="0" w:color="000000"/>
            </w:tcBorders>
            <w:tcMar>
              <w:bottom w:w="145" w:type="dxa"/>
            </w:tcMar>
            <w:vAlign w:val="center"/>
          </w:tcPr>
          <w:p>
            <w:pPr>
              <w:pStyle w:val="TableContents"/>
              <w:bidi w:val="0"/>
              <w:spacing w:before="0" w:after="283"/>
              <w:jc w:val="right"/>
              <w:rPr/>
            </w:pPr>
            <w:r>
              <w:rPr/>
              <w:t>2,190,761</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306" w:type="dxa"/>
            <w:tcBorders>
              <w:bottom w:val="single" w:sz="6" w:space="0" w:color="000000"/>
            </w:tcBorders>
            <w:tcMar>
              <w:bottom w:w="145" w:type="dxa"/>
            </w:tcMar>
            <w:vAlign w:val="center"/>
          </w:tcPr>
          <w:p>
            <w:pPr>
              <w:pStyle w:val="TableContents"/>
              <w:bidi w:val="0"/>
              <w:spacing w:before="0" w:after="283"/>
              <w:jc w:val="right"/>
              <w:rPr/>
            </w:pPr>
            <w:r>
              <w:rPr/>
              <w:t>556,086,963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066" w:type="dxa"/>
            <w:tcBorders>
              <w:bottom w:val="single" w:sz="6" w:space="0" w:color="000000"/>
            </w:tcBorders>
            <w:tcMar>
              <w:bottom w:w="145"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 w:type="dxa"/>
            <w:tcBorders>
              <w:bottom w:val="single" w:sz="6" w:space="0" w:color="000000"/>
            </w:tcBorders>
            <w:tcMar>
              <w:bottom w:w="28" w:type="dxa"/>
            </w:tcMar>
            <w:vAlign w:val="center"/>
          </w:tcPr>
          <w:p>
            <w:pPr>
              <w:pStyle w:val="TableContents"/>
              <w:bidi w:val="0"/>
              <w:spacing w:before="0" w:after="283"/>
              <w:jc w:val="left"/>
              <w:rPr/>
            </w:pPr>
            <w:r>
              <w:rPr/>
              <w:t>​</w:t>
            </w:r>
          </w:p>
        </w:tc>
        <w:tc>
          <w:tcPr>
            <w:tcW w:w="132" w:type="dxa"/>
            <w:tcBorders>
              <w:bottom w:val="single" w:sz="6" w:space="0" w:color="000000"/>
            </w:tcBorders>
            <w:tcMar>
              <w:bottom w:w="145" w:type="dxa"/>
            </w:tcMar>
            <w:vAlign w:val="center"/>
          </w:tcPr>
          <w:p>
            <w:pPr>
              <w:pStyle w:val="TableContents"/>
              <w:bidi w:val="0"/>
              <w:spacing w:before="0" w:after="283"/>
              <w:jc w:val="right"/>
              <w:rPr/>
            </w:pPr>
            <w:r>
              <w:rPr/>
              <w:t>​</w:t>
            </w:r>
          </w:p>
        </w:tc>
        <w:tc>
          <w:tcPr>
            <w:tcW w:w="1074" w:type="dxa"/>
            <w:tcBorders>
              <w:bottom w:val="single" w:sz="6" w:space="0" w:color="000000"/>
            </w:tcBorders>
            <w:tcMar>
              <w:bottom w:w="145" w:type="dxa"/>
            </w:tcMar>
            <w:vAlign w:val="center"/>
          </w:tcPr>
          <w:p>
            <w:pPr>
              <w:pStyle w:val="TableContents"/>
              <w:bidi w:val="0"/>
              <w:spacing w:before="0" w:after="283"/>
              <w:jc w:val="right"/>
              <w:rPr/>
            </w:pPr>
            <w:r>
              <w:rPr/>
              <w:t>215,625</w:t>
            </w:r>
          </w:p>
        </w:tc>
        <w:tc>
          <w:tcPr>
            <w:tcW w:w="133"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5" w:type="dxa"/>
            <w:tcBorders>
              <w:bottom w:val="single" w:sz="6" w:space="0" w:color="000000"/>
            </w:tcBorders>
            <w:tcMar>
              <w:bottom w:w="28" w:type="dxa"/>
            </w:tcMar>
            <w:vAlign w:val="center"/>
          </w:tcPr>
          <w:p>
            <w:pPr>
              <w:pStyle w:val="TableContents"/>
              <w:bidi w:val="0"/>
              <w:spacing w:before="0" w:after="283"/>
              <w:jc w:val="left"/>
              <w:rPr/>
            </w:pPr>
            <w:r>
              <w:rPr/>
              <w:t>​</w:t>
            </w:r>
          </w:p>
        </w:tc>
        <w:tc>
          <w:tcPr>
            <w:tcW w:w="115" w:type="dxa"/>
            <w:tcBorders>
              <w:bottom w:val="single" w:sz="6" w:space="0" w:color="000000"/>
            </w:tcBorders>
            <w:tcMar>
              <w:bottom w:w="145" w:type="dxa"/>
            </w:tcMar>
            <w:vAlign w:val="center"/>
          </w:tcPr>
          <w:p>
            <w:pPr>
              <w:pStyle w:val="TableContents"/>
              <w:bidi w:val="0"/>
              <w:spacing w:before="0" w:after="283"/>
              <w:jc w:val="right"/>
              <w:rPr/>
            </w:pPr>
            <w:r>
              <w:rPr/>
              <w:t>​</w:t>
            </w:r>
          </w:p>
        </w:tc>
        <w:tc>
          <w:tcPr>
            <w:tcW w:w="1125" w:type="dxa"/>
            <w:tcBorders>
              <w:bottom w:val="single" w:sz="6" w:space="0" w:color="000000"/>
            </w:tcBorders>
            <w:tcMar>
              <w:bottom w:w="145" w:type="dxa"/>
            </w:tcMar>
            <w:vAlign w:val="center"/>
          </w:tcPr>
          <w:p>
            <w:pPr>
              <w:pStyle w:val="TableContents"/>
              <w:bidi w:val="0"/>
              <w:spacing w:before="0" w:after="283"/>
              <w:jc w:val="right"/>
              <w:rPr/>
            </w:pPr>
            <w:r>
              <w:rPr/>
              <w:t>6,569,317</w:t>
            </w:r>
          </w:p>
        </w:tc>
        <w:tc>
          <w:tcPr>
            <w:tcW w:w="116"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306" w:type="dxa"/>
            <w:tcBorders>
              <w:bottom w:val="single" w:sz="6" w:space="0" w:color="000000"/>
            </w:tcBorders>
            <w:tcMar>
              <w:bottom w:w="145" w:type="dxa"/>
            </w:tcMar>
            <w:vAlign w:val="center"/>
          </w:tcPr>
          <w:p>
            <w:pPr>
              <w:pStyle w:val="TableContents"/>
              <w:bidi w:val="0"/>
              <w:spacing w:before="0" w:after="283"/>
              <w:jc w:val="right"/>
              <w:rPr/>
            </w:pPr>
            <w:r>
              <w:rPr/>
              <w:t>565,591,512</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216" w:type="dxa"/>
            <w:vMerge w:val="restart"/>
            <w:tcBorders>
              <w:bottom w:val="single" w:sz="6" w:space="0" w:color="000000"/>
            </w:tcBorders>
            <w:shd w:fill="F7F7F7" w:val="clear"/>
            <w:tcMar>
              <w:bottom w:w="138" w:type="dxa"/>
            </w:tcMar>
            <w:vAlign w:val="center"/>
          </w:tcPr>
          <w:p>
            <w:pPr>
              <w:pStyle w:val="TableContents"/>
              <w:bidi w:val="0"/>
              <w:spacing w:lineRule="atLeast" w:line="200" w:before="0" w:after="0"/>
              <w:jc w:val="left"/>
              <w:rPr>
                <w:b/>
                <w:sz w:val="18"/>
              </w:rPr>
            </w:pPr>
            <w:r>
              <w:rPr>
                <w:b/>
                <w:sz w:val="18"/>
              </w:rPr>
              <w:t>Gagan Dhingra</w:t>
            </w:r>
          </w:p>
          <w:p>
            <w:pPr>
              <w:pStyle w:val="TableContents"/>
              <w:bidi w:val="0"/>
              <w:spacing w:lineRule="atLeast" w:line="180" w:before="60" w:after="283"/>
              <w:jc w:val="left"/>
              <w:rPr>
                <w:i/>
              </w:rPr>
            </w:pPr>
            <w:r>
              <w:rPr>
                <w:i/>
              </w:rPr>
              <w:t xml:space="preserve">Interim Chief Financial </w:t>
              <w:br/>
              <w:t xml:space="preserve">Officer and Vice </w:t>
              <w:br/>
              <w:t xml:space="preserve">President of </w:t>
              <w:br/>
              <w:t xml:space="preserve">Accounting and </w:t>
              <w:br/>
              <w:t xml:space="preserve">Principal Accounting </w:t>
              <w:br/>
              <w:t>Officer</w:t>
            </w:r>
          </w:p>
        </w:tc>
        <w:tc>
          <w:tcPr>
            <w:tcW w:w="109" w:type="dxa"/>
            <w:vMerge w:val="restart"/>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lineRule="atLeast" w:line="200" w:before="0" w:after="283"/>
              <w:jc w:val="right"/>
              <w:rPr/>
            </w:pPr>
            <w:r>
              <w:rPr/>
              <w:t>​</w:t>
            </w:r>
          </w:p>
        </w:tc>
        <w:tc>
          <w:tcPr>
            <w:tcW w:w="586" w:type="dxa"/>
            <w:tcBorders/>
            <w:shd w:fill="F7F7F7" w:val="clear"/>
            <w:vAlign w:val="center"/>
          </w:tcPr>
          <w:p>
            <w:pPr>
              <w:pStyle w:val="TableContents"/>
              <w:bidi w:val="0"/>
              <w:spacing w:lineRule="atLeast" w:line="200" w:before="0" w:after="283"/>
              <w:jc w:val="right"/>
              <w:rPr/>
            </w:pPr>
            <w:r>
              <w:rPr/>
              <w:t>2023</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lineRule="atLeast" w:line="200" w:before="0" w:after="283"/>
              <w:jc w:val="right"/>
              <w:rPr/>
            </w:pPr>
            <w:r>
              <w:rPr/>
              <w:t>​</w:t>
            </w:r>
          </w:p>
        </w:tc>
        <w:tc>
          <w:tcPr>
            <w:tcW w:w="886" w:type="dxa"/>
            <w:tcBorders/>
            <w:shd w:fill="F7F7F7" w:val="clear"/>
            <w:vAlign w:val="center"/>
          </w:tcPr>
          <w:p>
            <w:pPr>
              <w:pStyle w:val="TableContents"/>
              <w:bidi w:val="0"/>
              <w:spacing w:lineRule="atLeast" w:line="200" w:before="0" w:after="283"/>
              <w:jc w:val="right"/>
              <w:rPr/>
            </w:pPr>
            <w:r>
              <w:rPr/>
              <w:t>377,768</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lineRule="atLeast" w:line="200" w:before="0" w:after="283"/>
              <w:jc w:val="right"/>
              <w:rPr/>
            </w:pPr>
            <w:r>
              <w:rPr/>
              <w:t>​</w:t>
            </w:r>
          </w:p>
        </w:tc>
        <w:tc>
          <w:tcPr>
            <w:tcW w:w="1096" w:type="dxa"/>
            <w:tcBorders/>
            <w:shd w:fill="F7F7F7" w:val="clear"/>
            <w:vAlign w:val="center"/>
          </w:tcPr>
          <w:p>
            <w:pPr>
              <w:pStyle w:val="TableContents"/>
              <w:bidi w:val="0"/>
              <w:spacing w:lineRule="atLeast" w:line="200" w:before="0" w:after="283"/>
              <w:jc w:val="right"/>
              <w:rPr/>
            </w:pPr>
            <w:r>
              <w:rPr/>
              <w:t>68,000</w:t>
            </w:r>
            <w:r>
              <w:rPr>
                <w:sz w:val="10"/>
              </w:rPr>
              <w:t>(6)</w:t>
            </w:r>
            <w:r>
              <w:rPr/>
              <w:t xml:space="preserve"> </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lineRule="atLeast" w:line="200" w:before="0" w:after="283"/>
              <w:jc w:val="right"/>
              <w:rPr/>
            </w:pPr>
            <w:r>
              <w:rPr/>
              <w:t>​</w:t>
            </w:r>
          </w:p>
        </w:tc>
        <w:tc>
          <w:tcPr>
            <w:tcW w:w="1306" w:type="dxa"/>
            <w:tcBorders/>
            <w:shd w:fill="F7F7F7" w:val="clear"/>
            <w:vAlign w:val="center"/>
          </w:tcPr>
          <w:p>
            <w:pPr>
              <w:pStyle w:val="TableContents"/>
              <w:bidi w:val="0"/>
              <w:spacing w:lineRule="atLeast" w:line="200" w:before="0" w:after="283"/>
              <w:jc w:val="right"/>
              <w:rPr/>
            </w:pPr>
            <w:r>
              <w:rPr/>
              <w:t>2,529,876</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lineRule="atLeast" w:line="200" w:before="0" w:after="283"/>
              <w:jc w:val="right"/>
              <w:rPr/>
            </w:pPr>
            <w:r>
              <w:rPr/>
              <w:t>​</w:t>
            </w:r>
          </w:p>
        </w:tc>
        <w:tc>
          <w:tcPr>
            <w:tcW w:w="1066" w:type="dxa"/>
            <w:tcBorders/>
            <w:shd w:fill="F7F7F7" w:val="clear"/>
            <w:vAlign w:val="center"/>
          </w:tcPr>
          <w:p>
            <w:pPr>
              <w:pStyle w:val="TableContents"/>
              <w:bidi w:val="0"/>
              <w:spacing w:lineRule="atLeast" w:line="200" w:before="0" w:after="283"/>
              <w:jc w:val="right"/>
              <w:rPr/>
            </w:pPr>
            <w:r>
              <w:rPr/>
              <w:t>430,229</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32" w:type="dxa"/>
            <w:tcBorders/>
            <w:shd w:fill="F7F7F7" w:val="clear"/>
            <w:vAlign w:val="center"/>
          </w:tcPr>
          <w:p>
            <w:pPr>
              <w:pStyle w:val="TableContents"/>
              <w:bidi w:val="0"/>
              <w:spacing w:before="0" w:after="283"/>
              <w:jc w:val="left"/>
              <w:rPr/>
            </w:pPr>
            <w:r>
              <w:rPr/>
              <w:t>​</w:t>
            </w:r>
          </w:p>
        </w:tc>
        <w:tc>
          <w:tcPr>
            <w:tcW w:w="132" w:type="dxa"/>
            <w:tcBorders/>
            <w:shd w:fill="F7F7F7" w:val="clear"/>
            <w:vAlign w:val="center"/>
          </w:tcPr>
          <w:p>
            <w:pPr>
              <w:pStyle w:val="TableContents"/>
              <w:bidi w:val="0"/>
              <w:spacing w:lineRule="atLeast" w:line="200" w:before="0" w:after="283"/>
              <w:jc w:val="right"/>
              <w:rPr/>
            </w:pPr>
            <w:r>
              <w:rPr/>
              <w:t>​</w:t>
            </w:r>
          </w:p>
        </w:tc>
        <w:tc>
          <w:tcPr>
            <w:tcW w:w="1074" w:type="dxa"/>
            <w:tcBorders/>
            <w:shd w:fill="F7F7F7" w:val="clear"/>
            <w:vAlign w:val="center"/>
          </w:tcPr>
          <w:p>
            <w:pPr>
              <w:pStyle w:val="TableContents"/>
              <w:bidi w:val="0"/>
              <w:spacing w:lineRule="atLeast" w:line="200" w:before="0" w:after="283"/>
              <w:jc w:val="right"/>
              <w:rPr/>
            </w:pPr>
            <w:r>
              <w:rPr/>
              <w:t>71,319</w:t>
            </w:r>
          </w:p>
        </w:tc>
        <w:tc>
          <w:tcPr>
            <w:tcW w:w="133"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15" w:type="dxa"/>
            <w:tcBorders/>
            <w:shd w:fill="F7F7F7" w:val="clear"/>
            <w:vAlign w:val="center"/>
          </w:tcPr>
          <w:p>
            <w:pPr>
              <w:pStyle w:val="TableContents"/>
              <w:bidi w:val="0"/>
              <w:spacing w:before="0" w:after="283"/>
              <w:jc w:val="left"/>
              <w:rPr/>
            </w:pPr>
            <w:r>
              <w:rPr/>
              <w:t>​</w:t>
            </w:r>
          </w:p>
        </w:tc>
        <w:tc>
          <w:tcPr>
            <w:tcW w:w="115" w:type="dxa"/>
            <w:tcBorders/>
            <w:shd w:fill="F7F7F7" w:val="clear"/>
            <w:vAlign w:val="center"/>
          </w:tcPr>
          <w:p>
            <w:pPr>
              <w:pStyle w:val="TableContents"/>
              <w:bidi w:val="0"/>
              <w:spacing w:lineRule="atLeast" w:line="200" w:before="0" w:after="283"/>
              <w:jc w:val="right"/>
              <w:rPr/>
            </w:pPr>
            <w:r>
              <w:rPr/>
              <w:t>​</w:t>
            </w:r>
          </w:p>
        </w:tc>
        <w:tc>
          <w:tcPr>
            <w:tcW w:w="1125" w:type="dxa"/>
            <w:tcBorders/>
            <w:shd w:fill="F7F7F7" w:val="clear"/>
            <w:vAlign w:val="center"/>
          </w:tcPr>
          <w:p>
            <w:pPr>
              <w:pStyle w:val="TableContents"/>
              <w:bidi w:val="0"/>
              <w:spacing w:lineRule="atLeast" w:line="200" w:before="0" w:after="283"/>
              <w:jc w:val="right"/>
              <w:rPr/>
            </w:pPr>
            <w:r>
              <w:rPr/>
              <w:t>73,384</w:t>
            </w:r>
          </w:p>
        </w:tc>
        <w:tc>
          <w:tcPr>
            <w:tcW w:w="116"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lineRule="atLeast" w:line="200" w:before="0" w:after="283"/>
              <w:jc w:val="right"/>
              <w:rPr/>
            </w:pPr>
            <w:r>
              <w:rPr/>
              <w:t>​</w:t>
            </w:r>
          </w:p>
        </w:tc>
        <w:tc>
          <w:tcPr>
            <w:tcW w:w="1306" w:type="dxa"/>
            <w:tcBorders/>
            <w:shd w:fill="F7F7F7" w:val="clear"/>
            <w:vAlign w:val="center"/>
          </w:tcPr>
          <w:p>
            <w:pPr>
              <w:pStyle w:val="TableContents"/>
              <w:bidi w:val="0"/>
              <w:spacing w:lineRule="atLeast" w:line="200" w:before="0" w:after="283"/>
              <w:jc w:val="right"/>
              <w:rPr/>
            </w:pPr>
            <w:r>
              <w:rPr/>
              <w:t>3,550,576</w:t>
            </w:r>
          </w:p>
        </w:tc>
        <w:tc>
          <w:tcPr>
            <w:tcW w:w="109" w:type="dxa"/>
            <w:tcBorders/>
            <w:shd w:fill="F7F7F7" w:val="clear"/>
            <w:vAlign w:val="center"/>
          </w:tcPr>
          <w:p>
            <w:pPr>
              <w:pStyle w:val="TableContents"/>
              <w:bidi w:val="0"/>
              <w:spacing w:before="0" w:after="283"/>
              <w:jc w:val="left"/>
              <w:rPr/>
            </w:pPr>
            <w:r>
              <w:rPr/>
              <w:t>​</w:t>
            </w:r>
          </w:p>
        </w:tc>
        <w:tc>
          <w:tcPr>
            <w:tcW w:w="154" w:type="dxa"/>
            <w:tcBorders/>
            <w:shd w:fill="F7F7F7" w:val="cle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shd w:fill="F7F7F7" w:val="clear"/>
            <w:tcMar>
              <w:bottom w:w="28" w:type="dxa"/>
            </w:tcMar>
            <w:vAlign w:val="center"/>
          </w:tcPr>
          <w:p>
            <w:pPr>
              <w:pStyle w:val="Normal"/>
              <w:bidi w:val="0"/>
              <w:jc w:val="left"/>
              <w:rPr/>
            </w:pPr>
            <w:r>
              <w:rPr/>
            </w:r>
          </w:p>
        </w:tc>
        <w:tc>
          <w:tcPr>
            <w:tcW w:w="1216" w:type="dxa"/>
            <w:vMerge w:val="continue"/>
            <w:tcBorders>
              <w:bottom w:val="single" w:sz="6" w:space="0" w:color="000000"/>
            </w:tcBorders>
            <w:shd w:fill="F7F7F7" w:val="clear"/>
            <w:tcMar>
              <w:bottom w:w="138" w:type="dxa"/>
            </w:tcMar>
            <w:vAlign w:val="center"/>
          </w:tcPr>
          <w:p>
            <w:pPr>
              <w:pStyle w:val="Normal"/>
              <w:bidi w:val="0"/>
              <w:jc w:val="left"/>
              <w:rPr/>
            </w:pPr>
            <w:r>
              <w:rPr/>
            </w:r>
          </w:p>
        </w:tc>
        <w:tc>
          <w:tcPr>
            <w:tcW w:w="109" w:type="dxa"/>
            <w:vMerge w:val="continue"/>
            <w:tcBorders>
              <w:bottom w:val="single" w:sz="6" w:space="0" w:color="000000"/>
            </w:tcBorders>
            <w:shd w:fill="F7F7F7" w:val="clear"/>
            <w:tcMar>
              <w:bottom w:w="28" w:type="dxa"/>
            </w:tcMar>
            <w:vAlign w:val="center"/>
          </w:tcPr>
          <w:p>
            <w:pPr>
              <w:pStyle w:val="Normal"/>
              <w:bidi w:val="0"/>
              <w:jc w:val="left"/>
              <w:rPr/>
            </w:pPr>
            <w:r>
              <w:rPr/>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right"/>
              <w:rPr/>
            </w:pPr>
            <w:r>
              <w:rPr/>
              <w:t>​</w:t>
            </w:r>
          </w:p>
        </w:tc>
        <w:tc>
          <w:tcPr>
            <w:tcW w:w="586" w:type="dxa"/>
            <w:tcBorders/>
            <w:shd w:fill="F7F7F7" w:val="clear"/>
            <w:vAlign w:val="center"/>
          </w:tcPr>
          <w:p>
            <w:pPr>
              <w:pStyle w:val="TableContents"/>
              <w:bidi w:val="0"/>
              <w:spacing w:before="0" w:after="283"/>
              <w:jc w:val="right"/>
              <w:rPr/>
            </w:pPr>
            <w:r>
              <w:rPr/>
              <w:t>2022</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right"/>
              <w:rPr/>
            </w:pPr>
            <w:r>
              <w:rPr/>
              <w:t>​</w:t>
            </w:r>
          </w:p>
        </w:tc>
        <w:tc>
          <w:tcPr>
            <w:tcW w:w="886" w:type="dxa"/>
            <w:tcBorders/>
            <w:shd w:fill="F7F7F7" w:val="clear"/>
            <w:vAlign w:val="center"/>
          </w:tcPr>
          <w:p>
            <w:pPr>
              <w:pStyle w:val="TableContents"/>
              <w:bidi w:val="0"/>
              <w:spacing w:before="0" w:after="283"/>
              <w:jc w:val="righ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right"/>
              <w:rPr/>
            </w:pPr>
            <w:r>
              <w:rPr/>
              <w:t>​</w:t>
            </w:r>
          </w:p>
        </w:tc>
        <w:tc>
          <w:tcPr>
            <w:tcW w:w="1096" w:type="dxa"/>
            <w:tcBorders/>
            <w:shd w:fill="F7F7F7" w:val="clear"/>
            <w:vAlign w:val="center"/>
          </w:tcPr>
          <w:p>
            <w:pPr>
              <w:pStyle w:val="TableContents"/>
              <w:bidi w:val="0"/>
              <w:spacing w:before="0" w:after="283"/>
              <w:jc w:val="righ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right"/>
              <w:rPr/>
            </w:pPr>
            <w:r>
              <w:rPr/>
              <w:t>​</w:t>
            </w:r>
          </w:p>
        </w:tc>
        <w:tc>
          <w:tcPr>
            <w:tcW w:w="1306" w:type="dxa"/>
            <w:tcBorders/>
            <w:shd w:fill="F7F7F7" w:val="clear"/>
            <w:vAlign w:val="center"/>
          </w:tcPr>
          <w:p>
            <w:pPr>
              <w:pStyle w:val="TableContents"/>
              <w:bidi w:val="0"/>
              <w:spacing w:before="0" w:after="283"/>
              <w:jc w:val="righ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right"/>
              <w:rPr/>
            </w:pPr>
            <w:r>
              <w:rPr/>
              <w:t>​</w:t>
            </w:r>
          </w:p>
        </w:tc>
        <w:tc>
          <w:tcPr>
            <w:tcW w:w="1066" w:type="dxa"/>
            <w:tcBorders/>
            <w:shd w:fill="F7F7F7" w:val="clear"/>
            <w:vAlign w:val="center"/>
          </w:tcPr>
          <w:p>
            <w:pPr>
              <w:pStyle w:val="TableContents"/>
              <w:bidi w:val="0"/>
              <w:spacing w:before="0" w:after="283"/>
              <w:jc w:val="righ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32" w:type="dxa"/>
            <w:tcBorders/>
            <w:shd w:fill="F7F7F7" w:val="clear"/>
            <w:vAlign w:val="center"/>
          </w:tcPr>
          <w:p>
            <w:pPr>
              <w:pStyle w:val="TableContents"/>
              <w:bidi w:val="0"/>
              <w:spacing w:before="0" w:after="283"/>
              <w:jc w:val="left"/>
              <w:rPr/>
            </w:pPr>
            <w:r>
              <w:rPr/>
              <w:t>​</w:t>
            </w:r>
          </w:p>
        </w:tc>
        <w:tc>
          <w:tcPr>
            <w:tcW w:w="132" w:type="dxa"/>
            <w:tcBorders/>
            <w:shd w:fill="F7F7F7" w:val="clear"/>
            <w:vAlign w:val="center"/>
          </w:tcPr>
          <w:p>
            <w:pPr>
              <w:pStyle w:val="TableContents"/>
              <w:bidi w:val="0"/>
              <w:spacing w:before="0" w:after="283"/>
              <w:jc w:val="right"/>
              <w:rPr/>
            </w:pPr>
            <w:r>
              <w:rPr/>
              <w:t>​</w:t>
            </w:r>
          </w:p>
        </w:tc>
        <w:tc>
          <w:tcPr>
            <w:tcW w:w="1074" w:type="dxa"/>
            <w:tcBorders/>
            <w:shd w:fill="F7F7F7" w:val="clear"/>
            <w:vAlign w:val="center"/>
          </w:tcPr>
          <w:p>
            <w:pPr>
              <w:pStyle w:val="TableContents"/>
              <w:bidi w:val="0"/>
              <w:spacing w:before="0" w:after="283"/>
              <w:jc w:val="right"/>
              <w:rPr/>
            </w:pPr>
            <w:r>
              <w:rPr/>
              <w:t>—</w:t>
            </w:r>
          </w:p>
        </w:tc>
        <w:tc>
          <w:tcPr>
            <w:tcW w:w="133"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15" w:type="dxa"/>
            <w:tcBorders/>
            <w:shd w:fill="F7F7F7" w:val="clear"/>
            <w:vAlign w:val="center"/>
          </w:tcPr>
          <w:p>
            <w:pPr>
              <w:pStyle w:val="TableContents"/>
              <w:bidi w:val="0"/>
              <w:spacing w:before="0" w:after="283"/>
              <w:jc w:val="left"/>
              <w:rPr/>
            </w:pPr>
            <w:r>
              <w:rPr/>
              <w:t>​</w:t>
            </w:r>
          </w:p>
        </w:tc>
        <w:tc>
          <w:tcPr>
            <w:tcW w:w="115" w:type="dxa"/>
            <w:tcBorders/>
            <w:shd w:fill="F7F7F7" w:val="clear"/>
            <w:vAlign w:val="center"/>
          </w:tcPr>
          <w:p>
            <w:pPr>
              <w:pStyle w:val="TableContents"/>
              <w:bidi w:val="0"/>
              <w:spacing w:before="0" w:after="283"/>
              <w:jc w:val="right"/>
              <w:rPr/>
            </w:pPr>
            <w:r>
              <w:rPr/>
              <w:t>​</w:t>
            </w:r>
          </w:p>
        </w:tc>
        <w:tc>
          <w:tcPr>
            <w:tcW w:w="1125" w:type="dxa"/>
            <w:tcBorders/>
            <w:shd w:fill="F7F7F7" w:val="clear"/>
            <w:vAlign w:val="center"/>
          </w:tcPr>
          <w:p>
            <w:pPr>
              <w:pStyle w:val="TableContents"/>
              <w:bidi w:val="0"/>
              <w:spacing w:before="0" w:after="283"/>
              <w:jc w:val="right"/>
              <w:rPr/>
            </w:pPr>
            <w:r>
              <w:rPr/>
              <w:t>—</w:t>
            </w:r>
          </w:p>
        </w:tc>
        <w:tc>
          <w:tcPr>
            <w:tcW w:w="116"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right"/>
              <w:rPr/>
            </w:pPr>
            <w:r>
              <w:rPr/>
              <w:t>​</w:t>
            </w:r>
          </w:p>
        </w:tc>
        <w:tc>
          <w:tcPr>
            <w:tcW w:w="1306" w:type="dxa"/>
            <w:tcBorders/>
            <w:shd w:fill="F7F7F7" w:val="clear"/>
            <w:vAlign w:val="center"/>
          </w:tcPr>
          <w:p>
            <w:pPr>
              <w:pStyle w:val="TableContents"/>
              <w:bidi w:val="0"/>
              <w:spacing w:before="0" w:after="283"/>
              <w:jc w:val="right"/>
              <w:rPr/>
            </w:pPr>
            <w:r>
              <w:rPr/>
              <w:t>—</w:t>
            </w:r>
          </w:p>
        </w:tc>
        <w:tc>
          <w:tcPr>
            <w:tcW w:w="109" w:type="dxa"/>
            <w:tcBorders/>
            <w:shd w:fill="F7F7F7" w:val="clear"/>
            <w:vAlign w:val="center"/>
          </w:tcPr>
          <w:p>
            <w:pPr>
              <w:pStyle w:val="TableContents"/>
              <w:bidi w:val="0"/>
              <w:spacing w:before="0" w:after="283"/>
              <w:jc w:val="left"/>
              <w:rPr/>
            </w:pPr>
            <w:r>
              <w:rPr/>
              <w:t>​</w:t>
            </w:r>
          </w:p>
        </w:tc>
        <w:tc>
          <w:tcPr>
            <w:tcW w:w="154" w:type="dxa"/>
            <w:tcBorders/>
            <w:shd w:fill="F7F7F7" w:val="cle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shd w:fill="F7F7F7" w:val="clear"/>
            <w:tcMar>
              <w:bottom w:w="28" w:type="dxa"/>
            </w:tcMar>
            <w:vAlign w:val="center"/>
          </w:tcPr>
          <w:p>
            <w:pPr>
              <w:pStyle w:val="Normal"/>
              <w:bidi w:val="0"/>
              <w:jc w:val="left"/>
              <w:rPr/>
            </w:pPr>
            <w:r>
              <w:rPr/>
            </w:r>
          </w:p>
        </w:tc>
        <w:tc>
          <w:tcPr>
            <w:tcW w:w="1216" w:type="dxa"/>
            <w:vMerge w:val="continue"/>
            <w:tcBorders>
              <w:bottom w:val="single" w:sz="6" w:space="0" w:color="000000"/>
            </w:tcBorders>
            <w:shd w:fill="F7F7F7" w:val="clear"/>
            <w:tcMar>
              <w:bottom w:w="138" w:type="dxa"/>
            </w:tcMar>
            <w:vAlign w:val="center"/>
          </w:tcPr>
          <w:p>
            <w:pPr>
              <w:pStyle w:val="Normal"/>
              <w:bidi w:val="0"/>
              <w:jc w:val="left"/>
              <w:rPr/>
            </w:pPr>
            <w:r>
              <w:rPr/>
            </w:r>
          </w:p>
        </w:tc>
        <w:tc>
          <w:tcPr>
            <w:tcW w:w="109" w:type="dxa"/>
            <w:vMerge w:val="continue"/>
            <w:tcBorders>
              <w:bottom w:val="single" w:sz="6" w:space="0" w:color="000000"/>
            </w:tcBorders>
            <w:shd w:fill="F7F7F7" w:val="clear"/>
            <w:tcMar>
              <w:bottom w:w="28" w:type="dxa"/>
            </w:tcMar>
            <w:vAlign w:val="center"/>
          </w:tcPr>
          <w:p>
            <w:pPr>
              <w:pStyle w:val="Normal"/>
              <w:bidi w:val="0"/>
              <w:jc w:val="left"/>
              <w:rPr/>
            </w:pPr>
            <w:r>
              <w:rPr/>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right"/>
              <w:rPr/>
            </w:pPr>
            <w:r>
              <w:rPr/>
              <w:t>​</w:t>
            </w:r>
          </w:p>
        </w:tc>
        <w:tc>
          <w:tcPr>
            <w:tcW w:w="586" w:type="dxa"/>
            <w:tcBorders>
              <w:bottom w:val="single" w:sz="6" w:space="0" w:color="000000"/>
            </w:tcBorders>
            <w:shd w:fill="F7F7F7" w:val="clear"/>
            <w:tcMar>
              <w:bottom w:w="28" w:type="dxa"/>
            </w:tcMar>
            <w:vAlign w:val="center"/>
          </w:tcPr>
          <w:p>
            <w:pPr>
              <w:pStyle w:val="TableContents"/>
              <w:bidi w:val="0"/>
              <w:spacing w:before="0" w:after="283"/>
              <w:jc w:val="right"/>
              <w:rPr/>
            </w:pPr>
            <w:r>
              <w:rPr/>
              <w:t>2021</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right"/>
              <w:rPr/>
            </w:pPr>
            <w:r>
              <w:rPr/>
              <w:t>​</w:t>
            </w:r>
          </w:p>
        </w:tc>
        <w:tc>
          <w:tcPr>
            <w:tcW w:w="886" w:type="dxa"/>
            <w:tcBorders>
              <w:bottom w:val="single" w:sz="6" w:space="0" w:color="000000"/>
            </w:tcBorders>
            <w:shd w:fill="F7F7F7" w:val="clear"/>
            <w:tcMar>
              <w:bottom w:w="28" w:type="dxa"/>
            </w:tcMar>
            <w:vAlign w:val="center"/>
          </w:tcPr>
          <w:p>
            <w:pPr>
              <w:pStyle w:val="TableContents"/>
              <w:bidi w:val="0"/>
              <w:spacing w:before="0" w:after="283"/>
              <w:jc w:val="righ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right"/>
              <w:rPr/>
            </w:pPr>
            <w:r>
              <w:rPr/>
              <w:t>​</w:t>
            </w:r>
          </w:p>
        </w:tc>
        <w:tc>
          <w:tcPr>
            <w:tcW w:w="1096" w:type="dxa"/>
            <w:tcBorders>
              <w:bottom w:val="single" w:sz="6" w:space="0" w:color="000000"/>
            </w:tcBorders>
            <w:shd w:fill="F7F7F7" w:val="clear"/>
            <w:tcMar>
              <w:bottom w:w="28" w:type="dxa"/>
            </w:tcMar>
            <w:vAlign w:val="center"/>
          </w:tcPr>
          <w:p>
            <w:pPr>
              <w:pStyle w:val="TableContents"/>
              <w:bidi w:val="0"/>
              <w:spacing w:before="0" w:after="283"/>
              <w:jc w:val="righ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right"/>
              <w:rPr/>
            </w:pPr>
            <w:r>
              <w:rPr/>
              <w:t>​</w:t>
            </w:r>
          </w:p>
        </w:tc>
        <w:tc>
          <w:tcPr>
            <w:tcW w:w="1306" w:type="dxa"/>
            <w:tcBorders>
              <w:bottom w:val="single" w:sz="6" w:space="0" w:color="000000"/>
            </w:tcBorders>
            <w:shd w:fill="F7F7F7" w:val="clear"/>
            <w:tcMar>
              <w:bottom w:w="28" w:type="dxa"/>
            </w:tcMar>
            <w:vAlign w:val="center"/>
          </w:tcPr>
          <w:p>
            <w:pPr>
              <w:pStyle w:val="TableContents"/>
              <w:bidi w:val="0"/>
              <w:spacing w:before="0" w:after="283"/>
              <w:jc w:val="righ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right"/>
              <w:rPr/>
            </w:pPr>
            <w:r>
              <w:rPr/>
              <w:t>​</w:t>
            </w:r>
          </w:p>
        </w:tc>
        <w:tc>
          <w:tcPr>
            <w:tcW w:w="1066" w:type="dxa"/>
            <w:tcBorders>
              <w:bottom w:val="single" w:sz="6" w:space="0" w:color="000000"/>
            </w:tcBorders>
            <w:shd w:fill="F7F7F7" w:val="clear"/>
            <w:tcMar>
              <w:bottom w:w="28" w:type="dxa"/>
            </w:tcMar>
            <w:vAlign w:val="center"/>
          </w:tcPr>
          <w:p>
            <w:pPr>
              <w:pStyle w:val="TableContents"/>
              <w:bidi w:val="0"/>
              <w:spacing w:before="0" w:after="283"/>
              <w:jc w:val="righ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2"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2" w:type="dxa"/>
            <w:tcBorders>
              <w:bottom w:val="single" w:sz="6" w:space="0" w:color="000000"/>
            </w:tcBorders>
            <w:shd w:fill="F7F7F7" w:val="clear"/>
            <w:tcMar>
              <w:bottom w:w="28" w:type="dxa"/>
            </w:tcMar>
            <w:vAlign w:val="center"/>
          </w:tcPr>
          <w:p>
            <w:pPr>
              <w:pStyle w:val="TableContents"/>
              <w:bidi w:val="0"/>
              <w:spacing w:before="0" w:after="283"/>
              <w:jc w:val="right"/>
              <w:rPr/>
            </w:pPr>
            <w:r>
              <w:rPr/>
              <w:t>​</w:t>
            </w:r>
          </w:p>
        </w:tc>
        <w:tc>
          <w:tcPr>
            <w:tcW w:w="1074" w:type="dxa"/>
            <w:tcBorders>
              <w:bottom w:val="single" w:sz="6" w:space="0" w:color="000000"/>
            </w:tcBorders>
            <w:shd w:fill="F7F7F7" w:val="clear"/>
            <w:tcMar>
              <w:bottom w:w="28" w:type="dxa"/>
            </w:tcMar>
            <w:vAlign w:val="center"/>
          </w:tcPr>
          <w:p>
            <w:pPr>
              <w:pStyle w:val="TableContents"/>
              <w:bidi w:val="0"/>
              <w:spacing w:before="0" w:after="283"/>
              <w:jc w:val="right"/>
              <w:rPr/>
            </w:pPr>
            <w:r>
              <w:rPr/>
              <w:t>—</w:t>
            </w:r>
          </w:p>
        </w:tc>
        <w:tc>
          <w:tcPr>
            <w:tcW w:w="133"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5" w:type="dxa"/>
            <w:tcBorders>
              <w:bottom w:val="single" w:sz="6" w:space="0" w:color="000000"/>
            </w:tcBorders>
            <w:shd w:fill="F7F7F7" w:val="clear"/>
            <w:tcMar>
              <w:bottom w:w="28" w:type="dxa"/>
            </w:tcMar>
            <w:vAlign w:val="center"/>
          </w:tcPr>
          <w:p>
            <w:pPr>
              <w:pStyle w:val="TableContents"/>
              <w:bidi w:val="0"/>
              <w:spacing w:before="0" w:after="283"/>
              <w:jc w:val="right"/>
              <w:rPr/>
            </w:pPr>
            <w:r>
              <w:rPr/>
              <w:t>​</w:t>
            </w:r>
          </w:p>
        </w:tc>
        <w:tc>
          <w:tcPr>
            <w:tcW w:w="1125" w:type="dxa"/>
            <w:tcBorders>
              <w:bottom w:val="single" w:sz="6" w:space="0" w:color="000000"/>
            </w:tcBorders>
            <w:shd w:fill="F7F7F7" w:val="clear"/>
            <w:tcMar>
              <w:bottom w:w="28" w:type="dxa"/>
            </w:tcMar>
            <w:vAlign w:val="center"/>
          </w:tcPr>
          <w:p>
            <w:pPr>
              <w:pStyle w:val="TableContents"/>
              <w:bidi w:val="0"/>
              <w:spacing w:before="0" w:after="283"/>
              <w:jc w:val="right"/>
              <w:rPr/>
            </w:pPr>
            <w:r>
              <w:rPr/>
              <w:t>—</w:t>
            </w:r>
          </w:p>
        </w:tc>
        <w:tc>
          <w:tcPr>
            <w:tcW w:w="11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right"/>
              <w:rPr/>
            </w:pPr>
            <w:r>
              <w:rPr/>
              <w:t>​</w:t>
            </w:r>
          </w:p>
        </w:tc>
        <w:tc>
          <w:tcPr>
            <w:tcW w:w="1306" w:type="dxa"/>
            <w:tcBorders>
              <w:bottom w:val="single" w:sz="6" w:space="0" w:color="000000"/>
            </w:tcBorders>
            <w:shd w:fill="F7F7F7" w:val="clear"/>
            <w:tcMar>
              <w:bottom w:w="28" w:type="dxa"/>
            </w:tcMar>
            <w:vAlign w:val="center"/>
          </w:tcPr>
          <w:p>
            <w:pPr>
              <w:pStyle w:val="TableContents"/>
              <w:bidi w:val="0"/>
              <w:spacing w:before="0" w:after="283"/>
              <w:jc w:val="righ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216" w:type="dxa"/>
            <w:vMerge w:val="restart"/>
            <w:tcBorders>
              <w:bottom w:val="single" w:sz="6" w:space="0" w:color="000000"/>
            </w:tcBorders>
            <w:tcMar>
              <w:bottom w:w="145" w:type="dxa"/>
            </w:tcMar>
            <w:vAlign w:val="center"/>
          </w:tcPr>
          <w:p>
            <w:pPr>
              <w:pStyle w:val="TableContents"/>
              <w:bidi w:val="0"/>
              <w:spacing w:lineRule="atLeast" w:line="200" w:before="0" w:after="0"/>
              <w:jc w:val="left"/>
              <w:rPr>
                <w:b/>
                <w:sz w:val="18"/>
              </w:rPr>
            </w:pPr>
            <w:r>
              <w:rPr>
                <w:b/>
                <w:sz w:val="18"/>
              </w:rPr>
              <w:t>Marc Winterhoff</w:t>
            </w:r>
          </w:p>
          <w:p>
            <w:pPr>
              <w:pStyle w:val="TableContents"/>
              <w:bidi w:val="0"/>
              <w:spacing w:lineRule="atLeast" w:line="180" w:before="60" w:after="283"/>
              <w:jc w:val="left"/>
              <w:rPr>
                <w:i/>
              </w:rPr>
            </w:pPr>
            <w:r>
              <w:rPr>
                <w:i/>
              </w:rPr>
              <w:t>Chief Operating Officer</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0" w:before="0" w:after="283"/>
              <w:jc w:val="right"/>
              <w:rPr/>
            </w:pPr>
            <w:r>
              <w:rPr/>
              <w:t>​</w:t>
            </w:r>
          </w:p>
        </w:tc>
        <w:tc>
          <w:tcPr>
            <w:tcW w:w="586" w:type="dxa"/>
            <w:tcBorders/>
            <w:vAlign w:val="center"/>
          </w:tcPr>
          <w:p>
            <w:pPr>
              <w:pStyle w:val="TableContents"/>
              <w:bidi w:val="0"/>
              <w:spacing w:lineRule="atLeast" w:line="200" w:before="0" w:after="283"/>
              <w:jc w:val="right"/>
              <w:rPr/>
            </w:pPr>
            <w:r>
              <w:rPr/>
              <w:t>2023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0" w:before="0" w:after="283"/>
              <w:jc w:val="right"/>
              <w:rPr/>
            </w:pPr>
            <w:r>
              <w:rPr/>
              <w:t>​</w:t>
            </w:r>
          </w:p>
        </w:tc>
        <w:tc>
          <w:tcPr>
            <w:tcW w:w="886" w:type="dxa"/>
            <w:tcBorders/>
            <w:vAlign w:val="center"/>
          </w:tcPr>
          <w:p>
            <w:pPr>
              <w:pStyle w:val="TableContents"/>
              <w:bidi w:val="0"/>
              <w:spacing w:lineRule="atLeast" w:line="200" w:before="0" w:after="283"/>
              <w:jc w:val="right"/>
              <w:rPr/>
            </w:pPr>
            <w:r>
              <w:rPr/>
              <w:t>22,884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0" w:before="0" w:after="283"/>
              <w:jc w:val="right"/>
              <w:rPr/>
            </w:pPr>
            <w:r>
              <w:rPr/>
              <w:t>​</w:t>
            </w:r>
          </w:p>
        </w:tc>
        <w:tc>
          <w:tcPr>
            <w:tcW w:w="1096" w:type="dxa"/>
            <w:tcBorders/>
            <w:vAlign w:val="center"/>
          </w:tcPr>
          <w:p>
            <w:pPr>
              <w:pStyle w:val="TableContents"/>
              <w:bidi w:val="0"/>
              <w:spacing w:lineRule="atLeast" w:line="200" w:before="0" w:after="283"/>
              <w:jc w:val="right"/>
              <w:rPr/>
            </w:pPr>
            <w:r>
              <w:rPr/>
              <w:t>3,350,000</w:t>
            </w:r>
            <w:r>
              <w:rPr>
                <w:sz w:val="10"/>
              </w:rPr>
              <w:t>(7)</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0" w:before="0" w:after="283"/>
              <w:jc w:val="right"/>
              <w:rPr/>
            </w:pPr>
            <w:r>
              <w:rPr/>
              <w:t>​</w:t>
            </w:r>
          </w:p>
        </w:tc>
        <w:tc>
          <w:tcPr>
            <w:tcW w:w="1306" w:type="dxa"/>
            <w:tcBorders/>
            <w:vAlign w:val="center"/>
          </w:tcPr>
          <w:p>
            <w:pPr>
              <w:pStyle w:val="TableContents"/>
              <w:bidi w:val="0"/>
              <w:spacing w:lineRule="atLeast" w:line="200" w:before="0" w:after="283"/>
              <w:jc w:val="right"/>
              <w:rPr/>
            </w:pPr>
            <w:r>
              <w:rPr/>
              <w:t>3,112,651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0" w:before="0" w:after="283"/>
              <w:jc w:val="right"/>
              <w:rPr/>
            </w:pPr>
            <w:r>
              <w:rPr/>
              <w:t>​</w:t>
            </w:r>
          </w:p>
        </w:tc>
        <w:tc>
          <w:tcPr>
            <w:tcW w:w="1066" w:type="dxa"/>
            <w:tcBorders/>
            <w:vAlign w:val="center"/>
          </w:tcPr>
          <w:p>
            <w:pPr>
              <w:pStyle w:val="TableContents"/>
              <w:bidi w:val="0"/>
              <w:spacing w:lineRule="atLeast" w:line="200" w:before="0" w:after="283"/>
              <w:jc w:val="right"/>
              <w:rPr/>
            </w:pPr>
            <w:r>
              <w:rPr/>
              <w:t>2,006,087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2" w:type="dxa"/>
            <w:tcBorders/>
            <w:vAlign w:val="center"/>
          </w:tcPr>
          <w:p>
            <w:pPr>
              <w:pStyle w:val="TableContents"/>
              <w:bidi w:val="0"/>
              <w:spacing w:before="0" w:after="283"/>
              <w:jc w:val="left"/>
              <w:rPr/>
            </w:pPr>
            <w:r>
              <w:rPr/>
              <w:t>​</w:t>
            </w:r>
          </w:p>
        </w:tc>
        <w:tc>
          <w:tcPr>
            <w:tcW w:w="132" w:type="dxa"/>
            <w:tcBorders/>
            <w:vAlign w:val="center"/>
          </w:tcPr>
          <w:p>
            <w:pPr>
              <w:pStyle w:val="TableContents"/>
              <w:bidi w:val="0"/>
              <w:spacing w:lineRule="atLeast" w:line="200" w:before="0" w:after="283"/>
              <w:jc w:val="right"/>
              <w:rPr/>
            </w:pPr>
            <w:r>
              <w:rPr/>
              <w:t>​</w:t>
            </w:r>
          </w:p>
        </w:tc>
        <w:tc>
          <w:tcPr>
            <w:tcW w:w="1074" w:type="dxa"/>
            <w:tcBorders/>
            <w:vAlign w:val="center"/>
          </w:tcPr>
          <w:p>
            <w:pPr>
              <w:pStyle w:val="TableContents"/>
              <w:bidi w:val="0"/>
              <w:spacing w:lineRule="atLeast" w:line="200" w:before="0" w:after="283"/>
              <w:jc w:val="right"/>
              <w:rPr/>
            </w:pPr>
            <w:r>
              <w:rPr/>
              <w:t>—</w:t>
            </w:r>
          </w:p>
        </w:tc>
        <w:tc>
          <w:tcPr>
            <w:tcW w:w="13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5" w:type="dxa"/>
            <w:tcBorders/>
            <w:vAlign w:val="center"/>
          </w:tcPr>
          <w:p>
            <w:pPr>
              <w:pStyle w:val="TableContents"/>
              <w:bidi w:val="0"/>
              <w:spacing w:before="0" w:after="283"/>
              <w:jc w:val="left"/>
              <w:rPr/>
            </w:pPr>
            <w:r>
              <w:rPr/>
              <w:t>​</w:t>
            </w:r>
          </w:p>
        </w:tc>
        <w:tc>
          <w:tcPr>
            <w:tcW w:w="115" w:type="dxa"/>
            <w:tcBorders/>
            <w:vAlign w:val="center"/>
          </w:tcPr>
          <w:p>
            <w:pPr>
              <w:pStyle w:val="TableContents"/>
              <w:bidi w:val="0"/>
              <w:spacing w:lineRule="atLeast" w:line="200" w:before="0" w:after="283"/>
              <w:jc w:val="right"/>
              <w:rPr/>
            </w:pPr>
            <w:r>
              <w:rPr/>
              <w:t>​</w:t>
            </w:r>
          </w:p>
        </w:tc>
        <w:tc>
          <w:tcPr>
            <w:tcW w:w="1125" w:type="dxa"/>
            <w:tcBorders/>
            <w:vAlign w:val="center"/>
          </w:tcPr>
          <w:p>
            <w:pPr>
              <w:pStyle w:val="TableContents"/>
              <w:bidi w:val="0"/>
              <w:spacing w:lineRule="atLeast" w:line="200" w:before="0" w:after="283"/>
              <w:jc w:val="right"/>
              <w:rPr/>
            </w:pPr>
            <w:r>
              <w:rPr/>
              <w:t>70</w:t>
            </w:r>
          </w:p>
        </w:tc>
        <w:tc>
          <w:tcPr>
            <w:tcW w:w="1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0" w:before="0" w:after="283"/>
              <w:jc w:val="right"/>
              <w:rPr/>
            </w:pPr>
            <w:r>
              <w:rPr/>
              <w:t>​</w:t>
            </w:r>
          </w:p>
        </w:tc>
        <w:tc>
          <w:tcPr>
            <w:tcW w:w="1306" w:type="dxa"/>
            <w:tcBorders/>
            <w:vAlign w:val="center"/>
          </w:tcPr>
          <w:p>
            <w:pPr>
              <w:pStyle w:val="TableContents"/>
              <w:bidi w:val="0"/>
              <w:spacing w:lineRule="atLeast" w:line="200" w:before="0" w:after="283"/>
              <w:jc w:val="right"/>
              <w:rPr/>
            </w:pPr>
            <w:r>
              <w:rPr/>
              <w:t>8,491,692</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6" w:space="0" w:color="000000"/>
            </w:tcBorders>
            <w:tcMar>
              <w:bottom w:w="28" w:type="dxa"/>
            </w:tcMar>
            <w:vAlign w:val="center"/>
          </w:tcPr>
          <w:p>
            <w:pPr>
              <w:pStyle w:val="Normal"/>
              <w:bidi w:val="0"/>
              <w:jc w:val="left"/>
              <w:rPr/>
            </w:pPr>
            <w:r>
              <w:rPr/>
            </w:r>
          </w:p>
        </w:tc>
        <w:tc>
          <w:tcPr>
            <w:tcW w:w="1216" w:type="dxa"/>
            <w:vMerge w:val="continue"/>
            <w:tcBorders>
              <w:bottom w:val="single" w:sz="6" w:space="0" w:color="000000"/>
            </w:tcBorders>
            <w:tcMar>
              <w:bottom w:w="145"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2022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9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2" w:type="dxa"/>
            <w:tcBorders/>
            <w:vAlign w:val="center"/>
          </w:tcPr>
          <w:p>
            <w:pPr>
              <w:pStyle w:val="TableContents"/>
              <w:bidi w:val="0"/>
              <w:spacing w:before="0" w:after="283"/>
              <w:jc w:val="left"/>
              <w:rPr/>
            </w:pPr>
            <w:r>
              <w:rPr/>
              <w:t>​</w:t>
            </w:r>
          </w:p>
        </w:tc>
        <w:tc>
          <w:tcPr>
            <w:tcW w:w="132" w:type="dxa"/>
            <w:tcBorders/>
            <w:vAlign w:val="center"/>
          </w:tcPr>
          <w:p>
            <w:pPr>
              <w:pStyle w:val="TableContents"/>
              <w:bidi w:val="0"/>
              <w:spacing w:before="0" w:after="283"/>
              <w:jc w:val="right"/>
              <w:rPr/>
            </w:pPr>
            <w:r>
              <w:rPr/>
              <w:t>​</w:t>
            </w:r>
          </w:p>
        </w:tc>
        <w:tc>
          <w:tcPr>
            <w:tcW w:w="1074" w:type="dxa"/>
            <w:tcBorders/>
            <w:vAlign w:val="center"/>
          </w:tcPr>
          <w:p>
            <w:pPr>
              <w:pStyle w:val="TableContents"/>
              <w:bidi w:val="0"/>
              <w:spacing w:before="0" w:after="283"/>
              <w:jc w:val="right"/>
              <w:rPr/>
            </w:pPr>
            <w:r>
              <w:rPr/>
              <w:t>—</w:t>
            </w:r>
          </w:p>
        </w:tc>
        <w:tc>
          <w:tcPr>
            <w:tcW w:w="13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5" w:type="dxa"/>
            <w:tcBorders/>
            <w:vAlign w:val="center"/>
          </w:tcPr>
          <w:p>
            <w:pPr>
              <w:pStyle w:val="TableContents"/>
              <w:bidi w:val="0"/>
              <w:spacing w:before="0" w:after="283"/>
              <w:jc w:val="left"/>
              <w:rPr/>
            </w:pPr>
            <w:r>
              <w:rPr/>
              <w:t>​</w:t>
            </w:r>
          </w:p>
        </w:tc>
        <w:tc>
          <w:tcPr>
            <w:tcW w:w="115" w:type="dxa"/>
            <w:tcBorders/>
            <w:vAlign w:val="center"/>
          </w:tcPr>
          <w:p>
            <w:pPr>
              <w:pStyle w:val="TableContents"/>
              <w:bidi w:val="0"/>
              <w:spacing w:before="0" w:after="283"/>
              <w:jc w:val="right"/>
              <w:rPr/>
            </w:pPr>
            <w:r>
              <w:rPr/>
              <w:t>​</w:t>
            </w:r>
          </w:p>
        </w:tc>
        <w:tc>
          <w:tcPr>
            <w:tcW w:w="1125" w:type="dxa"/>
            <w:tcBorders/>
            <w:vAlign w:val="center"/>
          </w:tcPr>
          <w:p>
            <w:pPr>
              <w:pStyle w:val="TableContents"/>
              <w:bidi w:val="0"/>
              <w:spacing w:before="0" w:after="283"/>
              <w:jc w:val="right"/>
              <w:rPr/>
            </w:pPr>
            <w:r>
              <w:rPr/>
              <w:t>—</w:t>
            </w:r>
          </w:p>
        </w:tc>
        <w:tc>
          <w:tcPr>
            <w:tcW w:w="1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6" w:space="0" w:color="000000"/>
            </w:tcBorders>
            <w:tcMar>
              <w:bottom w:w="28" w:type="dxa"/>
            </w:tcMar>
            <w:vAlign w:val="center"/>
          </w:tcPr>
          <w:p>
            <w:pPr>
              <w:pStyle w:val="Normal"/>
              <w:bidi w:val="0"/>
              <w:jc w:val="left"/>
              <w:rPr/>
            </w:pPr>
            <w:r>
              <w:rPr/>
            </w:r>
          </w:p>
        </w:tc>
        <w:tc>
          <w:tcPr>
            <w:tcW w:w="1216" w:type="dxa"/>
            <w:vMerge w:val="continue"/>
            <w:tcBorders>
              <w:bottom w:val="single" w:sz="6" w:space="0" w:color="000000"/>
            </w:tcBorders>
            <w:tcMar>
              <w:bottom w:w="145"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586" w:type="dxa"/>
            <w:tcBorders>
              <w:bottom w:val="single" w:sz="6" w:space="0" w:color="000000"/>
            </w:tcBorders>
            <w:tcMar>
              <w:bottom w:w="145" w:type="dxa"/>
            </w:tcMar>
            <w:vAlign w:val="center"/>
          </w:tcPr>
          <w:p>
            <w:pPr>
              <w:pStyle w:val="TableContents"/>
              <w:bidi w:val="0"/>
              <w:spacing w:before="0" w:after="283"/>
              <w:jc w:val="right"/>
              <w:rPr/>
            </w:pPr>
            <w:r>
              <w:rPr/>
              <w:t>2021</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tcMar>
              <w:bottom w:w="145"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096" w:type="dxa"/>
            <w:tcBorders>
              <w:bottom w:val="single" w:sz="6" w:space="0" w:color="000000"/>
            </w:tcBorders>
            <w:tcMar>
              <w:bottom w:w="145"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306" w:type="dxa"/>
            <w:tcBorders>
              <w:bottom w:val="single" w:sz="6" w:space="0" w:color="000000"/>
            </w:tcBorders>
            <w:tcMar>
              <w:bottom w:w="145"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066" w:type="dxa"/>
            <w:tcBorders>
              <w:bottom w:val="single" w:sz="6" w:space="0" w:color="000000"/>
            </w:tcBorders>
            <w:tcMar>
              <w:bottom w:w="145"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 w:type="dxa"/>
            <w:tcBorders>
              <w:bottom w:val="single" w:sz="6" w:space="0" w:color="000000"/>
            </w:tcBorders>
            <w:tcMar>
              <w:bottom w:w="28" w:type="dxa"/>
            </w:tcMar>
            <w:vAlign w:val="center"/>
          </w:tcPr>
          <w:p>
            <w:pPr>
              <w:pStyle w:val="TableContents"/>
              <w:bidi w:val="0"/>
              <w:spacing w:before="0" w:after="283"/>
              <w:jc w:val="left"/>
              <w:rPr/>
            </w:pPr>
            <w:r>
              <w:rPr/>
              <w:t>​</w:t>
            </w:r>
          </w:p>
        </w:tc>
        <w:tc>
          <w:tcPr>
            <w:tcW w:w="132" w:type="dxa"/>
            <w:tcBorders>
              <w:bottom w:val="single" w:sz="6" w:space="0" w:color="000000"/>
            </w:tcBorders>
            <w:tcMar>
              <w:bottom w:w="145" w:type="dxa"/>
            </w:tcMar>
            <w:vAlign w:val="center"/>
          </w:tcPr>
          <w:p>
            <w:pPr>
              <w:pStyle w:val="TableContents"/>
              <w:bidi w:val="0"/>
              <w:spacing w:before="0" w:after="283"/>
              <w:jc w:val="right"/>
              <w:rPr/>
            </w:pPr>
            <w:r>
              <w:rPr/>
              <w:t>​</w:t>
            </w:r>
          </w:p>
        </w:tc>
        <w:tc>
          <w:tcPr>
            <w:tcW w:w="1074" w:type="dxa"/>
            <w:tcBorders>
              <w:bottom w:val="single" w:sz="6" w:space="0" w:color="000000"/>
            </w:tcBorders>
            <w:tcMar>
              <w:bottom w:w="145" w:type="dxa"/>
            </w:tcMar>
            <w:vAlign w:val="center"/>
          </w:tcPr>
          <w:p>
            <w:pPr>
              <w:pStyle w:val="TableContents"/>
              <w:bidi w:val="0"/>
              <w:spacing w:before="0" w:after="283"/>
              <w:jc w:val="right"/>
              <w:rPr/>
            </w:pPr>
            <w:r>
              <w:rPr/>
              <w:t>—</w:t>
            </w:r>
          </w:p>
        </w:tc>
        <w:tc>
          <w:tcPr>
            <w:tcW w:w="133"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5" w:type="dxa"/>
            <w:tcBorders>
              <w:bottom w:val="single" w:sz="6" w:space="0" w:color="000000"/>
            </w:tcBorders>
            <w:tcMar>
              <w:bottom w:w="28" w:type="dxa"/>
            </w:tcMar>
            <w:vAlign w:val="center"/>
          </w:tcPr>
          <w:p>
            <w:pPr>
              <w:pStyle w:val="TableContents"/>
              <w:bidi w:val="0"/>
              <w:spacing w:before="0" w:after="283"/>
              <w:jc w:val="left"/>
              <w:rPr/>
            </w:pPr>
            <w:r>
              <w:rPr/>
              <w:t>​</w:t>
            </w:r>
          </w:p>
        </w:tc>
        <w:tc>
          <w:tcPr>
            <w:tcW w:w="115" w:type="dxa"/>
            <w:tcBorders>
              <w:bottom w:val="single" w:sz="6" w:space="0" w:color="000000"/>
            </w:tcBorders>
            <w:tcMar>
              <w:bottom w:w="145" w:type="dxa"/>
            </w:tcMar>
            <w:vAlign w:val="center"/>
          </w:tcPr>
          <w:p>
            <w:pPr>
              <w:pStyle w:val="TableContents"/>
              <w:bidi w:val="0"/>
              <w:spacing w:before="0" w:after="283"/>
              <w:jc w:val="right"/>
              <w:rPr/>
            </w:pPr>
            <w:r>
              <w:rPr/>
              <w:t>​</w:t>
            </w:r>
          </w:p>
        </w:tc>
        <w:tc>
          <w:tcPr>
            <w:tcW w:w="1125" w:type="dxa"/>
            <w:tcBorders>
              <w:bottom w:val="single" w:sz="6" w:space="0" w:color="000000"/>
            </w:tcBorders>
            <w:tcMar>
              <w:bottom w:w="145" w:type="dxa"/>
            </w:tcMar>
            <w:vAlign w:val="center"/>
          </w:tcPr>
          <w:p>
            <w:pPr>
              <w:pStyle w:val="TableContents"/>
              <w:bidi w:val="0"/>
              <w:spacing w:before="0" w:after="283"/>
              <w:jc w:val="right"/>
              <w:rPr/>
            </w:pPr>
            <w:r>
              <w:rPr/>
              <w:t>—</w:t>
            </w:r>
          </w:p>
        </w:tc>
        <w:tc>
          <w:tcPr>
            <w:tcW w:w="116"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306" w:type="dxa"/>
            <w:tcBorders>
              <w:bottom w:val="single" w:sz="6" w:space="0" w:color="000000"/>
            </w:tcBorders>
            <w:tcMar>
              <w:bottom w:w="145"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216" w:type="dxa"/>
            <w:vMerge w:val="restart"/>
            <w:tcBorders>
              <w:bottom w:val="single" w:sz="6" w:space="0" w:color="000000"/>
            </w:tcBorders>
            <w:shd w:fill="F7F7F7" w:val="clear"/>
            <w:tcMar>
              <w:bottom w:w="145" w:type="dxa"/>
            </w:tcMar>
            <w:vAlign w:val="center"/>
          </w:tcPr>
          <w:p>
            <w:pPr>
              <w:pStyle w:val="TableContents"/>
              <w:bidi w:val="0"/>
              <w:spacing w:lineRule="atLeast" w:line="200" w:before="0" w:after="0"/>
              <w:jc w:val="left"/>
              <w:rPr>
                <w:b/>
                <w:sz w:val="18"/>
              </w:rPr>
            </w:pPr>
            <w:r>
              <w:rPr>
                <w:b/>
                <w:sz w:val="18"/>
              </w:rPr>
              <w:t>Eric Bach</w:t>
            </w:r>
          </w:p>
          <w:p>
            <w:pPr>
              <w:pStyle w:val="TableContents"/>
              <w:bidi w:val="0"/>
              <w:spacing w:lineRule="atLeast" w:line="180" w:before="60" w:after="283"/>
              <w:jc w:val="left"/>
              <w:rPr>
                <w:i/>
              </w:rPr>
            </w:pPr>
            <w:r>
              <w:rPr>
                <w:i/>
              </w:rPr>
              <w:t>Senior Vice President, Product and Chief Engineer</w:t>
            </w:r>
          </w:p>
        </w:tc>
        <w:tc>
          <w:tcPr>
            <w:tcW w:w="109" w:type="dxa"/>
            <w:vMerge w:val="restart"/>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lineRule="atLeast" w:line="200" w:before="0" w:after="283"/>
              <w:jc w:val="right"/>
              <w:rPr/>
            </w:pPr>
            <w:r>
              <w:rPr/>
              <w:t>​</w:t>
            </w:r>
          </w:p>
        </w:tc>
        <w:tc>
          <w:tcPr>
            <w:tcW w:w="586" w:type="dxa"/>
            <w:tcBorders/>
            <w:shd w:fill="F7F7F7" w:val="clear"/>
            <w:vAlign w:val="center"/>
          </w:tcPr>
          <w:p>
            <w:pPr>
              <w:pStyle w:val="TableContents"/>
              <w:bidi w:val="0"/>
              <w:spacing w:lineRule="atLeast" w:line="200" w:before="0" w:after="283"/>
              <w:jc w:val="right"/>
              <w:rPr/>
            </w:pPr>
            <w:r>
              <w:rPr/>
              <w:t>2023</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lineRule="atLeast" w:line="200" w:before="0" w:after="283"/>
              <w:jc w:val="right"/>
              <w:rPr/>
            </w:pPr>
            <w:r>
              <w:rPr/>
              <w:t>​</w:t>
            </w:r>
          </w:p>
        </w:tc>
        <w:tc>
          <w:tcPr>
            <w:tcW w:w="886" w:type="dxa"/>
            <w:tcBorders/>
            <w:shd w:fill="F7F7F7" w:val="clear"/>
            <w:vAlign w:val="center"/>
          </w:tcPr>
          <w:p>
            <w:pPr>
              <w:pStyle w:val="TableContents"/>
              <w:bidi w:val="0"/>
              <w:spacing w:lineRule="atLeast" w:line="200" w:before="0" w:after="283"/>
              <w:jc w:val="right"/>
              <w:rPr/>
            </w:pPr>
            <w:r>
              <w:rPr/>
              <w:t>534,423</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lineRule="atLeast" w:line="200" w:before="0" w:after="283"/>
              <w:jc w:val="right"/>
              <w:rPr/>
            </w:pPr>
            <w:r>
              <w:rPr/>
              <w:t>​</w:t>
            </w:r>
          </w:p>
        </w:tc>
        <w:tc>
          <w:tcPr>
            <w:tcW w:w="1096" w:type="dxa"/>
            <w:tcBorders/>
            <w:shd w:fill="F7F7F7" w:val="clear"/>
            <w:vAlign w:val="center"/>
          </w:tcPr>
          <w:p>
            <w:pPr>
              <w:pStyle w:val="TableContents"/>
              <w:bidi w:val="0"/>
              <w:spacing w:lineRule="atLeast" w:line="200" w:before="0" w:after="283"/>
              <w:jc w:val="right"/>
              <w:rPr/>
            </w:pPr>
            <w:r>
              <w:rPr/>
              <w:t>1,000,000</w:t>
            </w:r>
            <w:r>
              <w:rPr>
                <w:sz w:val="10"/>
              </w:rPr>
              <w:t>(5)</w:t>
            </w:r>
            <w:r>
              <w:rPr/>
              <w:t xml:space="preserve"> </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lineRule="atLeast" w:line="200" w:before="0" w:after="283"/>
              <w:jc w:val="right"/>
              <w:rPr/>
            </w:pPr>
            <w:r>
              <w:rPr/>
              <w:t>​</w:t>
            </w:r>
          </w:p>
        </w:tc>
        <w:tc>
          <w:tcPr>
            <w:tcW w:w="1306" w:type="dxa"/>
            <w:tcBorders/>
            <w:shd w:fill="F7F7F7" w:val="clear"/>
            <w:vAlign w:val="center"/>
          </w:tcPr>
          <w:p>
            <w:pPr>
              <w:pStyle w:val="TableContents"/>
              <w:bidi w:val="0"/>
              <w:spacing w:lineRule="atLeast" w:line="200" w:before="0" w:after="283"/>
              <w:jc w:val="right"/>
              <w:rPr/>
            </w:pPr>
            <w:r>
              <w:rPr/>
              <w:t>7,159,781</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lineRule="atLeast" w:line="200" w:before="0" w:after="283"/>
              <w:jc w:val="right"/>
              <w:rPr/>
            </w:pPr>
            <w:r>
              <w:rPr/>
              <w:t>​</w:t>
            </w:r>
          </w:p>
        </w:tc>
        <w:tc>
          <w:tcPr>
            <w:tcW w:w="1066" w:type="dxa"/>
            <w:tcBorders/>
            <w:shd w:fill="F7F7F7" w:val="clear"/>
            <w:vAlign w:val="center"/>
          </w:tcPr>
          <w:p>
            <w:pPr>
              <w:pStyle w:val="TableContents"/>
              <w:bidi w:val="0"/>
              <w:spacing w:lineRule="atLeast" w:line="200" w:before="0" w:after="283"/>
              <w:jc w:val="right"/>
              <w:rPr/>
            </w:pPr>
            <w:r>
              <w:rPr/>
              <w:t>1,548,832</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32" w:type="dxa"/>
            <w:tcBorders/>
            <w:shd w:fill="F7F7F7" w:val="clear"/>
            <w:vAlign w:val="center"/>
          </w:tcPr>
          <w:p>
            <w:pPr>
              <w:pStyle w:val="TableContents"/>
              <w:bidi w:val="0"/>
              <w:spacing w:before="0" w:after="283"/>
              <w:jc w:val="left"/>
              <w:rPr/>
            </w:pPr>
            <w:r>
              <w:rPr/>
              <w:t>​</w:t>
            </w:r>
          </w:p>
        </w:tc>
        <w:tc>
          <w:tcPr>
            <w:tcW w:w="132" w:type="dxa"/>
            <w:tcBorders/>
            <w:shd w:fill="F7F7F7" w:val="clear"/>
            <w:vAlign w:val="center"/>
          </w:tcPr>
          <w:p>
            <w:pPr>
              <w:pStyle w:val="TableContents"/>
              <w:bidi w:val="0"/>
              <w:spacing w:lineRule="atLeast" w:line="200" w:before="0" w:after="283"/>
              <w:jc w:val="right"/>
              <w:rPr/>
            </w:pPr>
            <w:r>
              <w:rPr/>
              <w:t>​</w:t>
            </w:r>
          </w:p>
        </w:tc>
        <w:tc>
          <w:tcPr>
            <w:tcW w:w="1074" w:type="dxa"/>
            <w:tcBorders/>
            <w:shd w:fill="F7F7F7" w:val="clear"/>
            <w:vAlign w:val="center"/>
          </w:tcPr>
          <w:p>
            <w:pPr>
              <w:pStyle w:val="TableContents"/>
              <w:bidi w:val="0"/>
              <w:spacing w:lineRule="atLeast" w:line="200" w:before="0" w:after="283"/>
              <w:jc w:val="right"/>
              <w:rPr/>
            </w:pPr>
            <w:r>
              <w:rPr/>
              <w:t>196,035</w:t>
            </w:r>
          </w:p>
        </w:tc>
        <w:tc>
          <w:tcPr>
            <w:tcW w:w="133"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15" w:type="dxa"/>
            <w:tcBorders/>
            <w:shd w:fill="F7F7F7" w:val="clear"/>
            <w:vAlign w:val="center"/>
          </w:tcPr>
          <w:p>
            <w:pPr>
              <w:pStyle w:val="TableContents"/>
              <w:bidi w:val="0"/>
              <w:spacing w:before="0" w:after="283"/>
              <w:jc w:val="left"/>
              <w:rPr/>
            </w:pPr>
            <w:r>
              <w:rPr/>
              <w:t>​</w:t>
            </w:r>
          </w:p>
        </w:tc>
        <w:tc>
          <w:tcPr>
            <w:tcW w:w="115" w:type="dxa"/>
            <w:tcBorders/>
            <w:shd w:fill="F7F7F7" w:val="clear"/>
            <w:vAlign w:val="center"/>
          </w:tcPr>
          <w:p>
            <w:pPr>
              <w:pStyle w:val="TableContents"/>
              <w:bidi w:val="0"/>
              <w:spacing w:lineRule="atLeast" w:line="200" w:before="0" w:after="283"/>
              <w:jc w:val="right"/>
              <w:rPr/>
            </w:pPr>
            <w:r>
              <w:rPr/>
              <w:t>​</w:t>
            </w:r>
          </w:p>
        </w:tc>
        <w:tc>
          <w:tcPr>
            <w:tcW w:w="1125" w:type="dxa"/>
            <w:tcBorders/>
            <w:shd w:fill="F7F7F7" w:val="clear"/>
            <w:vAlign w:val="center"/>
          </w:tcPr>
          <w:p>
            <w:pPr>
              <w:pStyle w:val="TableContents"/>
              <w:bidi w:val="0"/>
              <w:spacing w:lineRule="atLeast" w:line="200" w:before="0" w:after="283"/>
              <w:jc w:val="right"/>
              <w:rPr/>
            </w:pPr>
            <w:r>
              <w:rPr/>
              <w:t>872</w:t>
            </w:r>
          </w:p>
        </w:tc>
        <w:tc>
          <w:tcPr>
            <w:tcW w:w="116"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lineRule="atLeast" w:line="200" w:before="0" w:after="283"/>
              <w:jc w:val="right"/>
              <w:rPr/>
            </w:pPr>
            <w:r>
              <w:rPr/>
              <w:t>​</w:t>
            </w:r>
          </w:p>
        </w:tc>
        <w:tc>
          <w:tcPr>
            <w:tcW w:w="1306" w:type="dxa"/>
            <w:tcBorders/>
            <w:shd w:fill="F7F7F7" w:val="clear"/>
            <w:vAlign w:val="center"/>
          </w:tcPr>
          <w:p>
            <w:pPr>
              <w:pStyle w:val="TableContents"/>
              <w:bidi w:val="0"/>
              <w:spacing w:lineRule="atLeast" w:line="200" w:before="0" w:after="283"/>
              <w:jc w:val="right"/>
              <w:rPr/>
            </w:pPr>
            <w:r>
              <w:rPr/>
              <w:t>10,439,943</w:t>
            </w:r>
          </w:p>
        </w:tc>
        <w:tc>
          <w:tcPr>
            <w:tcW w:w="109" w:type="dxa"/>
            <w:tcBorders/>
            <w:shd w:fill="F7F7F7" w:val="clear"/>
            <w:vAlign w:val="center"/>
          </w:tcPr>
          <w:p>
            <w:pPr>
              <w:pStyle w:val="TableContents"/>
              <w:bidi w:val="0"/>
              <w:spacing w:before="0" w:after="283"/>
              <w:jc w:val="left"/>
              <w:rPr/>
            </w:pPr>
            <w:r>
              <w:rPr/>
              <w:t>​</w:t>
            </w:r>
          </w:p>
        </w:tc>
        <w:tc>
          <w:tcPr>
            <w:tcW w:w="154" w:type="dxa"/>
            <w:tcBorders/>
            <w:shd w:fill="F7F7F7" w:val="cle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shd w:fill="F7F7F7" w:val="clear"/>
            <w:tcMar>
              <w:bottom w:w="28" w:type="dxa"/>
            </w:tcMar>
            <w:vAlign w:val="center"/>
          </w:tcPr>
          <w:p>
            <w:pPr>
              <w:pStyle w:val="Normal"/>
              <w:bidi w:val="0"/>
              <w:jc w:val="left"/>
              <w:rPr/>
            </w:pPr>
            <w:r>
              <w:rPr/>
            </w:r>
          </w:p>
        </w:tc>
        <w:tc>
          <w:tcPr>
            <w:tcW w:w="1216" w:type="dxa"/>
            <w:vMerge w:val="continue"/>
            <w:tcBorders>
              <w:bottom w:val="single" w:sz="6" w:space="0" w:color="000000"/>
            </w:tcBorders>
            <w:shd w:fill="F7F7F7" w:val="clear"/>
            <w:tcMar>
              <w:bottom w:w="145" w:type="dxa"/>
            </w:tcMar>
            <w:vAlign w:val="center"/>
          </w:tcPr>
          <w:p>
            <w:pPr>
              <w:pStyle w:val="Normal"/>
              <w:bidi w:val="0"/>
              <w:jc w:val="left"/>
              <w:rPr/>
            </w:pPr>
            <w:r>
              <w:rPr/>
            </w:r>
          </w:p>
        </w:tc>
        <w:tc>
          <w:tcPr>
            <w:tcW w:w="109" w:type="dxa"/>
            <w:vMerge w:val="continue"/>
            <w:tcBorders>
              <w:bottom w:val="single" w:sz="6" w:space="0" w:color="000000"/>
            </w:tcBorders>
            <w:shd w:fill="F7F7F7" w:val="clear"/>
            <w:tcMar>
              <w:bottom w:w="28" w:type="dxa"/>
            </w:tcMar>
            <w:vAlign w:val="center"/>
          </w:tcPr>
          <w:p>
            <w:pPr>
              <w:pStyle w:val="Normal"/>
              <w:bidi w:val="0"/>
              <w:jc w:val="left"/>
              <w:rPr/>
            </w:pPr>
            <w:r>
              <w:rPr/>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right"/>
              <w:rPr/>
            </w:pPr>
            <w:r>
              <w:rPr/>
              <w:t>​</w:t>
            </w:r>
          </w:p>
        </w:tc>
        <w:tc>
          <w:tcPr>
            <w:tcW w:w="586" w:type="dxa"/>
            <w:tcBorders/>
            <w:shd w:fill="F7F7F7" w:val="clear"/>
            <w:vAlign w:val="center"/>
          </w:tcPr>
          <w:p>
            <w:pPr>
              <w:pStyle w:val="TableContents"/>
              <w:bidi w:val="0"/>
              <w:spacing w:before="0" w:after="283"/>
              <w:jc w:val="right"/>
              <w:rPr/>
            </w:pPr>
            <w:r>
              <w:rPr/>
              <w:t>2022</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right"/>
              <w:rPr/>
            </w:pPr>
            <w:r>
              <w:rPr/>
              <w:t>​</w:t>
            </w:r>
          </w:p>
        </w:tc>
        <w:tc>
          <w:tcPr>
            <w:tcW w:w="886" w:type="dxa"/>
            <w:tcBorders/>
            <w:shd w:fill="F7F7F7" w:val="clear"/>
            <w:vAlign w:val="center"/>
          </w:tcPr>
          <w:p>
            <w:pPr>
              <w:pStyle w:val="TableContents"/>
              <w:bidi w:val="0"/>
              <w:spacing w:before="0" w:after="283"/>
              <w:jc w:val="right"/>
              <w:rPr/>
            </w:pPr>
            <w:r>
              <w:rPr/>
              <w:t>488,942</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right"/>
              <w:rPr/>
            </w:pPr>
            <w:r>
              <w:rPr/>
              <w:t>​</w:t>
            </w:r>
          </w:p>
        </w:tc>
        <w:tc>
          <w:tcPr>
            <w:tcW w:w="1096" w:type="dxa"/>
            <w:tcBorders/>
            <w:shd w:fill="F7F7F7" w:val="clear"/>
            <w:vAlign w:val="center"/>
          </w:tcPr>
          <w:p>
            <w:pPr>
              <w:pStyle w:val="TableContents"/>
              <w:bidi w:val="0"/>
              <w:spacing w:before="0" w:after="283"/>
              <w:jc w:val="righ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right"/>
              <w:rPr/>
            </w:pPr>
            <w:r>
              <w:rPr/>
              <w:t>​</w:t>
            </w:r>
          </w:p>
        </w:tc>
        <w:tc>
          <w:tcPr>
            <w:tcW w:w="1306" w:type="dxa"/>
            <w:tcBorders/>
            <w:shd w:fill="F7F7F7" w:val="clear"/>
            <w:vAlign w:val="center"/>
          </w:tcPr>
          <w:p>
            <w:pPr>
              <w:pStyle w:val="TableContents"/>
              <w:bidi w:val="0"/>
              <w:spacing w:before="0" w:after="283"/>
              <w:jc w:val="right"/>
              <w:rPr/>
            </w:pPr>
            <w:r>
              <w:rPr/>
              <w:t>5,249,436</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right"/>
              <w:rPr/>
            </w:pPr>
            <w:r>
              <w:rPr/>
              <w:t>​</w:t>
            </w:r>
          </w:p>
        </w:tc>
        <w:tc>
          <w:tcPr>
            <w:tcW w:w="1066" w:type="dxa"/>
            <w:tcBorders/>
            <w:shd w:fill="F7F7F7" w:val="clear"/>
            <w:vAlign w:val="center"/>
          </w:tcPr>
          <w:p>
            <w:pPr>
              <w:pStyle w:val="TableContents"/>
              <w:bidi w:val="0"/>
              <w:spacing w:before="0" w:after="283"/>
              <w:jc w:val="righ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32" w:type="dxa"/>
            <w:tcBorders/>
            <w:shd w:fill="F7F7F7" w:val="clear"/>
            <w:vAlign w:val="center"/>
          </w:tcPr>
          <w:p>
            <w:pPr>
              <w:pStyle w:val="TableContents"/>
              <w:bidi w:val="0"/>
              <w:spacing w:before="0" w:after="283"/>
              <w:jc w:val="left"/>
              <w:rPr/>
            </w:pPr>
            <w:r>
              <w:rPr/>
              <w:t>​</w:t>
            </w:r>
          </w:p>
        </w:tc>
        <w:tc>
          <w:tcPr>
            <w:tcW w:w="132" w:type="dxa"/>
            <w:tcBorders/>
            <w:shd w:fill="F7F7F7" w:val="clear"/>
            <w:vAlign w:val="center"/>
          </w:tcPr>
          <w:p>
            <w:pPr>
              <w:pStyle w:val="TableContents"/>
              <w:bidi w:val="0"/>
              <w:spacing w:before="0" w:after="283"/>
              <w:jc w:val="right"/>
              <w:rPr/>
            </w:pPr>
            <w:r>
              <w:rPr/>
              <w:t>​</w:t>
            </w:r>
          </w:p>
        </w:tc>
        <w:tc>
          <w:tcPr>
            <w:tcW w:w="1074" w:type="dxa"/>
            <w:tcBorders/>
            <w:shd w:fill="F7F7F7" w:val="clear"/>
            <w:vAlign w:val="center"/>
          </w:tcPr>
          <w:p>
            <w:pPr>
              <w:pStyle w:val="TableContents"/>
              <w:bidi w:val="0"/>
              <w:spacing w:before="0" w:after="283"/>
              <w:jc w:val="right"/>
              <w:rPr/>
            </w:pPr>
            <w:r>
              <w:rPr/>
              <w:t>—</w:t>
            </w:r>
          </w:p>
        </w:tc>
        <w:tc>
          <w:tcPr>
            <w:tcW w:w="133"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15" w:type="dxa"/>
            <w:tcBorders/>
            <w:shd w:fill="F7F7F7" w:val="clear"/>
            <w:vAlign w:val="center"/>
          </w:tcPr>
          <w:p>
            <w:pPr>
              <w:pStyle w:val="TableContents"/>
              <w:bidi w:val="0"/>
              <w:spacing w:before="0" w:after="283"/>
              <w:jc w:val="left"/>
              <w:rPr/>
            </w:pPr>
            <w:r>
              <w:rPr/>
              <w:t>​</w:t>
            </w:r>
          </w:p>
        </w:tc>
        <w:tc>
          <w:tcPr>
            <w:tcW w:w="115" w:type="dxa"/>
            <w:tcBorders/>
            <w:shd w:fill="F7F7F7" w:val="clear"/>
            <w:vAlign w:val="center"/>
          </w:tcPr>
          <w:p>
            <w:pPr>
              <w:pStyle w:val="TableContents"/>
              <w:bidi w:val="0"/>
              <w:spacing w:before="0" w:after="283"/>
              <w:jc w:val="right"/>
              <w:rPr/>
            </w:pPr>
            <w:r>
              <w:rPr/>
              <w:t>​</w:t>
            </w:r>
          </w:p>
        </w:tc>
        <w:tc>
          <w:tcPr>
            <w:tcW w:w="1125" w:type="dxa"/>
            <w:tcBorders/>
            <w:shd w:fill="F7F7F7" w:val="clear"/>
            <w:vAlign w:val="center"/>
          </w:tcPr>
          <w:p>
            <w:pPr>
              <w:pStyle w:val="TableContents"/>
              <w:bidi w:val="0"/>
              <w:spacing w:before="0" w:after="283"/>
              <w:jc w:val="right"/>
              <w:rPr/>
            </w:pPr>
            <w:r>
              <w:rPr/>
              <w:t>—</w:t>
            </w:r>
          </w:p>
        </w:tc>
        <w:tc>
          <w:tcPr>
            <w:tcW w:w="116"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right"/>
              <w:rPr/>
            </w:pPr>
            <w:r>
              <w:rPr/>
              <w:t>​</w:t>
            </w:r>
          </w:p>
        </w:tc>
        <w:tc>
          <w:tcPr>
            <w:tcW w:w="1306" w:type="dxa"/>
            <w:tcBorders/>
            <w:shd w:fill="F7F7F7" w:val="clear"/>
            <w:vAlign w:val="center"/>
          </w:tcPr>
          <w:p>
            <w:pPr>
              <w:pStyle w:val="TableContents"/>
              <w:bidi w:val="0"/>
              <w:spacing w:before="0" w:after="283"/>
              <w:jc w:val="right"/>
              <w:rPr/>
            </w:pPr>
            <w:r>
              <w:rPr/>
              <w:t>5,738,378</w:t>
            </w:r>
          </w:p>
        </w:tc>
        <w:tc>
          <w:tcPr>
            <w:tcW w:w="109" w:type="dxa"/>
            <w:tcBorders/>
            <w:shd w:fill="F7F7F7" w:val="clear"/>
            <w:vAlign w:val="center"/>
          </w:tcPr>
          <w:p>
            <w:pPr>
              <w:pStyle w:val="TableContents"/>
              <w:bidi w:val="0"/>
              <w:spacing w:before="0" w:after="283"/>
              <w:jc w:val="left"/>
              <w:rPr/>
            </w:pPr>
            <w:r>
              <w:rPr/>
              <w:t>​</w:t>
            </w:r>
          </w:p>
        </w:tc>
        <w:tc>
          <w:tcPr>
            <w:tcW w:w="154" w:type="dxa"/>
            <w:tcBorders/>
            <w:shd w:fill="F7F7F7" w:val="cle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shd w:fill="F7F7F7" w:val="clear"/>
            <w:tcMar>
              <w:bottom w:w="28" w:type="dxa"/>
            </w:tcMar>
            <w:vAlign w:val="center"/>
          </w:tcPr>
          <w:p>
            <w:pPr>
              <w:pStyle w:val="Normal"/>
              <w:bidi w:val="0"/>
              <w:jc w:val="left"/>
              <w:rPr/>
            </w:pPr>
            <w:r>
              <w:rPr/>
            </w:r>
          </w:p>
        </w:tc>
        <w:tc>
          <w:tcPr>
            <w:tcW w:w="1216" w:type="dxa"/>
            <w:vMerge w:val="continue"/>
            <w:tcBorders>
              <w:bottom w:val="single" w:sz="6" w:space="0" w:color="000000"/>
            </w:tcBorders>
            <w:shd w:fill="F7F7F7" w:val="clear"/>
            <w:tcMar>
              <w:bottom w:w="145" w:type="dxa"/>
            </w:tcMar>
            <w:vAlign w:val="center"/>
          </w:tcPr>
          <w:p>
            <w:pPr>
              <w:pStyle w:val="Normal"/>
              <w:bidi w:val="0"/>
              <w:jc w:val="left"/>
              <w:rPr/>
            </w:pPr>
            <w:r>
              <w:rPr/>
            </w:r>
          </w:p>
        </w:tc>
        <w:tc>
          <w:tcPr>
            <w:tcW w:w="109" w:type="dxa"/>
            <w:vMerge w:val="continue"/>
            <w:tcBorders>
              <w:bottom w:val="single" w:sz="6" w:space="0" w:color="000000"/>
            </w:tcBorders>
            <w:shd w:fill="F7F7F7" w:val="clear"/>
            <w:tcMar>
              <w:bottom w:w="28" w:type="dxa"/>
            </w:tcMar>
            <w:vAlign w:val="center"/>
          </w:tcPr>
          <w:p>
            <w:pPr>
              <w:pStyle w:val="Normal"/>
              <w:bidi w:val="0"/>
              <w:jc w:val="left"/>
              <w:rPr/>
            </w:pPr>
            <w:r>
              <w:rPr/>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586" w:type="dxa"/>
            <w:tcBorders>
              <w:bottom w:val="single" w:sz="6" w:space="0" w:color="000000"/>
            </w:tcBorders>
            <w:shd w:fill="F7F7F7" w:val="clear"/>
            <w:tcMar>
              <w:bottom w:w="145" w:type="dxa"/>
            </w:tcMar>
            <w:vAlign w:val="center"/>
          </w:tcPr>
          <w:p>
            <w:pPr>
              <w:pStyle w:val="TableContents"/>
              <w:bidi w:val="0"/>
              <w:spacing w:before="0" w:after="283"/>
              <w:jc w:val="right"/>
              <w:rPr/>
            </w:pPr>
            <w:r>
              <w:rPr/>
              <w:t>2021</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shd w:fill="F7F7F7" w:val="clear"/>
            <w:tcMar>
              <w:bottom w:w="145" w:type="dxa"/>
            </w:tcMar>
            <w:vAlign w:val="center"/>
          </w:tcPr>
          <w:p>
            <w:pPr>
              <w:pStyle w:val="TableContents"/>
              <w:bidi w:val="0"/>
              <w:spacing w:before="0" w:after="283"/>
              <w:jc w:val="right"/>
              <w:rPr/>
            </w:pPr>
            <w:r>
              <w:rPr/>
              <w:t>414,423</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096" w:type="dxa"/>
            <w:tcBorders>
              <w:bottom w:val="single" w:sz="6" w:space="0" w:color="000000"/>
            </w:tcBorders>
            <w:shd w:fill="F7F7F7" w:val="clear"/>
            <w:tcMar>
              <w:bottom w:w="145" w:type="dxa"/>
            </w:tcMar>
            <w:vAlign w:val="center"/>
          </w:tcPr>
          <w:p>
            <w:pPr>
              <w:pStyle w:val="TableContents"/>
              <w:bidi w:val="0"/>
              <w:spacing w:before="0" w:after="283"/>
              <w:jc w:val="right"/>
              <w:rPr/>
            </w:pPr>
            <w:r>
              <w:rPr/>
              <w:t>118,248</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306" w:type="dxa"/>
            <w:tcBorders>
              <w:bottom w:val="single" w:sz="6" w:space="0" w:color="000000"/>
            </w:tcBorders>
            <w:shd w:fill="F7F7F7" w:val="clear"/>
            <w:tcMar>
              <w:bottom w:w="145" w:type="dxa"/>
            </w:tcMar>
            <w:vAlign w:val="center"/>
          </w:tcPr>
          <w:p>
            <w:pPr>
              <w:pStyle w:val="TableContents"/>
              <w:bidi w:val="0"/>
              <w:spacing w:before="0" w:after="283"/>
              <w:jc w:val="right"/>
              <w:rPr/>
            </w:pPr>
            <w:r>
              <w:rPr/>
              <w:t>10,000,930</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06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2"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2"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074" w:type="dxa"/>
            <w:tcBorders>
              <w:bottom w:val="single" w:sz="6" w:space="0" w:color="000000"/>
            </w:tcBorders>
            <w:shd w:fill="F7F7F7" w:val="clear"/>
            <w:tcMar>
              <w:bottom w:w="145" w:type="dxa"/>
            </w:tcMar>
            <w:vAlign w:val="center"/>
          </w:tcPr>
          <w:p>
            <w:pPr>
              <w:pStyle w:val="TableContents"/>
              <w:bidi w:val="0"/>
              <w:spacing w:before="0" w:after="283"/>
              <w:jc w:val="right"/>
              <w:rPr/>
            </w:pPr>
            <w:r>
              <w:rPr/>
              <w:t>168,750</w:t>
            </w:r>
          </w:p>
        </w:tc>
        <w:tc>
          <w:tcPr>
            <w:tcW w:w="133"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5"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125" w:type="dxa"/>
            <w:tcBorders>
              <w:bottom w:val="single" w:sz="6" w:space="0" w:color="000000"/>
            </w:tcBorders>
            <w:shd w:fill="F7F7F7" w:val="clear"/>
            <w:tcMar>
              <w:bottom w:w="145" w:type="dxa"/>
            </w:tcMar>
            <w:vAlign w:val="center"/>
          </w:tcPr>
          <w:p>
            <w:pPr>
              <w:pStyle w:val="TableContents"/>
              <w:bidi w:val="0"/>
              <w:spacing w:before="0" w:after="283"/>
              <w:jc w:val="right"/>
              <w:rPr/>
            </w:pPr>
            <w:r>
              <w:rPr/>
              <w:t>7,186,933</w:t>
            </w:r>
          </w:p>
        </w:tc>
        <w:tc>
          <w:tcPr>
            <w:tcW w:w="11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306" w:type="dxa"/>
            <w:tcBorders>
              <w:bottom w:val="single" w:sz="6" w:space="0" w:color="000000"/>
            </w:tcBorders>
            <w:shd w:fill="F7F7F7" w:val="clear"/>
            <w:tcMar>
              <w:bottom w:w="145" w:type="dxa"/>
            </w:tcMar>
            <w:vAlign w:val="center"/>
          </w:tcPr>
          <w:p>
            <w:pPr>
              <w:pStyle w:val="TableContents"/>
              <w:bidi w:val="0"/>
              <w:spacing w:before="0" w:after="283"/>
              <w:jc w:val="right"/>
              <w:rPr/>
            </w:pPr>
            <w:r>
              <w:rPr/>
              <w:t>17,889,284</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216" w:type="dxa"/>
            <w:vMerge w:val="restart"/>
            <w:tcBorders>
              <w:bottom w:val="single" w:sz="6" w:space="0" w:color="000000"/>
            </w:tcBorders>
            <w:tcMar>
              <w:bottom w:w="145" w:type="dxa"/>
            </w:tcMar>
            <w:vAlign w:val="center"/>
          </w:tcPr>
          <w:p>
            <w:pPr>
              <w:pStyle w:val="TableContents"/>
              <w:bidi w:val="0"/>
              <w:spacing w:lineRule="atLeast" w:line="200" w:before="0" w:after="0"/>
              <w:jc w:val="left"/>
              <w:rPr>
                <w:b/>
                <w:sz w:val="18"/>
              </w:rPr>
            </w:pPr>
            <w:r>
              <w:rPr>
                <w:b/>
                <w:sz w:val="18"/>
              </w:rPr>
              <w:t>Michael Bell</w:t>
            </w:r>
          </w:p>
          <w:p>
            <w:pPr>
              <w:pStyle w:val="TableContents"/>
              <w:bidi w:val="0"/>
              <w:spacing w:lineRule="atLeast" w:line="180" w:before="60" w:after="283"/>
              <w:jc w:val="left"/>
              <w:rPr>
                <w:i/>
              </w:rPr>
            </w:pPr>
            <w:r>
              <w:rPr>
                <w:i/>
              </w:rPr>
              <w:t>Senior Vice President, Digital</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0" w:before="0" w:after="283"/>
              <w:jc w:val="right"/>
              <w:rPr/>
            </w:pPr>
            <w:r>
              <w:rPr/>
              <w:t>​</w:t>
            </w:r>
          </w:p>
        </w:tc>
        <w:tc>
          <w:tcPr>
            <w:tcW w:w="586" w:type="dxa"/>
            <w:tcBorders/>
            <w:vAlign w:val="center"/>
          </w:tcPr>
          <w:p>
            <w:pPr>
              <w:pStyle w:val="TableContents"/>
              <w:bidi w:val="0"/>
              <w:spacing w:lineRule="atLeast" w:line="200" w:before="0" w:after="283"/>
              <w:jc w:val="right"/>
              <w:rPr/>
            </w:pPr>
            <w:r>
              <w:rPr/>
              <w:t>2023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0" w:before="0" w:after="283"/>
              <w:jc w:val="right"/>
              <w:rPr/>
            </w:pPr>
            <w:r>
              <w:rPr/>
              <w:t>​</w:t>
            </w:r>
          </w:p>
        </w:tc>
        <w:tc>
          <w:tcPr>
            <w:tcW w:w="886" w:type="dxa"/>
            <w:tcBorders/>
            <w:vAlign w:val="center"/>
          </w:tcPr>
          <w:p>
            <w:pPr>
              <w:pStyle w:val="TableContents"/>
              <w:bidi w:val="0"/>
              <w:spacing w:lineRule="atLeast" w:line="200" w:before="0" w:after="283"/>
              <w:jc w:val="right"/>
              <w:rPr/>
            </w:pPr>
            <w:r>
              <w:rPr/>
              <w:t>525,000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0" w:before="0" w:after="283"/>
              <w:jc w:val="right"/>
              <w:rPr/>
            </w:pPr>
            <w:r>
              <w:rPr/>
              <w:t>​</w:t>
            </w:r>
          </w:p>
        </w:tc>
        <w:tc>
          <w:tcPr>
            <w:tcW w:w="1096" w:type="dxa"/>
            <w:tcBorders/>
            <w:vAlign w:val="center"/>
          </w:tcPr>
          <w:p>
            <w:pPr>
              <w:pStyle w:val="TableContents"/>
              <w:bidi w:val="0"/>
              <w:spacing w:lineRule="atLeast" w:line="200"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0" w:before="0" w:after="283"/>
              <w:jc w:val="right"/>
              <w:rPr/>
            </w:pPr>
            <w:r>
              <w:rPr/>
              <w:t>​</w:t>
            </w:r>
          </w:p>
        </w:tc>
        <w:tc>
          <w:tcPr>
            <w:tcW w:w="1306" w:type="dxa"/>
            <w:tcBorders/>
            <w:vAlign w:val="center"/>
          </w:tcPr>
          <w:p>
            <w:pPr>
              <w:pStyle w:val="TableContents"/>
              <w:bidi w:val="0"/>
              <w:spacing w:lineRule="atLeast" w:line="200" w:before="0" w:after="283"/>
              <w:jc w:val="right"/>
              <w:rPr/>
            </w:pPr>
            <w:r>
              <w:rPr/>
              <w:t>7,159,781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0" w:before="0" w:after="283"/>
              <w:jc w:val="right"/>
              <w:rPr/>
            </w:pPr>
            <w:r>
              <w:rPr/>
              <w:t>​</w:t>
            </w:r>
          </w:p>
        </w:tc>
        <w:tc>
          <w:tcPr>
            <w:tcW w:w="1066" w:type="dxa"/>
            <w:tcBorders/>
            <w:vAlign w:val="center"/>
          </w:tcPr>
          <w:p>
            <w:pPr>
              <w:pStyle w:val="TableContents"/>
              <w:bidi w:val="0"/>
              <w:spacing w:lineRule="atLeast" w:line="200" w:before="0" w:after="283"/>
              <w:jc w:val="right"/>
              <w:rPr/>
            </w:pPr>
            <w:r>
              <w:rPr/>
              <w:t>1,548,832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2" w:type="dxa"/>
            <w:tcBorders/>
            <w:vAlign w:val="center"/>
          </w:tcPr>
          <w:p>
            <w:pPr>
              <w:pStyle w:val="TableContents"/>
              <w:bidi w:val="0"/>
              <w:spacing w:before="0" w:after="283"/>
              <w:jc w:val="left"/>
              <w:rPr/>
            </w:pPr>
            <w:r>
              <w:rPr/>
              <w:t>​</w:t>
            </w:r>
          </w:p>
        </w:tc>
        <w:tc>
          <w:tcPr>
            <w:tcW w:w="132" w:type="dxa"/>
            <w:tcBorders/>
            <w:vAlign w:val="center"/>
          </w:tcPr>
          <w:p>
            <w:pPr>
              <w:pStyle w:val="TableContents"/>
              <w:bidi w:val="0"/>
              <w:spacing w:lineRule="atLeast" w:line="200" w:before="0" w:after="283"/>
              <w:jc w:val="right"/>
              <w:rPr/>
            </w:pPr>
            <w:r>
              <w:rPr/>
              <w:t>​</w:t>
            </w:r>
          </w:p>
        </w:tc>
        <w:tc>
          <w:tcPr>
            <w:tcW w:w="1074" w:type="dxa"/>
            <w:tcBorders/>
            <w:vAlign w:val="center"/>
          </w:tcPr>
          <w:p>
            <w:pPr>
              <w:pStyle w:val="TableContents"/>
              <w:bidi w:val="0"/>
              <w:spacing w:lineRule="atLeast" w:line="200" w:before="0" w:after="283"/>
              <w:jc w:val="right"/>
              <w:rPr/>
            </w:pPr>
            <w:r>
              <w:rPr/>
              <w:t>73,513</w:t>
            </w:r>
          </w:p>
        </w:tc>
        <w:tc>
          <w:tcPr>
            <w:tcW w:w="13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5" w:type="dxa"/>
            <w:tcBorders/>
            <w:vAlign w:val="center"/>
          </w:tcPr>
          <w:p>
            <w:pPr>
              <w:pStyle w:val="TableContents"/>
              <w:bidi w:val="0"/>
              <w:spacing w:before="0" w:after="283"/>
              <w:jc w:val="left"/>
              <w:rPr/>
            </w:pPr>
            <w:r>
              <w:rPr/>
              <w:t>​</w:t>
            </w:r>
          </w:p>
        </w:tc>
        <w:tc>
          <w:tcPr>
            <w:tcW w:w="115" w:type="dxa"/>
            <w:tcBorders/>
            <w:vAlign w:val="center"/>
          </w:tcPr>
          <w:p>
            <w:pPr>
              <w:pStyle w:val="TableContents"/>
              <w:bidi w:val="0"/>
              <w:spacing w:lineRule="atLeast" w:line="200" w:before="0" w:after="283"/>
              <w:jc w:val="right"/>
              <w:rPr/>
            </w:pPr>
            <w:r>
              <w:rPr/>
              <w:t>​</w:t>
            </w:r>
          </w:p>
        </w:tc>
        <w:tc>
          <w:tcPr>
            <w:tcW w:w="1125" w:type="dxa"/>
            <w:tcBorders/>
            <w:vAlign w:val="center"/>
          </w:tcPr>
          <w:p>
            <w:pPr>
              <w:pStyle w:val="TableContents"/>
              <w:bidi w:val="0"/>
              <w:spacing w:lineRule="atLeast" w:line="200" w:before="0" w:after="283"/>
              <w:jc w:val="right"/>
              <w:rPr/>
            </w:pPr>
            <w:r>
              <w:rPr/>
              <w:t>872</w:t>
            </w:r>
          </w:p>
        </w:tc>
        <w:tc>
          <w:tcPr>
            <w:tcW w:w="1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0" w:before="0" w:after="283"/>
              <w:jc w:val="right"/>
              <w:rPr/>
            </w:pPr>
            <w:r>
              <w:rPr/>
              <w:t>​</w:t>
            </w:r>
          </w:p>
        </w:tc>
        <w:tc>
          <w:tcPr>
            <w:tcW w:w="1306" w:type="dxa"/>
            <w:tcBorders/>
            <w:vAlign w:val="center"/>
          </w:tcPr>
          <w:p>
            <w:pPr>
              <w:pStyle w:val="TableContents"/>
              <w:bidi w:val="0"/>
              <w:spacing w:lineRule="atLeast" w:line="200" w:before="0" w:after="283"/>
              <w:jc w:val="right"/>
              <w:rPr/>
            </w:pPr>
            <w:r>
              <w:rPr/>
              <w:t>9,307,998</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6" w:space="0" w:color="000000"/>
            </w:tcBorders>
            <w:tcMar>
              <w:bottom w:w="28" w:type="dxa"/>
            </w:tcMar>
            <w:vAlign w:val="center"/>
          </w:tcPr>
          <w:p>
            <w:pPr>
              <w:pStyle w:val="Normal"/>
              <w:bidi w:val="0"/>
              <w:jc w:val="left"/>
              <w:rPr/>
            </w:pPr>
            <w:r>
              <w:rPr/>
            </w:r>
          </w:p>
        </w:tc>
        <w:tc>
          <w:tcPr>
            <w:tcW w:w="1216" w:type="dxa"/>
            <w:vMerge w:val="continue"/>
            <w:tcBorders>
              <w:bottom w:val="single" w:sz="6" w:space="0" w:color="000000"/>
            </w:tcBorders>
            <w:tcMar>
              <w:bottom w:w="145"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2022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512,981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9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5,249,436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2" w:type="dxa"/>
            <w:tcBorders/>
            <w:vAlign w:val="center"/>
          </w:tcPr>
          <w:p>
            <w:pPr>
              <w:pStyle w:val="TableContents"/>
              <w:bidi w:val="0"/>
              <w:spacing w:before="0" w:after="283"/>
              <w:jc w:val="left"/>
              <w:rPr/>
            </w:pPr>
            <w:r>
              <w:rPr/>
              <w:t>​</w:t>
            </w:r>
          </w:p>
        </w:tc>
        <w:tc>
          <w:tcPr>
            <w:tcW w:w="132" w:type="dxa"/>
            <w:tcBorders/>
            <w:vAlign w:val="center"/>
          </w:tcPr>
          <w:p>
            <w:pPr>
              <w:pStyle w:val="TableContents"/>
              <w:bidi w:val="0"/>
              <w:spacing w:before="0" w:after="283"/>
              <w:jc w:val="right"/>
              <w:rPr/>
            </w:pPr>
            <w:r>
              <w:rPr/>
              <w:t>​</w:t>
            </w:r>
          </w:p>
        </w:tc>
        <w:tc>
          <w:tcPr>
            <w:tcW w:w="1074" w:type="dxa"/>
            <w:tcBorders/>
            <w:vAlign w:val="center"/>
          </w:tcPr>
          <w:p>
            <w:pPr>
              <w:pStyle w:val="TableContents"/>
              <w:bidi w:val="0"/>
              <w:spacing w:before="0" w:after="283"/>
              <w:jc w:val="right"/>
              <w:rPr/>
            </w:pPr>
            <w:r>
              <w:rPr/>
              <w:t>—</w:t>
            </w:r>
          </w:p>
        </w:tc>
        <w:tc>
          <w:tcPr>
            <w:tcW w:w="13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5" w:type="dxa"/>
            <w:tcBorders/>
            <w:vAlign w:val="center"/>
          </w:tcPr>
          <w:p>
            <w:pPr>
              <w:pStyle w:val="TableContents"/>
              <w:bidi w:val="0"/>
              <w:spacing w:before="0" w:after="283"/>
              <w:jc w:val="left"/>
              <w:rPr/>
            </w:pPr>
            <w:r>
              <w:rPr/>
              <w:t>​</w:t>
            </w:r>
          </w:p>
        </w:tc>
        <w:tc>
          <w:tcPr>
            <w:tcW w:w="115" w:type="dxa"/>
            <w:tcBorders/>
            <w:vAlign w:val="center"/>
          </w:tcPr>
          <w:p>
            <w:pPr>
              <w:pStyle w:val="TableContents"/>
              <w:bidi w:val="0"/>
              <w:spacing w:before="0" w:after="283"/>
              <w:jc w:val="right"/>
              <w:rPr/>
            </w:pPr>
            <w:r>
              <w:rPr/>
              <w:t>​</w:t>
            </w:r>
          </w:p>
        </w:tc>
        <w:tc>
          <w:tcPr>
            <w:tcW w:w="1125" w:type="dxa"/>
            <w:tcBorders/>
            <w:vAlign w:val="center"/>
          </w:tcPr>
          <w:p>
            <w:pPr>
              <w:pStyle w:val="TableContents"/>
              <w:bidi w:val="0"/>
              <w:spacing w:before="0" w:after="283"/>
              <w:jc w:val="right"/>
              <w:rPr/>
            </w:pPr>
            <w:r>
              <w:rPr/>
              <w:t>—</w:t>
            </w:r>
          </w:p>
        </w:tc>
        <w:tc>
          <w:tcPr>
            <w:tcW w:w="1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5,762,417</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bottom w:val="single" w:sz="6" w:space="0" w:color="000000"/>
            </w:tcBorders>
            <w:tcMar>
              <w:bottom w:w="28" w:type="dxa"/>
            </w:tcMar>
            <w:vAlign w:val="center"/>
          </w:tcPr>
          <w:p>
            <w:pPr>
              <w:pStyle w:val="Normal"/>
              <w:bidi w:val="0"/>
              <w:jc w:val="left"/>
              <w:rPr/>
            </w:pPr>
            <w:r>
              <w:rPr/>
            </w:r>
          </w:p>
        </w:tc>
        <w:tc>
          <w:tcPr>
            <w:tcW w:w="1216" w:type="dxa"/>
            <w:vMerge w:val="continue"/>
            <w:tcBorders>
              <w:bottom w:val="single" w:sz="6" w:space="0" w:color="000000"/>
            </w:tcBorders>
            <w:tcMar>
              <w:bottom w:w="145"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586" w:type="dxa"/>
            <w:tcBorders>
              <w:bottom w:val="single" w:sz="6" w:space="0" w:color="000000"/>
            </w:tcBorders>
            <w:tcMar>
              <w:bottom w:w="145" w:type="dxa"/>
            </w:tcMar>
            <w:vAlign w:val="center"/>
          </w:tcPr>
          <w:p>
            <w:pPr>
              <w:pStyle w:val="TableContents"/>
              <w:bidi w:val="0"/>
              <w:spacing w:before="0" w:after="283"/>
              <w:jc w:val="right"/>
              <w:rPr/>
            </w:pPr>
            <w:r>
              <w:rPr/>
              <w:t>2021</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tcMar>
              <w:bottom w:w="145" w:type="dxa"/>
            </w:tcMar>
            <w:vAlign w:val="center"/>
          </w:tcPr>
          <w:p>
            <w:pPr>
              <w:pStyle w:val="TableContents"/>
              <w:bidi w:val="0"/>
              <w:spacing w:before="0" w:after="283"/>
              <w:jc w:val="right"/>
              <w:rPr/>
            </w:pPr>
            <w:r>
              <w:rPr/>
              <w:t>500,962</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096" w:type="dxa"/>
            <w:tcBorders>
              <w:bottom w:val="single" w:sz="6" w:space="0" w:color="000000"/>
            </w:tcBorders>
            <w:tcMar>
              <w:bottom w:w="145" w:type="dxa"/>
            </w:tcMar>
            <w:vAlign w:val="center"/>
          </w:tcPr>
          <w:p>
            <w:pPr>
              <w:pStyle w:val="TableContents"/>
              <w:bidi w:val="0"/>
              <w:spacing w:before="0" w:after="283"/>
              <w:jc w:val="right"/>
              <w:rPr/>
            </w:pPr>
            <w:r>
              <w:rPr/>
              <w:t>357,726</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306" w:type="dxa"/>
            <w:tcBorders>
              <w:bottom w:val="single" w:sz="6" w:space="0" w:color="000000"/>
            </w:tcBorders>
            <w:tcMar>
              <w:bottom w:w="145" w:type="dxa"/>
            </w:tcMar>
            <w:vAlign w:val="center"/>
          </w:tcPr>
          <w:p>
            <w:pPr>
              <w:pStyle w:val="TableContents"/>
              <w:bidi w:val="0"/>
              <w:spacing w:before="0" w:after="283"/>
              <w:jc w:val="right"/>
              <w:rPr/>
            </w:pPr>
            <w:r>
              <w:rPr/>
              <w:t>26,783,720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066" w:type="dxa"/>
            <w:tcBorders>
              <w:bottom w:val="single" w:sz="6" w:space="0" w:color="000000"/>
            </w:tcBorders>
            <w:tcMar>
              <w:bottom w:w="145"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 w:type="dxa"/>
            <w:tcBorders>
              <w:bottom w:val="single" w:sz="6" w:space="0" w:color="000000"/>
            </w:tcBorders>
            <w:tcMar>
              <w:bottom w:w="28" w:type="dxa"/>
            </w:tcMar>
            <w:vAlign w:val="center"/>
          </w:tcPr>
          <w:p>
            <w:pPr>
              <w:pStyle w:val="TableContents"/>
              <w:bidi w:val="0"/>
              <w:spacing w:before="0" w:after="283"/>
              <w:jc w:val="left"/>
              <w:rPr/>
            </w:pPr>
            <w:r>
              <w:rPr/>
              <w:t>​</w:t>
            </w:r>
          </w:p>
        </w:tc>
        <w:tc>
          <w:tcPr>
            <w:tcW w:w="132" w:type="dxa"/>
            <w:tcBorders>
              <w:bottom w:val="single" w:sz="6" w:space="0" w:color="000000"/>
            </w:tcBorders>
            <w:tcMar>
              <w:bottom w:w="145" w:type="dxa"/>
            </w:tcMar>
            <w:vAlign w:val="center"/>
          </w:tcPr>
          <w:p>
            <w:pPr>
              <w:pStyle w:val="TableContents"/>
              <w:bidi w:val="0"/>
              <w:spacing w:before="0" w:after="283"/>
              <w:jc w:val="right"/>
              <w:rPr/>
            </w:pPr>
            <w:r>
              <w:rPr/>
              <w:t>​</w:t>
            </w:r>
          </w:p>
        </w:tc>
        <w:tc>
          <w:tcPr>
            <w:tcW w:w="1074" w:type="dxa"/>
            <w:tcBorders>
              <w:bottom w:val="single" w:sz="6" w:space="0" w:color="000000"/>
            </w:tcBorders>
            <w:tcMar>
              <w:bottom w:w="145" w:type="dxa"/>
            </w:tcMar>
            <w:vAlign w:val="center"/>
          </w:tcPr>
          <w:p>
            <w:pPr>
              <w:pStyle w:val="TableContents"/>
              <w:bidi w:val="0"/>
              <w:spacing w:before="0" w:after="283"/>
              <w:jc w:val="right"/>
              <w:rPr/>
            </w:pPr>
            <w:r>
              <w:rPr/>
              <w:t>160,274</w:t>
            </w:r>
          </w:p>
        </w:tc>
        <w:tc>
          <w:tcPr>
            <w:tcW w:w="133"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5" w:type="dxa"/>
            <w:tcBorders>
              <w:bottom w:val="single" w:sz="6" w:space="0" w:color="000000"/>
            </w:tcBorders>
            <w:tcMar>
              <w:bottom w:w="28" w:type="dxa"/>
            </w:tcMar>
            <w:vAlign w:val="center"/>
          </w:tcPr>
          <w:p>
            <w:pPr>
              <w:pStyle w:val="TableContents"/>
              <w:bidi w:val="0"/>
              <w:spacing w:before="0" w:after="283"/>
              <w:jc w:val="left"/>
              <w:rPr/>
            </w:pPr>
            <w:r>
              <w:rPr/>
              <w:t>​</w:t>
            </w:r>
          </w:p>
        </w:tc>
        <w:tc>
          <w:tcPr>
            <w:tcW w:w="115" w:type="dxa"/>
            <w:tcBorders>
              <w:bottom w:val="single" w:sz="6" w:space="0" w:color="000000"/>
            </w:tcBorders>
            <w:tcMar>
              <w:bottom w:w="145" w:type="dxa"/>
            </w:tcMar>
            <w:vAlign w:val="center"/>
          </w:tcPr>
          <w:p>
            <w:pPr>
              <w:pStyle w:val="TableContents"/>
              <w:bidi w:val="0"/>
              <w:spacing w:before="0" w:after="283"/>
              <w:jc w:val="right"/>
              <w:rPr/>
            </w:pPr>
            <w:r>
              <w:rPr/>
              <w:t>​</w:t>
            </w:r>
          </w:p>
        </w:tc>
        <w:tc>
          <w:tcPr>
            <w:tcW w:w="1125" w:type="dxa"/>
            <w:tcBorders>
              <w:bottom w:val="single" w:sz="6" w:space="0" w:color="000000"/>
            </w:tcBorders>
            <w:tcMar>
              <w:bottom w:w="145" w:type="dxa"/>
            </w:tcMar>
            <w:vAlign w:val="center"/>
          </w:tcPr>
          <w:p>
            <w:pPr>
              <w:pStyle w:val="TableContents"/>
              <w:bidi w:val="0"/>
              <w:spacing w:before="0" w:after="283"/>
              <w:jc w:val="right"/>
              <w:rPr/>
            </w:pPr>
            <w:r>
              <w:rPr/>
              <w:t>1,232,776</w:t>
            </w:r>
          </w:p>
        </w:tc>
        <w:tc>
          <w:tcPr>
            <w:tcW w:w="116"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306" w:type="dxa"/>
            <w:tcBorders>
              <w:bottom w:val="single" w:sz="6" w:space="0" w:color="000000"/>
            </w:tcBorders>
            <w:tcMar>
              <w:bottom w:w="145" w:type="dxa"/>
            </w:tcMar>
            <w:vAlign w:val="center"/>
          </w:tcPr>
          <w:p>
            <w:pPr>
              <w:pStyle w:val="TableContents"/>
              <w:bidi w:val="0"/>
              <w:spacing w:before="0" w:after="283"/>
              <w:jc w:val="right"/>
              <w:rPr/>
            </w:pPr>
            <w:r>
              <w:rPr/>
              <w:t>29,035,458</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216" w:type="dxa"/>
            <w:vMerge w:val="restart"/>
            <w:tcBorders>
              <w:bottom w:val="single" w:sz="6" w:space="0" w:color="000000"/>
            </w:tcBorders>
            <w:shd w:fill="F7F7F7" w:val="clear"/>
            <w:tcMar>
              <w:bottom w:w="145" w:type="dxa"/>
            </w:tcMar>
            <w:vAlign w:val="center"/>
          </w:tcPr>
          <w:p>
            <w:pPr>
              <w:pStyle w:val="TableContents"/>
              <w:bidi w:val="0"/>
              <w:spacing w:lineRule="atLeast" w:line="200" w:before="0" w:after="0"/>
              <w:jc w:val="left"/>
              <w:rPr>
                <w:b/>
                <w:sz w:val="18"/>
              </w:rPr>
            </w:pPr>
            <w:r>
              <w:rPr>
                <w:b/>
                <w:sz w:val="18"/>
              </w:rPr>
              <w:t>Sherry House</w:t>
            </w:r>
          </w:p>
          <w:p>
            <w:pPr>
              <w:pStyle w:val="TableContents"/>
              <w:bidi w:val="0"/>
              <w:spacing w:lineRule="atLeast" w:line="180" w:before="60" w:after="283"/>
              <w:jc w:val="left"/>
              <w:rPr>
                <w:i/>
              </w:rPr>
            </w:pPr>
            <w:r>
              <w:rPr>
                <w:i/>
              </w:rPr>
              <w:t xml:space="preserve">Former Chief Financial </w:t>
              <w:br/>
              <w:t>Officer</w:t>
            </w:r>
          </w:p>
        </w:tc>
        <w:tc>
          <w:tcPr>
            <w:tcW w:w="109" w:type="dxa"/>
            <w:vMerge w:val="restart"/>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lineRule="atLeast" w:line="200" w:before="0" w:after="283"/>
              <w:jc w:val="right"/>
              <w:rPr/>
            </w:pPr>
            <w:r>
              <w:rPr/>
              <w:t>​</w:t>
            </w:r>
          </w:p>
        </w:tc>
        <w:tc>
          <w:tcPr>
            <w:tcW w:w="586" w:type="dxa"/>
            <w:tcBorders/>
            <w:shd w:fill="F7F7F7" w:val="clear"/>
            <w:vAlign w:val="center"/>
          </w:tcPr>
          <w:p>
            <w:pPr>
              <w:pStyle w:val="TableContents"/>
              <w:bidi w:val="0"/>
              <w:spacing w:lineRule="atLeast" w:line="200" w:before="0" w:after="283"/>
              <w:jc w:val="right"/>
              <w:rPr/>
            </w:pPr>
            <w:r>
              <w:rPr/>
              <w:t>2023</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lineRule="atLeast" w:line="200" w:before="0" w:after="283"/>
              <w:jc w:val="right"/>
              <w:rPr/>
            </w:pPr>
            <w:r>
              <w:rPr/>
              <w:t>​</w:t>
            </w:r>
          </w:p>
        </w:tc>
        <w:tc>
          <w:tcPr>
            <w:tcW w:w="886" w:type="dxa"/>
            <w:tcBorders/>
            <w:shd w:fill="F7F7F7" w:val="clear"/>
            <w:vAlign w:val="center"/>
          </w:tcPr>
          <w:p>
            <w:pPr>
              <w:pStyle w:val="TableContents"/>
              <w:bidi w:val="0"/>
              <w:spacing w:lineRule="atLeast" w:line="200" w:before="0" w:after="283"/>
              <w:jc w:val="right"/>
              <w:rPr/>
            </w:pPr>
            <w:r>
              <w:rPr/>
              <w:t>597,510</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lineRule="atLeast" w:line="200" w:before="0" w:after="283"/>
              <w:jc w:val="right"/>
              <w:rPr/>
            </w:pPr>
            <w:r>
              <w:rPr/>
              <w:t>​</w:t>
            </w:r>
          </w:p>
        </w:tc>
        <w:tc>
          <w:tcPr>
            <w:tcW w:w="1096" w:type="dxa"/>
            <w:tcBorders/>
            <w:shd w:fill="F7F7F7" w:val="clear"/>
            <w:vAlign w:val="center"/>
          </w:tcPr>
          <w:p>
            <w:pPr>
              <w:pStyle w:val="TableContents"/>
              <w:bidi w:val="0"/>
              <w:spacing w:lineRule="atLeast" w:line="200" w:before="0" w:after="283"/>
              <w:jc w:val="right"/>
              <w:rPr/>
            </w:pPr>
            <w:r>
              <w:rPr/>
              <w:t>600,000</w:t>
            </w:r>
            <w:r>
              <w:rPr>
                <w:sz w:val="10"/>
              </w:rPr>
              <w:t>(8)</w:t>
            </w:r>
            <w:r>
              <w:rPr/>
              <w:t xml:space="preserve"> </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lineRule="atLeast" w:line="200" w:before="0" w:after="283"/>
              <w:jc w:val="right"/>
              <w:rPr/>
            </w:pPr>
            <w:r>
              <w:rPr/>
              <w:t>​</w:t>
            </w:r>
          </w:p>
        </w:tc>
        <w:tc>
          <w:tcPr>
            <w:tcW w:w="1306" w:type="dxa"/>
            <w:tcBorders/>
            <w:shd w:fill="F7F7F7" w:val="clear"/>
            <w:vAlign w:val="center"/>
          </w:tcPr>
          <w:p>
            <w:pPr>
              <w:pStyle w:val="TableContents"/>
              <w:bidi w:val="0"/>
              <w:spacing w:lineRule="atLeast" w:line="200" w:before="0" w:after="283"/>
              <w:jc w:val="right"/>
              <w:rPr/>
            </w:pPr>
            <w:r>
              <w:rPr/>
              <w:t>7,159,781</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lineRule="atLeast" w:line="200" w:before="0" w:after="283"/>
              <w:jc w:val="right"/>
              <w:rPr/>
            </w:pPr>
            <w:r>
              <w:rPr/>
              <w:t>​</w:t>
            </w:r>
          </w:p>
        </w:tc>
        <w:tc>
          <w:tcPr>
            <w:tcW w:w="1066" w:type="dxa"/>
            <w:tcBorders/>
            <w:shd w:fill="F7F7F7" w:val="clear"/>
            <w:vAlign w:val="center"/>
          </w:tcPr>
          <w:p>
            <w:pPr>
              <w:pStyle w:val="TableContents"/>
              <w:bidi w:val="0"/>
              <w:spacing w:lineRule="atLeast" w:line="200" w:before="0" w:after="283"/>
              <w:jc w:val="right"/>
              <w:rPr/>
            </w:pPr>
            <w:r>
              <w:rPr/>
              <w:t>1,548,832</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32" w:type="dxa"/>
            <w:tcBorders/>
            <w:shd w:fill="F7F7F7" w:val="clear"/>
            <w:vAlign w:val="center"/>
          </w:tcPr>
          <w:p>
            <w:pPr>
              <w:pStyle w:val="TableContents"/>
              <w:bidi w:val="0"/>
              <w:spacing w:before="0" w:after="283"/>
              <w:jc w:val="left"/>
              <w:rPr/>
            </w:pPr>
            <w:r>
              <w:rPr/>
              <w:t>​</w:t>
            </w:r>
          </w:p>
        </w:tc>
        <w:tc>
          <w:tcPr>
            <w:tcW w:w="132" w:type="dxa"/>
            <w:tcBorders/>
            <w:shd w:fill="F7F7F7" w:val="clear"/>
            <w:vAlign w:val="center"/>
          </w:tcPr>
          <w:p>
            <w:pPr>
              <w:pStyle w:val="TableContents"/>
              <w:bidi w:val="0"/>
              <w:spacing w:lineRule="atLeast" w:line="200" w:before="0" w:after="283"/>
              <w:jc w:val="right"/>
              <w:rPr/>
            </w:pPr>
            <w:r>
              <w:rPr/>
              <w:t>​</w:t>
            </w:r>
          </w:p>
        </w:tc>
        <w:tc>
          <w:tcPr>
            <w:tcW w:w="1074" w:type="dxa"/>
            <w:tcBorders/>
            <w:shd w:fill="F7F7F7" w:val="clear"/>
            <w:vAlign w:val="center"/>
          </w:tcPr>
          <w:p>
            <w:pPr>
              <w:pStyle w:val="TableContents"/>
              <w:bidi w:val="0"/>
              <w:spacing w:lineRule="atLeast" w:line="200" w:before="0" w:after="283"/>
              <w:jc w:val="right"/>
              <w:rPr/>
            </w:pPr>
            <w:r>
              <w:rPr/>
              <w:t>—</w:t>
            </w:r>
          </w:p>
        </w:tc>
        <w:tc>
          <w:tcPr>
            <w:tcW w:w="133"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15" w:type="dxa"/>
            <w:tcBorders/>
            <w:shd w:fill="F7F7F7" w:val="clear"/>
            <w:vAlign w:val="center"/>
          </w:tcPr>
          <w:p>
            <w:pPr>
              <w:pStyle w:val="TableContents"/>
              <w:bidi w:val="0"/>
              <w:spacing w:before="0" w:after="283"/>
              <w:jc w:val="left"/>
              <w:rPr/>
            </w:pPr>
            <w:r>
              <w:rPr/>
              <w:t>​</w:t>
            </w:r>
          </w:p>
        </w:tc>
        <w:tc>
          <w:tcPr>
            <w:tcW w:w="115" w:type="dxa"/>
            <w:tcBorders/>
            <w:shd w:fill="F7F7F7" w:val="clear"/>
            <w:vAlign w:val="center"/>
          </w:tcPr>
          <w:p>
            <w:pPr>
              <w:pStyle w:val="TableContents"/>
              <w:bidi w:val="0"/>
              <w:spacing w:lineRule="atLeast" w:line="200" w:before="0" w:after="283"/>
              <w:jc w:val="right"/>
              <w:rPr/>
            </w:pPr>
            <w:r>
              <w:rPr/>
              <w:t>​</w:t>
            </w:r>
          </w:p>
        </w:tc>
        <w:tc>
          <w:tcPr>
            <w:tcW w:w="1125" w:type="dxa"/>
            <w:tcBorders/>
            <w:shd w:fill="F7F7F7" w:val="clear"/>
            <w:vAlign w:val="center"/>
          </w:tcPr>
          <w:p>
            <w:pPr>
              <w:pStyle w:val="TableContents"/>
              <w:bidi w:val="0"/>
              <w:spacing w:lineRule="atLeast" w:line="200" w:before="0" w:after="283"/>
              <w:jc w:val="right"/>
              <w:rPr/>
            </w:pPr>
            <w:r>
              <w:rPr/>
              <w:t>1,027,983</w:t>
            </w:r>
          </w:p>
        </w:tc>
        <w:tc>
          <w:tcPr>
            <w:tcW w:w="116"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lineRule="atLeast" w:line="200" w:before="0" w:after="283"/>
              <w:jc w:val="right"/>
              <w:rPr/>
            </w:pPr>
            <w:r>
              <w:rPr/>
              <w:t>​</w:t>
            </w:r>
          </w:p>
        </w:tc>
        <w:tc>
          <w:tcPr>
            <w:tcW w:w="1306" w:type="dxa"/>
            <w:tcBorders/>
            <w:shd w:fill="F7F7F7" w:val="clear"/>
            <w:vAlign w:val="center"/>
          </w:tcPr>
          <w:p>
            <w:pPr>
              <w:pStyle w:val="TableContents"/>
              <w:bidi w:val="0"/>
              <w:spacing w:lineRule="atLeast" w:line="200" w:before="0" w:after="283"/>
              <w:jc w:val="right"/>
              <w:rPr/>
            </w:pPr>
            <w:r>
              <w:rPr/>
              <w:t>10,934,106</w:t>
            </w:r>
          </w:p>
        </w:tc>
        <w:tc>
          <w:tcPr>
            <w:tcW w:w="109" w:type="dxa"/>
            <w:tcBorders/>
            <w:shd w:fill="F7F7F7" w:val="clear"/>
            <w:vAlign w:val="center"/>
          </w:tcPr>
          <w:p>
            <w:pPr>
              <w:pStyle w:val="TableContents"/>
              <w:bidi w:val="0"/>
              <w:spacing w:before="0" w:after="283"/>
              <w:jc w:val="left"/>
              <w:rPr/>
            </w:pPr>
            <w:r>
              <w:rPr/>
              <w:t>​</w:t>
            </w:r>
          </w:p>
        </w:tc>
        <w:tc>
          <w:tcPr>
            <w:tcW w:w="154" w:type="dxa"/>
            <w:tcBorders/>
            <w:shd w:fill="F7F7F7" w:val="cle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shd w:fill="F7F7F7" w:val="clear"/>
            <w:tcMar>
              <w:bottom w:w="28" w:type="dxa"/>
            </w:tcMar>
            <w:vAlign w:val="center"/>
          </w:tcPr>
          <w:p>
            <w:pPr>
              <w:pStyle w:val="Normal"/>
              <w:bidi w:val="0"/>
              <w:jc w:val="left"/>
              <w:rPr/>
            </w:pPr>
            <w:r>
              <w:rPr/>
            </w:r>
          </w:p>
        </w:tc>
        <w:tc>
          <w:tcPr>
            <w:tcW w:w="1216" w:type="dxa"/>
            <w:vMerge w:val="continue"/>
            <w:tcBorders>
              <w:bottom w:val="single" w:sz="6" w:space="0" w:color="000000"/>
            </w:tcBorders>
            <w:shd w:fill="F7F7F7" w:val="clear"/>
            <w:tcMar>
              <w:bottom w:w="145" w:type="dxa"/>
            </w:tcMar>
            <w:vAlign w:val="center"/>
          </w:tcPr>
          <w:p>
            <w:pPr>
              <w:pStyle w:val="Normal"/>
              <w:bidi w:val="0"/>
              <w:jc w:val="left"/>
              <w:rPr/>
            </w:pPr>
            <w:r>
              <w:rPr/>
            </w:r>
          </w:p>
        </w:tc>
        <w:tc>
          <w:tcPr>
            <w:tcW w:w="109" w:type="dxa"/>
            <w:vMerge w:val="continue"/>
            <w:tcBorders>
              <w:bottom w:val="single" w:sz="6" w:space="0" w:color="000000"/>
            </w:tcBorders>
            <w:shd w:fill="F7F7F7" w:val="clear"/>
            <w:tcMar>
              <w:bottom w:w="28" w:type="dxa"/>
            </w:tcMar>
            <w:vAlign w:val="center"/>
          </w:tcPr>
          <w:p>
            <w:pPr>
              <w:pStyle w:val="Normal"/>
              <w:bidi w:val="0"/>
              <w:jc w:val="left"/>
              <w:rPr/>
            </w:pPr>
            <w:r>
              <w:rPr/>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right"/>
              <w:rPr/>
            </w:pPr>
            <w:r>
              <w:rPr/>
              <w:t>​</w:t>
            </w:r>
          </w:p>
        </w:tc>
        <w:tc>
          <w:tcPr>
            <w:tcW w:w="586" w:type="dxa"/>
            <w:tcBorders/>
            <w:shd w:fill="F7F7F7" w:val="clear"/>
            <w:vAlign w:val="center"/>
          </w:tcPr>
          <w:p>
            <w:pPr>
              <w:pStyle w:val="TableContents"/>
              <w:bidi w:val="0"/>
              <w:spacing w:before="0" w:after="283"/>
              <w:jc w:val="right"/>
              <w:rPr/>
            </w:pPr>
            <w:r>
              <w:rPr/>
              <w:t>2022</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right"/>
              <w:rPr/>
            </w:pPr>
            <w:r>
              <w:rPr/>
              <w:t>​</w:t>
            </w:r>
          </w:p>
        </w:tc>
        <w:tc>
          <w:tcPr>
            <w:tcW w:w="886" w:type="dxa"/>
            <w:tcBorders/>
            <w:shd w:fill="F7F7F7" w:val="clear"/>
            <w:vAlign w:val="center"/>
          </w:tcPr>
          <w:p>
            <w:pPr>
              <w:pStyle w:val="TableContents"/>
              <w:bidi w:val="0"/>
              <w:spacing w:before="0" w:after="283"/>
              <w:jc w:val="right"/>
              <w:rPr/>
            </w:pPr>
            <w:r>
              <w:rPr/>
              <w:t>518,173</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right"/>
              <w:rPr/>
            </w:pPr>
            <w:r>
              <w:rPr/>
              <w:t>​</w:t>
            </w:r>
          </w:p>
        </w:tc>
        <w:tc>
          <w:tcPr>
            <w:tcW w:w="1096" w:type="dxa"/>
            <w:tcBorders/>
            <w:shd w:fill="F7F7F7" w:val="clear"/>
            <w:vAlign w:val="center"/>
          </w:tcPr>
          <w:p>
            <w:pPr>
              <w:pStyle w:val="TableContents"/>
              <w:bidi w:val="0"/>
              <w:spacing w:before="0" w:after="283"/>
              <w:jc w:val="righ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right"/>
              <w:rPr/>
            </w:pPr>
            <w:r>
              <w:rPr/>
              <w:t>​</w:t>
            </w:r>
          </w:p>
        </w:tc>
        <w:tc>
          <w:tcPr>
            <w:tcW w:w="1306" w:type="dxa"/>
            <w:tcBorders/>
            <w:shd w:fill="F7F7F7" w:val="clear"/>
            <w:vAlign w:val="center"/>
          </w:tcPr>
          <w:p>
            <w:pPr>
              <w:pStyle w:val="TableContents"/>
              <w:bidi w:val="0"/>
              <w:spacing w:before="0" w:after="283"/>
              <w:jc w:val="right"/>
              <w:rPr/>
            </w:pPr>
            <w:r>
              <w:rPr/>
              <w:t>5,249,436</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right"/>
              <w:rPr/>
            </w:pPr>
            <w:r>
              <w:rPr/>
              <w:t>​</w:t>
            </w:r>
          </w:p>
        </w:tc>
        <w:tc>
          <w:tcPr>
            <w:tcW w:w="1066" w:type="dxa"/>
            <w:tcBorders/>
            <w:shd w:fill="F7F7F7" w:val="clear"/>
            <w:vAlign w:val="center"/>
          </w:tcPr>
          <w:p>
            <w:pPr>
              <w:pStyle w:val="TableContents"/>
              <w:bidi w:val="0"/>
              <w:spacing w:before="0" w:after="283"/>
              <w:jc w:val="righ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32" w:type="dxa"/>
            <w:tcBorders/>
            <w:shd w:fill="F7F7F7" w:val="clear"/>
            <w:vAlign w:val="center"/>
          </w:tcPr>
          <w:p>
            <w:pPr>
              <w:pStyle w:val="TableContents"/>
              <w:bidi w:val="0"/>
              <w:spacing w:before="0" w:after="283"/>
              <w:jc w:val="left"/>
              <w:rPr/>
            </w:pPr>
            <w:r>
              <w:rPr/>
              <w:t>​</w:t>
            </w:r>
          </w:p>
        </w:tc>
        <w:tc>
          <w:tcPr>
            <w:tcW w:w="132" w:type="dxa"/>
            <w:tcBorders/>
            <w:shd w:fill="F7F7F7" w:val="clear"/>
            <w:vAlign w:val="center"/>
          </w:tcPr>
          <w:p>
            <w:pPr>
              <w:pStyle w:val="TableContents"/>
              <w:bidi w:val="0"/>
              <w:spacing w:before="0" w:after="283"/>
              <w:jc w:val="right"/>
              <w:rPr/>
            </w:pPr>
            <w:r>
              <w:rPr/>
              <w:t>​</w:t>
            </w:r>
          </w:p>
        </w:tc>
        <w:tc>
          <w:tcPr>
            <w:tcW w:w="1074" w:type="dxa"/>
            <w:tcBorders/>
            <w:shd w:fill="F7F7F7" w:val="clear"/>
            <w:vAlign w:val="center"/>
          </w:tcPr>
          <w:p>
            <w:pPr>
              <w:pStyle w:val="TableContents"/>
              <w:bidi w:val="0"/>
              <w:spacing w:before="0" w:after="283"/>
              <w:jc w:val="right"/>
              <w:rPr/>
            </w:pPr>
            <w:r>
              <w:rPr/>
              <w:t>—</w:t>
            </w:r>
          </w:p>
        </w:tc>
        <w:tc>
          <w:tcPr>
            <w:tcW w:w="133"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15" w:type="dxa"/>
            <w:tcBorders/>
            <w:shd w:fill="F7F7F7" w:val="clear"/>
            <w:vAlign w:val="center"/>
          </w:tcPr>
          <w:p>
            <w:pPr>
              <w:pStyle w:val="TableContents"/>
              <w:bidi w:val="0"/>
              <w:spacing w:before="0" w:after="283"/>
              <w:jc w:val="left"/>
              <w:rPr/>
            </w:pPr>
            <w:r>
              <w:rPr/>
              <w:t>​</w:t>
            </w:r>
          </w:p>
        </w:tc>
        <w:tc>
          <w:tcPr>
            <w:tcW w:w="115" w:type="dxa"/>
            <w:tcBorders/>
            <w:shd w:fill="F7F7F7" w:val="clear"/>
            <w:vAlign w:val="center"/>
          </w:tcPr>
          <w:p>
            <w:pPr>
              <w:pStyle w:val="TableContents"/>
              <w:bidi w:val="0"/>
              <w:spacing w:before="0" w:after="283"/>
              <w:jc w:val="right"/>
              <w:rPr/>
            </w:pPr>
            <w:r>
              <w:rPr/>
              <w:t>​</w:t>
            </w:r>
          </w:p>
        </w:tc>
        <w:tc>
          <w:tcPr>
            <w:tcW w:w="1125" w:type="dxa"/>
            <w:tcBorders/>
            <w:shd w:fill="F7F7F7" w:val="clear"/>
            <w:vAlign w:val="center"/>
          </w:tcPr>
          <w:p>
            <w:pPr>
              <w:pStyle w:val="TableContents"/>
              <w:bidi w:val="0"/>
              <w:spacing w:before="0" w:after="283"/>
              <w:jc w:val="right"/>
              <w:rPr/>
            </w:pPr>
            <w:r>
              <w:rPr/>
              <w:t>—</w:t>
            </w:r>
          </w:p>
        </w:tc>
        <w:tc>
          <w:tcPr>
            <w:tcW w:w="116"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right"/>
              <w:rPr/>
            </w:pPr>
            <w:r>
              <w:rPr/>
              <w:t>​</w:t>
            </w:r>
          </w:p>
        </w:tc>
        <w:tc>
          <w:tcPr>
            <w:tcW w:w="1306" w:type="dxa"/>
            <w:tcBorders/>
            <w:shd w:fill="F7F7F7" w:val="clear"/>
            <w:vAlign w:val="center"/>
          </w:tcPr>
          <w:p>
            <w:pPr>
              <w:pStyle w:val="TableContents"/>
              <w:bidi w:val="0"/>
              <w:spacing w:before="0" w:after="283"/>
              <w:jc w:val="right"/>
              <w:rPr/>
            </w:pPr>
            <w:r>
              <w:rPr/>
              <w:t>5,767,609</w:t>
            </w:r>
          </w:p>
        </w:tc>
        <w:tc>
          <w:tcPr>
            <w:tcW w:w="109" w:type="dxa"/>
            <w:tcBorders/>
            <w:shd w:fill="F7F7F7" w:val="clear"/>
            <w:vAlign w:val="center"/>
          </w:tcPr>
          <w:p>
            <w:pPr>
              <w:pStyle w:val="TableContents"/>
              <w:bidi w:val="0"/>
              <w:spacing w:before="0" w:after="283"/>
              <w:jc w:val="left"/>
              <w:rPr/>
            </w:pPr>
            <w:r>
              <w:rPr/>
              <w:t>​</w:t>
            </w:r>
          </w:p>
        </w:tc>
        <w:tc>
          <w:tcPr>
            <w:tcW w:w="154" w:type="dxa"/>
            <w:tcBorders/>
            <w:shd w:fill="F7F7F7" w:val="cle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shd w:fill="F7F7F7" w:val="clear"/>
            <w:tcMar>
              <w:bottom w:w="28" w:type="dxa"/>
            </w:tcMar>
            <w:vAlign w:val="center"/>
          </w:tcPr>
          <w:p>
            <w:pPr>
              <w:pStyle w:val="Normal"/>
              <w:bidi w:val="0"/>
              <w:jc w:val="left"/>
              <w:rPr/>
            </w:pPr>
            <w:r>
              <w:rPr/>
            </w:r>
          </w:p>
        </w:tc>
        <w:tc>
          <w:tcPr>
            <w:tcW w:w="1216" w:type="dxa"/>
            <w:vMerge w:val="continue"/>
            <w:tcBorders>
              <w:bottom w:val="single" w:sz="6" w:space="0" w:color="000000"/>
            </w:tcBorders>
            <w:shd w:fill="F7F7F7" w:val="clear"/>
            <w:tcMar>
              <w:bottom w:w="145" w:type="dxa"/>
            </w:tcMar>
            <w:vAlign w:val="center"/>
          </w:tcPr>
          <w:p>
            <w:pPr>
              <w:pStyle w:val="Normal"/>
              <w:bidi w:val="0"/>
              <w:jc w:val="left"/>
              <w:rPr/>
            </w:pPr>
            <w:r>
              <w:rPr/>
            </w:r>
          </w:p>
        </w:tc>
        <w:tc>
          <w:tcPr>
            <w:tcW w:w="109" w:type="dxa"/>
            <w:vMerge w:val="continue"/>
            <w:tcBorders>
              <w:bottom w:val="single" w:sz="6" w:space="0" w:color="000000"/>
            </w:tcBorders>
            <w:shd w:fill="F7F7F7" w:val="clear"/>
            <w:tcMar>
              <w:bottom w:w="28" w:type="dxa"/>
            </w:tcMar>
            <w:vAlign w:val="center"/>
          </w:tcPr>
          <w:p>
            <w:pPr>
              <w:pStyle w:val="Normal"/>
              <w:bidi w:val="0"/>
              <w:jc w:val="left"/>
              <w:rPr/>
            </w:pPr>
            <w:r>
              <w:rPr/>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right"/>
              <w:rPr/>
            </w:pPr>
            <w:r>
              <w:rPr/>
              <w:t>​</w:t>
            </w:r>
          </w:p>
        </w:tc>
        <w:tc>
          <w:tcPr>
            <w:tcW w:w="586" w:type="dxa"/>
            <w:tcBorders/>
            <w:shd w:fill="F7F7F7" w:val="clear"/>
            <w:vAlign w:val="center"/>
          </w:tcPr>
          <w:p>
            <w:pPr>
              <w:pStyle w:val="TableContents"/>
              <w:bidi w:val="0"/>
              <w:spacing w:before="0" w:after="283"/>
              <w:jc w:val="right"/>
              <w:rPr/>
            </w:pPr>
            <w:r>
              <w:rPr/>
              <w:t>2021</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right"/>
              <w:rPr/>
            </w:pPr>
            <w:r>
              <w:rPr/>
              <w:t>​</w:t>
            </w:r>
          </w:p>
        </w:tc>
        <w:tc>
          <w:tcPr>
            <w:tcW w:w="886" w:type="dxa"/>
            <w:tcBorders/>
            <w:shd w:fill="F7F7F7" w:val="clear"/>
            <w:vAlign w:val="center"/>
          </w:tcPr>
          <w:p>
            <w:pPr>
              <w:pStyle w:val="TableContents"/>
              <w:bidi w:val="0"/>
              <w:spacing w:before="0" w:after="283"/>
              <w:jc w:val="right"/>
              <w:rPr/>
            </w:pPr>
            <w:r>
              <w:rPr/>
              <w:t>317,308</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right"/>
              <w:rPr/>
            </w:pPr>
            <w:r>
              <w:rPr/>
              <w:t>​</w:t>
            </w:r>
          </w:p>
        </w:tc>
        <w:tc>
          <w:tcPr>
            <w:tcW w:w="1096" w:type="dxa"/>
            <w:tcBorders/>
            <w:shd w:fill="F7F7F7" w:val="clear"/>
            <w:vAlign w:val="center"/>
          </w:tcPr>
          <w:p>
            <w:pPr>
              <w:pStyle w:val="TableContents"/>
              <w:bidi w:val="0"/>
              <w:spacing w:before="0" w:after="283"/>
              <w:jc w:val="right"/>
              <w:rPr/>
            </w:pPr>
            <w:r>
              <w:rPr/>
              <w:t>141,685</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right"/>
              <w:rPr/>
            </w:pPr>
            <w:r>
              <w:rPr/>
              <w:t>​</w:t>
            </w:r>
          </w:p>
        </w:tc>
        <w:tc>
          <w:tcPr>
            <w:tcW w:w="1306" w:type="dxa"/>
            <w:tcBorders/>
            <w:shd w:fill="F7F7F7" w:val="clear"/>
            <w:vAlign w:val="center"/>
          </w:tcPr>
          <w:p>
            <w:pPr>
              <w:pStyle w:val="TableContents"/>
              <w:bidi w:val="0"/>
              <w:spacing w:before="0" w:after="283"/>
              <w:jc w:val="right"/>
              <w:rPr/>
            </w:pPr>
            <w:r>
              <w:rPr/>
              <w:t>16,181,280</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right"/>
              <w:rPr/>
            </w:pPr>
            <w:r>
              <w:rPr/>
              <w:t>​</w:t>
            </w:r>
          </w:p>
        </w:tc>
        <w:tc>
          <w:tcPr>
            <w:tcW w:w="1066" w:type="dxa"/>
            <w:tcBorders/>
            <w:shd w:fill="F7F7F7" w:val="clear"/>
            <w:vAlign w:val="center"/>
          </w:tcPr>
          <w:p>
            <w:pPr>
              <w:pStyle w:val="TableContents"/>
              <w:bidi w:val="0"/>
              <w:spacing w:before="0" w:after="283"/>
              <w:jc w:val="righ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32" w:type="dxa"/>
            <w:tcBorders/>
            <w:shd w:fill="F7F7F7" w:val="clear"/>
            <w:vAlign w:val="center"/>
          </w:tcPr>
          <w:p>
            <w:pPr>
              <w:pStyle w:val="TableContents"/>
              <w:bidi w:val="0"/>
              <w:spacing w:before="0" w:after="283"/>
              <w:jc w:val="left"/>
              <w:rPr/>
            </w:pPr>
            <w:r>
              <w:rPr/>
              <w:t>​</w:t>
            </w:r>
          </w:p>
        </w:tc>
        <w:tc>
          <w:tcPr>
            <w:tcW w:w="132" w:type="dxa"/>
            <w:tcBorders/>
            <w:shd w:fill="F7F7F7" w:val="clear"/>
            <w:vAlign w:val="center"/>
          </w:tcPr>
          <w:p>
            <w:pPr>
              <w:pStyle w:val="TableContents"/>
              <w:bidi w:val="0"/>
              <w:spacing w:before="0" w:after="283"/>
              <w:jc w:val="right"/>
              <w:rPr/>
            </w:pPr>
            <w:r>
              <w:rPr/>
              <w:t>​</w:t>
            </w:r>
          </w:p>
        </w:tc>
        <w:tc>
          <w:tcPr>
            <w:tcW w:w="1074" w:type="dxa"/>
            <w:tcBorders/>
            <w:shd w:fill="F7F7F7" w:val="clear"/>
            <w:vAlign w:val="center"/>
          </w:tcPr>
          <w:p>
            <w:pPr>
              <w:pStyle w:val="TableContents"/>
              <w:bidi w:val="0"/>
              <w:spacing w:before="0" w:after="283"/>
              <w:jc w:val="right"/>
              <w:rPr/>
            </w:pPr>
            <w:r>
              <w:rPr/>
              <w:t>124,315</w:t>
            </w:r>
          </w:p>
        </w:tc>
        <w:tc>
          <w:tcPr>
            <w:tcW w:w="133"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15" w:type="dxa"/>
            <w:tcBorders/>
            <w:shd w:fill="F7F7F7" w:val="clear"/>
            <w:vAlign w:val="center"/>
          </w:tcPr>
          <w:p>
            <w:pPr>
              <w:pStyle w:val="TableContents"/>
              <w:bidi w:val="0"/>
              <w:spacing w:before="0" w:after="283"/>
              <w:jc w:val="left"/>
              <w:rPr/>
            </w:pPr>
            <w:r>
              <w:rPr/>
              <w:t>​</w:t>
            </w:r>
          </w:p>
        </w:tc>
        <w:tc>
          <w:tcPr>
            <w:tcW w:w="115" w:type="dxa"/>
            <w:tcBorders/>
            <w:shd w:fill="F7F7F7" w:val="clear"/>
            <w:vAlign w:val="center"/>
          </w:tcPr>
          <w:p>
            <w:pPr>
              <w:pStyle w:val="TableContents"/>
              <w:bidi w:val="0"/>
              <w:spacing w:before="0" w:after="283"/>
              <w:jc w:val="right"/>
              <w:rPr/>
            </w:pPr>
            <w:r>
              <w:rPr/>
              <w:t>​</w:t>
            </w:r>
          </w:p>
        </w:tc>
        <w:tc>
          <w:tcPr>
            <w:tcW w:w="1125" w:type="dxa"/>
            <w:tcBorders/>
            <w:shd w:fill="F7F7F7" w:val="clear"/>
            <w:vAlign w:val="center"/>
          </w:tcPr>
          <w:p>
            <w:pPr>
              <w:pStyle w:val="TableContents"/>
              <w:bidi w:val="0"/>
              <w:spacing w:before="0" w:after="283"/>
              <w:jc w:val="right"/>
              <w:rPr/>
            </w:pPr>
            <w:r>
              <w:rPr/>
              <w:t>1,160</w:t>
            </w:r>
          </w:p>
        </w:tc>
        <w:tc>
          <w:tcPr>
            <w:tcW w:w="116"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right"/>
              <w:rPr/>
            </w:pPr>
            <w:r>
              <w:rPr/>
              <w:t>​</w:t>
            </w:r>
          </w:p>
        </w:tc>
        <w:tc>
          <w:tcPr>
            <w:tcW w:w="1306" w:type="dxa"/>
            <w:tcBorders/>
            <w:shd w:fill="F7F7F7" w:val="clear"/>
            <w:vAlign w:val="center"/>
          </w:tcPr>
          <w:p>
            <w:pPr>
              <w:pStyle w:val="TableContents"/>
              <w:bidi w:val="0"/>
              <w:spacing w:before="0" w:after="283"/>
              <w:jc w:val="right"/>
              <w:rPr/>
            </w:pPr>
            <w:r>
              <w:rPr/>
              <w:t>16,765,748</w:t>
            </w:r>
          </w:p>
        </w:tc>
        <w:tc>
          <w:tcPr>
            <w:tcW w:w="109" w:type="dxa"/>
            <w:tcBorders/>
            <w:shd w:fill="F7F7F7" w:val="clear"/>
            <w:vAlign w:val="center"/>
          </w:tcPr>
          <w:p>
            <w:pPr>
              <w:pStyle w:val="TableContents"/>
              <w:bidi w:val="0"/>
              <w:spacing w:before="0" w:after="283"/>
              <w:jc w:val="left"/>
              <w:rPr/>
            </w:pPr>
            <w:r>
              <w:rPr/>
              <w:t>​</w:t>
            </w:r>
          </w:p>
        </w:tc>
        <w:tc>
          <w:tcPr>
            <w:tcW w:w="154" w:type="dxa"/>
            <w:tcBorders/>
            <w:shd w:fill="F7F7F7" w:val="cle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1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Amounts reflect the base salary earned during the applicable year. For additional information, see “Analysis of 2023 Compensation — Base Salary” above. The amounts include base salary increases in September 2023 for Mr. Rawlinson ($50,000), Mr. Bach ($35,000), and Ms. House ($40,000). In addition, the amount for Ms. House includes accrued vacation upon her separation on December 31, 2023.</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196850" distB="0" distL="0" distR="0" simplePos="0" locked="0" layoutInCell="1" allowOverlap="1" relativeHeight="211">
                <wp:simplePos x="0" y="0"/>
                <wp:positionH relativeFrom="column">
                  <wp:align>left</wp:align>
                </wp:positionH>
                <wp:positionV relativeFrom="line">
                  <wp:align>top</wp:align>
                </wp:positionV>
                <wp:extent cx="81915" cy="270510"/>
                <wp:effectExtent l="0" t="0" r="0" b="0"/>
                <wp:wrapSquare wrapText="right"/>
                <wp:docPr id="203" name="Frame140"/>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(1)</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15.5pt;mso-wrap-distance-bottom:0pt;margin-top:1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34"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The “Stock Awards” column reflects the aggregate grant date fair value of RSUs and PSUs granted, and the “Option Awards” column reflects the aggregate grant date value of stock options granted, in each case, computed in accordance with FASB ASC Topic 718. The assumptions used to calculate the awards are disclosed in Footnote 14 to the audited consolidated financial statements included in the Company’s Annual Report on Form 10-K for the fiscal year ended December 31, 2023.</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85090" distB="0" distL="0" distR="0" simplePos="0" locked="0" layoutInCell="1" allowOverlap="1" relativeHeight="212">
                <wp:simplePos x="0" y="0"/>
                <wp:positionH relativeFrom="column">
                  <wp:align>left</wp:align>
                </wp:positionH>
                <wp:positionV relativeFrom="line">
                  <wp:align>top</wp:align>
                </wp:positionV>
                <wp:extent cx="81915" cy="270510"/>
                <wp:effectExtent l="0" t="0" r="0" b="0"/>
                <wp:wrapSquare wrapText="right"/>
                <wp:docPr id="204" name="Frame141"/>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(2)</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6.7pt;mso-wrap-distance-bottom:0pt;margin-top:6.7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(2)</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34"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This column reflects amounts earned under our annual cash incentive program.</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85090" distB="0" distL="0" distR="0" simplePos="0" locked="0" layoutInCell="1" allowOverlap="1" relativeHeight="213">
                <wp:simplePos x="0" y="0"/>
                <wp:positionH relativeFrom="column">
                  <wp:align>left</wp:align>
                </wp:positionH>
                <wp:positionV relativeFrom="line">
                  <wp:align>top</wp:align>
                </wp:positionV>
                <wp:extent cx="81915" cy="270510"/>
                <wp:effectExtent l="0" t="0" r="0" b="0"/>
                <wp:wrapSquare wrapText="right"/>
                <wp:docPr id="205" name="Frame142"/>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(3)</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6.7pt;mso-wrap-distance-bottom:0pt;margin-top:6.7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(3)</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60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42" w:before="840" w:after="283"/>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The value includes the following personal perquisites and other compensation:</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0" distB="0" distL="0" distR="0" simplePos="0" locked="0" layoutInCell="1" allowOverlap="1" relativeHeight="214">
                <wp:simplePos x="0" y="0"/>
                <wp:positionH relativeFrom="column">
                  <wp:align>left</wp:align>
                </wp:positionH>
                <wp:positionV relativeFrom="line">
                  <wp:posOffset>635</wp:posOffset>
                </wp:positionV>
                <wp:extent cx="81915" cy="270510"/>
                <wp:effectExtent l="0" t="0" r="0" b="0"/>
                <wp:wrapSquare wrapText="right"/>
                <wp:docPr id="206" name="Frame143"/>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(4)</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(4)</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10272" w:type="dxa"/>
        <w:jc w:val="left"/>
        <w:tblInd w:w="720" w:type="dxa"/>
        <w:tblLayout w:type="fixed"/>
        <w:tblCellMar>
          <w:top w:w="0" w:type="dxa"/>
          <w:left w:w="0" w:type="dxa"/>
          <w:bottom w:w="0" w:type="dxa"/>
          <w:right w:w="0" w:type="dxa"/>
        </w:tblCellMar>
      </w:tblPr>
      <w:tblGrid>
        <w:gridCol w:w="124"/>
        <w:gridCol w:w="1141"/>
        <w:gridCol w:w="109"/>
        <w:gridCol w:w="109"/>
        <w:gridCol w:w="235"/>
        <w:gridCol w:w="235"/>
        <w:gridCol w:w="1005"/>
        <w:gridCol w:w="236"/>
        <w:gridCol w:w="109"/>
        <w:gridCol w:w="109"/>
        <w:gridCol w:w="144"/>
        <w:gridCol w:w="144"/>
        <w:gridCol w:w="617"/>
        <w:gridCol w:w="146"/>
        <w:gridCol w:w="109"/>
        <w:gridCol w:w="109"/>
        <w:gridCol w:w="109"/>
        <w:gridCol w:w="109"/>
        <w:gridCol w:w="784"/>
        <w:gridCol w:w="109"/>
        <w:gridCol w:w="109"/>
        <w:gridCol w:w="109"/>
        <w:gridCol w:w="109"/>
        <w:gridCol w:w="109"/>
        <w:gridCol w:w="916"/>
        <w:gridCol w:w="109"/>
        <w:gridCol w:w="109"/>
        <w:gridCol w:w="109"/>
        <w:gridCol w:w="118"/>
        <w:gridCol w:w="118"/>
        <w:gridCol w:w="831"/>
        <w:gridCol w:w="119"/>
        <w:gridCol w:w="109"/>
        <w:gridCol w:w="109"/>
        <w:gridCol w:w="109"/>
        <w:gridCol w:w="109"/>
        <w:gridCol w:w="916"/>
        <w:gridCol w:w="109"/>
        <w:gridCol w:w="154"/>
      </w:tblGrid>
      <w:tr>
        <w:trPr/>
        <w:tc>
          <w:tcPr>
            <w:tcW w:w="124" w:type="dxa"/>
            <w:tcBorders/>
            <w:shd w:fill="000000" w:val="clear"/>
            <w:vAlign w:val="center"/>
          </w:tcPr>
          <w:p>
            <w:pPr>
              <w:pStyle w:val="TableContents"/>
              <w:bidi w:val="0"/>
              <w:spacing w:before="0" w:after="283"/>
              <w:jc w:val="left"/>
              <w:rPr/>
            </w:pPr>
            <w:r>
              <w:rPr/>
              <w:t>​</w:t>
            </w:r>
          </w:p>
        </w:tc>
        <w:tc>
          <w:tcPr>
            <w:tcW w:w="1141" w:type="dxa"/>
            <w:tcBorders/>
            <w:shd w:fill="000000" w:val="clear"/>
            <w:vAlign w:val="center"/>
          </w:tcPr>
          <w:p>
            <w:pPr>
              <w:pStyle w:val="TableContents"/>
              <w:bidi w:val="0"/>
              <w:spacing w:before="0" w:after="0"/>
              <w:jc w:val="left"/>
              <w:rPr/>
            </w:pPr>
            <w:r>
              <w:rPr/>
              <w:t xml:space="preserve">Named Executive Officer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711" w:type="dxa"/>
            <w:gridSpan w:val="4"/>
            <w:tcBorders/>
            <w:shd w:fill="000000" w:val="clear"/>
            <w:vAlign w:val="center"/>
          </w:tcPr>
          <w:p>
            <w:pPr>
              <w:pStyle w:val="TableContents"/>
              <w:bidi w:val="0"/>
              <w:spacing w:before="0" w:after="0"/>
              <w:jc w:val="center"/>
              <w:rPr/>
            </w:pPr>
            <w:r>
              <w:rPr/>
              <w:t xml:space="preserve">Communications </w:t>
              <w:br/>
              <w:t xml:space="preserve">Stipend ($)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51" w:type="dxa"/>
            <w:gridSpan w:val="4"/>
            <w:tcBorders/>
            <w:shd w:fill="000000" w:val="clear"/>
            <w:vAlign w:val="center"/>
          </w:tcPr>
          <w:p>
            <w:pPr>
              <w:pStyle w:val="TableContents"/>
              <w:bidi w:val="0"/>
              <w:spacing w:before="0" w:after="0"/>
              <w:jc w:val="center"/>
              <w:rPr/>
            </w:pPr>
            <w:r>
              <w:rPr/>
              <w:t xml:space="preserve">Executive </w:t>
              <w:br/>
              <w:t xml:space="preserve">Disability </w:t>
              <w:br/>
              <w:t xml:space="preserve">Premium($)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11" w:type="dxa"/>
            <w:gridSpan w:val="4"/>
            <w:tcBorders/>
            <w:shd w:fill="000000" w:val="clear"/>
            <w:vAlign w:val="center"/>
          </w:tcPr>
          <w:p>
            <w:pPr>
              <w:pStyle w:val="TableContents"/>
              <w:bidi w:val="0"/>
              <w:spacing w:before="0" w:after="0"/>
              <w:jc w:val="center"/>
              <w:rPr/>
            </w:pPr>
            <w:r>
              <w:rPr/>
              <w:t>Company-</w:t>
              <w:br/>
              <w:t xml:space="preserve">Provided </w:t>
              <w:br/>
              <w:t xml:space="preserve">Vehicle($)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43" w:type="dxa"/>
            <w:gridSpan w:val="4"/>
            <w:tcBorders/>
            <w:shd w:fill="000000" w:val="clear"/>
            <w:vAlign w:val="center"/>
          </w:tcPr>
          <w:p>
            <w:pPr>
              <w:pStyle w:val="TableContents"/>
              <w:bidi w:val="0"/>
              <w:spacing w:before="0" w:after="0"/>
              <w:jc w:val="center"/>
              <w:rPr/>
            </w:pPr>
            <w:r>
              <w:rPr/>
              <w:t xml:space="preserve">Employee </w:t>
              <w:br/>
              <w:t xml:space="preserve">Purchase </w:t>
              <w:br/>
              <w:t xml:space="preserve">Program </w:t>
              <w:br/>
              <w:t xml:space="preserve">Buyback($)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86" w:type="dxa"/>
            <w:gridSpan w:val="4"/>
            <w:tcBorders/>
            <w:shd w:fill="000000" w:val="clear"/>
            <w:vAlign w:val="center"/>
          </w:tcPr>
          <w:p>
            <w:pPr>
              <w:pStyle w:val="TableContents"/>
              <w:bidi w:val="0"/>
              <w:spacing w:before="0" w:after="0"/>
              <w:jc w:val="center"/>
              <w:rPr/>
            </w:pPr>
            <w:r>
              <w:rPr/>
              <w:t xml:space="preserve">Tax </w:t>
              <w:br/>
              <w:t xml:space="preserve">Preparation </w:t>
              <w:br/>
              <w:t xml:space="preserve">Stipend($)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43" w:type="dxa"/>
            <w:gridSpan w:val="4"/>
            <w:tcBorders/>
            <w:shd w:fill="000000" w:val="clear"/>
            <w:vAlign w:val="center"/>
          </w:tcPr>
          <w:p>
            <w:pPr>
              <w:pStyle w:val="TableContents"/>
              <w:bidi w:val="0"/>
              <w:spacing w:before="0" w:after="0"/>
              <w:jc w:val="center"/>
              <w:rPr/>
            </w:pPr>
            <w:r>
              <w:rPr/>
              <w:t xml:space="preserve">Other($)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141" w:type="dxa"/>
            <w:tcBorders>
              <w:bottom w:val="single" w:sz="6" w:space="0" w:color="000000"/>
            </w:tcBorders>
            <w:tcMar>
              <w:bottom w:w="145" w:type="dxa"/>
            </w:tcMar>
            <w:vAlign w:val="center"/>
          </w:tcPr>
          <w:p>
            <w:pPr>
              <w:pStyle w:val="TableContents"/>
              <w:bidi w:val="0"/>
              <w:spacing w:before="0" w:after="283"/>
              <w:jc w:val="left"/>
              <w:rPr/>
            </w:pPr>
            <w:r>
              <w:rPr/>
              <w:t xml:space="preserve">Peter Rawlinson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35" w:type="dxa"/>
            <w:tcBorders>
              <w:bottom w:val="single" w:sz="6" w:space="0" w:color="000000"/>
            </w:tcBorders>
            <w:tcMar>
              <w:bottom w:w="28" w:type="dxa"/>
            </w:tcMar>
            <w:vAlign w:val="center"/>
          </w:tcPr>
          <w:p>
            <w:pPr>
              <w:pStyle w:val="TableContents"/>
              <w:bidi w:val="0"/>
              <w:spacing w:before="0" w:after="283"/>
              <w:jc w:val="left"/>
              <w:rPr/>
            </w:pPr>
            <w:r>
              <w:rPr/>
              <w:t>​</w:t>
            </w:r>
          </w:p>
        </w:tc>
        <w:tc>
          <w:tcPr>
            <w:tcW w:w="235" w:type="dxa"/>
            <w:tcBorders>
              <w:bottom w:val="single" w:sz="6" w:space="0" w:color="000000"/>
            </w:tcBorders>
            <w:tcMar>
              <w:bottom w:w="145" w:type="dxa"/>
            </w:tcMar>
            <w:vAlign w:val="center"/>
          </w:tcPr>
          <w:p>
            <w:pPr>
              <w:pStyle w:val="TableContents"/>
              <w:bidi w:val="0"/>
              <w:spacing w:before="0" w:after="283"/>
              <w:jc w:val="right"/>
              <w:rPr/>
            </w:pPr>
            <w:r>
              <w:rPr/>
              <w:t>​</w:t>
            </w:r>
          </w:p>
        </w:tc>
        <w:tc>
          <w:tcPr>
            <w:tcW w:w="1005" w:type="dxa"/>
            <w:tcBorders>
              <w:bottom w:val="single" w:sz="6" w:space="0" w:color="000000"/>
            </w:tcBorders>
            <w:tcMar>
              <w:bottom w:w="145" w:type="dxa"/>
            </w:tcMar>
            <w:vAlign w:val="center"/>
          </w:tcPr>
          <w:p>
            <w:pPr>
              <w:pStyle w:val="TableContents"/>
              <w:bidi w:val="0"/>
              <w:spacing w:before="0" w:after="283"/>
              <w:jc w:val="right"/>
              <w:rPr/>
            </w:pPr>
            <w:r>
              <w:rPr/>
              <w:t>780</w:t>
            </w:r>
          </w:p>
        </w:tc>
        <w:tc>
          <w:tcPr>
            <w:tcW w:w="236"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4" w:type="dxa"/>
            <w:tcBorders>
              <w:bottom w:val="single" w:sz="6" w:space="0" w:color="000000"/>
            </w:tcBorders>
            <w:tcMar>
              <w:bottom w:w="28" w:type="dxa"/>
            </w:tcMar>
            <w:vAlign w:val="center"/>
          </w:tcPr>
          <w:p>
            <w:pPr>
              <w:pStyle w:val="TableContents"/>
              <w:bidi w:val="0"/>
              <w:spacing w:before="0" w:after="283"/>
              <w:jc w:val="left"/>
              <w:rPr/>
            </w:pPr>
            <w:r>
              <w:rPr/>
              <w:t>​</w:t>
            </w:r>
          </w:p>
        </w:tc>
        <w:tc>
          <w:tcPr>
            <w:tcW w:w="144" w:type="dxa"/>
            <w:tcBorders>
              <w:bottom w:val="single" w:sz="6" w:space="0" w:color="000000"/>
            </w:tcBorders>
            <w:tcMar>
              <w:bottom w:w="145" w:type="dxa"/>
            </w:tcMar>
            <w:vAlign w:val="center"/>
          </w:tcPr>
          <w:p>
            <w:pPr>
              <w:pStyle w:val="TableContents"/>
              <w:bidi w:val="0"/>
              <w:spacing w:before="0" w:after="283"/>
              <w:jc w:val="right"/>
              <w:rPr/>
            </w:pPr>
            <w:r>
              <w:rPr/>
              <w:t>​</w:t>
            </w:r>
          </w:p>
        </w:tc>
        <w:tc>
          <w:tcPr>
            <w:tcW w:w="617" w:type="dxa"/>
            <w:tcBorders>
              <w:bottom w:val="single" w:sz="6" w:space="0" w:color="000000"/>
            </w:tcBorders>
            <w:tcMar>
              <w:bottom w:w="145" w:type="dxa"/>
            </w:tcMar>
            <w:vAlign w:val="center"/>
          </w:tcPr>
          <w:p>
            <w:pPr>
              <w:pStyle w:val="TableContents"/>
              <w:bidi w:val="0"/>
              <w:spacing w:before="0" w:after="283"/>
              <w:jc w:val="right"/>
              <w:rPr/>
            </w:pPr>
            <w:r>
              <w:rPr/>
              <w:t>482</w:t>
            </w:r>
          </w:p>
        </w:tc>
        <w:tc>
          <w:tcPr>
            <w:tcW w:w="146"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784" w:type="dxa"/>
            <w:tcBorders>
              <w:bottom w:val="single" w:sz="6" w:space="0" w:color="000000"/>
            </w:tcBorders>
            <w:tcMar>
              <w:bottom w:w="145"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916" w:type="dxa"/>
            <w:tcBorders>
              <w:bottom w:val="single" w:sz="6" w:space="0" w:color="000000"/>
            </w:tcBorders>
            <w:tcMar>
              <w:bottom w:w="145"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8" w:type="dxa"/>
            <w:tcBorders>
              <w:bottom w:val="single" w:sz="6" w:space="0" w:color="000000"/>
            </w:tcBorders>
            <w:tcMar>
              <w:bottom w:w="28" w:type="dxa"/>
            </w:tcMar>
            <w:vAlign w:val="center"/>
          </w:tcPr>
          <w:p>
            <w:pPr>
              <w:pStyle w:val="TableContents"/>
              <w:bidi w:val="0"/>
              <w:spacing w:before="0" w:after="283"/>
              <w:jc w:val="left"/>
              <w:rPr/>
            </w:pPr>
            <w:r>
              <w:rPr/>
              <w:t>​</w:t>
            </w:r>
          </w:p>
        </w:tc>
        <w:tc>
          <w:tcPr>
            <w:tcW w:w="118" w:type="dxa"/>
            <w:tcBorders>
              <w:bottom w:val="single" w:sz="6" w:space="0" w:color="000000"/>
            </w:tcBorders>
            <w:tcMar>
              <w:bottom w:w="145" w:type="dxa"/>
            </w:tcMar>
            <w:vAlign w:val="center"/>
          </w:tcPr>
          <w:p>
            <w:pPr>
              <w:pStyle w:val="TableContents"/>
              <w:bidi w:val="0"/>
              <w:spacing w:before="0" w:after="283"/>
              <w:jc w:val="right"/>
              <w:rPr/>
            </w:pPr>
            <w:r>
              <w:rPr/>
              <w:t>​</w:t>
            </w:r>
          </w:p>
        </w:tc>
        <w:tc>
          <w:tcPr>
            <w:tcW w:w="831" w:type="dxa"/>
            <w:tcBorders>
              <w:bottom w:val="single" w:sz="6" w:space="0" w:color="000000"/>
            </w:tcBorders>
            <w:tcMar>
              <w:bottom w:w="145" w:type="dxa"/>
            </w:tcMar>
            <w:vAlign w:val="center"/>
          </w:tcPr>
          <w:p>
            <w:pPr>
              <w:pStyle w:val="TableContents"/>
              <w:bidi w:val="0"/>
              <w:spacing w:before="0" w:after="283"/>
              <w:jc w:val="right"/>
              <w:rPr/>
            </w:pPr>
            <w:r>
              <w:rPr/>
              <w:t>17,961</w:t>
            </w:r>
          </w:p>
        </w:tc>
        <w:tc>
          <w:tcPr>
            <w:tcW w:w="11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916" w:type="dxa"/>
            <w:tcBorders>
              <w:bottom w:val="single" w:sz="6" w:space="0" w:color="000000"/>
            </w:tcBorders>
            <w:tcMar>
              <w:bottom w:w="145"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1" w:type="dxa"/>
            <w:tcBorders>
              <w:bottom w:val="single" w:sz="6" w:space="0" w:color="000000"/>
            </w:tcBorders>
            <w:shd w:fill="F7F7F7" w:val="clear"/>
            <w:tcMar>
              <w:bottom w:w="145" w:type="dxa"/>
            </w:tcMar>
            <w:vAlign w:val="center"/>
          </w:tcPr>
          <w:p>
            <w:pPr>
              <w:pStyle w:val="TableContents"/>
              <w:bidi w:val="0"/>
              <w:spacing w:before="0" w:after="283"/>
              <w:jc w:val="left"/>
              <w:rPr/>
            </w:pPr>
            <w:r>
              <w:rPr/>
              <w:t xml:space="preserve">Gagan Dhingra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3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35"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005" w:type="dxa"/>
            <w:tcBorders>
              <w:bottom w:val="single" w:sz="6" w:space="0" w:color="000000"/>
            </w:tcBorders>
            <w:shd w:fill="F7F7F7" w:val="clear"/>
            <w:tcMar>
              <w:bottom w:w="145" w:type="dxa"/>
            </w:tcMar>
            <w:vAlign w:val="center"/>
          </w:tcPr>
          <w:p>
            <w:pPr>
              <w:pStyle w:val="TableContents"/>
              <w:bidi w:val="0"/>
              <w:spacing w:before="0" w:after="283"/>
              <w:jc w:val="right"/>
              <w:rPr/>
            </w:pPr>
            <w:r>
              <w:rPr/>
              <w:t>390</w:t>
            </w:r>
          </w:p>
        </w:tc>
        <w:tc>
          <w:tcPr>
            <w:tcW w:w="23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617" w:type="dxa"/>
            <w:tcBorders>
              <w:bottom w:val="single" w:sz="6" w:space="0" w:color="000000"/>
            </w:tcBorders>
            <w:shd w:fill="F7F7F7" w:val="clear"/>
            <w:tcMar>
              <w:bottom w:w="145" w:type="dxa"/>
            </w:tcMar>
            <w:vAlign w:val="center"/>
          </w:tcPr>
          <w:p>
            <w:pPr>
              <w:pStyle w:val="TableContents"/>
              <w:bidi w:val="0"/>
              <w:spacing w:before="0" w:after="283"/>
              <w:jc w:val="right"/>
              <w:rPr/>
            </w:pPr>
            <w:r>
              <w:rPr/>
              <w:t>482</w:t>
            </w:r>
          </w:p>
        </w:tc>
        <w:tc>
          <w:tcPr>
            <w:tcW w:w="14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784" w:type="dxa"/>
            <w:tcBorders>
              <w:bottom w:val="single" w:sz="6" w:space="0" w:color="000000"/>
            </w:tcBorders>
            <w:shd w:fill="F7F7F7" w:val="clear"/>
            <w:tcMar>
              <w:bottom w:w="145" w:type="dxa"/>
            </w:tcMar>
            <w:vAlign w:val="center"/>
          </w:tcPr>
          <w:p>
            <w:pPr>
              <w:pStyle w:val="TableContents"/>
              <w:bidi w:val="0"/>
              <w:spacing w:before="0" w:after="283"/>
              <w:jc w:val="right"/>
              <w:rPr/>
            </w:pPr>
            <w:r>
              <w:rPr/>
              <w:t>2,920</w:t>
            </w:r>
            <w:r>
              <w:rPr>
                <w:sz w:val="10"/>
              </w:rPr>
              <w:t>(a)</w:t>
            </w: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916" w:type="dxa"/>
            <w:tcBorders>
              <w:bottom w:val="single" w:sz="6" w:space="0" w:color="000000"/>
            </w:tcBorders>
            <w:shd w:fill="F7F7F7" w:val="clear"/>
            <w:tcMar>
              <w:bottom w:w="145" w:type="dxa"/>
            </w:tcMar>
            <w:vAlign w:val="center"/>
          </w:tcPr>
          <w:p>
            <w:pPr>
              <w:pStyle w:val="TableContents"/>
              <w:bidi w:val="0"/>
              <w:spacing w:before="0" w:after="283"/>
              <w:jc w:val="right"/>
              <w:rPr/>
            </w:pPr>
            <w:r>
              <w:rPr/>
              <w:t>44,592</w:t>
            </w:r>
            <w:r>
              <w:rPr>
                <w:sz w:val="10"/>
              </w:rPr>
              <w:t>(b)</w:t>
            </w: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8"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8"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831"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1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916" w:type="dxa"/>
            <w:tcBorders>
              <w:bottom w:val="single" w:sz="6" w:space="0" w:color="000000"/>
            </w:tcBorders>
            <w:shd w:fill="F7F7F7" w:val="clear"/>
            <w:tcMar>
              <w:bottom w:w="145" w:type="dxa"/>
            </w:tcMar>
            <w:vAlign w:val="center"/>
          </w:tcPr>
          <w:p>
            <w:pPr>
              <w:pStyle w:val="TableContents"/>
              <w:bidi w:val="0"/>
              <w:spacing w:before="0" w:after="283"/>
              <w:jc w:val="right"/>
              <w:rPr/>
            </w:pPr>
            <w:r>
              <w:rPr/>
              <w:t>25,000</w:t>
            </w:r>
            <w:r>
              <w:rPr>
                <w:sz w:val="10"/>
              </w:rPr>
              <w:t>(c)</w:t>
            </w: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141" w:type="dxa"/>
            <w:tcBorders>
              <w:bottom w:val="single" w:sz="6" w:space="0" w:color="000000"/>
            </w:tcBorders>
            <w:tcMar>
              <w:bottom w:w="145" w:type="dxa"/>
            </w:tcMar>
            <w:vAlign w:val="center"/>
          </w:tcPr>
          <w:p>
            <w:pPr>
              <w:pStyle w:val="TableContents"/>
              <w:bidi w:val="0"/>
              <w:spacing w:before="0" w:after="283"/>
              <w:jc w:val="left"/>
              <w:rPr/>
            </w:pPr>
            <w:r>
              <w:rPr/>
              <w:t xml:space="preserve">Marc Winterhoff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35" w:type="dxa"/>
            <w:tcBorders>
              <w:bottom w:val="single" w:sz="6" w:space="0" w:color="000000"/>
            </w:tcBorders>
            <w:tcMar>
              <w:bottom w:w="28" w:type="dxa"/>
            </w:tcMar>
            <w:vAlign w:val="center"/>
          </w:tcPr>
          <w:p>
            <w:pPr>
              <w:pStyle w:val="TableContents"/>
              <w:bidi w:val="0"/>
              <w:spacing w:before="0" w:after="283"/>
              <w:jc w:val="left"/>
              <w:rPr/>
            </w:pPr>
            <w:r>
              <w:rPr/>
              <w:t>​</w:t>
            </w:r>
          </w:p>
        </w:tc>
        <w:tc>
          <w:tcPr>
            <w:tcW w:w="235" w:type="dxa"/>
            <w:tcBorders>
              <w:bottom w:val="single" w:sz="6" w:space="0" w:color="000000"/>
            </w:tcBorders>
            <w:tcMar>
              <w:bottom w:w="145" w:type="dxa"/>
            </w:tcMar>
            <w:vAlign w:val="center"/>
          </w:tcPr>
          <w:p>
            <w:pPr>
              <w:pStyle w:val="TableContents"/>
              <w:bidi w:val="0"/>
              <w:spacing w:before="0" w:after="283"/>
              <w:jc w:val="right"/>
              <w:rPr/>
            </w:pPr>
            <w:r>
              <w:rPr/>
              <w:t>​</w:t>
            </w:r>
          </w:p>
        </w:tc>
        <w:tc>
          <w:tcPr>
            <w:tcW w:w="1005" w:type="dxa"/>
            <w:tcBorders>
              <w:bottom w:val="single" w:sz="6" w:space="0" w:color="000000"/>
            </w:tcBorders>
            <w:tcMar>
              <w:bottom w:w="145" w:type="dxa"/>
            </w:tcMar>
            <w:vAlign w:val="center"/>
          </w:tcPr>
          <w:p>
            <w:pPr>
              <w:pStyle w:val="TableContents"/>
              <w:bidi w:val="0"/>
              <w:spacing w:before="0" w:after="283"/>
              <w:jc w:val="right"/>
              <w:rPr/>
            </w:pPr>
            <w:r>
              <w:rPr/>
              <w:t>30</w:t>
            </w:r>
          </w:p>
        </w:tc>
        <w:tc>
          <w:tcPr>
            <w:tcW w:w="236"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4" w:type="dxa"/>
            <w:tcBorders>
              <w:bottom w:val="single" w:sz="6" w:space="0" w:color="000000"/>
            </w:tcBorders>
            <w:tcMar>
              <w:bottom w:w="28" w:type="dxa"/>
            </w:tcMar>
            <w:vAlign w:val="center"/>
          </w:tcPr>
          <w:p>
            <w:pPr>
              <w:pStyle w:val="TableContents"/>
              <w:bidi w:val="0"/>
              <w:spacing w:before="0" w:after="283"/>
              <w:jc w:val="left"/>
              <w:rPr/>
            </w:pPr>
            <w:r>
              <w:rPr/>
              <w:t>​</w:t>
            </w:r>
          </w:p>
        </w:tc>
        <w:tc>
          <w:tcPr>
            <w:tcW w:w="144" w:type="dxa"/>
            <w:tcBorders>
              <w:bottom w:val="single" w:sz="6" w:space="0" w:color="000000"/>
            </w:tcBorders>
            <w:tcMar>
              <w:bottom w:w="145" w:type="dxa"/>
            </w:tcMar>
            <w:vAlign w:val="center"/>
          </w:tcPr>
          <w:p>
            <w:pPr>
              <w:pStyle w:val="TableContents"/>
              <w:bidi w:val="0"/>
              <w:spacing w:before="0" w:after="283"/>
              <w:jc w:val="right"/>
              <w:rPr/>
            </w:pPr>
            <w:r>
              <w:rPr/>
              <w:t>​</w:t>
            </w:r>
          </w:p>
        </w:tc>
        <w:tc>
          <w:tcPr>
            <w:tcW w:w="617" w:type="dxa"/>
            <w:tcBorders>
              <w:bottom w:val="single" w:sz="6" w:space="0" w:color="000000"/>
            </w:tcBorders>
            <w:tcMar>
              <w:bottom w:w="145" w:type="dxa"/>
            </w:tcMar>
            <w:vAlign w:val="center"/>
          </w:tcPr>
          <w:p>
            <w:pPr>
              <w:pStyle w:val="TableContents"/>
              <w:bidi w:val="0"/>
              <w:spacing w:before="0" w:after="283"/>
              <w:jc w:val="right"/>
              <w:rPr/>
            </w:pPr>
            <w:r>
              <w:rPr/>
              <w:t>40</w:t>
            </w:r>
          </w:p>
        </w:tc>
        <w:tc>
          <w:tcPr>
            <w:tcW w:w="146"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784" w:type="dxa"/>
            <w:tcBorders>
              <w:bottom w:val="single" w:sz="6" w:space="0" w:color="000000"/>
            </w:tcBorders>
            <w:tcMar>
              <w:bottom w:w="145"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916" w:type="dxa"/>
            <w:tcBorders>
              <w:bottom w:val="single" w:sz="6" w:space="0" w:color="000000"/>
            </w:tcBorders>
            <w:tcMar>
              <w:bottom w:w="145"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8" w:type="dxa"/>
            <w:tcBorders>
              <w:bottom w:val="single" w:sz="6" w:space="0" w:color="000000"/>
            </w:tcBorders>
            <w:tcMar>
              <w:bottom w:w="28" w:type="dxa"/>
            </w:tcMar>
            <w:vAlign w:val="center"/>
          </w:tcPr>
          <w:p>
            <w:pPr>
              <w:pStyle w:val="TableContents"/>
              <w:bidi w:val="0"/>
              <w:spacing w:before="0" w:after="283"/>
              <w:jc w:val="left"/>
              <w:rPr/>
            </w:pPr>
            <w:r>
              <w:rPr/>
              <w:t>​</w:t>
            </w:r>
          </w:p>
        </w:tc>
        <w:tc>
          <w:tcPr>
            <w:tcW w:w="118" w:type="dxa"/>
            <w:tcBorders>
              <w:bottom w:val="single" w:sz="6" w:space="0" w:color="000000"/>
            </w:tcBorders>
            <w:tcMar>
              <w:bottom w:w="145" w:type="dxa"/>
            </w:tcMar>
            <w:vAlign w:val="center"/>
          </w:tcPr>
          <w:p>
            <w:pPr>
              <w:pStyle w:val="TableContents"/>
              <w:bidi w:val="0"/>
              <w:spacing w:before="0" w:after="283"/>
              <w:jc w:val="right"/>
              <w:rPr/>
            </w:pPr>
            <w:r>
              <w:rPr/>
              <w:t>​</w:t>
            </w:r>
          </w:p>
        </w:tc>
        <w:tc>
          <w:tcPr>
            <w:tcW w:w="831" w:type="dxa"/>
            <w:tcBorders>
              <w:bottom w:val="single" w:sz="6" w:space="0" w:color="000000"/>
            </w:tcBorders>
            <w:tcMar>
              <w:bottom w:w="145" w:type="dxa"/>
            </w:tcMar>
            <w:vAlign w:val="center"/>
          </w:tcPr>
          <w:p>
            <w:pPr>
              <w:pStyle w:val="TableContents"/>
              <w:bidi w:val="0"/>
              <w:spacing w:before="0" w:after="283"/>
              <w:jc w:val="right"/>
              <w:rPr/>
            </w:pPr>
            <w:r>
              <w:rPr/>
              <w:t>—</w:t>
            </w:r>
          </w:p>
        </w:tc>
        <w:tc>
          <w:tcPr>
            <w:tcW w:w="11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916" w:type="dxa"/>
            <w:tcBorders>
              <w:bottom w:val="single" w:sz="6" w:space="0" w:color="000000"/>
            </w:tcBorders>
            <w:tcMar>
              <w:bottom w:w="145"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1" w:type="dxa"/>
            <w:tcBorders>
              <w:bottom w:val="single" w:sz="6" w:space="0" w:color="000000"/>
            </w:tcBorders>
            <w:shd w:fill="F7F7F7" w:val="clear"/>
            <w:tcMar>
              <w:bottom w:w="145" w:type="dxa"/>
            </w:tcMar>
            <w:vAlign w:val="center"/>
          </w:tcPr>
          <w:p>
            <w:pPr>
              <w:pStyle w:val="TableContents"/>
              <w:bidi w:val="0"/>
              <w:spacing w:before="0" w:after="283"/>
              <w:jc w:val="left"/>
              <w:rPr/>
            </w:pPr>
            <w:r>
              <w:rPr/>
              <w:t xml:space="preserve">Eric Bach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3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35"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005" w:type="dxa"/>
            <w:tcBorders>
              <w:bottom w:val="single" w:sz="6" w:space="0" w:color="000000"/>
            </w:tcBorders>
            <w:shd w:fill="F7F7F7" w:val="clear"/>
            <w:tcMar>
              <w:bottom w:w="145" w:type="dxa"/>
            </w:tcMar>
            <w:vAlign w:val="center"/>
          </w:tcPr>
          <w:p>
            <w:pPr>
              <w:pStyle w:val="TableContents"/>
              <w:bidi w:val="0"/>
              <w:spacing w:before="0" w:after="283"/>
              <w:jc w:val="right"/>
              <w:rPr/>
            </w:pPr>
            <w:r>
              <w:rPr/>
              <w:t>390</w:t>
            </w:r>
          </w:p>
        </w:tc>
        <w:tc>
          <w:tcPr>
            <w:tcW w:w="23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617" w:type="dxa"/>
            <w:tcBorders>
              <w:bottom w:val="single" w:sz="6" w:space="0" w:color="000000"/>
            </w:tcBorders>
            <w:shd w:fill="F7F7F7" w:val="clear"/>
            <w:tcMar>
              <w:bottom w:w="145" w:type="dxa"/>
            </w:tcMar>
            <w:vAlign w:val="center"/>
          </w:tcPr>
          <w:p>
            <w:pPr>
              <w:pStyle w:val="TableContents"/>
              <w:bidi w:val="0"/>
              <w:spacing w:before="0" w:after="283"/>
              <w:jc w:val="right"/>
              <w:rPr/>
            </w:pPr>
            <w:r>
              <w:rPr/>
              <w:t>482</w:t>
            </w:r>
          </w:p>
        </w:tc>
        <w:tc>
          <w:tcPr>
            <w:tcW w:w="14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78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91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8"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8"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831"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1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91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141" w:type="dxa"/>
            <w:tcBorders>
              <w:bottom w:val="single" w:sz="6" w:space="0" w:color="000000"/>
            </w:tcBorders>
            <w:tcMar>
              <w:bottom w:w="145" w:type="dxa"/>
            </w:tcMar>
            <w:vAlign w:val="center"/>
          </w:tcPr>
          <w:p>
            <w:pPr>
              <w:pStyle w:val="TableContents"/>
              <w:bidi w:val="0"/>
              <w:spacing w:before="0" w:after="283"/>
              <w:jc w:val="left"/>
              <w:rPr/>
            </w:pPr>
            <w:r>
              <w:rPr/>
              <w:t xml:space="preserve">Michael Bell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35" w:type="dxa"/>
            <w:tcBorders>
              <w:bottom w:val="single" w:sz="6" w:space="0" w:color="000000"/>
            </w:tcBorders>
            <w:tcMar>
              <w:bottom w:w="28" w:type="dxa"/>
            </w:tcMar>
            <w:vAlign w:val="center"/>
          </w:tcPr>
          <w:p>
            <w:pPr>
              <w:pStyle w:val="TableContents"/>
              <w:bidi w:val="0"/>
              <w:spacing w:before="0" w:after="283"/>
              <w:jc w:val="left"/>
              <w:rPr/>
            </w:pPr>
            <w:r>
              <w:rPr/>
              <w:t>​</w:t>
            </w:r>
          </w:p>
        </w:tc>
        <w:tc>
          <w:tcPr>
            <w:tcW w:w="235" w:type="dxa"/>
            <w:tcBorders>
              <w:bottom w:val="single" w:sz="6" w:space="0" w:color="000000"/>
            </w:tcBorders>
            <w:tcMar>
              <w:bottom w:w="145" w:type="dxa"/>
            </w:tcMar>
            <w:vAlign w:val="center"/>
          </w:tcPr>
          <w:p>
            <w:pPr>
              <w:pStyle w:val="TableContents"/>
              <w:bidi w:val="0"/>
              <w:spacing w:before="0" w:after="283"/>
              <w:jc w:val="right"/>
              <w:rPr/>
            </w:pPr>
            <w:r>
              <w:rPr/>
              <w:t>​</w:t>
            </w:r>
          </w:p>
        </w:tc>
        <w:tc>
          <w:tcPr>
            <w:tcW w:w="1005" w:type="dxa"/>
            <w:tcBorders>
              <w:bottom w:val="single" w:sz="6" w:space="0" w:color="000000"/>
            </w:tcBorders>
            <w:tcMar>
              <w:bottom w:w="145" w:type="dxa"/>
            </w:tcMar>
            <w:vAlign w:val="center"/>
          </w:tcPr>
          <w:p>
            <w:pPr>
              <w:pStyle w:val="TableContents"/>
              <w:bidi w:val="0"/>
              <w:spacing w:before="0" w:after="283"/>
              <w:jc w:val="right"/>
              <w:rPr/>
            </w:pPr>
            <w:r>
              <w:rPr/>
              <w:t>390</w:t>
            </w:r>
          </w:p>
        </w:tc>
        <w:tc>
          <w:tcPr>
            <w:tcW w:w="236"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4" w:type="dxa"/>
            <w:tcBorders>
              <w:bottom w:val="single" w:sz="6" w:space="0" w:color="000000"/>
            </w:tcBorders>
            <w:tcMar>
              <w:bottom w:w="28" w:type="dxa"/>
            </w:tcMar>
            <w:vAlign w:val="center"/>
          </w:tcPr>
          <w:p>
            <w:pPr>
              <w:pStyle w:val="TableContents"/>
              <w:bidi w:val="0"/>
              <w:spacing w:before="0" w:after="283"/>
              <w:jc w:val="left"/>
              <w:rPr/>
            </w:pPr>
            <w:r>
              <w:rPr/>
              <w:t>​</w:t>
            </w:r>
          </w:p>
        </w:tc>
        <w:tc>
          <w:tcPr>
            <w:tcW w:w="144" w:type="dxa"/>
            <w:tcBorders>
              <w:bottom w:val="single" w:sz="6" w:space="0" w:color="000000"/>
            </w:tcBorders>
            <w:tcMar>
              <w:bottom w:w="145" w:type="dxa"/>
            </w:tcMar>
            <w:vAlign w:val="center"/>
          </w:tcPr>
          <w:p>
            <w:pPr>
              <w:pStyle w:val="TableContents"/>
              <w:bidi w:val="0"/>
              <w:spacing w:before="0" w:after="283"/>
              <w:jc w:val="right"/>
              <w:rPr/>
            </w:pPr>
            <w:r>
              <w:rPr/>
              <w:t>​</w:t>
            </w:r>
          </w:p>
        </w:tc>
        <w:tc>
          <w:tcPr>
            <w:tcW w:w="617" w:type="dxa"/>
            <w:tcBorders>
              <w:bottom w:val="single" w:sz="6" w:space="0" w:color="000000"/>
            </w:tcBorders>
            <w:tcMar>
              <w:bottom w:w="145" w:type="dxa"/>
            </w:tcMar>
            <w:vAlign w:val="center"/>
          </w:tcPr>
          <w:p>
            <w:pPr>
              <w:pStyle w:val="TableContents"/>
              <w:bidi w:val="0"/>
              <w:spacing w:before="0" w:after="283"/>
              <w:jc w:val="right"/>
              <w:rPr/>
            </w:pPr>
            <w:r>
              <w:rPr/>
              <w:t>482</w:t>
            </w:r>
          </w:p>
        </w:tc>
        <w:tc>
          <w:tcPr>
            <w:tcW w:w="146"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784" w:type="dxa"/>
            <w:tcBorders>
              <w:bottom w:val="single" w:sz="6" w:space="0" w:color="000000"/>
            </w:tcBorders>
            <w:tcMar>
              <w:bottom w:w="145"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916" w:type="dxa"/>
            <w:tcBorders>
              <w:bottom w:val="single" w:sz="6" w:space="0" w:color="000000"/>
            </w:tcBorders>
            <w:tcMar>
              <w:bottom w:w="145"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8" w:type="dxa"/>
            <w:tcBorders>
              <w:bottom w:val="single" w:sz="6" w:space="0" w:color="000000"/>
            </w:tcBorders>
            <w:tcMar>
              <w:bottom w:w="28" w:type="dxa"/>
            </w:tcMar>
            <w:vAlign w:val="center"/>
          </w:tcPr>
          <w:p>
            <w:pPr>
              <w:pStyle w:val="TableContents"/>
              <w:bidi w:val="0"/>
              <w:spacing w:before="0" w:after="283"/>
              <w:jc w:val="left"/>
              <w:rPr/>
            </w:pPr>
            <w:r>
              <w:rPr/>
              <w:t>​</w:t>
            </w:r>
          </w:p>
        </w:tc>
        <w:tc>
          <w:tcPr>
            <w:tcW w:w="118" w:type="dxa"/>
            <w:tcBorders>
              <w:bottom w:val="single" w:sz="6" w:space="0" w:color="000000"/>
            </w:tcBorders>
            <w:tcMar>
              <w:bottom w:w="145" w:type="dxa"/>
            </w:tcMar>
            <w:vAlign w:val="center"/>
          </w:tcPr>
          <w:p>
            <w:pPr>
              <w:pStyle w:val="TableContents"/>
              <w:bidi w:val="0"/>
              <w:spacing w:before="0" w:after="283"/>
              <w:jc w:val="right"/>
              <w:rPr/>
            </w:pPr>
            <w:r>
              <w:rPr/>
              <w:t>​</w:t>
            </w:r>
          </w:p>
        </w:tc>
        <w:tc>
          <w:tcPr>
            <w:tcW w:w="831" w:type="dxa"/>
            <w:tcBorders>
              <w:bottom w:val="single" w:sz="6" w:space="0" w:color="000000"/>
            </w:tcBorders>
            <w:tcMar>
              <w:bottom w:w="145" w:type="dxa"/>
            </w:tcMar>
            <w:vAlign w:val="center"/>
          </w:tcPr>
          <w:p>
            <w:pPr>
              <w:pStyle w:val="TableContents"/>
              <w:bidi w:val="0"/>
              <w:spacing w:before="0" w:after="283"/>
              <w:jc w:val="right"/>
              <w:rPr/>
            </w:pPr>
            <w:r>
              <w:rPr/>
              <w:t>—</w:t>
            </w:r>
          </w:p>
        </w:tc>
        <w:tc>
          <w:tcPr>
            <w:tcW w:w="11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916" w:type="dxa"/>
            <w:tcBorders>
              <w:bottom w:val="single" w:sz="6" w:space="0" w:color="000000"/>
            </w:tcBorders>
            <w:tcMar>
              <w:bottom w:w="145"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1" w:type="dxa"/>
            <w:tcBorders>
              <w:bottom w:val="single" w:sz="6" w:space="0" w:color="000000"/>
            </w:tcBorders>
            <w:shd w:fill="F7F7F7" w:val="clear"/>
            <w:tcMar>
              <w:bottom w:w="145" w:type="dxa"/>
            </w:tcMar>
            <w:vAlign w:val="center"/>
          </w:tcPr>
          <w:p>
            <w:pPr>
              <w:pStyle w:val="TableContents"/>
              <w:bidi w:val="0"/>
              <w:spacing w:before="0" w:after="283"/>
              <w:jc w:val="left"/>
              <w:rPr/>
            </w:pPr>
            <w:r>
              <w:rPr/>
              <w:t xml:space="preserve">Sherry House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3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35"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005" w:type="dxa"/>
            <w:tcBorders>
              <w:bottom w:val="single" w:sz="6" w:space="0" w:color="000000"/>
            </w:tcBorders>
            <w:shd w:fill="F7F7F7" w:val="clear"/>
            <w:tcMar>
              <w:bottom w:w="145" w:type="dxa"/>
            </w:tcMar>
            <w:vAlign w:val="center"/>
          </w:tcPr>
          <w:p>
            <w:pPr>
              <w:pStyle w:val="TableContents"/>
              <w:bidi w:val="0"/>
              <w:spacing w:before="0" w:after="283"/>
              <w:jc w:val="right"/>
              <w:rPr/>
            </w:pPr>
            <w:r>
              <w:rPr/>
              <w:t>810</w:t>
            </w:r>
          </w:p>
        </w:tc>
        <w:tc>
          <w:tcPr>
            <w:tcW w:w="23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617" w:type="dxa"/>
            <w:tcBorders>
              <w:bottom w:val="single" w:sz="6" w:space="0" w:color="000000"/>
            </w:tcBorders>
            <w:shd w:fill="F7F7F7" w:val="clear"/>
            <w:tcMar>
              <w:bottom w:w="145" w:type="dxa"/>
            </w:tcMar>
            <w:vAlign w:val="center"/>
          </w:tcPr>
          <w:p>
            <w:pPr>
              <w:pStyle w:val="TableContents"/>
              <w:bidi w:val="0"/>
              <w:spacing w:before="0" w:after="283"/>
              <w:jc w:val="right"/>
              <w:rPr/>
            </w:pPr>
            <w:r>
              <w:rPr/>
              <w:t>482</w:t>
            </w:r>
          </w:p>
        </w:tc>
        <w:tc>
          <w:tcPr>
            <w:tcW w:w="14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784" w:type="dxa"/>
            <w:tcBorders>
              <w:bottom w:val="single" w:sz="6" w:space="0" w:color="000000"/>
            </w:tcBorders>
            <w:shd w:fill="F7F7F7" w:val="clear"/>
            <w:tcMar>
              <w:bottom w:w="145" w:type="dxa"/>
            </w:tcMar>
            <w:vAlign w:val="center"/>
          </w:tcPr>
          <w:p>
            <w:pPr>
              <w:pStyle w:val="TableContents"/>
              <w:bidi w:val="0"/>
              <w:spacing w:before="0" w:after="283"/>
              <w:jc w:val="right"/>
              <w:rPr/>
            </w:pPr>
            <w:r>
              <w:rPr/>
              <w:t>2,920</w:t>
            </w:r>
            <w:r>
              <w:rPr>
                <w:sz w:val="10"/>
              </w:rPr>
              <w:t>(a)</w:t>
            </w: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916" w:type="dxa"/>
            <w:tcBorders>
              <w:bottom w:val="single" w:sz="6" w:space="0" w:color="000000"/>
            </w:tcBorders>
            <w:shd w:fill="F7F7F7" w:val="clear"/>
            <w:tcMar>
              <w:bottom w:w="145" w:type="dxa"/>
            </w:tcMar>
            <w:vAlign w:val="center"/>
          </w:tcPr>
          <w:p>
            <w:pPr>
              <w:pStyle w:val="TableContents"/>
              <w:bidi w:val="0"/>
              <w:spacing w:before="0" w:after="283"/>
              <w:jc w:val="right"/>
              <w:rPr/>
            </w:pPr>
            <w:r>
              <w:rPr/>
              <w:t>141,258</w:t>
            </w:r>
            <w:r>
              <w:rPr>
                <w:sz w:val="10"/>
              </w:rPr>
              <w:t>(d)</w:t>
            </w: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8"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8"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831"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1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916" w:type="dxa"/>
            <w:tcBorders>
              <w:bottom w:val="single" w:sz="6" w:space="0" w:color="000000"/>
            </w:tcBorders>
            <w:shd w:fill="F7F7F7" w:val="clear"/>
            <w:tcMar>
              <w:bottom w:w="145" w:type="dxa"/>
            </w:tcMar>
            <w:vAlign w:val="center"/>
          </w:tcPr>
          <w:p>
            <w:pPr>
              <w:pStyle w:val="TableContents"/>
              <w:bidi w:val="0"/>
              <w:spacing w:before="0" w:after="283"/>
              <w:jc w:val="right"/>
              <w:rPr/>
            </w:pPr>
            <w:r>
              <w:rPr/>
              <w:t>882,513</w:t>
            </w:r>
            <w:r>
              <w:rPr>
                <w:sz w:val="10"/>
              </w:rPr>
              <w:t>(e)</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40" w:after="0"/>
        <w:ind w:left="1022"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Income inclusion ($1,910) for the Company-provided Lucid Air vehicle commencing in December 2023 and the tax gross-up ($1,010).</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215900" distB="0" distL="114300" distR="0" simplePos="0" locked="0" layoutInCell="1" allowOverlap="1" relativeHeight="215">
                <wp:simplePos x="0" y="0"/>
                <wp:positionH relativeFrom="column">
                  <wp:align>left</wp:align>
                </wp:positionH>
                <wp:positionV relativeFrom="line">
                  <wp:align>top</wp:align>
                </wp:positionV>
                <wp:extent cx="77470" cy="270510"/>
                <wp:effectExtent l="0" t="0" r="0" b="0"/>
                <wp:wrapSquare wrapText="right"/>
                <wp:docPr id="207" name="Frame144"/>
                <a:graphic xmlns:a="http://schemas.openxmlformats.org/drawingml/2006/main">
                  <a:graphicData uri="http://schemas.microsoft.com/office/word/2010/wordprocessingShape">
                    <wps:wsp>
                      <wps:cNvSpPr txBox="1"/>
                      <wps:spPr>
                        <a:xfrm>
                          <a:off x="0" y="0"/>
                          <a:ext cx="77470" cy="270510"/>
                        </a:xfrm>
                        <a:prstGeom prst="rect"/>
                        <a:solidFill>
                          <a:srgbClr val="FFFFFF"/>
                        </a:solidFill>
                      </wps:spPr>
                      <wps:txbx>
                        <w:txbxContent>
                          <w:p>
                            <w:pPr>
                              <w:pStyle w:val="TextBody"/>
                              <w:bidi w:val="0"/>
                              <w:spacing w:lineRule="atLeast" w:line="142" w:before="0" w:after="283"/>
                              <w:jc w:val="left"/>
                              <w:rPr>
                                <w:sz w:val="12"/>
                              </w:rPr>
                            </w:pPr>
                            <w:r>
                              <w:rPr>
                                <w:sz w:val="9"/>
                              </w:rPr>
                              <w:t>(a)</w:t>
                            </w:r>
                            <w:r>
                              <w:rPr>
                                <w:sz w:val="12"/>
                              </w:rPr>
                              <w:t xml:space="preserve"> </w:t>
                              <w:br/>
                            </w:r>
                          </w:p>
                        </w:txbxContent>
                      </wps:txbx>
                      <wps:bodyPr anchor="t" lIns="0" tIns="0" rIns="0" bIns="0">
                        <a:noAutofit/>
                      </wps:bodyPr>
                    </wps:wsp>
                  </a:graphicData>
                </a:graphic>
              </wp:anchor>
            </w:drawing>
          </mc:Choice>
          <mc:Fallback>
            <w:pict>
              <v:rect style="position:absolute;rotation:-0;width:6.1pt;height:21.3pt;mso-wrap-distance-left:9pt;mso-wrap-distance-right:0pt;mso-wrap-distance-top:17pt;mso-wrap-distance-bottom:0pt;margin-top:17pt;mso-position-vertical:top;mso-position-vertical-relative:text;margin-left:9pt;mso-position-horizontal:left;mso-position-horizontal-relative:text">
                <v:textbox>
                  <w:txbxContent>
                    <w:p>
                      <w:pPr>
                        <w:pStyle w:val="TextBody"/>
                        <w:bidi w:val="0"/>
                        <w:spacing w:lineRule="atLeast" w:line="142" w:before="0" w:after="283"/>
                        <w:jc w:val="left"/>
                        <w:rPr>
                          <w:sz w:val="12"/>
                        </w:rPr>
                      </w:pPr>
                      <w:r>
                        <w:rPr>
                          <w:sz w:val="9"/>
                        </w:rPr>
                        <w:t>(a)</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1026"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Income inclusion for the Company repurchase of the employee-owned Lucid Air vehicle ($29,172) and the tax gross-up ($15,420).</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114300" distR="0" simplePos="0" locked="0" layoutInCell="1" allowOverlap="1" relativeHeight="216">
                <wp:simplePos x="0" y="0"/>
                <wp:positionH relativeFrom="column">
                  <wp:align>left</wp:align>
                </wp:positionH>
                <wp:positionV relativeFrom="line">
                  <wp:align>top</wp:align>
                </wp:positionV>
                <wp:extent cx="80010" cy="270510"/>
                <wp:effectExtent l="0" t="0" r="0" b="0"/>
                <wp:wrapSquare wrapText="right"/>
                <wp:docPr id="208" name="Frame145"/>
                <a:graphic xmlns:a="http://schemas.openxmlformats.org/drawingml/2006/main">
                  <a:graphicData uri="http://schemas.microsoft.com/office/word/2010/wordprocessingShape">
                    <wps:wsp>
                      <wps:cNvSpPr txBox="1"/>
                      <wps:spPr>
                        <a:xfrm>
                          <a:off x="0" y="0"/>
                          <a:ext cx="80010" cy="270510"/>
                        </a:xfrm>
                        <a:prstGeom prst="rect"/>
                        <a:solidFill>
                          <a:srgbClr val="FFFFFF"/>
                        </a:solidFill>
                      </wps:spPr>
                      <wps:txbx>
                        <w:txbxContent>
                          <w:p>
                            <w:pPr>
                              <w:pStyle w:val="TextBody"/>
                              <w:bidi w:val="0"/>
                              <w:spacing w:lineRule="atLeast" w:line="142" w:before="0" w:after="283"/>
                              <w:jc w:val="left"/>
                              <w:rPr>
                                <w:sz w:val="12"/>
                              </w:rPr>
                            </w:pPr>
                            <w:r>
                              <w:rPr>
                                <w:sz w:val="9"/>
                              </w:rPr>
                              <w:t>(b)</w:t>
                            </w:r>
                            <w:r>
                              <w:rPr>
                                <w:sz w:val="12"/>
                              </w:rPr>
                              <w:t xml:space="preserve"> </w:t>
                              <w:br/>
                            </w:r>
                          </w:p>
                        </w:txbxContent>
                      </wps:txbx>
                      <wps:bodyPr anchor="t" lIns="0" tIns="0" rIns="0" bIns="0">
                        <a:noAutofit/>
                      </wps:bodyPr>
                    </wps:wsp>
                  </a:graphicData>
                </a:graphic>
              </wp:anchor>
            </w:drawing>
          </mc:Choice>
          <mc:Fallback>
            <w:pict>
              <v:rect style="position:absolute;rotation:-0;width:6.3pt;height:21.3pt;mso-wrap-distance-left:9pt;mso-wrap-distance-right:0pt;mso-wrap-distance-top:5.5pt;mso-wrap-distance-bottom:0pt;margin-top:5.5pt;mso-position-vertical:top;mso-position-vertical-relative:text;margin-left:23.9pt;mso-position-horizontal:left;mso-position-horizontal-relative:text">
                <v:textbox>
                  <w:txbxContent>
                    <w:p>
                      <w:pPr>
                        <w:pStyle w:val="TextBody"/>
                        <w:bidi w:val="0"/>
                        <w:spacing w:lineRule="atLeast" w:line="142" w:before="0" w:after="283"/>
                        <w:jc w:val="left"/>
                        <w:rPr>
                          <w:sz w:val="12"/>
                        </w:rPr>
                      </w:pPr>
                      <w:r>
                        <w:rPr>
                          <w:sz w:val="9"/>
                        </w:rPr>
                        <w:t>(b)</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1021"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Monthly stipend for service as our Interim Chief Financial Officer.</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114300" distR="0" simplePos="0" locked="0" layoutInCell="1" allowOverlap="1" relativeHeight="217">
                <wp:simplePos x="0" y="0"/>
                <wp:positionH relativeFrom="column">
                  <wp:align>left</wp:align>
                </wp:positionH>
                <wp:positionV relativeFrom="line">
                  <wp:align>top</wp:align>
                </wp:positionV>
                <wp:extent cx="76835" cy="270510"/>
                <wp:effectExtent l="0" t="0" r="0" b="0"/>
                <wp:wrapSquare wrapText="right"/>
                <wp:docPr id="209" name="Frame146"/>
                <a:graphic xmlns:a="http://schemas.openxmlformats.org/drawingml/2006/main">
                  <a:graphicData uri="http://schemas.microsoft.com/office/word/2010/wordprocessingShape">
                    <wps:wsp>
                      <wps:cNvSpPr txBox="1"/>
                      <wps:spPr>
                        <a:xfrm>
                          <a:off x="0" y="0"/>
                          <a:ext cx="76835" cy="270510"/>
                        </a:xfrm>
                        <a:prstGeom prst="rect"/>
                        <a:solidFill>
                          <a:srgbClr val="FFFFFF"/>
                        </a:solidFill>
                      </wps:spPr>
                      <wps:txbx>
                        <w:txbxContent>
                          <w:p>
                            <w:pPr>
                              <w:pStyle w:val="TextBody"/>
                              <w:bidi w:val="0"/>
                              <w:spacing w:lineRule="atLeast" w:line="142" w:before="0" w:after="283"/>
                              <w:jc w:val="left"/>
                              <w:rPr>
                                <w:sz w:val="12"/>
                              </w:rPr>
                            </w:pPr>
                            <w:r>
                              <w:rPr>
                                <w:sz w:val="9"/>
                              </w:rPr>
                              <w:t>(c)</w:t>
                            </w:r>
                            <w:r>
                              <w:rPr>
                                <w:sz w:val="12"/>
                              </w:rPr>
                              <w:t xml:space="preserve"> </w:t>
                              <w:br/>
                            </w:r>
                          </w:p>
                        </w:txbxContent>
                      </wps:txbx>
                      <wps:bodyPr anchor="t" lIns="0" tIns="0" rIns="0" bIns="0">
                        <a:noAutofit/>
                      </wps:bodyPr>
                    </wps:wsp>
                  </a:graphicData>
                </a:graphic>
              </wp:anchor>
            </w:drawing>
          </mc:Choice>
          <mc:Fallback>
            <w:pict>
              <v:rect style="position:absolute;rotation:-0;width:6.05pt;height:21.3pt;mso-wrap-distance-left:9pt;mso-wrap-distance-right:0pt;mso-wrap-distance-top:5.5pt;mso-wrap-distance-bottom:0pt;margin-top:5.5pt;mso-position-vertical:top;mso-position-vertical-relative:text;margin-left:9pt;mso-position-horizontal:left;mso-position-horizontal-relative:text">
                <v:textbox>
                  <w:txbxContent>
                    <w:p>
                      <w:pPr>
                        <w:pStyle w:val="TextBody"/>
                        <w:bidi w:val="0"/>
                        <w:spacing w:lineRule="atLeast" w:line="142" w:before="0" w:after="283"/>
                        <w:jc w:val="left"/>
                        <w:rPr>
                          <w:sz w:val="12"/>
                        </w:rPr>
                      </w:pPr>
                      <w:r>
                        <w:rPr>
                          <w:sz w:val="9"/>
                        </w:rPr>
                        <w:t>(c)</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1026"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Income inclusion for the Company repurchase of the employee-owned Lucid Air vehicle ($71,222) and the tax gross-up ($70,036).</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114300" distR="0" simplePos="0" locked="0" layoutInCell="1" allowOverlap="1" relativeHeight="218">
                <wp:simplePos x="0" y="0"/>
                <wp:positionH relativeFrom="column">
                  <wp:align>left</wp:align>
                </wp:positionH>
                <wp:positionV relativeFrom="line">
                  <wp:align>top</wp:align>
                </wp:positionV>
                <wp:extent cx="80010" cy="270510"/>
                <wp:effectExtent l="0" t="0" r="0" b="0"/>
                <wp:wrapSquare wrapText="right"/>
                <wp:docPr id="210" name="Frame147"/>
                <a:graphic xmlns:a="http://schemas.openxmlformats.org/drawingml/2006/main">
                  <a:graphicData uri="http://schemas.microsoft.com/office/word/2010/wordprocessingShape">
                    <wps:wsp>
                      <wps:cNvSpPr txBox="1"/>
                      <wps:spPr>
                        <a:xfrm>
                          <a:off x="0" y="0"/>
                          <a:ext cx="80010" cy="270510"/>
                        </a:xfrm>
                        <a:prstGeom prst="rect"/>
                        <a:solidFill>
                          <a:srgbClr val="FFFFFF"/>
                        </a:solidFill>
                      </wps:spPr>
                      <wps:txbx>
                        <w:txbxContent>
                          <w:p>
                            <w:pPr>
                              <w:pStyle w:val="TextBody"/>
                              <w:bidi w:val="0"/>
                              <w:spacing w:lineRule="atLeast" w:line="142" w:before="0" w:after="283"/>
                              <w:jc w:val="left"/>
                              <w:rPr>
                                <w:sz w:val="12"/>
                              </w:rPr>
                            </w:pPr>
                            <w:r>
                              <w:rPr>
                                <w:sz w:val="9"/>
                              </w:rPr>
                              <w:t>(d)</w:t>
                            </w:r>
                            <w:r>
                              <w:rPr>
                                <w:sz w:val="12"/>
                              </w:rPr>
                              <w:t xml:space="preserve"> </w:t>
                              <w:br/>
                            </w:r>
                          </w:p>
                        </w:txbxContent>
                      </wps:txbx>
                      <wps:bodyPr anchor="t" lIns="0" tIns="0" rIns="0" bIns="0">
                        <a:noAutofit/>
                      </wps:bodyPr>
                    </wps:wsp>
                  </a:graphicData>
                </a:graphic>
              </wp:anchor>
            </w:drawing>
          </mc:Choice>
          <mc:Fallback>
            <w:pict>
              <v:rect style="position:absolute;rotation:-0;width:6.3pt;height:21.3pt;mso-wrap-distance-left:9pt;mso-wrap-distance-right:0pt;mso-wrap-distance-top:5.5pt;mso-wrap-distance-bottom:0pt;margin-top:5.5pt;mso-position-vertical:top;mso-position-vertical-relative:text;margin-left:9pt;mso-position-horizontal:left;mso-position-horizontal-relative:text">
                <v:textbox>
                  <w:txbxContent>
                    <w:p>
                      <w:pPr>
                        <w:pStyle w:val="TextBody"/>
                        <w:bidi w:val="0"/>
                        <w:spacing w:lineRule="atLeast" w:line="142" w:before="0" w:after="283"/>
                        <w:jc w:val="left"/>
                        <w:rPr>
                          <w:sz w:val="12"/>
                        </w:rPr>
                      </w:pPr>
                      <w:r>
                        <w:rPr>
                          <w:sz w:val="9"/>
                        </w:rPr>
                        <w:t>(d)</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1022"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In connection with her separation on December 31, 2023, Ms. House received salary continuation for nine months ($431,250); 2023 annual incentive compensation ($215,000); transfer of Company-owned Lucid Air vehicle to the NEO and tax-gross up ($185,522); Company-paid costs for 2023 tax preparation ($12,500); Company-paid healthcare continuation for nine months and tax gross-up ($38,241).</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114300" distR="0" simplePos="0" locked="0" layoutInCell="1" allowOverlap="1" relativeHeight="219">
                <wp:simplePos x="0" y="0"/>
                <wp:positionH relativeFrom="column">
                  <wp:align>left</wp:align>
                </wp:positionH>
                <wp:positionV relativeFrom="line">
                  <wp:align>top</wp:align>
                </wp:positionV>
                <wp:extent cx="77470" cy="270510"/>
                <wp:effectExtent l="0" t="0" r="0" b="0"/>
                <wp:wrapSquare wrapText="right"/>
                <wp:docPr id="211" name="Frame148"/>
                <a:graphic xmlns:a="http://schemas.openxmlformats.org/drawingml/2006/main">
                  <a:graphicData uri="http://schemas.microsoft.com/office/word/2010/wordprocessingShape">
                    <wps:wsp>
                      <wps:cNvSpPr txBox="1"/>
                      <wps:spPr>
                        <a:xfrm>
                          <a:off x="0" y="0"/>
                          <a:ext cx="77470" cy="270510"/>
                        </a:xfrm>
                        <a:prstGeom prst="rect"/>
                        <a:solidFill>
                          <a:srgbClr val="FFFFFF"/>
                        </a:solidFill>
                      </wps:spPr>
                      <wps:txbx>
                        <w:txbxContent>
                          <w:p>
                            <w:pPr>
                              <w:pStyle w:val="TextBody"/>
                              <w:bidi w:val="0"/>
                              <w:spacing w:lineRule="atLeast" w:line="142" w:before="0" w:after="283"/>
                              <w:jc w:val="left"/>
                              <w:rPr>
                                <w:sz w:val="12"/>
                              </w:rPr>
                            </w:pPr>
                            <w:r>
                              <w:rPr>
                                <w:sz w:val="9"/>
                              </w:rPr>
                              <w:t>(e)</w:t>
                            </w:r>
                            <w:r>
                              <w:rPr>
                                <w:sz w:val="12"/>
                              </w:rPr>
                              <w:t xml:space="preserve"> </w:t>
                              <w:br/>
                            </w:r>
                          </w:p>
                        </w:txbxContent>
                      </wps:txbx>
                      <wps:bodyPr anchor="t" lIns="0" tIns="0" rIns="0" bIns="0">
                        <a:noAutofit/>
                      </wps:bodyPr>
                    </wps:wsp>
                  </a:graphicData>
                </a:graphic>
              </wp:anchor>
            </w:drawing>
          </mc:Choice>
          <mc:Fallback>
            <w:pict>
              <v:rect style="position:absolute;rotation:-0;width:6.1pt;height:21.3pt;mso-wrap-distance-left:9pt;mso-wrap-distance-right:0pt;mso-wrap-distance-top:5.5pt;mso-wrap-distance-bottom:0pt;margin-top:5.5pt;mso-position-vertical:top;mso-position-vertical-relative:text;margin-left:9pt;mso-position-horizontal:left;mso-position-horizontal-relative:text">
                <v:textbox>
                  <w:txbxContent>
                    <w:p>
                      <w:pPr>
                        <w:pStyle w:val="TextBody"/>
                        <w:bidi w:val="0"/>
                        <w:spacing w:lineRule="atLeast" w:line="142" w:before="0" w:after="283"/>
                        <w:jc w:val="left"/>
                        <w:rPr>
                          <w:sz w:val="12"/>
                        </w:rPr>
                      </w:pPr>
                      <w:r>
                        <w:rPr>
                          <w:sz w:val="9"/>
                        </w:rPr>
                        <w:t>(e)</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The amounts reflect one-time bonus payments to Mr. Rawlinson and Mr. Bach for achieving a key milestone in the public reveal of the Lucid Gravity product line.</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20">
                <wp:simplePos x="0" y="0"/>
                <wp:positionH relativeFrom="column">
                  <wp:align>left</wp:align>
                </wp:positionH>
                <wp:positionV relativeFrom="line">
                  <wp:align>top</wp:align>
                </wp:positionV>
                <wp:extent cx="81915" cy="270510"/>
                <wp:effectExtent l="0" t="0" r="0" b="0"/>
                <wp:wrapSquare wrapText="right"/>
                <wp:docPr id="212" name="Frame149"/>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(5)</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(5)</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Mr. Dhingra received a special, one-time bonus payment in connection with his appointment as our Interim Chief Financial Officer on December 11, 2023. In addition, he will receive a quarterly bonus of  $50,000 during his tenure as our Interim Chief Financial Officer, the first payment of which becomes payable in March 2024.</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21">
                <wp:simplePos x="0" y="0"/>
                <wp:positionH relativeFrom="column">
                  <wp:align>left</wp:align>
                </wp:positionH>
                <wp:positionV relativeFrom="line">
                  <wp:align>top</wp:align>
                </wp:positionV>
                <wp:extent cx="81915" cy="270510"/>
                <wp:effectExtent l="0" t="0" r="0" b="0"/>
                <wp:wrapSquare wrapText="right"/>
                <wp:docPr id="213" name="Frame150"/>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(6)</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(6)</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Mr. Winterhoff received a special, one-time sign on bonus of  $3,350,000 (a portion of which was intended to compensate him for certain payments that he forfeited upon his departure from his prior employer).</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22">
                <wp:simplePos x="0" y="0"/>
                <wp:positionH relativeFrom="column">
                  <wp:align>left</wp:align>
                </wp:positionH>
                <wp:positionV relativeFrom="line">
                  <wp:align>top</wp:align>
                </wp:positionV>
                <wp:extent cx="81915" cy="270510"/>
                <wp:effectExtent l="0" t="0" r="0" b="0"/>
                <wp:wrapSquare wrapText="right"/>
                <wp:docPr id="214" name="Frame151"/>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(7)</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(7)</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 xml:space="preserve">Ms. House received a special, one-time bonus of  $600,000 in recognition of her significant role in commencing the public offering of the Company’s Common Stock and the concurrent private placement of our Common Stock to the Company’s majority stockholder. </w:t>
      </w:r>
      <w:r>
        <mc:AlternateContent>
          <mc:Choice Requires="wps">
            <w:drawing>
              <wp:anchor behindDoc="0" distT="69850" distB="0" distL="0" distR="0" simplePos="0" locked="0" layoutInCell="1" allowOverlap="1" relativeHeight="223">
                <wp:simplePos x="0" y="0"/>
                <wp:positionH relativeFrom="column">
                  <wp:align>left</wp:align>
                </wp:positionH>
                <wp:positionV relativeFrom="line">
                  <wp:align>top</wp:align>
                </wp:positionV>
                <wp:extent cx="81915" cy="270510"/>
                <wp:effectExtent l="0" t="0" r="0" b="0"/>
                <wp:wrapSquare wrapText="right"/>
                <wp:docPr id="215" name="Frame152"/>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(8)</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(8)</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61</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GOPA"/>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283"/>
        <w:ind w:left="720" w:right="0" w:hanging="0"/>
        <w:jc w:val="left"/>
        <w:rPr>
          <w:rFonts w:ascii="Times New Roman;Garamond;serif" w:hAnsi="Times New Roman;Garamond;serif"/>
          <w:b/>
          <w:i w:val="false"/>
          <w:caps w:val="false"/>
          <w:smallCaps w:val="false"/>
          <w:color w:val="000000"/>
          <w:sz w:val="40"/>
        </w:rPr>
      </w:pPr>
      <w:r>
        <w:rPr>
          <w:rFonts w:ascii="Times New Roman;Garamond;serif" w:hAnsi="Times New Roman;Garamond;serif"/>
          <w:b/>
          <w:i w:val="false"/>
          <w:caps w:val="false"/>
          <w:smallCaps w:val="false"/>
          <w:color w:val="000000"/>
          <w:sz w:val="40"/>
        </w:rPr>
        <w:t>Grants of Plan-Based Awards</w:t>
      </w:r>
      <w:r>
        <w:rPr>
          <w:rFonts w:ascii="Times New Roman;Garamond;serif" w:hAnsi="Times New Roman;Garamond;serif"/>
          <w:b/>
          <w:i w:val="false"/>
          <w:caps w:val="false"/>
          <w:smallCaps w:val="false"/>
          <w:color w:val="000000"/>
          <w:spacing w:val="8"/>
          <w:sz w:val="40"/>
        </w:rPr>
        <w:t xml:space="preserve"> </w:t>
      </w:r>
    </w:p>
    <w:tbl>
      <w:tblPr>
        <w:tblW w:w="12348" w:type="dxa"/>
        <w:jc w:val="left"/>
        <w:tblInd w:w="720" w:type="dxa"/>
        <w:tblLayout w:type="fixed"/>
        <w:tblCellMar>
          <w:top w:w="0" w:type="dxa"/>
          <w:left w:w="0" w:type="dxa"/>
          <w:bottom w:w="28" w:type="dxa"/>
          <w:right w:w="0" w:type="dxa"/>
        </w:tblCellMar>
      </w:tblPr>
      <w:tblGrid>
        <w:gridCol w:w="124"/>
        <w:gridCol w:w="901"/>
        <w:gridCol w:w="109"/>
        <w:gridCol w:w="109"/>
        <w:gridCol w:w="109"/>
        <w:gridCol w:w="109"/>
        <w:gridCol w:w="466"/>
        <w:gridCol w:w="109"/>
        <w:gridCol w:w="109"/>
        <w:gridCol w:w="109"/>
        <w:gridCol w:w="109"/>
        <w:gridCol w:w="109"/>
        <w:gridCol w:w="691"/>
        <w:gridCol w:w="109"/>
        <w:gridCol w:w="109"/>
        <w:gridCol w:w="109"/>
        <w:gridCol w:w="109"/>
        <w:gridCol w:w="109"/>
        <w:gridCol w:w="691"/>
        <w:gridCol w:w="109"/>
        <w:gridCol w:w="109"/>
        <w:gridCol w:w="109"/>
        <w:gridCol w:w="109"/>
        <w:gridCol w:w="109"/>
        <w:gridCol w:w="691"/>
        <w:gridCol w:w="109"/>
        <w:gridCol w:w="109"/>
        <w:gridCol w:w="109"/>
        <w:gridCol w:w="109"/>
        <w:gridCol w:w="109"/>
        <w:gridCol w:w="691"/>
        <w:gridCol w:w="109"/>
        <w:gridCol w:w="109"/>
        <w:gridCol w:w="109"/>
        <w:gridCol w:w="109"/>
        <w:gridCol w:w="109"/>
        <w:gridCol w:w="691"/>
        <w:gridCol w:w="109"/>
        <w:gridCol w:w="109"/>
        <w:gridCol w:w="109"/>
        <w:gridCol w:w="109"/>
        <w:gridCol w:w="109"/>
        <w:gridCol w:w="826"/>
        <w:gridCol w:w="109"/>
        <w:gridCol w:w="109"/>
        <w:gridCol w:w="109"/>
        <w:gridCol w:w="109"/>
        <w:gridCol w:w="109"/>
        <w:gridCol w:w="691"/>
        <w:gridCol w:w="109"/>
        <w:gridCol w:w="109"/>
        <w:gridCol w:w="109"/>
        <w:gridCol w:w="109"/>
        <w:gridCol w:w="109"/>
        <w:gridCol w:w="826"/>
        <w:gridCol w:w="109"/>
        <w:gridCol w:w="154"/>
      </w:tblGrid>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901" w:type="dxa"/>
            <w:tcBorders>
              <w:bottom w:val="single" w:sz="2" w:space="0" w:color="000000"/>
            </w:tcBorders>
            <w:shd w:fill="000000" w:val="clear"/>
            <w:tcMar>
              <w:bottom w:w="88" w:type="dxa"/>
            </w:tcMar>
            <w:vAlign w:val="center"/>
          </w:tcPr>
          <w:p>
            <w:pPr>
              <w:pStyle w:val="TableContents"/>
              <w:bidi w:val="0"/>
              <w:spacing w:lineRule="atLeast" w:line="160" w:before="0" w:after="0"/>
              <w:jc w:val="left"/>
              <w:rPr>
                <w:sz w:val="14"/>
              </w:rPr>
            </w:pPr>
            <w:r>
              <w:rPr>
                <w:sz w:val="14"/>
              </w:rPr>
              <w:t xml:space="preserve">Named Executive Officer </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793" w:type="dxa"/>
            <w:gridSpan w:val="4"/>
            <w:tcBorders>
              <w:bottom w:val="single" w:sz="2" w:space="0" w:color="000000"/>
            </w:tcBorders>
            <w:shd w:fill="000000" w:val="clear"/>
            <w:tcMar>
              <w:bottom w:w="88" w:type="dxa"/>
            </w:tcMar>
            <w:vAlign w:val="center"/>
          </w:tcPr>
          <w:p>
            <w:pPr>
              <w:pStyle w:val="TableContents"/>
              <w:bidi w:val="0"/>
              <w:spacing w:lineRule="atLeast" w:line="160" w:before="0" w:after="0"/>
              <w:jc w:val="center"/>
              <w:rPr>
                <w:sz w:val="14"/>
              </w:rPr>
            </w:pPr>
            <w:r>
              <w:rPr>
                <w:sz w:val="14"/>
              </w:rPr>
              <w:t xml:space="preserve">Grant Date </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3490" w:type="dxa"/>
            <w:gridSpan w:val="16"/>
            <w:tcBorders>
              <w:bottom w:val="single" w:sz="2" w:space="0" w:color="FEFEFE"/>
            </w:tcBorders>
            <w:shd w:fill="000000" w:val="clear"/>
            <w:tcMar>
              <w:bottom w:w="88" w:type="dxa"/>
            </w:tcMar>
            <w:vAlign w:val="center"/>
          </w:tcPr>
          <w:p>
            <w:pPr>
              <w:pStyle w:val="TableContents"/>
              <w:bidi w:val="0"/>
              <w:spacing w:lineRule="atLeast" w:line="160" w:before="0" w:after="0"/>
              <w:jc w:val="center"/>
              <w:rPr>
                <w:sz w:val="14"/>
              </w:rPr>
            </w:pPr>
            <w:r>
              <w:rPr>
                <w:sz w:val="14"/>
              </w:rPr>
              <w:t xml:space="preserve">Estimated Possible Payouts Under </w:t>
              <w:br/>
              <w:t xml:space="preserve">Non-Equity Incentive Plan Awards </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3625" w:type="dxa"/>
            <w:gridSpan w:val="16"/>
            <w:tcBorders>
              <w:bottom w:val="single" w:sz="2" w:space="0" w:color="FEFEFE"/>
            </w:tcBorders>
            <w:shd w:fill="000000" w:val="clear"/>
            <w:tcMar>
              <w:bottom w:w="88" w:type="dxa"/>
            </w:tcMar>
            <w:vAlign w:val="center"/>
          </w:tcPr>
          <w:p>
            <w:pPr>
              <w:pStyle w:val="TableContents"/>
              <w:bidi w:val="0"/>
              <w:spacing w:lineRule="atLeast" w:line="160" w:before="0" w:after="0"/>
              <w:jc w:val="center"/>
              <w:rPr>
                <w:sz w:val="14"/>
              </w:rPr>
            </w:pPr>
            <w:r>
              <w:rPr>
                <w:sz w:val="14"/>
              </w:rPr>
              <w:t xml:space="preserve">Estimated Future Payouts Under </w:t>
              <w:br/>
              <w:t xml:space="preserve">Equity Incentive Plan Awards </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vMerge w:val="restart"/>
            <w:tcBorders/>
            <w:shd w:fill="000000" w:val="clear"/>
            <w:tcMar>
              <w:bottom w:w="0" w:type="dxa"/>
            </w:tcMar>
            <w:vAlign w:val="center"/>
          </w:tcPr>
          <w:p>
            <w:pPr>
              <w:pStyle w:val="TableContents"/>
              <w:bidi w:val="0"/>
              <w:spacing w:before="0" w:after="283"/>
              <w:jc w:val="left"/>
              <w:rPr/>
            </w:pPr>
            <w:r>
              <w:rPr/>
              <w:t>​</w:t>
            </w:r>
          </w:p>
        </w:tc>
        <w:tc>
          <w:tcPr>
            <w:tcW w:w="1018" w:type="dxa"/>
            <w:gridSpan w:val="4"/>
            <w:vMerge w:val="restart"/>
            <w:tcBorders/>
            <w:shd w:fill="000000" w:val="clear"/>
            <w:tcMar>
              <w:bottom w:w="0" w:type="dxa"/>
            </w:tcMar>
            <w:vAlign w:val="center"/>
          </w:tcPr>
          <w:p>
            <w:pPr>
              <w:pStyle w:val="TableContents"/>
              <w:bidi w:val="0"/>
              <w:spacing w:lineRule="atLeast" w:line="160" w:before="0" w:after="0"/>
              <w:jc w:val="center"/>
              <w:rPr>
                <w:sz w:val="14"/>
              </w:rPr>
            </w:pPr>
            <w:r>
              <w:rPr>
                <w:sz w:val="14"/>
              </w:rPr>
              <w:t xml:space="preserve">All Other </w:t>
              <w:br/>
              <w:t xml:space="preserve">Stock </w:t>
              <w:br/>
              <w:t xml:space="preserve">Awards </w:t>
              <w:br/>
              <w:t xml:space="preserve">Number of </w:t>
              <w:br/>
              <w:t xml:space="preserve">Shares of </w:t>
              <w:br/>
              <w:t xml:space="preserve">Stock or Units </w:t>
              <w:br/>
              <w:t xml:space="preserve">(#) </w:t>
            </w:r>
          </w:p>
        </w:tc>
        <w:tc>
          <w:tcPr>
            <w:tcW w:w="109" w:type="dxa"/>
            <w:vMerge w:val="restart"/>
            <w:tcBorders/>
            <w:shd w:fill="000000" w:val="clear"/>
            <w:tcMar>
              <w:bottom w:w="0" w:type="dxa"/>
            </w:tcMar>
            <w:vAlign w:val="center"/>
          </w:tcPr>
          <w:p>
            <w:pPr>
              <w:pStyle w:val="TableContents"/>
              <w:bidi w:val="0"/>
              <w:spacing w:before="0" w:after="283"/>
              <w:jc w:val="left"/>
              <w:rPr/>
            </w:pPr>
            <w:r>
              <w:rPr/>
              <w:t>​</w:t>
            </w:r>
          </w:p>
        </w:tc>
        <w:tc>
          <w:tcPr>
            <w:tcW w:w="109" w:type="dxa"/>
            <w:vMerge w:val="restart"/>
            <w:tcBorders/>
            <w:shd w:fill="000000" w:val="clear"/>
            <w:tcMar>
              <w:bottom w:w="0" w:type="dxa"/>
            </w:tcMar>
            <w:vAlign w:val="center"/>
          </w:tcPr>
          <w:p>
            <w:pPr>
              <w:pStyle w:val="TableContents"/>
              <w:bidi w:val="0"/>
              <w:spacing w:before="0" w:after="283"/>
              <w:jc w:val="left"/>
              <w:rPr/>
            </w:pPr>
            <w:r>
              <w:rPr/>
              <w:t>​</w:t>
            </w:r>
          </w:p>
        </w:tc>
        <w:tc>
          <w:tcPr>
            <w:tcW w:w="1153" w:type="dxa"/>
            <w:gridSpan w:val="4"/>
            <w:vMerge w:val="restart"/>
            <w:tcBorders/>
            <w:shd w:fill="000000" w:val="clear"/>
            <w:tcMar>
              <w:bottom w:w="0" w:type="dxa"/>
            </w:tcMar>
            <w:vAlign w:val="center"/>
          </w:tcPr>
          <w:p>
            <w:pPr>
              <w:pStyle w:val="TableContents"/>
              <w:bidi w:val="0"/>
              <w:spacing w:lineRule="atLeast" w:line="142" w:before="0" w:after="0"/>
              <w:jc w:val="center"/>
              <w:rPr>
                <w:sz w:val="14"/>
              </w:rPr>
            </w:pPr>
            <w:r>
              <w:rPr>
                <w:sz w:val="14"/>
              </w:rPr>
              <w:t xml:space="preserve">Grant Date </w:t>
              <w:br/>
              <w:t xml:space="preserve">Fair Value of </w:t>
              <w:br/>
              <w:t xml:space="preserve">Stock and </w:t>
              <w:br/>
              <w:t xml:space="preserve">Option </w:t>
              <w:br/>
              <w:t xml:space="preserve">Awards </w:t>
              <w:br/>
              <w:t>($)</w:t>
            </w:r>
            <w:r>
              <w:rPr>
                <w:sz w:val="9"/>
              </w:rPr>
              <w:t>(2)</w:t>
            </w:r>
            <w:r>
              <w:rPr>
                <w:sz w:val="14"/>
              </w:rPr>
              <w:t xml:space="preserve"> </w:t>
            </w:r>
          </w:p>
        </w:tc>
        <w:tc>
          <w:tcPr>
            <w:tcW w:w="154" w:type="dxa"/>
            <w:vMerge w:val="restart"/>
            <w:tcBorders/>
            <w:shd w:fill="000000" w:val="clear"/>
            <w:tcMar>
              <w:bottom w:w="0" w:type="dxa"/>
            </w:tcMar>
            <w:vAlign w:val="center"/>
          </w:tcPr>
          <w:p>
            <w:pPr>
              <w:pStyle w:val="TableContents"/>
              <w:bidi w:val="0"/>
              <w:spacing w:before="0" w:after="283"/>
              <w:jc w:val="left"/>
              <w:rPr/>
            </w:pPr>
            <w:r>
              <w:rPr/>
              <w:t>​</w:t>
            </w:r>
          </w:p>
        </w:tc>
      </w:tr>
      <w:tr>
        <w:trPr/>
        <w:tc>
          <w:tcPr>
            <w:tcW w:w="124" w:type="dxa"/>
            <w:tcBorders/>
            <w:shd w:fill="000000" w:val="clear"/>
            <w:tcMar>
              <w:bottom w:w="0" w:type="dxa"/>
            </w:tcMar>
            <w:vAlign w:val="center"/>
          </w:tcPr>
          <w:p>
            <w:pPr>
              <w:pStyle w:val="TableContents"/>
              <w:bidi w:val="0"/>
              <w:spacing w:before="0" w:after="283"/>
              <w:jc w:val="left"/>
              <w:rPr/>
            </w:pPr>
            <w:r>
              <w:rPr/>
              <w:t>​</w:t>
            </w:r>
          </w:p>
        </w:tc>
        <w:tc>
          <w:tcPr>
            <w:tcW w:w="901"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right"/>
              <w:rPr/>
            </w:pPr>
            <w:r>
              <w:rPr/>
              <w:t>​</w:t>
            </w:r>
          </w:p>
        </w:tc>
        <w:tc>
          <w:tcPr>
            <w:tcW w:w="466" w:type="dxa"/>
            <w:tcBorders/>
            <w:shd w:fill="000000" w:val="clear"/>
            <w:tcMar>
              <w:bottom w:w="0" w:type="dxa"/>
            </w:tcMar>
            <w:vAlign w:val="center"/>
          </w:tcPr>
          <w:p>
            <w:pPr>
              <w:pStyle w:val="TableContents"/>
              <w:bidi w:val="0"/>
              <w:spacing w:before="0" w:after="283"/>
              <w:jc w:val="righ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18" w:type="dxa"/>
            <w:gridSpan w:val="4"/>
            <w:tcBorders/>
            <w:shd w:fill="000000" w:val="clear"/>
            <w:tcMar>
              <w:bottom w:w="0" w:type="dxa"/>
            </w:tcMar>
            <w:vAlign w:val="center"/>
          </w:tcPr>
          <w:p>
            <w:pPr>
              <w:pStyle w:val="TableContents"/>
              <w:bidi w:val="0"/>
              <w:spacing w:lineRule="atLeast" w:line="160" w:before="0" w:after="0"/>
              <w:jc w:val="center"/>
              <w:rPr>
                <w:sz w:val="14"/>
              </w:rPr>
            </w:pPr>
            <w:r>
              <w:rPr>
                <w:sz w:val="14"/>
              </w:rPr>
              <w:t xml:space="preserve">Threshold ($)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18" w:type="dxa"/>
            <w:gridSpan w:val="4"/>
            <w:tcBorders/>
            <w:shd w:fill="000000" w:val="clear"/>
            <w:tcMar>
              <w:bottom w:w="0" w:type="dxa"/>
            </w:tcMar>
            <w:vAlign w:val="center"/>
          </w:tcPr>
          <w:p>
            <w:pPr>
              <w:pStyle w:val="TableContents"/>
              <w:bidi w:val="0"/>
              <w:spacing w:lineRule="atLeast" w:line="160" w:before="0" w:after="0"/>
              <w:jc w:val="center"/>
              <w:rPr>
                <w:sz w:val="14"/>
              </w:rPr>
            </w:pPr>
            <w:r>
              <w:rPr>
                <w:sz w:val="14"/>
              </w:rPr>
              <w:t xml:space="preserve">Target ($)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18" w:type="dxa"/>
            <w:gridSpan w:val="4"/>
            <w:tcBorders/>
            <w:shd w:fill="000000" w:val="clear"/>
            <w:tcMar>
              <w:bottom w:w="0" w:type="dxa"/>
            </w:tcMar>
            <w:vAlign w:val="center"/>
          </w:tcPr>
          <w:p>
            <w:pPr>
              <w:pStyle w:val="TableContents"/>
              <w:bidi w:val="0"/>
              <w:spacing w:lineRule="atLeast" w:line="160" w:before="0" w:after="0"/>
              <w:jc w:val="center"/>
              <w:rPr>
                <w:sz w:val="14"/>
              </w:rPr>
            </w:pPr>
            <w:r>
              <w:rPr>
                <w:sz w:val="14"/>
              </w:rPr>
              <w:t xml:space="preserve">Maximum ($)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18" w:type="dxa"/>
            <w:gridSpan w:val="4"/>
            <w:tcBorders/>
            <w:shd w:fill="000000" w:val="clear"/>
            <w:tcMar>
              <w:bottom w:w="0" w:type="dxa"/>
            </w:tcMar>
            <w:vAlign w:val="center"/>
          </w:tcPr>
          <w:p>
            <w:pPr>
              <w:pStyle w:val="TableContents"/>
              <w:bidi w:val="0"/>
              <w:spacing w:lineRule="atLeast" w:line="160" w:before="0" w:after="0"/>
              <w:jc w:val="center"/>
              <w:rPr>
                <w:sz w:val="14"/>
              </w:rPr>
            </w:pPr>
            <w:r>
              <w:rPr>
                <w:sz w:val="14"/>
              </w:rPr>
              <w:t xml:space="preserve">Threshold (#)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18" w:type="dxa"/>
            <w:gridSpan w:val="4"/>
            <w:tcBorders/>
            <w:shd w:fill="000000" w:val="clear"/>
            <w:tcMar>
              <w:bottom w:w="0" w:type="dxa"/>
            </w:tcMar>
            <w:vAlign w:val="center"/>
          </w:tcPr>
          <w:p>
            <w:pPr>
              <w:pStyle w:val="TableContents"/>
              <w:bidi w:val="0"/>
              <w:spacing w:lineRule="atLeast" w:line="160" w:before="0" w:after="0"/>
              <w:jc w:val="center"/>
              <w:rPr>
                <w:sz w:val="14"/>
              </w:rPr>
            </w:pPr>
            <w:r>
              <w:rPr>
                <w:sz w:val="14"/>
              </w:rPr>
              <w:t xml:space="preserve">Target (#)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153" w:type="dxa"/>
            <w:gridSpan w:val="4"/>
            <w:tcBorders/>
            <w:shd w:fill="000000" w:val="clear"/>
            <w:tcMar>
              <w:bottom w:w="0" w:type="dxa"/>
            </w:tcMar>
            <w:vAlign w:val="center"/>
          </w:tcPr>
          <w:p>
            <w:pPr>
              <w:pStyle w:val="TableContents"/>
              <w:bidi w:val="0"/>
              <w:spacing w:lineRule="atLeast" w:line="160" w:before="0" w:after="0"/>
              <w:jc w:val="center"/>
              <w:rPr>
                <w:sz w:val="14"/>
              </w:rPr>
            </w:pPr>
            <w:r>
              <w:rPr>
                <w:sz w:val="14"/>
              </w:rPr>
              <w:t xml:space="preserve">Maximum (#)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vMerge w:val="continue"/>
            <w:tcBorders/>
            <w:shd w:fill="000000" w:val="clear"/>
            <w:tcMar>
              <w:bottom w:w="0" w:type="dxa"/>
            </w:tcMar>
            <w:vAlign w:val="center"/>
          </w:tcPr>
          <w:p>
            <w:pPr>
              <w:pStyle w:val="Normal"/>
              <w:bidi w:val="0"/>
              <w:jc w:val="left"/>
              <w:rPr/>
            </w:pPr>
            <w:r>
              <w:rPr/>
            </w:r>
          </w:p>
        </w:tc>
        <w:tc>
          <w:tcPr>
            <w:tcW w:w="1018" w:type="dxa"/>
            <w:gridSpan w:val="4"/>
            <w:vMerge w:val="continue"/>
            <w:tcBorders/>
            <w:shd w:fill="000000" w:val="clear"/>
            <w:tcMar>
              <w:bottom w:w="0" w:type="dxa"/>
            </w:tcMar>
            <w:vAlign w:val="center"/>
          </w:tcPr>
          <w:p>
            <w:pPr>
              <w:pStyle w:val="Normal"/>
              <w:bidi w:val="0"/>
              <w:jc w:val="left"/>
              <w:rPr/>
            </w:pPr>
            <w:r>
              <w:rPr/>
            </w:r>
          </w:p>
        </w:tc>
        <w:tc>
          <w:tcPr>
            <w:tcW w:w="109" w:type="dxa"/>
            <w:vMerge w:val="continue"/>
            <w:tcBorders/>
            <w:shd w:fill="000000" w:val="clear"/>
            <w:tcMar>
              <w:bottom w:w="0" w:type="dxa"/>
            </w:tcMar>
            <w:vAlign w:val="center"/>
          </w:tcPr>
          <w:p>
            <w:pPr>
              <w:pStyle w:val="Normal"/>
              <w:bidi w:val="0"/>
              <w:jc w:val="left"/>
              <w:rPr/>
            </w:pPr>
            <w:r>
              <w:rPr/>
            </w:r>
          </w:p>
        </w:tc>
        <w:tc>
          <w:tcPr>
            <w:tcW w:w="109" w:type="dxa"/>
            <w:vMerge w:val="continue"/>
            <w:tcBorders/>
            <w:shd w:fill="000000" w:val="clear"/>
            <w:tcMar>
              <w:bottom w:w="0" w:type="dxa"/>
            </w:tcMar>
            <w:vAlign w:val="center"/>
          </w:tcPr>
          <w:p>
            <w:pPr>
              <w:pStyle w:val="Normal"/>
              <w:bidi w:val="0"/>
              <w:jc w:val="left"/>
              <w:rPr/>
            </w:pPr>
            <w:r>
              <w:rPr/>
            </w:r>
          </w:p>
        </w:tc>
        <w:tc>
          <w:tcPr>
            <w:tcW w:w="1153" w:type="dxa"/>
            <w:gridSpan w:val="4"/>
            <w:vMerge w:val="continue"/>
            <w:tcBorders/>
            <w:shd w:fill="000000" w:val="clear"/>
            <w:tcMar>
              <w:bottom w:w="0" w:type="dxa"/>
            </w:tcMar>
            <w:vAlign w:val="center"/>
          </w:tcPr>
          <w:p>
            <w:pPr>
              <w:pStyle w:val="Normal"/>
              <w:bidi w:val="0"/>
              <w:jc w:val="left"/>
              <w:rPr/>
            </w:pPr>
            <w:r>
              <w:rPr/>
            </w:r>
          </w:p>
        </w:tc>
        <w:tc>
          <w:tcPr>
            <w:tcW w:w="154" w:type="dxa"/>
            <w:vMerge w:val="continue"/>
            <w:tcBorders/>
            <w:shd w:fill="000000" w:val="clear"/>
            <w:tcMar>
              <w:bottom w:w="0" w:type="dxa"/>
            </w:tcMar>
            <w:vAlign w:val="center"/>
          </w:tcPr>
          <w:p>
            <w:pPr>
              <w:pStyle w:val="Normal"/>
              <w:bidi w:val="0"/>
              <w:jc w:val="left"/>
              <w:rPr/>
            </w:pPr>
            <w:r>
              <w:rPr/>
            </w:r>
          </w:p>
        </w:tc>
      </w:tr>
      <w:tr>
        <w:trPr/>
        <w:tc>
          <w:tcPr>
            <w:tcW w:w="124" w:type="dxa"/>
            <w:tcBorders/>
            <w:tcMar>
              <w:bottom w:w="0" w:type="dxa"/>
            </w:tcMar>
            <w:vAlign w:val="center"/>
          </w:tcPr>
          <w:p>
            <w:pPr>
              <w:pStyle w:val="TableContents"/>
              <w:bidi w:val="0"/>
              <w:spacing w:before="0" w:after="283"/>
              <w:jc w:val="left"/>
              <w:rPr/>
            </w:pPr>
            <w:r>
              <w:rPr/>
              <w:t>​</w:t>
            </w:r>
          </w:p>
        </w:tc>
        <w:tc>
          <w:tcPr>
            <w:tcW w:w="901" w:type="dxa"/>
            <w:tcBorders/>
            <w:tcMar>
              <w:bottom w:w="0" w:type="dxa"/>
            </w:tcMar>
            <w:vAlign w:val="center"/>
          </w:tcPr>
          <w:p>
            <w:pPr>
              <w:pStyle w:val="TableContents"/>
              <w:bidi w:val="0"/>
              <w:spacing w:before="0" w:after="0"/>
              <w:jc w:val="left"/>
              <w:rPr>
                <w:sz w:val="16"/>
              </w:rPr>
            </w:pPr>
            <w:r>
              <w:rPr>
                <w:sz w:val="16"/>
              </w:rPr>
              <w:t>Peter Rawlinson</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9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9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9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9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9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9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4" w:space="0" w:color="000000"/>
            </w:tcBorders>
            <w:vAlign w:val="center"/>
          </w:tcPr>
          <w:p>
            <w:pPr>
              <w:pStyle w:val="TableContents"/>
              <w:bidi w:val="0"/>
              <w:spacing w:before="0" w:after="283"/>
              <w:jc w:val="left"/>
              <w:rPr/>
            </w:pPr>
            <w:r>
              <w:rPr/>
              <w:t>​</w:t>
            </w:r>
          </w:p>
        </w:tc>
        <w:tc>
          <w:tcPr>
            <w:tcW w:w="901" w:type="dxa"/>
            <w:tcBorders>
              <w:bottom w:val="single" w:sz="4" w:space="0" w:color="000000"/>
            </w:tcBorders>
            <w:tcMar>
              <w:bottom w:w="78" w:type="dxa"/>
            </w:tcMar>
            <w:vAlign w:val="center"/>
          </w:tcPr>
          <w:p>
            <w:pPr>
              <w:pStyle w:val="TableContents"/>
              <w:bidi w:val="0"/>
              <w:spacing w:before="0" w:after="0"/>
              <w:jc w:val="left"/>
              <w:rPr>
                <w:sz w:val="16"/>
              </w:rPr>
            </w:pPr>
            <w:r>
              <w:rPr>
                <w:sz w:val="16"/>
              </w:rPr>
              <w:t xml:space="preserve">2023 Annual Cash </w:t>
              <w:br/>
              <w:t>Incentive</w:t>
            </w:r>
            <w:r>
              <w:rPr>
                <w:sz w:val="10"/>
              </w:rPr>
              <w:t>(1)</w:t>
            </w:r>
            <w:r>
              <w:rPr>
                <w:sz w:val="16"/>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8" w:type="dxa"/>
            </w:tcMar>
            <w:vAlign w:val="center"/>
          </w:tcPr>
          <w:p>
            <w:pPr>
              <w:pStyle w:val="TableContents"/>
              <w:bidi w:val="0"/>
              <w:spacing w:before="0" w:after="0"/>
              <w:jc w:val="right"/>
              <w:rPr/>
            </w:pPr>
            <w:r>
              <w:rPr/>
              <w:t>​</w:t>
            </w:r>
          </w:p>
        </w:tc>
        <w:tc>
          <w:tcPr>
            <w:tcW w:w="466" w:type="dxa"/>
            <w:tcBorders>
              <w:bottom w:val="single" w:sz="4" w:space="0" w:color="000000"/>
            </w:tcBorders>
            <w:tcMar>
              <w:bottom w:w="78" w:type="dxa"/>
            </w:tcMar>
            <w:vAlign w:val="center"/>
          </w:tcPr>
          <w:p>
            <w:pPr>
              <w:pStyle w:val="TableContents"/>
              <w:bidi w:val="0"/>
              <w:spacing w:before="0" w:after="0"/>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8" w:type="dxa"/>
            </w:tcMar>
            <w:vAlign w:val="center"/>
          </w:tcPr>
          <w:p>
            <w:pPr>
              <w:pStyle w:val="TableContents"/>
              <w:bidi w:val="0"/>
              <w:spacing w:before="0" w:after="0"/>
              <w:jc w:val="right"/>
              <w:rPr/>
            </w:pPr>
            <w:r>
              <w:rPr/>
              <w:t>​</w:t>
            </w:r>
          </w:p>
        </w:tc>
        <w:tc>
          <w:tcPr>
            <w:tcW w:w="691" w:type="dxa"/>
            <w:tcBorders>
              <w:bottom w:val="single" w:sz="4" w:space="0" w:color="000000"/>
            </w:tcBorders>
            <w:tcMar>
              <w:bottom w:w="78" w:type="dxa"/>
            </w:tcMar>
            <w:vAlign w:val="center"/>
          </w:tcPr>
          <w:p>
            <w:pPr>
              <w:pStyle w:val="TableContents"/>
              <w:bidi w:val="0"/>
              <w:spacing w:before="0" w:after="0"/>
              <w:jc w:val="right"/>
              <w:rPr>
                <w:sz w:val="16"/>
              </w:rPr>
            </w:pPr>
            <w:r>
              <w:rPr>
                <w:sz w:val="16"/>
              </w:rPr>
              <w:t>312,500</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8" w:type="dxa"/>
            </w:tcMar>
            <w:vAlign w:val="center"/>
          </w:tcPr>
          <w:p>
            <w:pPr>
              <w:pStyle w:val="TableContents"/>
              <w:bidi w:val="0"/>
              <w:spacing w:before="0" w:after="0"/>
              <w:jc w:val="right"/>
              <w:rPr/>
            </w:pPr>
            <w:r>
              <w:rPr/>
              <w:t>​</w:t>
            </w:r>
          </w:p>
        </w:tc>
        <w:tc>
          <w:tcPr>
            <w:tcW w:w="691" w:type="dxa"/>
            <w:tcBorders>
              <w:bottom w:val="single" w:sz="4" w:space="0" w:color="000000"/>
            </w:tcBorders>
            <w:tcMar>
              <w:bottom w:w="78" w:type="dxa"/>
            </w:tcMar>
            <w:vAlign w:val="center"/>
          </w:tcPr>
          <w:p>
            <w:pPr>
              <w:pStyle w:val="TableContents"/>
              <w:bidi w:val="0"/>
              <w:spacing w:before="0" w:after="0"/>
              <w:jc w:val="right"/>
              <w:rPr>
                <w:sz w:val="16"/>
              </w:rPr>
            </w:pPr>
            <w:r>
              <w:rPr>
                <w:sz w:val="16"/>
              </w:rPr>
              <w:t>625,000</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8" w:type="dxa"/>
            </w:tcMar>
            <w:vAlign w:val="center"/>
          </w:tcPr>
          <w:p>
            <w:pPr>
              <w:pStyle w:val="TableContents"/>
              <w:bidi w:val="0"/>
              <w:spacing w:before="0" w:after="0"/>
              <w:jc w:val="right"/>
              <w:rPr/>
            </w:pPr>
            <w:r>
              <w:rPr/>
              <w:t>​</w:t>
            </w:r>
          </w:p>
        </w:tc>
        <w:tc>
          <w:tcPr>
            <w:tcW w:w="691" w:type="dxa"/>
            <w:tcBorders>
              <w:bottom w:val="single" w:sz="4" w:space="0" w:color="000000"/>
            </w:tcBorders>
            <w:tcMar>
              <w:bottom w:w="78" w:type="dxa"/>
            </w:tcMar>
            <w:vAlign w:val="center"/>
          </w:tcPr>
          <w:p>
            <w:pPr>
              <w:pStyle w:val="TableContents"/>
              <w:bidi w:val="0"/>
              <w:spacing w:before="0" w:after="0"/>
              <w:jc w:val="right"/>
              <w:rPr>
                <w:sz w:val="16"/>
              </w:rPr>
            </w:pPr>
            <w:r>
              <w:rPr>
                <w:sz w:val="16"/>
              </w:rPr>
              <w:t>937,500</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8" w:type="dxa"/>
            </w:tcMar>
            <w:vAlign w:val="center"/>
          </w:tcPr>
          <w:p>
            <w:pPr>
              <w:pStyle w:val="TableContents"/>
              <w:bidi w:val="0"/>
              <w:spacing w:before="0" w:after="0"/>
              <w:jc w:val="right"/>
              <w:rPr/>
            </w:pPr>
            <w:r>
              <w:rPr/>
              <w:t>​</w:t>
            </w:r>
          </w:p>
        </w:tc>
        <w:tc>
          <w:tcPr>
            <w:tcW w:w="691" w:type="dxa"/>
            <w:tcBorders>
              <w:bottom w:val="single" w:sz="4" w:space="0" w:color="000000"/>
            </w:tcBorders>
            <w:tcMar>
              <w:bottom w:w="78" w:type="dxa"/>
            </w:tcMar>
            <w:vAlign w:val="center"/>
          </w:tcPr>
          <w:p>
            <w:pPr>
              <w:pStyle w:val="TableContents"/>
              <w:bidi w:val="0"/>
              <w:spacing w:before="0" w:after="0"/>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8" w:type="dxa"/>
            </w:tcMar>
            <w:vAlign w:val="center"/>
          </w:tcPr>
          <w:p>
            <w:pPr>
              <w:pStyle w:val="TableContents"/>
              <w:bidi w:val="0"/>
              <w:spacing w:before="0" w:after="0"/>
              <w:jc w:val="right"/>
              <w:rPr/>
            </w:pPr>
            <w:r>
              <w:rPr/>
              <w:t>​</w:t>
            </w:r>
          </w:p>
        </w:tc>
        <w:tc>
          <w:tcPr>
            <w:tcW w:w="691" w:type="dxa"/>
            <w:tcBorders>
              <w:bottom w:val="single" w:sz="4" w:space="0" w:color="000000"/>
            </w:tcBorders>
            <w:tcMar>
              <w:bottom w:w="78" w:type="dxa"/>
            </w:tcMar>
            <w:vAlign w:val="center"/>
          </w:tcPr>
          <w:p>
            <w:pPr>
              <w:pStyle w:val="TableContents"/>
              <w:bidi w:val="0"/>
              <w:spacing w:before="0" w:after="0"/>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8" w:type="dxa"/>
            </w:tcMar>
            <w:vAlign w:val="center"/>
          </w:tcPr>
          <w:p>
            <w:pPr>
              <w:pStyle w:val="TableContents"/>
              <w:bidi w:val="0"/>
              <w:spacing w:before="0" w:after="0"/>
              <w:jc w:val="right"/>
              <w:rPr/>
            </w:pPr>
            <w:r>
              <w:rPr/>
              <w:t>​</w:t>
            </w:r>
          </w:p>
        </w:tc>
        <w:tc>
          <w:tcPr>
            <w:tcW w:w="826" w:type="dxa"/>
            <w:tcBorders>
              <w:bottom w:val="single" w:sz="4" w:space="0" w:color="000000"/>
            </w:tcBorders>
            <w:tcMar>
              <w:bottom w:w="78" w:type="dxa"/>
            </w:tcMar>
            <w:vAlign w:val="center"/>
          </w:tcPr>
          <w:p>
            <w:pPr>
              <w:pStyle w:val="TableContents"/>
              <w:bidi w:val="0"/>
              <w:spacing w:before="0" w:after="0"/>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8" w:type="dxa"/>
            </w:tcMar>
            <w:vAlign w:val="center"/>
          </w:tcPr>
          <w:p>
            <w:pPr>
              <w:pStyle w:val="TableContents"/>
              <w:bidi w:val="0"/>
              <w:spacing w:before="0" w:after="0"/>
              <w:jc w:val="right"/>
              <w:rPr/>
            </w:pPr>
            <w:r>
              <w:rPr/>
              <w:t>​</w:t>
            </w:r>
          </w:p>
        </w:tc>
        <w:tc>
          <w:tcPr>
            <w:tcW w:w="691" w:type="dxa"/>
            <w:tcBorders>
              <w:bottom w:val="single" w:sz="4" w:space="0" w:color="000000"/>
            </w:tcBorders>
            <w:tcMar>
              <w:bottom w:w="78" w:type="dxa"/>
            </w:tcMar>
            <w:vAlign w:val="center"/>
          </w:tcPr>
          <w:p>
            <w:pPr>
              <w:pStyle w:val="TableContents"/>
              <w:bidi w:val="0"/>
              <w:spacing w:before="0" w:after="0"/>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78" w:type="dxa"/>
            </w:tcMar>
            <w:vAlign w:val="center"/>
          </w:tcPr>
          <w:p>
            <w:pPr>
              <w:pStyle w:val="TableContents"/>
              <w:bidi w:val="0"/>
              <w:spacing w:before="0" w:after="0"/>
              <w:jc w:val="right"/>
              <w:rPr/>
            </w:pPr>
            <w:r>
              <w:rPr/>
              <w:t>​</w:t>
            </w:r>
          </w:p>
        </w:tc>
        <w:tc>
          <w:tcPr>
            <w:tcW w:w="826" w:type="dxa"/>
            <w:tcBorders>
              <w:bottom w:val="single" w:sz="4" w:space="0" w:color="000000"/>
            </w:tcBorders>
            <w:tcMar>
              <w:bottom w:w="78" w:type="dxa"/>
            </w:tcMar>
            <w:vAlign w:val="center"/>
          </w:tcPr>
          <w:p>
            <w:pPr>
              <w:pStyle w:val="TableContents"/>
              <w:bidi w:val="0"/>
              <w:spacing w:before="0" w:after="0"/>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54" w:type="dxa"/>
            <w:tcBorders>
              <w:bottom w:val="single" w:sz="4" w:space="0" w:color="000000"/>
            </w:tcBorders>
            <w:vAlign w:val="center"/>
          </w:tcPr>
          <w:p>
            <w:pPr>
              <w:pStyle w:val="TableContents"/>
              <w:bidi w:val="0"/>
              <w:spacing w:before="0" w:after="283"/>
              <w:jc w:val="left"/>
              <w:rPr/>
            </w:pPr>
            <w:r>
              <w:rPr/>
              <w:t>​</w:t>
            </w:r>
          </w:p>
        </w:tc>
      </w:tr>
      <w:tr>
        <w:trPr/>
        <w:tc>
          <w:tcPr>
            <w:tcW w:w="124" w:type="dxa"/>
            <w:tcBorders/>
            <w:shd w:fill="F7F7F7" w:val="clear"/>
            <w:tcMar>
              <w:bottom w:w="0" w:type="dxa"/>
            </w:tcMar>
            <w:vAlign w:val="center"/>
          </w:tcPr>
          <w:p>
            <w:pPr>
              <w:pStyle w:val="TableContents"/>
              <w:bidi w:val="0"/>
              <w:spacing w:before="0" w:after="283"/>
              <w:jc w:val="left"/>
              <w:rPr/>
            </w:pPr>
            <w:r>
              <w:rPr/>
              <w:t>​</w:t>
            </w:r>
          </w:p>
        </w:tc>
        <w:tc>
          <w:tcPr>
            <w:tcW w:w="901" w:type="dxa"/>
            <w:tcBorders/>
            <w:shd w:fill="F7F7F7" w:val="clear"/>
            <w:tcMar>
              <w:bottom w:w="0" w:type="dxa"/>
            </w:tcMar>
            <w:vAlign w:val="center"/>
          </w:tcPr>
          <w:p>
            <w:pPr>
              <w:pStyle w:val="TableContents"/>
              <w:bidi w:val="0"/>
              <w:spacing w:before="0" w:after="0"/>
              <w:jc w:val="left"/>
              <w:rPr>
                <w:sz w:val="16"/>
              </w:rPr>
            </w:pPr>
            <w:r>
              <w:rPr>
                <w:sz w:val="16"/>
              </w:rPr>
              <w:t>Gagan Dhingra</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46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691"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691"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691"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691"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691"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82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691"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82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54" w:type="dxa"/>
            <w:tcBorders/>
            <w:shd w:fill="F7F7F7" w:val="clear"/>
            <w:tcMar>
              <w:bottom w:w="0" w:type="dxa"/>
            </w:tcMar>
            <w:vAlign w:val="center"/>
          </w:tcPr>
          <w:p>
            <w:pPr>
              <w:pStyle w:val="TableContents"/>
              <w:bidi w:val="0"/>
              <w:spacing w:before="0" w:after="283"/>
              <w:jc w:val="left"/>
              <w:rPr/>
            </w:pPr>
            <w:r>
              <w:rPr/>
              <w:t>​</w:t>
            </w:r>
          </w:p>
        </w:tc>
      </w:tr>
      <w:tr>
        <w:trPr/>
        <w:tc>
          <w:tcPr>
            <w:tcW w:w="124" w:type="dxa"/>
            <w:tcBorders/>
            <w:shd w:fill="F7F7F7" w:val="clear"/>
            <w:tcMar>
              <w:bottom w:w="0" w:type="dxa"/>
            </w:tcMar>
            <w:vAlign w:val="center"/>
          </w:tcPr>
          <w:p>
            <w:pPr>
              <w:pStyle w:val="TableContents"/>
              <w:bidi w:val="0"/>
              <w:spacing w:before="0" w:after="283"/>
              <w:jc w:val="left"/>
              <w:rPr/>
            </w:pPr>
            <w:r>
              <w:rPr/>
              <w:t>​</w:t>
            </w:r>
          </w:p>
        </w:tc>
        <w:tc>
          <w:tcPr>
            <w:tcW w:w="901" w:type="dxa"/>
            <w:tcBorders/>
            <w:shd w:fill="F7F7F7" w:val="clear"/>
            <w:tcMar>
              <w:bottom w:w="0" w:type="dxa"/>
            </w:tcMar>
            <w:vAlign w:val="center"/>
          </w:tcPr>
          <w:p>
            <w:pPr>
              <w:pStyle w:val="TableContents"/>
              <w:bidi w:val="0"/>
              <w:spacing w:before="0" w:after="0"/>
              <w:jc w:val="left"/>
              <w:rPr>
                <w:sz w:val="16"/>
              </w:rPr>
            </w:pPr>
            <w:r>
              <w:rPr>
                <w:sz w:val="16"/>
              </w:rPr>
              <w:t xml:space="preserve">2023 Annual Cash </w:t>
              <w:br/>
              <w:t xml:space="preserve">Incentive </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466"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sz w:val="16"/>
              </w:rPr>
            </w:pPr>
            <w:r>
              <w:rPr>
                <w:sz w:val="16"/>
              </w:rPr>
              <w:t>95,500</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sz w:val="16"/>
              </w:rPr>
            </w:pPr>
            <w:r>
              <w:rPr>
                <w:sz w:val="16"/>
              </w:rPr>
              <w:t>191,000</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sz w:val="16"/>
              </w:rPr>
            </w:pPr>
            <w:r>
              <w:rPr>
                <w:sz w:val="16"/>
              </w:rPr>
              <w:t>286,500</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826"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826"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54" w:type="dxa"/>
            <w:tcBorders/>
            <w:shd w:fill="F7F7F7" w:val="clear"/>
            <w:tcMar>
              <w:bottom w:w="0" w:type="dxa"/>
            </w:tcMar>
            <w:vAlign w:val="center"/>
          </w:tcPr>
          <w:p>
            <w:pPr>
              <w:pStyle w:val="TableContents"/>
              <w:bidi w:val="0"/>
              <w:spacing w:before="0" w:after="283"/>
              <w:jc w:val="left"/>
              <w:rPr/>
            </w:pPr>
            <w:r>
              <w:rPr/>
              <w:t>​</w:t>
            </w:r>
          </w:p>
        </w:tc>
      </w:tr>
      <w:tr>
        <w:trPr/>
        <w:tc>
          <w:tcPr>
            <w:tcW w:w="124" w:type="dxa"/>
            <w:tcBorders/>
            <w:shd w:fill="F7F7F7" w:val="clear"/>
            <w:tcMar>
              <w:bottom w:w="0" w:type="dxa"/>
            </w:tcMar>
            <w:vAlign w:val="center"/>
          </w:tcPr>
          <w:p>
            <w:pPr>
              <w:pStyle w:val="TableContents"/>
              <w:bidi w:val="0"/>
              <w:spacing w:before="0" w:after="283"/>
              <w:jc w:val="left"/>
              <w:rPr/>
            </w:pPr>
            <w:r>
              <w:rPr/>
              <w:t>​</w:t>
            </w:r>
          </w:p>
        </w:tc>
        <w:tc>
          <w:tcPr>
            <w:tcW w:w="901" w:type="dxa"/>
            <w:tcBorders/>
            <w:shd w:fill="F7F7F7" w:val="clear"/>
            <w:tcMar>
              <w:bottom w:w="0" w:type="dxa"/>
            </w:tcMar>
            <w:vAlign w:val="center"/>
          </w:tcPr>
          <w:p>
            <w:pPr>
              <w:pStyle w:val="TableContents"/>
              <w:bidi w:val="0"/>
              <w:spacing w:before="0" w:after="0"/>
              <w:jc w:val="left"/>
              <w:rPr>
                <w:sz w:val="16"/>
              </w:rPr>
            </w:pPr>
            <w:r>
              <w:rPr>
                <w:sz w:val="16"/>
              </w:rPr>
              <w:t xml:space="preserve">RSU </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466" w:type="dxa"/>
            <w:tcBorders/>
            <w:shd w:fill="F7F7F7" w:val="clear"/>
            <w:tcMar>
              <w:bottom w:w="0" w:type="dxa"/>
            </w:tcMar>
            <w:vAlign w:val="center"/>
          </w:tcPr>
          <w:p>
            <w:pPr>
              <w:pStyle w:val="TableContents"/>
              <w:bidi w:val="0"/>
              <w:spacing w:before="0" w:after="0"/>
              <w:jc w:val="right"/>
              <w:rPr>
                <w:sz w:val="16"/>
              </w:rPr>
            </w:pPr>
            <w:r>
              <w:rPr>
                <w:sz w:val="16"/>
              </w:rPr>
              <w:t>09/10/2023</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826"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sz w:val="16"/>
              </w:rPr>
            </w:pPr>
            <w:r>
              <w:rPr>
                <w:sz w:val="16"/>
              </w:rPr>
              <w:t>113,517</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826" w:type="dxa"/>
            <w:tcBorders/>
            <w:shd w:fill="F7F7F7" w:val="clear"/>
            <w:tcMar>
              <w:bottom w:w="0" w:type="dxa"/>
            </w:tcMar>
            <w:vAlign w:val="center"/>
          </w:tcPr>
          <w:p>
            <w:pPr>
              <w:pStyle w:val="TableContents"/>
              <w:bidi w:val="0"/>
              <w:spacing w:before="0" w:after="0"/>
              <w:jc w:val="right"/>
              <w:rPr>
                <w:sz w:val="16"/>
              </w:rPr>
            </w:pPr>
            <w:r>
              <w:rPr>
                <w:sz w:val="16"/>
              </w:rPr>
              <w:t>662,939</w:t>
            </w:r>
          </w:p>
        </w:tc>
        <w:tc>
          <w:tcPr>
            <w:tcW w:w="109" w:type="dxa"/>
            <w:tcBorders/>
            <w:shd w:fill="F7F7F7" w:val="clear"/>
            <w:tcMar>
              <w:bottom w:w="0" w:type="dxa"/>
            </w:tcMar>
            <w:vAlign w:val="center"/>
          </w:tcPr>
          <w:p>
            <w:pPr>
              <w:pStyle w:val="TableContents"/>
              <w:bidi w:val="0"/>
              <w:spacing w:before="0" w:after="283"/>
              <w:jc w:val="left"/>
              <w:rPr/>
            </w:pPr>
            <w:r>
              <w:rPr/>
              <w:t>​</w:t>
            </w:r>
          </w:p>
        </w:tc>
        <w:tc>
          <w:tcPr>
            <w:tcW w:w="154" w:type="dxa"/>
            <w:tcBorders/>
            <w:shd w:fill="F7F7F7" w:val="clear"/>
            <w:tcMar>
              <w:bottom w:w="0" w:type="dxa"/>
            </w:tcMar>
            <w:vAlign w:val="center"/>
          </w:tcPr>
          <w:p>
            <w:pPr>
              <w:pStyle w:val="TableContents"/>
              <w:bidi w:val="0"/>
              <w:spacing w:before="0" w:after="283"/>
              <w:jc w:val="left"/>
              <w:rPr/>
            </w:pPr>
            <w:r>
              <w:rPr/>
              <w:t>​</w:t>
            </w:r>
          </w:p>
        </w:tc>
      </w:tr>
      <w:tr>
        <w:trPr/>
        <w:tc>
          <w:tcPr>
            <w:tcW w:w="124" w:type="dxa"/>
            <w:tcBorders/>
            <w:shd w:fill="F7F7F7" w:val="clear"/>
            <w:tcMar>
              <w:bottom w:w="0" w:type="dxa"/>
            </w:tcMar>
            <w:vAlign w:val="center"/>
          </w:tcPr>
          <w:p>
            <w:pPr>
              <w:pStyle w:val="TableContents"/>
              <w:bidi w:val="0"/>
              <w:spacing w:before="0" w:after="283"/>
              <w:jc w:val="left"/>
              <w:rPr/>
            </w:pPr>
            <w:r>
              <w:rPr/>
              <w:t>​</w:t>
            </w:r>
          </w:p>
        </w:tc>
        <w:tc>
          <w:tcPr>
            <w:tcW w:w="901" w:type="dxa"/>
            <w:tcBorders/>
            <w:shd w:fill="F7F7F7" w:val="clear"/>
            <w:tcMar>
              <w:bottom w:w="0" w:type="dxa"/>
            </w:tcMar>
            <w:vAlign w:val="center"/>
          </w:tcPr>
          <w:p>
            <w:pPr>
              <w:pStyle w:val="TableContents"/>
              <w:bidi w:val="0"/>
              <w:spacing w:before="0" w:after="0"/>
              <w:jc w:val="left"/>
              <w:rPr>
                <w:sz w:val="16"/>
              </w:rPr>
            </w:pPr>
            <w:r>
              <w:rPr>
                <w:sz w:val="16"/>
              </w:rPr>
              <w:t xml:space="preserve">RSU </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466" w:type="dxa"/>
            <w:tcBorders/>
            <w:shd w:fill="F7F7F7" w:val="clear"/>
            <w:tcMar>
              <w:bottom w:w="0" w:type="dxa"/>
            </w:tcMar>
            <w:vAlign w:val="center"/>
          </w:tcPr>
          <w:p>
            <w:pPr>
              <w:pStyle w:val="TableContents"/>
              <w:bidi w:val="0"/>
              <w:spacing w:before="0" w:after="0"/>
              <w:jc w:val="right"/>
              <w:rPr>
                <w:sz w:val="16"/>
              </w:rPr>
            </w:pPr>
            <w:r>
              <w:rPr>
                <w:sz w:val="16"/>
              </w:rPr>
              <w:t>12/11/2023</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826"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sz w:val="16"/>
              </w:rPr>
            </w:pPr>
            <w:r>
              <w:rPr>
                <w:sz w:val="16"/>
              </w:rPr>
              <w:t>117,365</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826" w:type="dxa"/>
            <w:tcBorders/>
            <w:shd w:fill="F7F7F7" w:val="clear"/>
            <w:tcMar>
              <w:bottom w:w="0" w:type="dxa"/>
            </w:tcMar>
            <w:vAlign w:val="center"/>
          </w:tcPr>
          <w:p>
            <w:pPr>
              <w:pStyle w:val="TableContents"/>
              <w:bidi w:val="0"/>
              <w:spacing w:before="0" w:after="0"/>
              <w:jc w:val="right"/>
              <w:rPr>
                <w:sz w:val="16"/>
              </w:rPr>
            </w:pPr>
            <w:r>
              <w:rPr>
                <w:sz w:val="16"/>
              </w:rPr>
              <w:t>541,052</w:t>
            </w:r>
          </w:p>
        </w:tc>
        <w:tc>
          <w:tcPr>
            <w:tcW w:w="109" w:type="dxa"/>
            <w:tcBorders/>
            <w:shd w:fill="F7F7F7" w:val="clear"/>
            <w:tcMar>
              <w:bottom w:w="0" w:type="dxa"/>
            </w:tcMar>
            <w:vAlign w:val="center"/>
          </w:tcPr>
          <w:p>
            <w:pPr>
              <w:pStyle w:val="TableContents"/>
              <w:bidi w:val="0"/>
              <w:spacing w:before="0" w:after="283"/>
              <w:jc w:val="left"/>
              <w:rPr/>
            </w:pPr>
            <w:r>
              <w:rPr/>
              <w:t>​</w:t>
            </w:r>
          </w:p>
        </w:tc>
        <w:tc>
          <w:tcPr>
            <w:tcW w:w="154" w:type="dxa"/>
            <w:tcBorders/>
            <w:shd w:fill="F7F7F7" w:val="clear"/>
            <w:tcMar>
              <w:bottom w:w="0" w:type="dxa"/>
            </w:tcMar>
            <w:vAlign w:val="center"/>
          </w:tcPr>
          <w:p>
            <w:pPr>
              <w:pStyle w:val="TableContents"/>
              <w:bidi w:val="0"/>
              <w:spacing w:before="0" w:after="283"/>
              <w:jc w:val="left"/>
              <w:rPr/>
            </w:pPr>
            <w:r>
              <w:rPr/>
              <w:t>​</w:t>
            </w:r>
          </w:p>
        </w:tc>
      </w:tr>
      <w:tr>
        <w:trPr/>
        <w:tc>
          <w:tcPr>
            <w:tcW w:w="124" w:type="dxa"/>
            <w:tcBorders/>
            <w:shd w:fill="F7F7F7" w:val="clear"/>
            <w:tcMar>
              <w:bottom w:w="0" w:type="dxa"/>
            </w:tcMar>
            <w:vAlign w:val="center"/>
          </w:tcPr>
          <w:p>
            <w:pPr>
              <w:pStyle w:val="TableContents"/>
              <w:bidi w:val="0"/>
              <w:spacing w:before="0" w:after="283"/>
              <w:jc w:val="left"/>
              <w:rPr/>
            </w:pPr>
            <w:r>
              <w:rPr/>
              <w:t>​</w:t>
            </w:r>
          </w:p>
        </w:tc>
        <w:tc>
          <w:tcPr>
            <w:tcW w:w="901" w:type="dxa"/>
            <w:tcBorders/>
            <w:shd w:fill="F7F7F7" w:val="clear"/>
            <w:tcMar>
              <w:bottom w:w="0" w:type="dxa"/>
            </w:tcMar>
            <w:vAlign w:val="center"/>
          </w:tcPr>
          <w:p>
            <w:pPr>
              <w:pStyle w:val="TableContents"/>
              <w:bidi w:val="0"/>
              <w:spacing w:before="0" w:after="0"/>
              <w:jc w:val="left"/>
              <w:rPr>
                <w:sz w:val="16"/>
              </w:rPr>
            </w:pPr>
            <w:r>
              <w:rPr>
                <w:sz w:val="16"/>
              </w:rPr>
              <w:t xml:space="preserve">PSU </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466" w:type="dxa"/>
            <w:tcBorders/>
            <w:shd w:fill="F7F7F7" w:val="clear"/>
            <w:tcMar>
              <w:bottom w:w="0" w:type="dxa"/>
            </w:tcMar>
            <w:vAlign w:val="center"/>
          </w:tcPr>
          <w:p>
            <w:pPr>
              <w:pStyle w:val="TableContents"/>
              <w:bidi w:val="0"/>
              <w:spacing w:before="0" w:after="0"/>
              <w:jc w:val="right"/>
              <w:rPr>
                <w:sz w:val="16"/>
              </w:rPr>
            </w:pPr>
            <w:r>
              <w:rPr>
                <w:sz w:val="16"/>
              </w:rPr>
              <w:t>09/10/2023</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sz w:val="16"/>
              </w:rPr>
            </w:pPr>
            <w:r>
              <w:rPr>
                <w:sz w:val="16"/>
              </w:rPr>
              <w:t>113,518</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sz w:val="16"/>
              </w:rPr>
            </w:pPr>
            <w:r>
              <w:rPr>
                <w:sz w:val="16"/>
              </w:rPr>
              <w:t>227,035</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826" w:type="dxa"/>
            <w:tcBorders/>
            <w:shd w:fill="F7F7F7" w:val="clear"/>
            <w:tcMar>
              <w:bottom w:w="0" w:type="dxa"/>
            </w:tcMar>
            <w:vAlign w:val="center"/>
          </w:tcPr>
          <w:p>
            <w:pPr>
              <w:pStyle w:val="TableContents"/>
              <w:bidi w:val="0"/>
              <w:spacing w:before="0" w:after="0"/>
              <w:jc w:val="right"/>
              <w:rPr>
                <w:sz w:val="16"/>
              </w:rPr>
            </w:pPr>
            <w:r>
              <w:rPr>
                <w:sz w:val="16"/>
              </w:rPr>
              <w:t>340,553</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826" w:type="dxa"/>
            <w:tcBorders/>
            <w:shd w:fill="F7F7F7" w:val="clear"/>
            <w:tcMar>
              <w:bottom w:w="0" w:type="dxa"/>
            </w:tcMar>
            <w:vAlign w:val="center"/>
          </w:tcPr>
          <w:p>
            <w:pPr>
              <w:pStyle w:val="TableContents"/>
              <w:bidi w:val="0"/>
              <w:spacing w:before="0" w:after="0"/>
              <w:jc w:val="right"/>
              <w:rPr>
                <w:sz w:val="16"/>
              </w:rPr>
            </w:pPr>
            <w:r>
              <w:rPr>
                <w:sz w:val="16"/>
              </w:rPr>
              <w:t>1,325,884</w:t>
            </w:r>
          </w:p>
        </w:tc>
        <w:tc>
          <w:tcPr>
            <w:tcW w:w="109" w:type="dxa"/>
            <w:tcBorders/>
            <w:shd w:fill="F7F7F7" w:val="clear"/>
            <w:tcMar>
              <w:bottom w:w="0" w:type="dxa"/>
            </w:tcMar>
            <w:vAlign w:val="center"/>
          </w:tcPr>
          <w:p>
            <w:pPr>
              <w:pStyle w:val="TableContents"/>
              <w:bidi w:val="0"/>
              <w:spacing w:before="0" w:after="283"/>
              <w:jc w:val="left"/>
              <w:rPr/>
            </w:pPr>
            <w:r>
              <w:rPr/>
              <w:t>​</w:t>
            </w:r>
          </w:p>
        </w:tc>
        <w:tc>
          <w:tcPr>
            <w:tcW w:w="154" w:type="dxa"/>
            <w:tcBorders/>
            <w:shd w:fill="F7F7F7"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000000"/>
            </w:tcBorders>
            <w:shd w:fill="F7F7F7" w:val="clear"/>
            <w:vAlign w:val="center"/>
          </w:tcPr>
          <w:p>
            <w:pPr>
              <w:pStyle w:val="TableContents"/>
              <w:bidi w:val="0"/>
              <w:spacing w:before="0" w:after="283"/>
              <w:jc w:val="left"/>
              <w:rPr/>
            </w:pPr>
            <w:r>
              <w:rPr/>
              <w:t>​</w:t>
            </w:r>
          </w:p>
        </w:tc>
        <w:tc>
          <w:tcPr>
            <w:tcW w:w="901" w:type="dxa"/>
            <w:tcBorders>
              <w:bottom w:val="single" w:sz="2" w:space="0" w:color="000000"/>
            </w:tcBorders>
            <w:shd w:fill="F7F7F7" w:val="clear"/>
            <w:tcMar>
              <w:bottom w:w="85" w:type="dxa"/>
            </w:tcMar>
            <w:vAlign w:val="center"/>
          </w:tcPr>
          <w:p>
            <w:pPr>
              <w:pStyle w:val="TableContents"/>
              <w:bidi w:val="0"/>
              <w:spacing w:before="0" w:after="0"/>
              <w:jc w:val="left"/>
              <w:rPr>
                <w:sz w:val="16"/>
              </w:rPr>
            </w:pPr>
            <w:r>
              <w:rPr>
                <w:sz w:val="16"/>
              </w:rPr>
              <w:t xml:space="preserve">Stock Options </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tcMar>
              <w:bottom w:w="85" w:type="dxa"/>
            </w:tcMar>
            <w:vAlign w:val="center"/>
          </w:tcPr>
          <w:p>
            <w:pPr>
              <w:pStyle w:val="TableContents"/>
              <w:bidi w:val="0"/>
              <w:spacing w:before="0" w:after="0"/>
              <w:jc w:val="right"/>
              <w:rPr/>
            </w:pPr>
            <w:r>
              <w:rPr/>
              <w:t>​</w:t>
            </w:r>
          </w:p>
        </w:tc>
        <w:tc>
          <w:tcPr>
            <w:tcW w:w="466" w:type="dxa"/>
            <w:tcBorders>
              <w:bottom w:val="single" w:sz="2" w:space="0" w:color="000000"/>
            </w:tcBorders>
            <w:shd w:fill="F7F7F7" w:val="clear"/>
            <w:tcMar>
              <w:bottom w:w="85" w:type="dxa"/>
            </w:tcMar>
            <w:vAlign w:val="center"/>
          </w:tcPr>
          <w:p>
            <w:pPr>
              <w:pStyle w:val="TableContents"/>
              <w:bidi w:val="0"/>
              <w:spacing w:before="0" w:after="0"/>
              <w:jc w:val="right"/>
              <w:rPr>
                <w:sz w:val="16"/>
              </w:rPr>
            </w:pPr>
            <w:r>
              <w:rPr>
                <w:sz w:val="16"/>
              </w:rPr>
              <w:t>09/10/2023</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tcMar>
              <w:bottom w:w="85" w:type="dxa"/>
            </w:tcMar>
            <w:vAlign w:val="center"/>
          </w:tcPr>
          <w:p>
            <w:pPr>
              <w:pStyle w:val="TableContents"/>
              <w:bidi w:val="0"/>
              <w:spacing w:before="0" w:after="0"/>
              <w:jc w:val="right"/>
              <w:rPr/>
            </w:pPr>
            <w:r>
              <w:rPr/>
              <w:t>​</w:t>
            </w:r>
          </w:p>
        </w:tc>
        <w:tc>
          <w:tcPr>
            <w:tcW w:w="691" w:type="dxa"/>
            <w:tcBorders>
              <w:bottom w:val="single" w:sz="2" w:space="0" w:color="000000"/>
            </w:tcBorders>
            <w:shd w:fill="F7F7F7" w:val="clear"/>
            <w:tcMar>
              <w:bottom w:w="85" w:type="dxa"/>
            </w:tcMar>
            <w:vAlign w:val="center"/>
          </w:tcPr>
          <w:p>
            <w:pPr>
              <w:pStyle w:val="TableContents"/>
              <w:bidi w:val="0"/>
              <w:spacing w:before="0" w:after="0"/>
              <w:jc w:val="righ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tcMar>
              <w:bottom w:w="85" w:type="dxa"/>
            </w:tcMar>
            <w:vAlign w:val="center"/>
          </w:tcPr>
          <w:p>
            <w:pPr>
              <w:pStyle w:val="TableContents"/>
              <w:bidi w:val="0"/>
              <w:spacing w:before="0" w:after="0"/>
              <w:jc w:val="right"/>
              <w:rPr/>
            </w:pPr>
            <w:r>
              <w:rPr/>
              <w:t>​</w:t>
            </w:r>
          </w:p>
        </w:tc>
        <w:tc>
          <w:tcPr>
            <w:tcW w:w="691" w:type="dxa"/>
            <w:tcBorders>
              <w:bottom w:val="single" w:sz="2" w:space="0" w:color="000000"/>
            </w:tcBorders>
            <w:shd w:fill="F7F7F7" w:val="clear"/>
            <w:tcMar>
              <w:bottom w:w="85" w:type="dxa"/>
            </w:tcMar>
            <w:vAlign w:val="center"/>
          </w:tcPr>
          <w:p>
            <w:pPr>
              <w:pStyle w:val="TableContents"/>
              <w:bidi w:val="0"/>
              <w:spacing w:before="0" w:after="0"/>
              <w:jc w:val="righ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tcMar>
              <w:bottom w:w="85" w:type="dxa"/>
            </w:tcMar>
            <w:vAlign w:val="center"/>
          </w:tcPr>
          <w:p>
            <w:pPr>
              <w:pStyle w:val="TableContents"/>
              <w:bidi w:val="0"/>
              <w:spacing w:before="0" w:after="0"/>
              <w:jc w:val="right"/>
              <w:rPr/>
            </w:pPr>
            <w:r>
              <w:rPr/>
              <w:t>​</w:t>
            </w:r>
          </w:p>
        </w:tc>
        <w:tc>
          <w:tcPr>
            <w:tcW w:w="691" w:type="dxa"/>
            <w:tcBorders>
              <w:bottom w:val="single" w:sz="2" w:space="0" w:color="000000"/>
            </w:tcBorders>
            <w:shd w:fill="F7F7F7" w:val="clear"/>
            <w:tcMar>
              <w:bottom w:w="85" w:type="dxa"/>
            </w:tcMar>
            <w:vAlign w:val="center"/>
          </w:tcPr>
          <w:p>
            <w:pPr>
              <w:pStyle w:val="TableContents"/>
              <w:bidi w:val="0"/>
              <w:spacing w:before="0" w:after="0"/>
              <w:jc w:val="righ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tcMar>
              <w:bottom w:w="85" w:type="dxa"/>
            </w:tcMar>
            <w:vAlign w:val="center"/>
          </w:tcPr>
          <w:p>
            <w:pPr>
              <w:pStyle w:val="TableContents"/>
              <w:bidi w:val="0"/>
              <w:spacing w:before="0" w:after="0"/>
              <w:jc w:val="right"/>
              <w:rPr/>
            </w:pPr>
            <w:r>
              <w:rPr/>
              <w:t>​</w:t>
            </w:r>
          </w:p>
        </w:tc>
        <w:tc>
          <w:tcPr>
            <w:tcW w:w="691" w:type="dxa"/>
            <w:tcBorders>
              <w:bottom w:val="single" w:sz="2" w:space="0" w:color="000000"/>
            </w:tcBorders>
            <w:shd w:fill="F7F7F7" w:val="clear"/>
            <w:tcMar>
              <w:bottom w:w="85" w:type="dxa"/>
            </w:tcMar>
            <w:vAlign w:val="center"/>
          </w:tcPr>
          <w:p>
            <w:pPr>
              <w:pStyle w:val="TableContents"/>
              <w:bidi w:val="0"/>
              <w:spacing w:before="0" w:after="0"/>
              <w:jc w:val="righ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tcMar>
              <w:bottom w:w="85" w:type="dxa"/>
            </w:tcMar>
            <w:vAlign w:val="center"/>
          </w:tcPr>
          <w:p>
            <w:pPr>
              <w:pStyle w:val="TableContents"/>
              <w:bidi w:val="0"/>
              <w:spacing w:before="0" w:after="0"/>
              <w:jc w:val="right"/>
              <w:rPr/>
            </w:pPr>
            <w:r>
              <w:rPr/>
              <w:t>​</w:t>
            </w:r>
          </w:p>
        </w:tc>
        <w:tc>
          <w:tcPr>
            <w:tcW w:w="691" w:type="dxa"/>
            <w:tcBorders>
              <w:bottom w:val="single" w:sz="2" w:space="0" w:color="000000"/>
            </w:tcBorders>
            <w:shd w:fill="F7F7F7" w:val="clear"/>
            <w:tcMar>
              <w:bottom w:w="85" w:type="dxa"/>
            </w:tcMar>
            <w:vAlign w:val="center"/>
          </w:tcPr>
          <w:p>
            <w:pPr>
              <w:pStyle w:val="TableContents"/>
              <w:bidi w:val="0"/>
              <w:spacing w:before="0" w:after="0"/>
              <w:jc w:val="righ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tcMar>
              <w:bottom w:w="85" w:type="dxa"/>
            </w:tcMar>
            <w:vAlign w:val="center"/>
          </w:tcPr>
          <w:p>
            <w:pPr>
              <w:pStyle w:val="TableContents"/>
              <w:bidi w:val="0"/>
              <w:spacing w:before="0" w:after="0"/>
              <w:jc w:val="right"/>
              <w:rPr/>
            </w:pPr>
            <w:r>
              <w:rPr/>
              <w:t>​</w:t>
            </w:r>
          </w:p>
        </w:tc>
        <w:tc>
          <w:tcPr>
            <w:tcW w:w="826" w:type="dxa"/>
            <w:tcBorders>
              <w:bottom w:val="single" w:sz="2" w:space="0" w:color="000000"/>
            </w:tcBorders>
            <w:shd w:fill="F7F7F7" w:val="clear"/>
            <w:tcMar>
              <w:bottom w:w="85" w:type="dxa"/>
            </w:tcMar>
            <w:vAlign w:val="center"/>
          </w:tcPr>
          <w:p>
            <w:pPr>
              <w:pStyle w:val="TableContents"/>
              <w:bidi w:val="0"/>
              <w:spacing w:before="0" w:after="0"/>
              <w:jc w:val="righ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tcMar>
              <w:bottom w:w="85" w:type="dxa"/>
            </w:tcMar>
            <w:vAlign w:val="center"/>
          </w:tcPr>
          <w:p>
            <w:pPr>
              <w:pStyle w:val="TableContents"/>
              <w:bidi w:val="0"/>
              <w:spacing w:before="0" w:after="0"/>
              <w:jc w:val="right"/>
              <w:rPr/>
            </w:pPr>
            <w:r>
              <w:rPr/>
              <w:t>​</w:t>
            </w:r>
          </w:p>
        </w:tc>
        <w:tc>
          <w:tcPr>
            <w:tcW w:w="691" w:type="dxa"/>
            <w:tcBorders>
              <w:bottom w:val="single" w:sz="2" w:space="0" w:color="000000"/>
            </w:tcBorders>
            <w:shd w:fill="F7F7F7" w:val="clear"/>
            <w:tcMar>
              <w:bottom w:w="85" w:type="dxa"/>
            </w:tcMar>
            <w:vAlign w:val="center"/>
          </w:tcPr>
          <w:p>
            <w:pPr>
              <w:pStyle w:val="TableContents"/>
              <w:bidi w:val="0"/>
              <w:spacing w:before="0" w:after="0"/>
              <w:jc w:val="right"/>
              <w:rPr>
                <w:sz w:val="16"/>
              </w:rPr>
            </w:pPr>
            <w:r>
              <w:rPr>
                <w:sz w:val="16"/>
              </w:rPr>
              <w:t>113,517</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tcMar>
              <w:bottom w:w="85" w:type="dxa"/>
            </w:tcMar>
            <w:vAlign w:val="center"/>
          </w:tcPr>
          <w:p>
            <w:pPr>
              <w:pStyle w:val="TableContents"/>
              <w:bidi w:val="0"/>
              <w:spacing w:before="0" w:after="0"/>
              <w:jc w:val="right"/>
              <w:rPr/>
            </w:pPr>
            <w:r>
              <w:rPr/>
              <w:t>​</w:t>
            </w:r>
          </w:p>
        </w:tc>
        <w:tc>
          <w:tcPr>
            <w:tcW w:w="826" w:type="dxa"/>
            <w:tcBorders>
              <w:bottom w:val="single" w:sz="2" w:space="0" w:color="000000"/>
            </w:tcBorders>
            <w:shd w:fill="F7F7F7" w:val="clear"/>
            <w:tcMar>
              <w:bottom w:w="85" w:type="dxa"/>
            </w:tcMar>
            <w:vAlign w:val="center"/>
          </w:tcPr>
          <w:p>
            <w:pPr>
              <w:pStyle w:val="TableContents"/>
              <w:bidi w:val="0"/>
              <w:spacing w:before="0" w:after="0"/>
              <w:jc w:val="right"/>
              <w:rPr>
                <w:sz w:val="16"/>
              </w:rPr>
            </w:pPr>
            <w:r>
              <w:rPr>
                <w:sz w:val="16"/>
              </w:rPr>
              <w:t>430,229</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54" w:type="dxa"/>
            <w:tcBorders>
              <w:bottom w:val="single" w:sz="2" w:space="0" w:color="000000"/>
            </w:tcBorders>
            <w:shd w:fill="F7F7F7"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1" w:type="dxa"/>
            <w:tcBorders/>
            <w:tcMar>
              <w:bottom w:w="0" w:type="dxa"/>
            </w:tcMar>
            <w:vAlign w:val="center"/>
          </w:tcPr>
          <w:p>
            <w:pPr>
              <w:pStyle w:val="TableContents"/>
              <w:bidi w:val="0"/>
              <w:spacing w:before="0" w:after="0"/>
              <w:jc w:val="left"/>
              <w:rPr>
                <w:sz w:val="16"/>
              </w:rPr>
            </w:pPr>
            <w:r>
              <w:rPr>
                <w:sz w:val="16"/>
              </w:rPr>
              <w:t>Marc Winterhoff</w:t>
            </w:r>
            <w:r>
              <w:rPr>
                <w:sz w:val="10"/>
              </w:rPr>
              <w:t>(2)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9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9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9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9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9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9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1" w:type="dxa"/>
            <w:tcBorders/>
            <w:tcMar>
              <w:bottom w:w="0" w:type="dxa"/>
            </w:tcMar>
            <w:vAlign w:val="center"/>
          </w:tcPr>
          <w:p>
            <w:pPr>
              <w:pStyle w:val="TableContents"/>
              <w:bidi w:val="0"/>
              <w:spacing w:before="0" w:after="0"/>
              <w:jc w:val="left"/>
              <w:rPr>
                <w:sz w:val="16"/>
              </w:rPr>
            </w:pPr>
            <w:r>
              <w:rPr>
                <w:sz w:val="16"/>
              </w:rPr>
              <w:t xml:space="preserve">RSU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466" w:type="dxa"/>
            <w:tcBorders/>
            <w:tcMar>
              <w:bottom w:w="0" w:type="dxa"/>
            </w:tcMar>
            <w:vAlign w:val="center"/>
          </w:tcPr>
          <w:p>
            <w:pPr>
              <w:pStyle w:val="TableContents"/>
              <w:bidi w:val="0"/>
              <w:spacing w:before="0" w:after="0"/>
              <w:jc w:val="right"/>
              <w:rPr>
                <w:sz w:val="16"/>
              </w:rPr>
            </w:pPr>
            <w:r>
              <w:rPr>
                <w:sz w:val="16"/>
              </w:rPr>
              <w:t>12/4/2023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9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9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9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9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9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26"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91" w:type="dxa"/>
            <w:tcBorders/>
            <w:tcMar>
              <w:bottom w:w="0" w:type="dxa"/>
            </w:tcMar>
            <w:vAlign w:val="center"/>
          </w:tcPr>
          <w:p>
            <w:pPr>
              <w:pStyle w:val="TableContents"/>
              <w:bidi w:val="0"/>
              <w:spacing w:before="0" w:after="0"/>
              <w:jc w:val="right"/>
              <w:rPr>
                <w:sz w:val="16"/>
              </w:rPr>
            </w:pPr>
            <w:r>
              <w:rPr>
                <w:sz w:val="16"/>
              </w:rPr>
              <w:t>713,911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26" w:type="dxa"/>
            <w:tcBorders/>
            <w:tcMar>
              <w:bottom w:w="0" w:type="dxa"/>
            </w:tcMar>
            <w:vAlign w:val="center"/>
          </w:tcPr>
          <w:p>
            <w:pPr>
              <w:pStyle w:val="TableContents"/>
              <w:bidi w:val="0"/>
              <w:spacing w:before="0" w:after="0"/>
              <w:jc w:val="right"/>
              <w:rPr>
                <w:sz w:val="16"/>
              </w:rPr>
            </w:pPr>
            <w:r>
              <w:rPr>
                <w:sz w:val="16"/>
              </w:rPr>
              <w:t>3,112,651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4" w:space="0" w:color="000000"/>
            </w:tcBorders>
            <w:vAlign w:val="center"/>
          </w:tcPr>
          <w:p>
            <w:pPr>
              <w:pStyle w:val="TableContents"/>
              <w:bidi w:val="0"/>
              <w:spacing w:before="0" w:after="283"/>
              <w:jc w:val="left"/>
              <w:rPr/>
            </w:pPr>
            <w:r>
              <w:rPr/>
              <w:t>​</w:t>
            </w:r>
          </w:p>
        </w:tc>
        <w:tc>
          <w:tcPr>
            <w:tcW w:w="901" w:type="dxa"/>
            <w:tcBorders>
              <w:bottom w:val="single" w:sz="4" w:space="0" w:color="000000"/>
            </w:tcBorders>
            <w:tcMar>
              <w:bottom w:w="85" w:type="dxa"/>
            </w:tcMar>
            <w:vAlign w:val="center"/>
          </w:tcPr>
          <w:p>
            <w:pPr>
              <w:pStyle w:val="TableContents"/>
              <w:bidi w:val="0"/>
              <w:spacing w:before="0" w:after="0"/>
              <w:jc w:val="left"/>
              <w:rPr>
                <w:sz w:val="16"/>
              </w:rPr>
            </w:pPr>
            <w:r>
              <w:rPr>
                <w:sz w:val="16"/>
              </w:rPr>
              <w:t xml:space="preserve">Stock Options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85" w:type="dxa"/>
            </w:tcMar>
            <w:vAlign w:val="center"/>
          </w:tcPr>
          <w:p>
            <w:pPr>
              <w:pStyle w:val="TableContents"/>
              <w:bidi w:val="0"/>
              <w:spacing w:before="0" w:after="0"/>
              <w:jc w:val="right"/>
              <w:rPr/>
            </w:pPr>
            <w:r>
              <w:rPr/>
              <w:t>​</w:t>
            </w:r>
          </w:p>
        </w:tc>
        <w:tc>
          <w:tcPr>
            <w:tcW w:w="466" w:type="dxa"/>
            <w:tcBorders>
              <w:bottom w:val="single" w:sz="4" w:space="0" w:color="000000"/>
            </w:tcBorders>
            <w:tcMar>
              <w:bottom w:w="85" w:type="dxa"/>
            </w:tcMar>
            <w:vAlign w:val="center"/>
          </w:tcPr>
          <w:p>
            <w:pPr>
              <w:pStyle w:val="TableContents"/>
              <w:bidi w:val="0"/>
              <w:spacing w:before="0" w:after="0"/>
              <w:jc w:val="right"/>
              <w:rPr>
                <w:sz w:val="16"/>
              </w:rPr>
            </w:pPr>
            <w:r>
              <w:rPr>
                <w:sz w:val="16"/>
              </w:rPr>
              <w:t>12/4/2023</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85" w:type="dxa"/>
            </w:tcMar>
            <w:vAlign w:val="center"/>
          </w:tcPr>
          <w:p>
            <w:pPr>
              <w:pStyle w:val="TableContents"/>
              <w:bidi w:val="0"/>
              <w:spacing w:before="0" w:after="0"/>
              <w:jc w:val="right"/>
              <w:rPr/>
            </w:pPr>
            <w:r>
              <w:rPr/>
              <w:t>​</w:t>
            </w:r>
          </w:p>
        </w:tc>
        <w:tc>
          <w:tcPr>
            <w:tcW w:w="691" w:type="dxa"/>
            <w:tcBorders>
              <w:bottom w:val="single" w:sz="4" w:space="0" w:color="000000"/>
            </w:tcBorders>
            <w:tcMar>
              <w:bottom w:w="85" w:type="dxa"/>
            </w:tcMar>
            <w:vAlign w:val="center"/>
          </w:tcPr>
          <w:p>
            <w:pPr>
              <w:pStyle w:val="TableContents"/>
              <w:bidi w:val="0"/>
              <w:spacing w:before="0" w:after="0"/>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85" w:type="dxa"/>
            </w:tcMar>
            <w:vAlign w:val="center"/>
          </w:tcPr>
          <w:p>
            <w:pPr>
              <w:pStyle w:val="TableContents"/>
              <w:bidi w:val="0"/>
              <w:spacing w:before="0" w:after="0"/>
              <w:jc w:val="right"/>
              <w:rPr/>
            </w:pPr>
            <w:r>
              <w:rPr/>
              <w:t>​</w:t>
            </w:r>
          </w:p>
        </w:tc>
        <w:tc>
          <w:tcPr>
            <w:tcW w:w="691" w:type="dxa"/>
            <w:tcBorders>
              <w:bottom w:val="single" w:sz="4" w:space="0" w:color="000000"/>
            </w:tcBorders>
            <w:tcMar>
              <w:bottom w:w="85" w:type="dxa"/>
            </w:tcMar>
            <w:vAlign w:val="center"/>
          </w:tcPr>
          <w:p>
            <w:pPr>
              <w:pStyle w:val="TableContents"/>
              <w:bidi w:val="0"/>
              <w:spacing w:before="0" w:after="0"/>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85" w:type="dxa"/>
            </w:tcMar>
            <w:vAlign w:val="center"/>
          </w:tcPr>
          <w:p>
            <w:pPr>
              <w:pStyle w:val="TableContents"/>
              <w:bidi w:val="0"/>
              <w:spacing w:before="0" w:after="0"/>
              <w:jc w:val="right"/>
              <w:rPr/>
            </w:pPr>
            <w:r>
              <w:rPr/>
              <w:t>​</w:t>
            </w:r>
          </w:p>
        </w:tc>
        <w:tc>
          <w:tcPr>
            <w:tcW w:w="691" w:type="dxa"/>
            <w:tcBorders>
              <w:bottom w:val="single" w:sz="4" w:space="0" w:color="000000"/>
            </w:tcBorders>
            <w:tcMar>
              <w:bottom w:w="85" w:type="dxa"/>
            </w:tcMar>
            <w:vAlign w:val="center"/>
          </w:tcPr>
          <w:p>
            <w:pPr>
              <w:pStyle w:val="TableContents"/>
              <w:bidi w:val="0"/>
              <w:spacing w:before="0" w:after="0"/>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85" w:type="dxa"/>
            </w:tcMar>
            <w:vAlign w:val="center"/>
          </w:tcPr>
          <w:p>
            <w:pPr>
              <w:pStyle w:val="TableContents"/>
              <w:bidi w:val="0"/>
              <w:spacing w:before="0" w:after="0"/>
              <w:jc w:val="right"/>
              <w:rPr/>
            </w:pPr>
            <w:r>
              <w:rPr/>
              <w:t>​</w:t>
            </w:r>
          </w:p>
        </w:tc>
        <w:tc>
          <w:tcPr>
            <w:tcW w:w="691" w:type="dxa"/>
            <w:tcBorders>
              <w:bottom w:val="single" w:sz="4" w:space="0" w:color="000000"/>
            </w:tcBorders>
            <w:tcMar>
              <w:bottom w:w="85" w:type="dxa"/>
            </w:tcMar>
            <w:vAlign w:val="center"/>
          </w:tcPr>
          <w:p>
            <w:pPr>
              <w:pStyle w:val="TableContents"/>
              <w:bidi w:val="0"/>
              <w:spacing w:before="0" w:after="0"/>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85" w:type="dxa"/>
            </w:tcMar>
            <w:vAlign w:val="center"/>
          </w:tcPr>
          <w:p>
            <w:pPr>
              <w:pStyle w:val="TableContents"/>
              <w:bidi w:val="0"/>
              <w:spacing w:before="0" w:after="0"/>
              <w:jc w:val="right"/>
              <w:rPr/>
            </w:pPr>
            <w:r>
              <w:rPr/>
              <w:t>​</w:t>
            </w:r>
          </w:p>
        </w:tc>
        <w:tc>
          <w:tcPr>
            <w:tcW w:w="691" w:type="dxa"/>
            <w:tcBorders>
              <w:bottom w:val="single" w:sz="4" w:space="0" w:color="000000"/>
            </w:tcBorders>
            <w:tcMar>
              <w:bottom w:w="85" w:type="dxa"/>
            </w:tcMar>
            <w:vAlign w:val="center"/>
          </w:tcPr>
          <w:p>
            <w:pPr>
              <w:pStyle w:val="TableContents"/>
              <w:bidi w:val="0"/>
              <w:spacing w:before="0" w:after="0"/>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85" w:type="dxa"/>
            </w:tcMar>
            <w:vAlign w:val="center"/>
          </w:tcPr>
          <w:p>
            <w:pPr>
              <w:pStyle w:val="TableContents"/>
              <w:bidi w:val="0"/>
              <w:spacing w:before="0" w:after="0"/>
              <w:jc w:val="right"/>
              <w:rPr/>
            </w:pPr>
            <w:r>
              <w:rPr/>
              <w:t>​</w:t>
            </w:r>
          </w:p>
        </w:tc>
        <w:tc>
          <w:tcPr>
            <w:tcW w:w="826" w:type="dxa"/>
            <w:tcBorders>
              <w:bottom w:val="single" w:sz="4" w:space="0" w:color="000000"/>
            </w:tcBorders>
            <w:tcMar>
              <w:bottom w:w="85" w:type="dxa"/>
            </w:tcMar>
            <w:vAlign w:val="center"/>
          </w:tcPr>
          <w:p>
            <w:pPr>
              <w:pStyle w:val="TableContents"/>
              <w:bidi w:val="0"/>
              <w:spacing w:before="0" w:after="0"/>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85" w:type="dxa"/>
            </w:tcMar>
            <w:vAlign w:val="center"/>
          </w:tcPr>
          <w:p>
            <w:pPr>
              <w:pStyle w:val="TableContents"/>
              <w:bidi w:val="0"/>
              <w:spacing w:before="0" w:after="0"/>
              <w:jc w:val="right"/>
              <w:rPr/>
            </w:pPr>
            <w:r>
              <w:rPr/>
              <w:t>​</w:t>
            </w:r>
          </w:p>
        </w:tc>
        <w:tc>
          <w:tcPr>
            <w:tcW w:w="691" w:type="dxa"/>
            <w:tcBorders>
              <w:bottom w:val="single" w:sz="4" w:space="0" w:color="000000"/>
            </w:tcBorders>
            <w:tcMar>
              <w:bottom w:w="85" w:type="dxa"/>
            </w:tcMar>
            <w:vAlign w:val="center"/>
          </w:tcPr>
          <w:p>
            <w:pPr>
              <w:pStyle w:val="TableContents"/>
              <w:bidi w:val="0"/>
              <w:spacing w:before="0" w:after="0"/>
              <w:jc w:val="right"/>
              <w:rPr>
                <w:sz w:val="16"/>
              </w:rPr>
            </w:pPr>
            <w:r>
              <w:rPr>
                <w:sz w:val="16"/>
              </w:rPr>
              <w:t>713,910</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85" w:type="dxa"/>
            </w:tcMar>
            <w:vAlign w:val="center"/>
          </w:tcPr>
          <w:p>
            <w:pPr>
              <w:pStyle w:val="TableContents"/>
              <w:bidi w:val="0"/>
              <w:spacing w:before="0" w:after="0"/>
              <w:jc w:val="right"/>
              <w:rPr/>
            </w:pPr>
            <w:r>
              <w:rPr/>
              <w:t>​</w:t>
            </w:r>
          </w:p>
        </w:tc>
        <w:tc>
          <w:tcPr>
            <w:tcW w:w="826" w:type="dxa"/>
            <w:tcBorders>
              <w:bottom w:val="single" w:sz="4" w:space="0" w:color="000000"/>
            </w:tcBorders>
            <w:tcMar>
              <w:bottom w:w="85" w:type="dxa"/>
            </w:tcMar>
            <w:vAlign w:val="center"/>
          </w:tcPr>
          <w:p>
            <w:pPr>
              <w:pStyle w:val="TableContents"/>
              <w:bidi w:val="0"/>
              <w:spacing w:before="0" w:after="0"/>
              <w:jc w:val="right"/>
              <w:rPr>
                <w:sz w:val="16"/>
              </w:rPr>
            </w:pPr>
            <w:r>
              <w:rPr>
                <w:sz w:val="16"/>
              </w:rPr>
              <w:t>2,006,087</w:t>
            </w:r>
          </w:p>
        </w:tc>
        <w:tc>
          <w:tcPr>
            <w:tcW w:w="109" w:type="dxa"/>
            <w:tcBorders>
              <w:bottom w:val="single" w:sz="4" w:space="0" w:color="000000"/>
            </w:tcBorders>
            <w:vAlign w:val="center"/>
          </w:tcPr>
          <w:p>
            <w:pPr>
              <w:pStyle w:val="TableContents"/>
              <w:bidi w:val="0"/>
              <w:spacing w:before="0" w:after="283"/>
              <w:jc w:val="left"/>
              <w:rPr/>
            </w:pPr>
            <w:r>
              <w:rPr/>
              <w:t>​</w:t>
            </w:r>
          </w:p>
        </w:tc>
        <w:tc>
          <w:tcPr>
            <w:tcW w:w="154" w:type="dxa"/>
            <w:tcBorders>
              <w:bottom w:val="single" w:sz="4" w:space="0" w:color="000000"/>
            </w:tcBorders>
            <w:vAlign w:val="center"/>
          </w:tcPr>
          <w:p>
            <w:pPr>
              <w:pStyle w:val="TableContents"/>
              <w:bidi w:val="0"/>
              <w:spacing w:before="0" w:after="283"/>
              <w:jc w:val="left"/>
              <w:rPr/>
            </w:pPr>
            <w:r>
              <w:rPr/>
              <w:t>​</w:t>
            </w:r>
          </w:p>
        </w:tc>
      </w:tr>
      <w:tr>
        <w:trPr/>
        <w:tc>
          <w:tcPr>
            <w:tcW w:w="124" w:type="dxa"/>
            <w:tcBorders/>
            <w:shd w:fill="F7F7F7" w:val="clear"/>
            <w:tcMar>
              <w:bottom w:w="0" w:type="dxa"/>
            </w:tcMar>
            <w:vAlign w:val="center"/>
          </w:tcPr>
          <w:p>
            <w:pPr>
              <w:pStyle w:val="TableContents"/>
              <w:bidi w:val="0"/>
              <w:spacing w:before="0" w:after="283"/>
              <w:jc w:val="left"/>
              <w:rPr/>
            </w:pPr>
            <w:r>
              <w:rPr/>
              <w:t>​</w:t>
            </w:r>
          </w:p>
        </w:tc>
        <w:tc>
          <w:tcPr>
            <w:tcW w:w="901" w:type="dxa"/>
            <w:tcBorders/>
            <w:shd w:fill="F7F7F7" w:val="clear"/>
            <w:tcMar>
              <w:bottom w:w="0" w:type="dxa"/>
            </w:tcMar>
            <w:vAlign w:val="center"/>
          </w:tcPr>
          <w:p>
            <w:pPr>
              <w:pStyle w:val="TableContents"/>
              <w:bidi w:val="0"/>
              <w:spacing w:before="0" w:after="0"/>
              <w:jc w:val="left"/>
              <w:rPr>
                <w:sz w:val="16"/>
              </w:rPr>
            </w:pPr>
            <w:r>
              <w:rPr>
                <w:sz w:val="16"/>
              </w:rPr>
              <w:t>Eric Bach</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46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691"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691"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691"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691"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691"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82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691"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82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54" w:type="dxa"/>
            <w:tcBorders/>
            <w:shd w:fill="F7F7F7" w:val="clear"/>
            <w:tcMar>
              <w:bottom w:w="0" w:type="dxa"/>
            </w:tcMar>
            <w:vAlign w:val="center"/>
          </w:tcPr>
          <w:p>
            <w:pPr>
              <w:pStyle w:val="TableContents"/>
              <w:bidi w:val="0"/>
              <w:spacing w:before="0" w:after="283"/>
              <w:jc w:val="left"/>
              <w:rPr/>
            </w:pPr>
            <w:r>
              <w:rPr/>
              <w:t>​</w:t>
            </w:r>
          </w:p>
        </w:tc>
      </w:tr>
      <w:tr>
        <w:trPr/>
        <w:tc>
          <w:tcPr>
            <w:tcW w:w="124" w:type="dxa"/>
            <w:tcBorders/>
            <w:shd w:fill="F7F7F7" w:val="clear"/>
            <w:tcMar>
              <w:bottom w:w="0" w:type="dxa"/>
            </w:tcMar>
            <w:vAlign w:val="center"/>
          </w:tcPr>
          <w:p>
            <w:pPr>
              <w:pStyle w:val="TableContents"/>
              <w:bidi w:val="0"/>
              <w:spacing w:before="0" w:after="283"/>
              <w:jc w:val="left"/>
              <w:rPr/>
            </w:pPr>
            <w:r>
              <w:rPr/>
              <w:t>​</w:t>
            </w:r>
          </w:p>
        </w:tc>
        <w:tc>
          <w:tcPr>
            <w:tcW w:w="901" w:type="dxa"/>
            <w:tcBorders/>
            <w:shd w:fill="F7F7F7" w:val="clear"/>
            <w:tcMar>
              <w:bottom w:w="0" w:type="dxa"/>
            </w:tcMar>
            <w:vAlign w:val="center"/>
          </w:tcPr>
          <w:p>
            <w:pPr>
              <w:pStyle w:val="TableContents"/>
              <w:bidi w:val="0"/>
              <w:spacing w:before="0" w:after="0"/>
              <w:jc w:val="left"/>
              <w:rPr>
                <w:sz w:val="16"/>
              </w:rPr>
            </w:pPr>
            <w:r>
              <w:rPr>
                <w:sz w:val="16"/>
              </w:rPr>
              <w:t xml:space="preserve">2023 Annual Cash </w:t>
              <w:br/>
              <w:t>Incentive</w:t>
            </w:r>
            <w:r>
              <w:rPr>
                <w:sz w:val="10"/>
              </w:rPr>
              <w:t>(1)</w:t>
            </w:r>
            <w:r>
              <w:rPr>
                <w:sz w:val="16"/>
              </w:rPr>
              <w:t xml:space="preserve"> </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466"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sz w:val="16"/>
              </w:rPr>
            </w:pPr>
            <w:r>
              <w:rPr>
                <w:sz w:val="16"/>
              </w:rPr>
              <w:t>210,000</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sz w:val="16"/>
              </w:rPr>
            </w:pPr>
            <w:r>
              <w:rPr>
                <w:sz w:val="16"/>
              </w:rPr>
              <w:t>420,000</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sz w:val="16"/>
              </w:rPr>
            </w:pPr>
            <w:r>
              <w:rPr>
                <w:sz w:val="16"/>
              </w:rPr>
              <w:t>630,000</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826"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826"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54" w:type="dxa"/>
            <w:tcBorders/>
            <w:shd w:fill="F7F7F7" w:val="clear"/>
            <w:tcMar>
              <w:bottom w:w="0" w:type="dxa"/>
            </w:tcMar>
            <w:vAlign w:val="center"/>
          </w:tcPr>
          <w:p>
            <w:pPr>
              <w:pStyle w:val="TableContents"/>
              <w:bidi w:val="0"/>
              <w:spacing w:before="0" w:after="283"/>
              <w:jc w:val="left"/>
              <w:rPr/>
            </w:pPr>
            <w:r>
              <w:rPr/>
              <w:t>​</w:t>
            </w:r>
          </w:p>
        </w:tc>
      </w:tr>
      <w:tr>
        <w:trPr/>
        <w:tc>
          <w:tcPr>
            <w:tcW w:w="124" w:type="dxa"/>
            <w:tcBorders/>
            <w:shd w:fill="F7F7F7" w:val="clear"/>
            <w:tcMar>
              <w:bottom w:w="0" w:type="dxa"/>
            </w:tcMar>
            <w:vAlign w:val="center"/>
          </w:tcPr>
          <w:p>
            <w:pPr>
              <w:pStyle w:val="TableContents"/>
              <w:bidi w:val="0"/>
              <w:spacing w:before="0" w:after="283"/>
              <w:jc w:val="left"/>
              <w:rPr/>
            </w:pPr>
            <w:r>
              <w:rPr/>
              <w:t>​</w:t>
            </w:r>
          </w:p>
        </w:tc>
        <w:tc>
          <w:tcPr>
            <w:tcW w:w="901" w:type="dxa"/>
            <w:tcBorders/>
            <w:shd w:fill="F7F7F7" w:val="clear"/>
            <w:tcMar>
              <w:bottom w:w="0" w:type="dxa"/>
            </w:tcMar>
            <w:vAlign w:val="center"/>
          </w:tcPr>
          <w:p>
            <w:pPr>
              <w:pStyle w:val="TableContents"/>
              <w:bidi w:val="0"/>
              <w:spacing w:before="0" w:after="0"/>
              <w:jc w:val="left"/>
              <w:rPr>
                <w:sz w:val="16"/>
              </w:rPr>
            </w:pPr>
            <w:r>
              <w:rPr>
                <w:sz w:val="16"/>
              </w:rPr>
              <w:t xml:space="preserve">RSU </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466" w:type="dxa"/>
            <w:tcBorders/>
            <w:shd w:fill="F7F7F7" w:val="clear"/>
            <w:tcMar>
              <w:bottom w:w="0" w:type="dxa"/>
            </w:tcMar>
            <w:vAlign w:val="center"/>
          </w:tcPr>
          <w:p>
            <w:pPr>
              <w:pStyle w:val="TableContents"/>
              <w:bidi w:val="0"/>
              <w:spacing w:before="0" w:after="0"/>
              <w:jc w:val="right"/>
              <w:rPr>
                <w:sz w:val="16"/>
              </w:rPr>
            </w:pPr>
            <w:r>
              <w:rPr>
                <w:sz w:val="16"/>
              </w:rPr>
              <w:t>9/10/2023</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826"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sz w:val="16"/>
              </w:rPr>
            </w:pPr>
            <w:r>
              <w:rPr>
                <w:sz w:val="16"/>
              </w:rPr>
              <w:t>408,663</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826" w:type="dxa"/>
            <w:tcBorders/>
            <w:shd w:fill="F7F7F7" w:val="clear"/>
            <w:tcMar>
              <w:bottom w:w="0" w:type="dxa"/>
            </w:tcMar>
            <w:vAlign w:val="center"/>
          </w:tcPr>
          <w:p>
            <w:pPr>
              <w:pStyle w:val="TableContents"/>
              <w:bidi w:val="0"/>
              <w:spacing w:before="0" w:after="0"/>
              <w:jc w:val="right"/>
              <w:rPr>
                <w:sz w:val="16"/>
              </w:rPr>
            </w:pPr>
            <w:r>
              <w:rPr>
                <w:sz w:val="16"/>
              </w:rPr>
              <w:t>2,386,591</w:t>
            </w:r>
          </w:p>
        </w:tc>
        <w:tc>
          <w:tcPr>
            <w:tcW w:w="109" w:type="dxa"/>
            <w:tcBorders/>
            <w:shd w:fill="F7F7F7" w:val="clear"/>
            <w:tcMar>
              <w:bottom w:w="0" w:type="dxa"/>
            </w:tcMar>
            <w:vAlign w:val="center"/>
          </w:tcPr>
          <w:p>
            <w:pPr>
              <w:pStyle w:val="TableContents"/>
              <w:bidi w:val="0"/>
              <w:spacing w:before="0" w:after="283"/>
              <w:jc w:val="left"/>
              <w:rPr/>
            </w:pPr>
            <w:r>
              <w:rPr/>
              <w:t>​</w:t>
            </w:r>
          </w:p>
        </w:tc>
        <w:tc>
          <w:tcPr>
            <w:tcW w:w="154" w:type="dxa"/>
            <w:tcBorders/>
            <w:shd w:fill="F7F7F7" w:val="clear"/>
            <w:tcMar>
              <w:bottom w:w="0" w:type="dxa"/>
            </w:tcMar>
            <w:vAlign w:val="center"/>
          </w:tcPr>
          <w:p>
            <w:pPr>
              <w:pStyle w:val="TableContents"/>
              <w:bidi w:val="0"/>
              <w:spacing w:before="0" w:after="283"/>
              <w:jc w:val="left"/>
              <w:rPr/>
            </w:pPr>
            <w:r>
              <w:rPr/>
              <w:t>​</w:t>
            </w:r>
          </w:p>
        </w:tc>
      </w:tr>
      <w:tr>
        <w:trPr/>
        <w:tc>
          <w:tcPr>
            <w:tcW w:w="124" w:type="dxa"/>
            <w:tcBorders/>
            <w:shd w:fill="F7F7F7" w:val="clear"/>
            <w:tcMar>
              <w:bottom w:w="0" w:type="dxa"/>
            </w:tcMar>
            <w:vAlign w:val="center"/>
          </w:tcPr>
          <w:p>
            <w:pPr>
              <w:pStyle w:val="TableContents"/>
              <w:bidi w:val="0"/>
              <w:spacing w:before="0" w:after="283"/>
              <w:jc w:val="left"/>
              <w:rPr/>
            </w:pPr>
            <w:r>
              <w:rPr/>
              <w:t>​</w:t>
            </w:r>
          </w:p>
        </w:tc>
        <w:tc>
          <w:tcPr>
            <w:tcW w:w="901" w:type="dxa"/>
            <w:tcBorders/>
            <w:shd w:fill="F7F7F7" w:val="clear"/>
            <w:tcMar>
              <w:bottom w:w="0" w:type="dxa"/>
            </w:tcMar>
            <w:vAlign w:val="center"/>
          </w:tcPr>
          <w:p>
            <w:pPr>
              <w:pStyle w:val="TableContents"/>
              <w:bidi w:val="0"/>
              <w:spacing w:before="0" w:after="0"/>
              <w:jc w:val="left"/>
              <w:rPr>
                <w:sz w:val="16"/>
              </w:rPr>
            </w:pPr>
            <w:r>
              <w:rPr>
                <w:sz w:val="16"/>
              </w:rPr>
              <w:t xml:space="preserve">PSU </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466" w:type="dxa"/>
            <w:tcBorders/>
            <w:shd w:fill="F7F7F7" w:val="clear"/>
            <w:tcMar>
              <w:bottom w:w="0" w:type="dxa"/>
            </w:tcMar>
            <w:vAlign w:val="center"/>
          </w:tcPr>
          <w:p>
            <w:pPr>
              <w:pStyle w:val="TableContents"/>
              <w:bidi w:val="0"/>
              <w:spacing w:before="0" w:after="0"/>
              <w:jc w:val="right"/>
              <w:rPr>
                <w:sz w:val="16"/>
              </w:rPr>
            </w:pPr>
            <w:r>
              <w:rPr>
                <w:sz w:val="16"/>
              </w:rPr>
              <w:t>9/10/2023</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sz w:val="16"/>
              </w:rPr>
            </w:pPr>
            <w:r>
              <w:rPr>
                <w:sz w:val="16"/>
              </w:rPr>
              <w:t>408,664</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sz w:val="16"/>
              </w:rPr>
            </w:pPr>
            <w:r>
              <w:rPr>
                <w:sz w:val="16"/>
              </w:rPr>
              <w:t>817,327</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826" w:type="dxa"/>
            <w:tcBorders/>
            <w:shd w:fill="F7F7F7" w:val="clear"/>
            <w:tcMar>
              <w:bottom w:w="0" w:type="dxa"/>
            </w:tcMar>
            <w:vAlign w:val="center"/>
          </w:tcPr>
          <w:p>
            <w:pPr>
              <w:pStyle w:val="TableContents"/>
              <w:bidi w:val="0"/>
              <w:spacing w:before="0" w:after="0"/>
              <w:jc w:val="right"/>
              <w:rPr>
                <w:sz w:val="16"/>
              </w:rPr>
            </w:pPr>
            <w:r>
              <w:rPr>
                <w:sz w:val="16"/>
              </w:rPr>
              <w:t>1,225,991</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826" w:type="dxa"/>
            <w:tcBorders/>
            <w:shd w:fill="F7F7F7" w:val="clear"/>
            <w:tcMar>
              <w:bottom w:w="0" w:type="dxa"/>
            </w:tcMar>
            <w:vAlign w:val="center"/>
          </w:tcPr>
          <w:p>
            <w:pPr>
              <w:pStyle w:val="TableContents"/>
              <w:bidi w:val="0"/>
              <w:spacing w:before="0" w:after="0"/>
              <w:jc w:val="right"/>
              <w:rPr>
                <w:sz w:val="16"/>
              </w:rPr>
            </w:pPr>
            <w:r>
              <w:rPr>
                <w:sz w:val="16"/>
              </w:rPr>
              <w:t>4,773,189</w:t>
            </w:r>
          </w:p>
        </w:tc>
        <w:tc>
          <w:tcPr>
            <w:tcW w:w="109" w:type="dxa"/>
            <w:tcBorders/>
            <w:shd w:fill="F7F7F7" w:val="clear"/>
            <w:tcMar>
              <w:bottom w:w="0" w:type="dxa"/>
            </w:tcMar>
            <w:vAlign w:val="center"/>
          </w:tcPr>
          <w:p>
            <w:pPr>
              <w:pStyle w:val="TableContents"/>
              <w:bidi w:val="0"/>
              <w:spacing w:before="0" w:after="283"/>
              <w:jc w:val="left"/>
              <w:rPr/>
            </w:pPr>
            <w:r>
              <w:rPr/>
              <w:t>​</w:t>
            </w:r>
          </w:p>
        </w:tc>
        <w:tc>
          <w:tcPr>
            <w:tcW w:w="154" w:type="dxa"/>
            <w:tcBorders/>
            <w:shd w:fill="F7F7F7"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000000"/>
            </w:tcBorders>
            <w:shd w:fill="F7F7F7" w:val="clear"/>
            <w:vAlign w:val="center"/>
          </w:tcPr>
          <w:p>
            <w:pPr>
              <w:pStyle w:val="TableContents"/>
              <w:bidi w:val="0"/>
              <w:spacing w:before="0" w:after="283"/>
              <w:jc w:val="left"/>
              <w:rPr/>
            </w:pPr>
            <w:r>
              <w:rPr/>
              <w:t>​</w:t>
            </w:r>
          </w:p>
        </w:tc>
        <w:tc>
          <w:tcPr>
            <w:tcW w:w="901" w:type="dxa"/>
            <w:tcBorders>
              <w:bottom w:val="single" w:sz="2" w:space="0" w:color="000000"/>
            </w:tcBorders>
            <w:shd w:fill="F7F7F7" w:val="clear"/>
            <w:tcMar>
              <w:bottom w:w="85" w:type="dxa"/>
            </w:tcMar>
            <w:vAlign w:val="center"/>
          </w:tcPr>
          <w:p>
            <w:pPr>
              <w:pStyle w:val="TableContents"/>
              <w:bidi w:val="0"/>
              <w:spacing w:before="0" w:after="0"/>
              <w:jc w:val="left"/>
              <w:rPr>
                <w:sz w:val="16"/>
              </w:rPr>
            </w:pPr>
            <w:r>
              <w:rPr>
                <w:sz w:val="16"/>
              </w:rPr>
              <w:t xml:space="preserve">Stock Options </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tcMar>
              <w:bottom w:w="85" w:type="dxa"/>
            </w:tcMar>
            <w:vAlign w:val="center"/>
          </w:tcPr>
          <w:p>
            <w:pPr>
              <w:pStyle w:val="TableContents"/>
              <w:bidi w:val="0"/>
              <w:spacing w:before="0" w:after="0"/>
              <w:jc w:val="right"/>
              <w:rPr/>
            </w:pPr>
            <w:r>
              <w:rPr/>
              <w:t>​</w:t>
            </w:r>
          </w:p>
        </w:tc>
        <w:tc>
          <w:tcPr>
            <w:tcW w:w="466" w:type="dxa"/>
            <w:tcBorders>
              <w:bottom w:val="single" w:sz="2" w:space="0" w:color="000000"/>
            </w:tcBorders>
            <w:shd w:fill="F7F7F7" w:val="clear"/>
            <w:tcMar>
              <w:bottom w:w="85" w:type="dxa"/>
            </w:tcMar>
            <w:vAlign w:val="center"/>
          </w:tcPr>
          <w:p>
            <w:pPr>
              <w:pStyle w:val="TableContents"/>
              <w:bidi w:val="0"/>
              <w:spacing w:before="0" w:after="0"/>
              <w:jc w:val="right"/>
              <w:rPr>
                <w:sz w:val="16"/>
              </w:rPr>
            </w:pPr>
            <w:r>
              <w:rPr>
                <w:sz w:val="16"/>
              </w:rPr>
              <w:t>9/10/2023</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tcMar>
              <w:bottom w:w="85" w:type="dxa"/>
            </w:tcMar>
            <w:vAlign w:val="center"/>
          </w:tcPr>
          <w:p>
            <w:pPr>
              <w:pStyle w:val="TableContents"/>
              <w:bidi w:val="0"/>
              <w:spacing w:before="0" w:after="0"/>
              <w:jc w:val="right"/>
              <w:rPr/>
            </w:pPr>
            <w:r>
              <w:rPr/>
              <w:t>​</w:t>
            </w:r>
          </w:p>
        </w:tc>
        <w:tc>
          <w:tcPr>
            <w:tcW w:w="691" w:type="dxa"/>
            <w:tcBorders>
              <w:bottom w:val="single" w:sz="2" w:space="0" w:color="000000"/>
            </w:tcBorders>
            <w:shd w:fill="F7F7F7" w:val="clear"/>
            <w:tcMar>
              <w:bottom w:w="85" w:type="dxa"/>
            </w:tcMar>
            <w:vAlign w:val="center"/>
          </w:tcPr>
          <w:p>
            <w:pPr>
              <w:pStyle w:val="TableContents"/>
              <w:bidi w:val="0"/>
              <w:spacing w:before="0" w:after="0"/>
              <w:jc w:val="righ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tcMar>
              <w:bottom w:w="85" w:type="dxa"/>
            </w:tcMar>
            <w:vAlign w:val="center"/>
          </w:tcPr>
          <w:p>
            <w:pPr>
              <w:pStyle w:val="TableContents"/>
              <w:bidi w:val="0"/>
              <w:spacing w:before="0" w:after="0"/>
              <w:jc w:val="right"/>
              <w:rPr/>
            </w:pPr>
            <w:r>
              <w:rPr/>
              <w:t>​</w:t>
            </w:r>
          </w:p>
        </w:tc>
        <w:tc>
          <w:tcPr>
            <w:tcW w:w="691" w:type="dxa"/>
            <w:tcBorders>
              <w:bottom w:val="single" w:sz="2" w:space="0" w:color="000000"/>
            </w:tcBorders>
            <w:shd w:fill="F7F7F7" w:val="clear"/>
            <w:tcMar>
              <w:bottom w:w="85" w:type="dxa"/>
            </w:tcMar>
            <w:vAlign w:val="center"/>
          </w:tcPr>
          <w:p>
            <w:pPr>
              <w:pStyle w:val="TableContents"/>
              <w:bidi w:val="0"/>
              <w:spacing w:before="0" w:after="0"/>
              <w:jc w:val="righ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tcMar>
              <w:bottom w:w="85" w:type="dxa"/>
            </w:tcMar>
            <w:vAlign w:val="center"/>
          </w:tcPr>
          <w:p>
            <w:pPr>
              <w:pStyle w:val="TableContents"/>
              <w:bidi w:val="0"/>
              <w:spacing w:before="0" w:after="0"/>
              <w:jc w:val="right"/>
              <w:rPr/>
            </w:pPr>
            <w:r>
              <w:rPr/>
              <w:t>​</w:t>
            </w:r>
          </w:p>
        </w:tc>
        <w:tc>
          <w:tcPr>
            <w:tcW w:w="691" w:type="dxa"/>
            <w:tcBorders>
              <w:bottom w:val="single" w:sz="2" w:space="0" w:color="000000"/>
            </w:tcBorders>
            <w:shd w:fill="F7F7F7" w:val="clear"/>
            <w:tcMar>
              <w:bottom w:w="85" w:type="dxa"/>
            </w:tcMar>
            <w:vAlign w:val="center"/>
          </w:tcPr>
          <w:p>
            <w:pPr>
              <w:pStyle w:val="TableContents"/>
              <w:bidi w:val="0"/>
              <w:spacing w:before="0" w:after="0"/>
              <w:jc w:val="righ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tcMar>
              <w:bottom w:w="85" w:type="dxa"/>
            </w:tcMar>
            <w:vAlign w:val="center"/>
          </w:tcPr>
          <w:p>
            <w:pPr>
              <w:pStyle w:val="TableContents"/>
              <w:bidi w:val="0"/>
              <w:spacing w:before="0" w:after="0"/>
              <w:jc w:val="right"/>
              <w:rPr/>
            </w:pPr>
            <w:r>
              <w:rPr/>
              <w:t>​</w:t>
            </w:r>
          </w:p>
        </w:tc>
        <w:tc>
          <w:tcPr>
            <w:tcW w:w="691" w:type="dxa"/>
            <w:tcBorders>
              <w:bottom w:val="single" w:sz="2" w:space="0" w:color="000000"/>
            </w:tcBorders>
            <w:shd w:fill="F7F7F7" w:val="clear"/>
            <w:tcMar>
              <w:bottom w:w="85" w:type="dxa"/>
            </w:tcMar>
            <w:vAlign w:val="center"/>
          </w:tcPr>
          <w:p>
            <w:pPr>
              <w:pStyle w:val="TableContents"/>
              <w:bidi w:val="0"/>
              <w:spacing w:before="0" w:after="0"/>
              <w:jc w:val="righ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tcMar>
              <w:bottom w:w="85" w:type="dxa"/>
            </w:tcMar>
            <w:vAlign w:val="center"/>
          </w:tcPr>
          <w:p>
            <w:pPr>
              <w:pStyle w:val="TableContents"/>
              <w:bidi w:val="0"/>
              <w:spacing w:before="0" w:after="0"/>
              <w:jc w:val="right"/>
              <w:rPr/>
            </w:pPr>
            <w:r>
              <w:rPr/>
              <w:t>​</w:t>
            </w:r>
          </w:p>
        </w:tc>
        <w:tc>
          <w:tcPr>
            <w:tcW w:w="691" w:type="dxa"/>
            <w:tcBorders>
              <w:bottom w:val="single" w:sz="2" w:space="0" w:color="000000"/>
            </w:tcBorders>
            <w:shd w:fill="F7F7F7" w:val="clear"/>
            <w:tcMar>
              <w:bottom w:w="85" w:type="dxa"/>
            </w:tcMar>
            <w:vAlign w:val="center"/>
          </w:tcPr>
          <w:p>
            <w:pPr>
              <w:pStyle w:val="TableContents"/>
              <w:bidi w:val="0"/>
              <w:spacing w:before="0" w:after="0"/>
              <w:jc w:val="righ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tcMar>
              <w:bottom w:w="85" w:type="dxa"/>
            </w:tcMar>
            <w:vAlign w:val="center"/>
          </w:tcPr>
          <w:p>
            <w:pPr>
              <w:pStyle w:val="TableContents"/>
              <w:bidi w:val="0"/>
              <w:spacing w:before="0" w:after="0"/>
              <w:jc w:val="right"/>
              <w:rPr/>
            </w:pPr>
            <w:r>
              <w:rPr/>
              <w:t>​</w:t>
            </w:r>
          </w:p>
        </w:tc>
        <w:tc>
          <w:tcPr>
            <w:tcW w:w="826" w:type="dxa"/>
            <w:tcBorders>
              <w:bottom w:val="single" w:sz="2" w:space="0" w:color="000000"/>
            </w:tcBorders>
            <w:shd w:fill="F7F7F7" w:val="clear"/>
            <w:tcMar>
              <w:bottom w:w="85" w:type="dxa"/>
            </w:tcMar>
            <w:vAlign w:val="center"/>
          </w:tcPr>
          <w:p>
            <w:pPr>
              <w:pStyle w:val="TableContents"/>
              <w:bidi w:val="0"/>
              <w:spacing w:before="0" w:after="0"/>
              <w:jc w:val="righ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tcMar>
              <w:bottom w:w="85" w:type="dxa"/>
            </w:tcMar>
            <w:vAlign w:val="center"/>
          </w:tcPr>
          <w:p>
            <w:pPr>
              <w:pStyle w:val="TableContents"/>
              <w:bidi w:val="0"/>
              <w:spacing w:before="0" w:after="0"/>
              <w:jc w:val="right"/>
              <w:rPr/>
            </w:pPr>
            <w:r>
              <w:rPr/>
              <w:t>​</w:t>
            </w:r>
          </w:p>
        </w:tc>
        <w:tc>
          <w:tcPr>
            <w:tcW w:w="691" w:type="dxa"/>
            <w:tcBorders>
              <w:bottom w:val="single" w:sz="2" w:space="0" w:color="000000"/>
            </w:tcBorders>
            <w:shd w:fill="F7F7F7" w:val="clear"/>
            <w:tcMar>
              <w:bottom w:w="85" w:type="dxa"/>
            </w:tcMar>
            <w:vAlign w:val="center"/>
          </w:tcPr>
          <w:p>
            <w:pPr>
              <w:pStyle w:val="TableContents"/>
              <w:bidi w:val="0"/>
              <w:spacing w:before="0" w:after="0"/>
              <w:jc w:val="right"/>
              <w:rPr>
                <w:sz w:val="16"/>
              </w:rPr>
            </w:pPr>
            <w:r>
              <w:rPr>
                <w:sz w:val="16"/>
              </w:rPr>
              <w:t>408,663</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09" w:type="dxa"/>
            <w:tcBorders>
              <w:bottom w:val="single" w:sz="2" w:space="0" w:color="000000"/>
            </w:tcBorders>
            <w:shd w:fill="F7F7F7" w:val="clear"/>
            <w:tcMar>
              <w:bottom w:w="85" w:type="dxa"/>
            </w:tcMar>
            <w:vAlign w:val="center"/>
          </w:tcPr>
          <w:p>
            <w:pPr>
              <w:pStyle w:val="TableContents"/>
              <w:bidi w:val="0"/>
              <w:spacing w:before="0" w:after="0"/>
              <w:jc w:val="right"/>
              <w:rPr/>
            </w:pPr>
            <w:r>
              <w:rPr/>
              <w:t>​</w:t>
            </w:r>
          </w:p>
        </w:tc>
        <w:tc>
          <w:tcPr>
            <w:tcW w:w="826" w:type="dxa"/>
            <w:tcBorders>
              <w:bottom w:val="single" w:sz="2" w:space="0" w:color="000000"/>
            </w:tcBorders>
            <w:shd w:fill="F7F7F7" w:val="clear"/>
            <w:tcMar>
              <w:bottom w:w="85" w:type="dxa"/>
            </w:tcMar>
            <w:vAlign w:val="center"/>
          </w:tcPr>
          <w:p>
            <w:pPr>
              <w:pStyle w:val="TableContents"/>
              <w:bidi w:val="0"/>
              <w:spacing w:before="0" w:after="0"/>
              <w:jc w:val="right"/>
              <w:rPr>
                <w:sz w:val="16"/>
              </w:rPr>
            </w:pPr>
            <w:r>
              <w:rPr>
                <w:sz w:val="16"/>
              </w:rPr>
              <w:t>1,548,832</w:t>
            </w:r>
          </w:p>
        </w:tc>
        <w:tc>
          <w:tcPr>
            <w:tcW w:w="109" w:type="dxa"/>
            <w:tcBorders>
              <w:bottom w:val="single" w:sz="2" w:space="0" w:color="000000"/>
            </w:tcBorders>
            <w:shd w:fill="F7F7F7" w:val="clear"/>
            <w:vAlign w:val="center"/>
          </w:tcPr>
          <w:p>
            <w:pPr>
              <w:pStyle w:val="TableContents"/>
              <w:bidi w:val="0"/>
              <w:spacing w:before="0" w:after="283"/>
              <w:jc w:val="left"/>
              <w:rPr/>
            </w:pPr>
            <w:r>
              <w:rPr/>
              <w:t>​</w:t>
            </w:r>
          </w:p>
        </w:tc>
        <w:tc>
          <w:tcPr>
            <w:tcW w:w="154" w:type="dxa"/>
            <w:tcBorders>
              <w:bottom w:val="single" w:sz="2" w:space="0" w:color="000000"/>
            </w:tcBorders>
            <w:shd w:fill="F7F7F7"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1" w:type="dxa"/>
            <w:tcBorders/>
            <w:tcMar>
              <w:bottom w:w="0" w:type="dxa"/>
            </w:tcMar>
            <w:vAlign w:val="center"/>
          </w:tcPr>
          <w:p>
            <w:pPr>
              <w:pStyle w:val="TableContents"/>
              <w:bidi w:val="0"/>
              <w:spacing w:before="0" w:after="0"/>
              <w:jc w:val="left"/>
              <w:rPr>
                <w:sz w:val="16"/>
              </w:rPr>
            </w:pPr>
            <w:r>
              <w:rPr>
                <w:sz w:val="16"/>
              </w:rPr>
              <w:t>Michael Bell</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9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9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9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9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9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9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1" w:type="dxa"/>
            <w:tcBorders/>
            <w:tcMar>
              <w:bottom w:w="0" w:type="dxa"/>
            </w:tcMar>
            <w:vAlign w:val="center"/>
          </w:tcPr>
          <w:p>
            <w:pPr>
              <w:pStyle w:val="TableContents"/>
              <w:bidi w:val="0"/>
              <w:spacing w:before="0" w:after="0"/>
              <w:jc w:val="left"/>
              <w:rPr>
                <w:sz w:val="16"/>
              </w:rPr>
            </w:pPr>
            <w:r>
              <w:rPr>
                <w:sz w:val="16"/>
              </w:rPr>
              <w:t xml:space="preserve">2023 Annual Cash </w:t>
              <w:br/>
              <w:t xml:space="preserve">Incentive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466"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91" w:type="dxa"/>
            <w:tcBorders/>
            <w:tcMar>
              <w:bottom w:w="0" w:type="dxa"/>
            </w:tcMar>
            <w:vAlign w:val="center"/>
          </w:tcPr>
          <w:p>
            <w:pPr>
              <w:pStyle w:val="TableContents"/>
              <w:bidi w:val="0"/>
              <w:spacing w:before="0" w:after="0"/>
              <w:jc w:val="right"/>
              <w:rPr>
                <w:sz w:val="16"/>
              </w:rPr>
            </w:pPr>
            <w:r>
              <w:rPr>
                <w:sz w:val="16"/>
              </w:rPr>
              <w:t>196,875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91" w:type="dxa"/>
            <w:tcBorders/>
            <w:tcMar>
              <w:bottom w:w="0" w:type="dxa"/>
            </w:tcMar>
            <w:vAlign w:val="center"/>
          </w:tcPr>
          <w:p>
            <w:pPr>
              <w:pStyle w:val="TableContents"/>
              <w:bidi w:val="0"/>
              <w:spacing w:before="0" w:after="0"/>
              <w:jc w:val="right"/>
              <w:rPr>
                <w:sz w:val="16"/>
              </w:rPr>
            </w:pPr>
            <w:r>
              <w:rPr>
                <w:sz w:val="16"/>
              </w:rPr>
              <w:t>393,750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91" w:type="dxa"/>
            <w:tcBorders/>
            <w:tcMar>
              <w:bottom w:w="0" w:type="dxa"/>
            </w:tcMar>
            <w:vAlign w:val="center"/>
          </w:tcPr>
          <w:p>
            <w:pPr>
              <w:pStyle w:val="TableContents"/>
              <w:bidi w:val="0"/>
              <w:spacing w:before="0" w:after="0"/>
              <w:jc w:val="right"/>
              <w:rPr>
                <w:sz w:val="16"/>
              </w:rPr>
            </w:pPr>
            <w:r>
              <w:rPr>
                <w:sz w:val="16"/>
              </w:rPr>
              <w:t>590,625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9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9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26"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9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26"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1" w:type="dxa"/>
            <w:tcBorders/>
            <w:tcMar>
              <w:bottom w:w="0" w:type="dxa"/>
            </w:tcMar>
            <w:vAlign w:val="center"/>
          </w:tcPr>
          <w:p>
            <w:pPr>
              <w:pStyle w:val="TableContents"/>
              <w:bidi w:val="0"/>
              <w:spacing w:before="0" w:after="0"/>
              <w:jc w:val="left"/>
              <w:rPr>
                <w:sz w:val="16"/>
              </w:rPr>
            </w:pPr>
            <w:r>
              <w:rPr>
                <w:sz w:val="16"/>
              </w:rPr>
              <w:t xml:space="preserve">RSU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466" w:type="dxa"/>
            <w:tcBorders/>
            <w:tcMar>
              <w:bottom w:w="0" w:type="dxa"/>
            </w:tcMar>
            <w:vAlign w:val="center"/>
          </w:tcPr>
          <w:p>
            <w:pPr>
              <w:pStyle w:val="TableContents"/>
              <w:bidi w:val="0"/>
              <w:spacing w:before="0" w:after="0"/>
              <w:jc w:val="right"/>
              <w:rPr>
                <w:sz w:val="16"/>
              </w:rPr>
            </w:pPr>
            <w:r>
              <w:rPr>
                <w:sz w:val="16"/>
              </w:rPr>
              <w:t>9/10/2023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9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9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9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9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9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26"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91" w:type="dxa"/>
            <w:tcBorders/>
            <w:tcMar>
              <w:bottom w:w="0" w:type="dxa"/>
            </w:tcMar>
            <w:vAlign w:val="center"/>
          </w:tcPr>
          <w:p>
            <w:pPr>
              <w:pStyle w:val="TableContents"/>
              <w:bidi w:val="0"/>
              <w:spacing w:before="0" w:after="0"/>
              <w:jc w:val="right"/>
              <w:rPr>
                <w:sz w:val="16"/>
              </w:rPr>
            </w:pPr>
            <w:r>
              <w:rPr>
                <w:sz w:val="16"/>
              </w:rPr>
              <w:t>408,663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26" w:type="dxa"/>
            <w:tcBorders/>
            <w:tcMar>
              <w:bottom w:w="0" w:type="dxa"/>
            </w:tcMar>
            <w:vAlign w:val="center"/>
          </w:tcPr>
          <w:p>
            <w:pPr>
              <w:pStyle w:val="TableContents"/>
              <w:bidi w:val="0"/>
              <w:spacing w:before="0" w:after="0"/>
              <w:jc w:val="right"/>
              <w:rPr>
                <w:sz w:val="16"/>
              </w:rPr>
            </w:pPr>
            <w:r>
              <w:rPr>
                <w:sz w:val="16"/>
              </w:rPr>
              <w:t>2,386,591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1" w:type="dxa"/>
            <w:tcBorders/>
            <w:tcMar>
              <w:bottom w:w="0" w:type="dxa"/>
            </w:tcMar>
            <w:vAlign w:val="center"/>
          </w:tcPr>
          <w:p>
            <w:pPr>
              <w:pStyle w:val="TableContents"/>
              <w:bidi w:val="0"/>
              <w:spacing w:before="0" w:after="0"/>
              <w:jc w:val="left"/>
              <w:rPr>
                <w:sz w:val="16"/>
              </w:rPr>
            </w:pPr>
            <w:r>
              <w:rPr>
                <w:sz w:val="16"/>
              </w:rPr>
              <w:t xml:space="preserve">PSU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466" w:type="dxa"/>
            <w:tcBorders/>
            <w:tcMar>
              <w:bottom w:w="0" w:type="dxa"/>
            </w:tcMar>
            <w:vAlign w:val="center"/>
          </w:tcPr>
          <w:p>
            <w:pPr>
              <w:pStyle w:val="TableContents"/>
              <w:bidi w:val="0"/>
              <w:spacing w:before="0" w:after="0"/>
              <w:jc w:val="right"/>
              <w:rPr>
                <w:sz w:val="16"/>
              </w:rPr>
            </w:pPr>
            <w:r>
              <w:rPr>
                <w:sz w:val="16"/>
              </w:rPr>
              <w:t>9/10/2023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9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9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9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91" w:type="dxa"/>
            <w:tcBorders/>
            <w:tcMar>
              <w:bottom w:w="0" w:type="dxa"/>
            </w:tcMar>
            <w:vAlign w:val="center"/>
          </w:tcPr>
          <w:p>
            <w:pPr>
              <w:pStyle w:val="TableContents"/>
              <w:bidi w:val="0"/>
              <w:spacing w:before="0" w:after="0"/>
              <w:jc w:val="right"/>
              <w:rPr>
                <w:sz w:val="16"/>
              </w:rPr>
            </w:pPr>
            <w:r>
              <w:rPr>
                <w:sz w:val="16"/>
              </w:rPr>
              <w:t>408,664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91" w:type="dxa"/>
            <w:tcBorders/>
            <w:tcMar>
              <w:bottom w:w="0" w:type="dxa"/>
            </w:tcMar>
            <w:vAlign w:val="center"/>
          </w:tcPr>
          <w:p>
            <w:pPr>
              <w:pStyle w:val="TableContents"/>
              <w:bidi w:val="0"/>
              <w:spacing w:before="0" w:after="0"/>
              <w:jc w:val="right"/>
              <w:rPr>
                <w:sz w:val="16"/>
              </w:rPr>
            </w:pPr>
            <w:r>
              <w:rPr>
                <w:sz w:val="16"/>
              </w:rPr>
              <w:t>817,327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26" w:type="dxa"/>
            <w:tcBorders/>
            <w:tcMar>
              <w:bottom w:w="0" w:type="dxa"/>
            </w:tcMar>
            <w:vAlign w:val="center"/>
          </w:tcPr>
          <w:p>
            <w:pPr>
              <w:pStyle w:val="TableContents"/>
              <w:bidi w:val="0"/>
              <w:spacing w:before="0" w:after="0"/>
              <w:jc w:val="right"/>
              <w:rPr>
                <w:sz w:val="16"/>
              </w:rPr>
            </w:pPr>
            <w:r>
              <w:rPr>
                <w:sz w:val="16"/>
              </w:rPr>
              <w:t>1,225,991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9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26" w:type="dxa"/>
            <w:tcBorders/>
            <w:tcMar>
              <w:bottom w:w="0" w:type="dxa"/>
            </w:tcMar>
            <w:vAlign w:val="center"/>
          </w:tcPr>
          <w:p>
            <w:pPr>
              <w:pStyle w:val="TableContents"/>
              <w:bidi w:val="0"/>
              <w:spacing w:before="0" w:after="0"/>
              <w:jc w:val="right"/>
              <w:rPr>
                <w:sz w:val="16"/>
              </w:rPr>
            </w:pPr>
            <w:r>
              <w:rPr>
                <w:sz w:val="16"/>
              </w:rPr>
              <w:t>4,773,189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4" w:space="0" w:color="000000"/>
            </w:tcBorders>
            <w:vAlign w:val="center"/>
          </w:tcPr>
          <w:p>
            <w:pPr>
              <w:pStyle w:val="TableContents"/>
              <w:bidi w:val="0"/>
              <w:spacing w:before="0" w:after="283"/>
              <w:jc w:val="left"/>
              <w:rPr/>
            </w:pPr>
            <w:r>
              <w:rPr/>
              <w:t>​</w:t>
            </w:r>
          </w:p>
        </w:tc>
        <w:tc>
          <w:tcPr>
            <w:tcW w:w="901" w:type="dxa"/>
            <w:tcBorders>
              <w:bottom w:val="single" w:sz="4" w:space="0" w:color="000000"/>
            </w:tcBorders>
            <w:tcMar>
              <w:bottom w:w="85" w:type="dxa"/>
            </w:tcMar>
            <w:vAlign w:val="center"/>
          </w:tcPr>
          <w:p>
            <w:pPr>
              <w:pStyle w:val="TableContents"/>
              <w:bidi w:val="0"/>
              <w:spacing w:before="0" w:after="0"/>
              <w:jc w:val="left"/>
              <w:rPr>
                <w:sz w:val="16"/>
              </w:rPr>
            </w:pPr>
            <w:r>
              <w:rPr>
                <w:sz w:val="16"/>
              </w:rPr>
              <w:t xml:space="preserve">Stock Options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85" w:type="dxa"/>
            </w:tcMar>
            <w:vAlign w:val="center"/>
          </w:tcPr>
          <w:p>
            <w:pPr>
              <w:pStyle w:val="TableContents"/>
              <w:bidi w:val="0"/>
              <w:spacing w:before="0" w:after="0"/>
              <w:jc w:val="right"/>
              <w:rPr/>
            </w:pPr>
            <w:r>
              <w:rPr/>
              <w:t>​</w:t>
            </w:r>
          </w:p>
        </w:tc>
        <w:tc>
          <w:tcPr>
            <w:tcW w:w="466" w:type="dxa"/>
            <w:tcBorders>
              <w:bottom w:val="single" w:sz="4" w:space="0" w:color="000000"/>
            </w:tcBorders>
            <w:tcMar>
              <w:bottom w:w="85" w:type="dxa"/>
            </w:tcMar>
            <w:vAlign w:val="center"/>
          </w:tcPr>
          <w:p>
            <w:pPr>
              <w:pStyle w:val="TableContents"/>
              <w:bidi w:val="0"/>
              <w:spacing w:before="0" w:after="0"/>
              <w:jc w:val="right"/>
              <w:rPr>
                <w:sz w:val="16"/>
              </w:rPr>
            </w:pPr>
            <w:r>
              <w:rPr>
                <w:sz w:val="16"/>
              </w:rPr>
              <w:t>9/10/2023</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85" w:type="dxa"/>
            </w:tcMar>
            <w:vAlign w:val="center"/>
          </w:tcPr>
          <w:p>
            <w:pPr>
              <w:pStyle w:val="TableContents"/>
              <w:bidi w:val="0"/>
              <w:spacing w:before="0" w:after="0"/>
              <w:jc w:val="right"/>
              <w:rPr/>
            </w:pPr>
            <w:r>
              <w:rPr/>
              <w:t>​</w:t>
            </w:r>
          </w:p>
        </w:tc>
        <w:tc>
          <w:tcPr>
            <w:tcW w:w="691" w:type="dxa"/>
            <w:tcBorders>
              <w:bottom w:val="single" w:sz="4" w:space="0" w:color="000000"/>
            </w:tcBorders>
            <w:tcMar>
              <w:bottom w:w="85" w:type="dxa"/>
            </w:tcMar>
            <w:vAlign w:val="center"/>
          </w:tcPr>
          <w:p>
            <w:pPr>
              <w:pStyle w:val="TableContents"/>
              <w:bidi w:val="0"/>
              <w:spacing w:before="0" w:after="0"/>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85" w:type="dxa"/>
            </w:tcMar>
            <w:vAlign w:val="center"/>
          </w:tcPr>
          <w:p>
            <w:pPr>
              <w:pStyle w:val="TableContents"/>
              <w:bidi w:val="0"/>
              <w:spacing w:before="0" w:after="0"/>
              <w:jc w:val="right"/>
              <w:rPr/>
            </w:pPr>
            <w:r>
              <w:rPr/>
              <w:t>​</w:t>
            </w:r>
          </w:p>
        </w:tc>
        <w:tc>
          <w:tcPr>
            <w:tcW w:w="691" w:type="dxa"/>
            <w:tcBorders>
              <w:bottom w:val="single" w:sz="4" w:space="0" w:color="000000"/>
            </w:tcBorders>
            <w:tcMar>
              <w:bottom w:w="85" w:type="dxa"/>
            </w:tcMar>
            <w:vAlign w:val="center"/>
          </w:tcPr>
          <w:p>
            <w:pPr>
              <w:pStyle w:val="TableContents"/>
              <w:bidi w:val="0"/>
              <w:spacing w:before="0" w:after="0"/>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85" w:type="dxa"/>
            </w:tcMar>
            <w:vAlign w:val="center"/>
          </w:tcPr>
          <w:p>
            <w:pPr>
              <w:pStyle w:val="TableContents"/>
              <w:bidi w:val="0"/>
              <w:spacing w:before="0" w:after="0"/>
              <w:jc w:val="right"/>
              <w:rPr/>
            </w:pPr>
            <w:r>
              <w:rPr/>
              <w:t>​</w:t>
            </w:r>
          </w:p>
        </w:tc>
        <w:tc>
          <w:tcPr>
            <w:tcW w:w="691" w:type="dxa"/>
            <w:tcBorders>
              <w:bottom w:val="single" w:sz="4" w:space="0" w:color="000000"/>
            </w:tcBorders>
            <w:tcMar>
              <w:bottom w:w="85" w:type="dxa"/>
            </w:tcMar>
            <w:vAlign w:val="center"/>
          </w:tcPr>
          <w:p>
            <w:pPr>
              <w:pStyle w:val="TableContents"/>
              <w:bidi w:val="0"/>
              <w:spacing w:before="0" w:after="0"/>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85" w:type="dxa"/>
            </w:tcMar>
            <w:vAlign w:val="center"/>
          </w:tcPr>
          <w:p>
            <w:pPr>
              <w:pStyle w:val="TableContents"/>
              <w:bidi w:val="0"/>
              <w:spacing w:before="0" w:after="0"/>
              <w:jc w:val="right"/>
              <w:rPr/>
            </w:pPr>
            <w:r>
              <w:rPr/>
              <w:t>​</w:t>
            </w:r>
          </w:p>
        </w:tc>
        <w:tc>
          <w:tcPr>
            <w:tcW w:w="691" w:type="dxa"/>
            <w:tcBorders>
              <w:bottom w:val="single" w:sz="4" w:space="0" w:color="000000"/>
            </w:tcBorders>
            <w:tcMar>
              <w:bottom w:w="85" w:type="dxa"/>
            </w:tcMar>
            <w:vAlign w:val="center"/>
          </w:tcPr>
          <w:p>
            <w:pPr>
              <w:pStyle w:val="TableContents"/>
              <w:bidi w:val="0"/>
              <w:spacing w:before="0" w:after="0"/>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85" w:type="dxa"/>
            </w:tcMar>
            <w:vAlign w:val="center"/>
          </w:tcPr>
          <w:p>
            <w:pPr>
              <w:pStyle w:val="TableContents"/>
              <w:bidi w:val="0"/>
              <w:spacing w:before="0" w:after="0"/>
              <w:jc w:val="right"/>
              <w:rPr/>
            </w:pPr>
            <w:r>
              <w:rPr/>
              <w:t>​</w:t>
            </w:r>
          </w:p>
        </w:tc>
        <w:tc>
          <w:tcPr>
            <w:tcW w:w="691" w:type="dxa"/>
            <w:tcBorders>
              <w:bottom w:val="single" w:sz="4" w:space="0" w:color="000000"/>
            </w:tcBorders>
            <w:tcMar>
              <w:bottom w:w="85" w:type="dxa"/>
            </w:tcMar>
            <w:vAlign w:val="center"/>
          </w:tcPr>
          <w:p>
            <w:pPr>
              <w:pStyle w:val="TableContents"/>
              <w:bidi w:val="0"/>
              <w:spacing w:before="0" w:after="0"/>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85" w:type="dxa"/>
            </w:tcMar>
            <w:vAlign w:val="center"/>
          </w:tcPr>
          <w:p>
            <w:pPr>
              <w:pStyle w:val="TableContents"/>
              <w:bidi w:val="0"/>
              <w:spacing w:before="0" w:after="0"/>
              <w:jc w:val="right"/>
              <w:rPr/>
            </w:pPr>
            <w:r>
              <w:rPr/>
              <w:t>​</w:t>
            </w:r>
          </w:p>
        </w:tc>
        <w:tc>
          <w:tcPr>
            <w:tcW w:w="826" w:type="dxa"/>
            <w:tcBorders>
              <w:bottom w:val="single" w:sz="4" w:space="0" w:color="000000"/>
            </w:tcBorders>
            <w:tcMar>
              <w:bottom w:w="85" w:type="dxa"/>
            </w:tcMar>
            <w:vAlign w:val="center"/>
          </w:tcPr>
          <w:p>
            <w:pPr>
              <w:pStyle w:val="TableContents"/>
              <w:bidi w:val="0"/>
              <w:spacing w:before="0" w:after="0"/>
              <w:jc w:val="righ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85" w:type="dxa"/>
            </w:tcMar>
            <w:vAlign w:val="center"/>
          </w:tcPr>
          <w:p>
            <w:pPr>
              <w:pStyle w:val="TableContents"/>
              <w:bidi w:val="0"/>
              <w:spacing w:before="0" w:after="0"/>
              <w:jc w:val="right"/>
              <w:rPr/>
            </w:pPr>
            <w:r>
              <w:rPr/>
              <w:t>​</w:t>
            </w:r>
          </w:p>
        </w:tc>
        <w:tc>
          <w:tcPr>
            <w:tcW w:w="691" w:type="dxa"/>
            <w:tcBorders>
              <w:bottom w:val="single" w:sz="4" w:space="0" w:color="000000"/>
            </w:tcBorders>
            <w:tcMar>
              <w:bottom w:w="85" w:type="dxa"/>
            </w:tcMar>
            <w:vAlign w:val="center"/>
          </w:tcPr>
          <w:p>
            <w:pPr>
              <w:pStyle w:val="TableContents"/>
              <w:bidi w:val="0"/>
              <w:spacing w:before="0" w:after="0"/>
              <w:jc w:val="right"/>
              <w:rPr>
                <w:sz w:val="16"/>
              </w:rPr>
            </w:pPr>
            <w:r>
              <w:rPr>
                <w:sz w:val="16"/>
              </w:rPr>
              <w:t>408,663</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tcMar>
              <w:bottom w:w="85" w:type="dxa"/>
            </w:tcMar>
            <w:vAlign w:val="center"/>
          </w:tcPr>
          <w:p>
            <w:pPr>
              <w:pStyle w:val="TableContents"/>
              <w:bidi w:val="0"/>
              <w:spacing w:before="0" w:after="0"/>
              <w:jc w:val="right"/>
              <w:rPr/>
            </w:pPr>
            <w:r>
              <w:rPr/>
              <w:t>​</w:t>
            </w:r>
          </w:p>
        </w:tc>
        <w:tc>
          <w:tcPr>
            <w:tcW w:w="826" w:type="dxa"/>
            <w:tcBorders>
              <w:bottom w:val="single" w:sz="4" w:space="0" w:color="000000"/>
            </w:tcBorders>
            <w:tcMar>
              <w:bottom w:w="85" w:type="dxa"/>
            </w:tcMar>
            <w:vAlign w:val="center"/>
          </w:tcPr>
          <w:p>
            <w:pPr>
              <w:pStyle w:val="TableContents"/>
              <w:bidi w:val="0"/>
              <w:spacing w:before="0" w:after="0"/>
              <w:jc w:val="right"/>
              <w:rPr>
                <w:sz w:val="16"/>
              </w:rPr>
            </w:pPr>
            <w:r>
              <w:rPr>
                <w:sz w:val="16"/>
              </w:rPr>
              <w:t>1,548,832</w:t>
            </w:r>
          </w:p>
        </w:tc>
        <w:tc>
          <w:tcPr>
            <w:tcW w:w="109" w:type="dxa"/>
            <w:tcBorders>
              <w:bottom w:val="single" w:sz="4" w:space="0" w:color="000000"/>
            </w:tcBorders>
            <w:vAlign w:val="center"/>
          </w:tcPr>
          <w:p>
            <w:pPr>
              <w:pStyle w:val="TableContents"/>
              <w:bidi w:val="0"/>
              <w:spacing w:before="0" w:after="283"/>
              <w:jc w:val="left"/>
              <w:rPr/>
            </w:pPr>
            <w:r>
              <w:rPr/>
              <w:t>​</w:t>
            </w:r>
          </w:p>
        </w:tc>
        <w:tc>
          <w:tcPr>
            <w:tcW w:w="154" w:type="dxa"/>
            <w:tcBorders>
              <w:bottom w:val="single" w:sz="4" w:space="0" w:color="000000"/>
            </w:tcBorders>
            <w:vAlign w:val="center"/>
          </w:tcPr>
          <w:p>
            <w:pPr>
              <w:pStyle w:val="TableContents"/>
              <w:bidi w:val="0"/>
              <w:spacing w:before="0" w:after="283"/>
              <w:jc w:val="left"/>
              <w:rPr/>
            </w:pPr>
            <w:r>
              <w:rPr/>
              <w:t>​</w:t>
            </w:r>
          </w:p>
        </w:tc>
      </w:tr>
      <w:tr>
        <w:trPr/>
        <w:tc>
          <w:tcPr>
            <w:tcW w:w="124" w:type="dxa"/>
            <w:tcBorders/>
            <w:shd w:fill="F7F7F7" w:val="clear"/>
            <w:tcMar>
              <w:bottom w:w="0" w:type="dxa"/>
            </w:tcMar>
            <w:vAlign w:val="center"/>
          </w:tcPr>
          <w:p>
            <w:pPr>
              <w:pStyle w:val="TableContents"/>
              <w:bidi w:val="0"/>
              <w:spacing w:before="0" w:after="283"/>
              <w:jc w:val="left"/>
              <w:rPr/>
            </w:pPr>
            <w:r>
              <w:rPr/>
              <w:t>​</w:t>
            </w:r>
          </w:p>
        </w:tc>
        <w:tc>
          <w:tcPr>
            <w:tcW w:w="901" w:type="dxa"/>
            <w:tcBorders/>
            <w:shd w:fill="F7F7F7" w:val="clear"/>
            <w:tcMar>
              <w:bottom w:w="0" w:type="dxa"/>
            </w:tcMar>
            <w:vAlign w:val="center"/>
          </w:tcPr>
          <w:p>
            <w:pPr>
              <w:pStyle w:val="TableContents"/>
              <w:bidi w:val="0"/>
              <w:spacing w:before="0" w:after="0"/>
              <w:jc w:val="left"/>
              <w:rPr>
                <w:sz w:val="16"/>
              </w:rPr>
            </w:pPr>
            <w:r>
              <w:rPr>
                <w:sz w:val="16"/>
              </w:rPr>
              <w:t>Sherry House</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46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691"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691"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691"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691"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691"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82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691"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82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54" w:type="dxa"/>
            <w:tcBorders/>
            <w:shd w:fill="F7F7F7" w:val="clear"/>
            <w:tcMar>
              <w:bottom w:w="0" w:type="dxa"/>
            </w:tcMar>
            <w:vAlign w:val="center"/>
          </w:tcPr>
          <w:p>
            <w:pPr>
              <w:pStyle w:val="TableContents"/>
              <w:bidi w:val="0"/>
              <w:spacing w:before="0" w:after="283"/>
              <w:jc w:val="left"/>
              <w:rPr/>
            </w:pPr>
            <w:r>
              <w:rPr/>
              <w:t>​</w:t>
            </w:r>
          </w:p>
        </w:tc>
      </w:tr>
      <w:tr>
        <w:trPr/>
        <w:tc>
          <w:tcPr>
            <w:tcW w:w="124" w:type="dxa"/>
            <w:tcBorders/>
            <w:shd w:fill="F7F7F7" w:val="clear"/>
            <w:tcMar>
              <w:bottom w:w="0" w:type="dxa"/>
            </w:tcMar>
            <w:vAlign w:val="center"/>
          </w:tcPr>
          <w:p>
            <w:pPr>
              <w:pStyle w:val="TableContents"/>
              <w:bidi w:val="0"/>
              <w:spacing w:before="0" w:after="283"/>
              <w:jc w:val="left"/>
              <w:rPr/>
            </w:pPr>
            <w:r>
              <w:rPr/>
              <w:t>​</w:t>
            </w:r>
          </w:p>
        </w:tc>
        <w:tc>
          <w:tcPr>
            <w:tcW w:w="901" w:type="dxa"/>
            <w:tcBorders/>
            <w:shd w:fill="F7F7F7" w:val="clear"/>
            <w:tcMar>
              <w:bottom w:w="0" w:type="dxa"/>
            </w:tcMar>
            <w:vAlign w:val="center"/>
          </w:tcPr>
          <w:p>
            <w:pPr>
              <w:pStyle w:val="TableContents"/>
              <w:bidi w:val="0"/>
              <w:spacing w:before="0" w:after="0"/>
              <w:jc w:val="left"/>
              <w:rPr>
                <w:sz w:val="16"/>
              </w:rPr>
            </w:pPr>
            <w:r>
              <w:rPr>
                <w:sz w:val="16"/>
              </w:rPr>
              <w:t xml:space="preserve">2023 Annual Cash </w:t>
              <w:br/>
              <w:t>Incentive</w:t>
            </w:r>
            <w:r>
              <w:rPr>
                <w:sz w:val="10"/>
              </w:rPr>
              <w:t>(1)</w:t>
            </w:r>
            <w:r>
              <w:rPr>
                <w:sz w:val="16"/>
              </w:rPr>
              <w:t xml:space="preserve"> </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466"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sz w:val="16"/>
              </w:rPr>
            </w:pPr>
            <w:r>
              <w:rPr>
                <w:sz w:val="16"/>
              </w:rPr>
              <w:t>215,625</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sz w:val="16"/>
              </w:rPr>
            </w:pPr>
            <w:r>
              <w:rPr>
                <w:sz w:val="16"/>
              </w:rPr>
              <w:t>431,250</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sz w:val="16"/>
              </w:rPr>
            </w:pPr>
            <w:r>
              <w:rPr>
                <w:sz w:val="16"/>
              </w:rPr>
              <w:t>646,875</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826"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826"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54" w:type="dxa"/>
            <w:tcBorders/>
            <w:shd w:fill="F7F7F7" w:val="clear"/>
            <w:tcMar>
              <w:bottom w:w="0" w:type="dxa"/>
            </w:tcMar>
            <w:vAlign w:val="center"/>
          </w:tcPr>
          <w:p>
            <w:pPr>
              <w:pStyle w:val="TableContents"/>
              <w:bidi w:val="0"/>
              <w:spacing w:before="0" w:after="283"/>
              <w:jc w:val="left"/>
              <w:rPr/>
            </w:pPr>
            <w:r>
              <w:rPr/>
              <w:t>​</w:t>
            </w:r>
          </w:p>
        </w:tc>
      </w:tr>
      <w:tr>
        <w:trPr/>
        <w:tc>
          <w:tcPr>
            <w:tcW w:w="124" w:type="dxa"/>
            <w:tcBorders/>
            <w:shd w:fill="F7F7F7" w:val="clear"/>
            <w:tcMar>
              <w:bottom w:w="0" w:type="dxa"/>
            </w:tcMar>
            <w:vAlign w:val="center"/>
          </w:tcPr>
          <w:p>
            <w:pPr>
              <w:pStyle w:val="TableContents"/>
              <w:bidi w:val="0"/>
              <w:spacing w:before="0" w:after="283"/>
              <w:jc w:val="left"/>
              <w:rPr/>
            </w:pPr>
            <w:r>
              <w:rPr/>
              <w:t>​</w:t>
            </w:r>
          </w:p>
        </w:tc>
        <w:tc>
          <w:tcPr>
            <w:tcW w:w="901" w:type="dxa"/>
            <w:tcBorders/>
            <w:shd w:fill="F7F7F7" w:val="clear"/>
            <w:tcMar>
              <w:bottom w:w="0" w:type="dxa"/>
            </w:tcMar>
            <w:vAlign w:val="center"/>
          </w:tcPr>
          <w:p>
            <w:pPr>
              <w:pStyle w:val="TableContents"/>
              <w:bidi w:val="0"/>
              <w:spacing w:before="0" w:after="0"/>
              <w:jc w:val="left"/>
              <w:rPr>
                <w:sz w:val="16"/>
              </w:rPr>
            </w:pPr>
            <w:r>
              <w:rPr>
                <w:sz w:val="16"/>
              </w:rPr>
              <w:t xml:space="preserve">RSU </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466" w:type="dxa"/>
            <w:tcBorders/>
            <w:shd w:fill="F7F7F7" w:val="clear"/>
            <w:tcMar>
              <w:bottom w:w="0" w:type="dxa"/>
            </w:tcMar>
            <w:vAlign w:val="center"/>
          </w:tcPr>
          <w:p>
            <w:pPr>
              <w:pStyle w:val="TableContents"/>
              <w:bidi w:val="0"/>
              <w:spacing w:before="0" w:after="0"/>
              <w:jc w:val="right"/>
              <w:rPr>
                <w:sz w:val="16"/>
              </w:rPr>
            </w:pPr>
            <w:r>
              <w:rPr>
                <w:sz w:val="16"/>
              </w:rPr>
              <w:t>09/10/2023</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826"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sz w:val="16"/>
              </w:rPr>
            </w:pPr>
            <w:r>
              <w:rPr>
                <w:sz w:val="16"/>
              </w:rPr>
              <w:t>408,663</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826" w:type="dxa"/>
            <w:tcBorders/>
            <w:shd w:fill="F7F7F7" w:val="clear"/>
            <w:tcMar>
              <w:bottom w:w="0" w:type="dxa"/>
            </w:tcMar>
            <w:vAlign w:val="center"/>
          </w:tcPr>
          <w:p>
            <w:pPr>
              <w:pStyle w:val="TableContents"/>
              <w:bidi w:val="0"/>
              <w:spacing w:before="0" w:after="0"/>
              <w:jc w:val="right"/>
              <w:rPr>
                <w:sz w:val="16"/>
              </w:rPr>
            </w:pPr>
            <w:r>
              <w:rPr>
                <w:sz w:val="16"/>
              </w:rPr>
              <w:t>2,386,591</w:t>
            </w:r>
          </w:p>
        </w:tc>
        <w:tc>
          <w:tcPr>
            <w:tcW w:w="109" w:type="dxa"/>
            <w:tcBorders/>
            <w:shd w:fill="F7F7F7" w:val="clear"/>
            <w:tcMar>
              <w:bottom w:w="0" w:type="dxa"/>
            </w:tcMar>
            <w:vAlign w:val="center"/>
          </w:tcPr>
          <w:p>
            <w:pPr>
              <w:pStyle w:val="TableContents"/>
              <w:bidi w:val="0"/>
              <w:spacing w:before="0" w:after="283"/>
              <w:jc w:val="left"/>
              <w:rPr/>
            </w:pPr>
            <w:r>
              <w:rPr/>
              <w:t>​</w:t>
            </w:r>
          </w:p>
        </w:tc>
        <w:tc>
          <w:tcPr>
            <w:tcW w:w="154" w:type="dxa"/>
            <w:tcBorders/>
            <w:shd w:fill="F7F7F7" w:val="clear"/>
            <w:tcMar>
              <w:bottom w:w="0" w:type="dxa"/>
            </w:tcMar>
            <w:vAlign w:val="center"/>
          </w:tcPr>
          <w:p>
            <w:pPr>
              <w:pStyle w:val="TableContents"/>
              <w:bidi w:val="0"/>
              <w:spacing w:before="0" w:after="283"/>
              <w:jc w:val="left"/>
              <w:rPr/>
            </w:pPr>
            <w:r>
              <w:rPr/>
              <w:t>​</w:t>
            </w:r>
          </w:p>
        </w:tc>
      </w:tr>
      <w:tr>
        <w:trPr/>
        <w:tc>
          <w:tcPr>
            <w:tcW w:w="124" w:type="dxa"/>
            <w:tcBorders/>
            <w:shd w:fill="F7F7F7" w:val="clear"/>
            <w:tcMar>
              <w:bottom w:w="0" w:type="dxa"/>
            </w:tcMar>
            <w:vAlign w:val="center"/>
          </w:tcPr>
          <w:p>
            <w:pPr>
              <w:pStyle w:val="TableContents"/>
              <w:bidi w:val="0"/>
              <w:spacing w:before="0" w:after="283"/>
              <w:jc w:val="left"/>
              <w:rPr/>
            </w:pPr>
            <w:r>
              <w:rPr/>
              <w:t>​</w:t>
            </w:r>
          </w:p>
        </w:tc>
        <w:tc>
          <w:tcPr>
            <w:tcW w:w="901" w:type="dxa"/>
            <w:tcBorders/>
            <w:shd w:fill="F7F7F7" w:val="clear"/>
            <w:tcMar>
              <w:bottom w:w="0" w:type="dxa"/>
            </w:tcMar>
            <w:vAlign w:val="center"/>
          </w:tcPr>
          <w:p>
            <w:pPr>
              <w:pStyle w:val="TableContents"/>
              <w:bidi w:val="0"/>
              <w:spacing w:before="0" w:after="0"/>
              <w:jc w:val="left"/>
              <w:rPr>
                <w:sz w:val="16"/>
              </w:rPr>
            </w:pPr>
            <w:r>
              <w:rPr>
                <w:sz w:val="16"/>
              </w:rPr>
              <w:t xml:space="preserve">PSU </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466" w:type="dxa"/>
            <w:tcBorders/>
            <w:shd w:fill="F7F7F7" w:val="clear"/>
            <w:tcMar>
              <w:bottom w:w="0" w:type="dxa"/>
            </w:tcMar>
            <w:vAlign w:val="center"/>
          </w:tcPr>
          <w:p>
            <w:pPr>
              <w:pStyle w:val="TableContents"/>
              <w:bidi w:val="0"/>
              <w:spacing w:before="0" w:after="0"/>
              <w:jc w:val="right"/>
              <w:rPr>
                <w:sz w:val="16"/>
              </w:rPr>
            </w:pPr>
            <w:r>
              <w:rPr>
                <w:sz w:val="16"/>
              </w:rPr>
              <w:t>09/10/2023</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sz w:val="16"/>
              </w:rPr>
            </w:pPr>
            <w:r>
              <w:rPr>
                <w:sz w:val="16"/>
              </w:rPr>
              <w:t>408,664</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sz w:val="16"/>
              </w:rPr>
            </w:pPr>
            <w:r>
              <w:rPr>
                <w:sz w:val="16"/>
              </w:rPr>
              <w:t>817,327</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826" w:type="dxa"/>
            <w:tcBorders/>
            <w:shd w:fill="F7F7F7" w:val="clear"/>
            <w:tcMar>
              <w:bottom w:w="0" w:type="dxa"/>
            </w:tcMar>
            <w:vAlign w:val="center"/>
          </w:tcPr>
          <w:p>
            <w:pPr>
              <w:pStyle w:val="TableContents"/>
              <w:bidi w:val="0"/>
              <w:spacing w:before="0" w:after="0"/>
              <w:jc w:val="right"/>
              <w:rPr>
                <w:sz w:val="16"/>
              </w:rPr>
            </w:pPr>
            <w:r>
              <w:rPr>
                <w:sz w:val="16"/>
              </w:rPr>
              <w:t>1,225,991</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691" w:type="dxa"/>
            <w:tcBorders/>
            <w:shd w:fill="F7F7F7" w:val="clear"/>
            <w:tcMar>
              <w:bottom w:w="0" w:type="dxa"/>
            </w:tcMar>
            <w:vAlign w:val="center"/>
          </w:tcPr>
          <w:p>
            <w:pPr>
              <w:pStyle w:val="TableContents"/>
              <w:bidi w:val="0"/>
              <w:spacing w:before="0" w:after="0"/>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0"/>
              <w:jc w:val="right"/>
              <w:rPr/>
            </w:pPr>
            <w:r>
              <w:rPr/>
              <w:t>​</w:t>
            </w:r>
          </w:p>
        </w:tc>
        <w:tc>
          <w:tcPr>
            <w:tcW w:w="826" w:type="dxa"/>
            <w:tcBorders/>
            <w:shd w:fill="F7F7F7" w:val="clear"/>
            <w:tcMar>
              <w:bottom w:w="0" w:type="dxa"/>
            </w:tcMar>
            <w:vAlign w:val="center"/>
          </w:tcPr>
          <w:p>
            <w:pPr>
              <w:pStyle w:val="TableContents"/>
              <w:bidi w:val="0"/>
              <w:spacing w:before="0" w:after="0"/>
              <w:jc w:val="right"/>
              <w:rPr>
                <w:sz w:val="16"/>
              </w:rPr>
            </w:pPr>
            <w:r>
              <w:rPr>
                <w:sz w:val="16"/>
              </w:rPr>
              <w:t>4,773,189</w:t>
            </w:r>
          </w:p>
        </w:tc>
        <w:tc>
          <w:tcPr>
            <w:tcW w:w="109" w:type="dxa"/>
            <w:tcBorders/>
            <w:shd w:fill="F7F7F7" w:val="clear"/>
            <w:tcMar>
              <w:bottom w:w="0" w:type="dxa"/>
            </w:tcMar>
            <w:vAlign w:val="center"/>
          </w:tcPr>
          <w:p>
            <w:pPr>
              <w:pStyle w:val="TableContents"/>
              <w:bidi w:val="0"/>
              <w:spacing w:before="0" w:after="283"/>
              <w:jc w:val="left"/>
              <w:rPr/>
            </w:pPr>
            <w:r>
              <w:rPr/>
              <w:t>​</w:t>
            </w:r>
          </w:p>
        </w:tc>
        <w:tc>
          <w:tcPr>
            <w:tcW w:w="154" w:type="dxa"/>
            <w:tcBorders/>
            <w:shd w:fill="F7F7F7"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vAlign w:val="center"/>
          </w:tcPr>
          <w:p>
            <w:pPr>
              <w:pStyle w:val="TableContents"/>
              <w:bidi w:val="0"/>
              <w:spacing w:before="0" w:after="283"/>
              <w:jc w:val="left"/>
              <w:rPr/>
            </w:pPr>
            <w:r>
              <w:rPr/>
              <w:t>​</w:t>
            </w:r>
          </w:p>
        </w:tc>
        <w:tc>
          <w:tcPr>
            <w:tcW w:w="901" w:type="dxa"/>
            <w:tcBorders>
              <w:bottom w:val="single" w:sz="6" w:space="0" w:color="000000"/>
            </w:tcBorders>
            <w:shd w:fill="F7F7F7" w:val="clear"/>
            <w:tcMar>
              <w:bottom w:w="80" w:type="dxa"/>
            </w:tcMar>
            <w:vAlign w:val="center"/>
          </w:tcPr>
          <w:p>
            <w:pPr>
              <w:pStyle w:val="TableContents"/>
              <w:bidi w:val="0"/>
              <w:spacing w:before="0" w:after="0"/>
              <w:jc w:val="left"/>
              <w:rPr>
                <w:sz w:val="16"/>
              </w:rPr>
            </w:pPr>
            <w:r>
              <w:rPr>
                <w:sz w:val="16"/>
              </w:rPr>
              <w:t xml:space="preserve">Stock Options </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80" w:type="dxa"/>
            </w:tcMar>
            <w:vAlign w:val="center"/>
          </w:tcPr>
          <w:p>
            <w:pPr>
              <w:pStyle w:val="TableContents"/>
              <w:bidi w:val="0"/>
              <w:spacing w:before="0" w:after="0"/>
              <w:jc w:val="right"/>
              <w:rPr/>
            </w:pPr>
            <w:r>
              <w:rPr/>
              <w:t>​</w:t>
            </w:r>
          </w:p>
        </w:tc>
        <w:tc>
          <w:tcPr>
            <w:tcW w:w="466" w:type="dxa"/>
            <w:tcBorders>
              <w:bottom w:val="single" w:sz="6" w:space="0" w:color="000000"/>
            </w:tcBorders>
            <w:shd w:fill="F7F7F7" w:val="clear"/>
            <w:tcMar>
              <w:bottom w:w="80" w:type="dxa"/>
            </w:tcMar>
            <w:vAlign w:val="center"/>
          </w:tcPr>
          <w:p>
            <w:pPr>
              <w:pStyle w:val="TableContents"/>
              <w:bidi w:val="0"/>
              <w:spacing w:before="0" w:after="0"/>
              <w:jc w:val="right"/>
              <w:rPr>
                <w:sz w:val="16"/>
              </w:rPr>
            </w:pPr>
            <w:r>
              <w:rPr>
                <w:sz w:val="16"/>
              </w:rPr>
              <w:t>09/10/2023</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80" w:type="dxa"/>
            </w:tcMar>
            <w:vAlign w:val="center"/>
          </w:tcPr>
          <w:p>
            <w:pPr>
              <w:pStyle w:val="TableContents"/>
              <w:bidi w:val="0"/>
              <w:spacing w:before="0" w:after="0"/>
              <w:jc w:val="right"/>
              <w:rPr/>
            </w:pPr>
            <w:r>
              <w:rPr/>
              <w:t>​</w:t>
            </w:r>
          </w:p>
        </w:tc>
        <w:tc>
          <w:tcPr>
            <w:tcW w:w="691" w:type="dxa"/>
            <w:tcBorders>
              <w:bottom w:val="single" w:sz="6" w:space="0" w:color="000000"/>
            </w:tcBorders>
            <w:shd w:fill="F7F7F7" w:val="clear"/>
            <w:tcMar>
              <w:bottom w:w="80" w:type="dxa"/>
            </w:tcMar>
            <w:vAlign w:val="center"/>
          </w:tcPr>
          <w:p>
            <w:pPr>
              <w:pStyle w:val="TableContents"/>
              <w:bidi w:val="0"/>
              <w:spacing w:before="0" w:after="0"/>
              <w:jc w:val="righ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80" w:type="dxa"/>
            </w:tcMar>
            <w:vAlign w:val="center"/>
          </w:tcPr>
          <w:p>
            <w:pPr>
              <w:pStyle w:val="TableContents"/>
              <w:bidi w:val="0"/>
              <w:spacing w:before="0" w:after="0"/>
              <w:jc w:val="right"/>
              <w:rPr/>
            </w:pPr>
            <w:r>
              <w:rPr/>
              <w:t>​</w:t>
            </w:r>
          </w:p>
        </w:tc>
        <w:tc>
          <w:tcPr>
            <w:tcW w:w="691" w:type="dxa"/>
            <w:tcBorders>
              <w:bottom w:val="single" w:sz="6" w:space="0" w:color="000000"/>
            </w:tcBorders>
            <w:shd w:fill="F7F7F7" w:val="clear"/>
            <w:tcMar>
              <w:bottom w:w="80" w:type="dxa"/>
            </w:tcMar>
            <w:vAlign w:val="center"/>
          </w:tcPr>
          <w:p>
            <w:pPr>
              <w:pStyle w:val="TableContents"/>
              <w:bidi w:val="0"/>
              <w:spacing w:before="0" w:after="0"/>
              <w:jc w:val="righ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80" w:type="dxa"/>
            </w:tcMar>
            <w:vAlign w:val="center"/>
          </w:tcPr>
          <w:p>
            <w:pPr>
              <w:pStyle w:val="TableContents"/>
              <w:bidi w:val="0"/>
              <w:spacing w:before="0" w:after="0"/>
              <w:jc w:val="right"/>
              <w:rPr/>
            </w:pPr>
            <w:r>
              <w:rPr/>
              <w:t>​</w:t>
            </w:r>
          </w:p>
        </w:tc>
        <w:tc>
          <w:tcPr>
            <w:tcW w:w="691" w:type="dxa"/>
            <w:tcBorders>
              <w:bottom w:val="single" w:sz="6" w:space="0" w:color="000000"/>
            </w:tcBorders>
            <w:shd w:fill="F7F7F7" w:val="clear"/>
            <w:tcMar>
              <w:bottom w:w="80" w:type="dxa"/>
            </w:tcMar>
            <w:vAlign w:val="center"/>
          </w:tcPr>
          <w:p>
            <w:pPr>
              <w:pStyle w:val="TableContents"/>
              <w:bidi w:val="0"/>
              <w:spacing w:before="0" w:after="0"/>
              <w:jc w:val="righ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80" w:type="dxa"/>
            </w:tcMar>
            <w:vAlign w:val="center"/>
          </w:tcPr>
          <w:p>
            <w:pPr>
              <w:pStyle w:val="TableContents"/>
              <w:bidi w:val="0"/>
              <w:spacing w:before="0" w:after="0"/>
              <w:jc w:val="right"/>
              <w:rPr/>
            </w:pPr>
            <w:r>
              <w:rPr/>
              <w:t>​</w:t>
            </w:r>
          </w:p>
        </w:tc>
        <w:tc>
          <w:tcPr>
            <w:tcW w:w="691" w:type="dxa"/>
            <w:tcBorders>
              <w:bottom w:val="single" w:sz="6" w:space="0" w:color="000000"/>
            </w:tcBorders>
            <w:shd w:fill="F7F7F7" w:val="clear"/>
            <w:tcMar>
              <w:bottom w:w="80" w:type="dxa"/>
            </w:tcMar>
            <w:vAlign w:val="center"/>
          </w:tcPr>
          <w:p>
            <w:pPr>
              <w:pStyle w:val="TableContents"/>
              <w:bidi w:val="0"/>
              <w:spacing w:before="0" w:after="0"/>
              <w:jc w:val="righ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80" w:type="dxa"/>
            </w:tcMar>
            <w:vAlign w:val="center"/>
          </w:tcPr>
          <w:p>
            <w:pPr>
              <w:pStyle w:val="TableContents"/>
              <w:bidi w:val="0"/>
              <w:spacing w:before="0" w:after="0"/>
              <w:jc w:val="right"/>
              <w:rPr/>
            </w:pPr>
            <w:r>
              <w:rPr/>
              <w:t>​</w:t>
            </w:r>
          </w:p>
        </w:tc>
        <w:tc>
          <w:tcPr>
            <w:tcW w:w="691" w:type="dxa"/>
            <w:tcBorders>
              <w:bottom w:val="single" w:sz="6" w:space="0" w:color="000000"/>
            </w:tcBorders>
            <w:shd w:fill="F7F7F7" w:val="clear"/>
            <w:tcMar>
              <w:bottom w:w="80" w:type="dxa"/>
            </w:tcMar>
            <w:vAlign w:val="center"/>
          </w:tcPr>
          <w:p>
            <w:pPr>
              <w:pStyle w:val="TableContents"/>
              <w:bidi w:val="0"/>
              <w:spacing w:before="0" w:after="0"/>
              <w:jc w:val="righ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80" w:type="dxa"/>
            </w:tcMar>
            <w:vAlign w:val="center"/>
          </w:tcPr>
          <w:p>
            <w:pPr>
              <w:pStyle w:val="TableContents"/>
              <w:bidi w:val="0"/>
              <w:spacing w:before="0" w:after="0"/>
              <w:jc w:val="right"/>
              <w:rPr/>
            </w:pPr>
            <w:r>
              <w:rPr/>
              <w:t>​</w:t>
            </w:r>
          </w:p>
        </w:tc>
        <w:tc>
          <w:tcPr>
            <w:tcW w:w="826" w:type="dxa"/>
            <w:tcBorders>
              <w:bottom w:val="single" w:sz="6" w:space="0" w:color="000000"/>
            </w:tcBorders>
            <w:shd w:fill="F7F7F7" w:val="clear"/>
            <w:tcMar>
              <w:bottom w:w="80" w:type="dxa"/>
            </w:tcMar>
            <w:vAlign w:val="center"/>
          </w:tcPr>
          <w:p>
            <w:pPr>
              <w:pStyle w:val="TableContents"/>
              <w:bidi w:val="0"/>
              <w:spacing w:before="0" w:after="0"/>
              <w:jc w:val="righ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80" w:type="dxa"/>
            </w:tcMar>
            <w:vAlign w:val="center"/>
          </w:tcPr>
          <w:p>
            <w:pPr>
              <w:pStyle w:val="TableContents"/>
              <w:bidi w:val="0"/>
              <w:spacing w:before="0" w:after="0"/>
              <w:jc w:val="right"/>
              <w:rPr/>
            </w:pPr>
            <w:r>
              <w:rPr/>
              <w:t>​</w:t>
            </w:r>
          </w:p>
        </w:tc>
        <w:tc>
          <w:tcPr>
            <w:tcW w:w="691" w:type="dxa"/>
            <w:tcBorders>
              <w:bottom w:val="single" w:sz="6" w:space="0" w:color="000000"/>
            </w:tcBorders>
            <w:shd w:fill="F7F7F7" w:val="clear"/>
            <w:tcMar>
              <w:bottom w:w="80" w:type="dxa"/>
            </w:tcMar>
            <w:vAlign w:val="center"/>
          </w:tcPr>
          <w:p>
            <w:pPr>
              <w:pStyle w:val="TableContents"/>
              <w:bidi w:val="0"/>
              <w:spacing w:before="0" w:after="0"/>
              <w:jc w:val="right"/>
              <w:rPr>
                <w:sz w:val="16"/>
              </w:rPr>
            </w:pPr>
            <w:r>
              <w:rPr>
                <w:sz w:val="16"/>
              </w:rPr>
              <w:t>408,663</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80" w:type="dxa"/>
            </w:tcMar>
            <w:vAlign w:val="center"/>
          </w:tcPr>
          <w:p>
            <w:pPr>
              <w:pStyle w:val="TableContents"/>
              <w:bidi w:val="0"/>
              <w:spacing w:before="0" w:after="0"/>
              <w:jc w:val="right"/>
              <w:rPr/>
            </w:pPr>
            <w:r>
              <w:rPr/>
              <w:t>​</w:t>
            </w:r>
          </w:p>
        </w:tc>
        <w:tc>
          <w:tcPr>
            <w:tcW w:w="826" w:type="dxa"/>
            <w:tcBorders>
              <w:bottom w:val="single" w:sz="6" w:space="0" w:color="000000"/>
            </w:tcBorders>
            <w:shd w:fill="F7F7F7" w:val="clear"/>
            <w:tcMar>
              <w:bottom w:w="80" w:type="dxa"/>
            </w:tcMar>
            <w:vAlign w:val="center"/>
          </w:tcPr>
          <w:p>
            <w:pPr>
              <w:pStyle w:val="TableContents"/>
              <w:bidi w:val="0"/>
              <w:spacing w:before="0" w:after="0"/>
              <w:jc w:val="right"/>
              <w:rPr>
                <w:sz w:val="16"/>
              </w:rPr>
            </w:pPr>
            <w:r>
              <w:rPr>
                <w:sz w:val="16"/>
              </w:rPr>
              <w:t>1,548,832</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54" w:type="dxa"/>
            <w:tcBorders>
              <w:bottom w:val="single" w:sz="6" w:space="0" w:color="000000"/>
            </w:tcBorders>
            <w:shd w:fill="F7F7F7" w:val="cle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4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For Messrs. Rawlinson and Bach and Ms. House, the 2023 Annual Cash Incentive (the “2023 AIP”) amounts are adjusted to reflect base salary increases during 2023.</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215900" distB="0" distL="0" distR="0" simplePos="0" locked="0" layoutInCell="1" allowOverlap="1" relativeHeight="224">
                <wp:simplePos x="0" y="0"/>
                <wp:positionH relativeFrom="column">
                  <wp:align>left</wp:align>
                </wp:positionH>
                <wp:positionV relativeFrom="line">
                  <wp:align>top</wp:align>
                </wp:positionV>
                <wp:extent cx="81915" cy="270510"/>
                <wp:effectExtent l="0" t="0" r="0" b="0"/>
                <wp:wrapSquare wrapText="right"/>
                <wp:docPr id="216" name="Frame153"/>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(1)</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30" w:after="283"/>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9"/>
        </w:rPr>
        <w:t>(2)</w:t>
      </w:r>
      <w:r>
        <w:rPr>
          <w:rFonts w:ascii="Helvetica;Arial;sans-serif" w:hAnsi="Helvetica;Arial;sans-serif"/>
          <w:b w:val="false"/>
          <w:i w:val="false"/>
          <w:caps w:val="false"/>
          <w:smallCaps w:val="false"/>
          <w:color w:val="000000"/>
          <w:sz w:val="12"/>
        </w:rPr>
        <w:t>Having commenced employment with the Company in December 2023, Mr. Winterhoff was not eligible to participate in the 2023 AIP and was not eligible to receive PSUs for the 2023 performance period. Pursuant to his offer letter, Mr. Winterhoff is eligible to receive PSUs in 2024 when the performance metrics are determined for the 2024 Long-Term Incentive Plan.</w:t>
      </w:r>
    </w:p>
    <w:p>
      <w:pPr>
        <w:pStyle w:val="TextBody"/>
        <w:bidi w:val="0"/>
        <w:spacing w:lineRule="atLeast" w:line="142" w:before="11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 xml:space="preserve">Represents the grant date fair value of RSUs, PSUs, and Premium-Priced Options granted during 2023, calculated in accordance with FASB ASC Topic 718. </w:t>
      </w:r>
      <w:r>
        <mc:AlternateContent>
          <mc:Choice Requires="wps">
            <w:drawing>
              <wp:anchor behindDoc="0" distT="69850" distB="0" distL="0" distR="0" simplePos="0" locked="0" layoutInCell="1" allowOverlap="1" relativeHeight="225">
                <wp:simplePos x="0" y="0"/>
                <wp:positionH relativeFrom="column">
                  <wp:align>left</wp:align>
                </wp:positionH>
                <wp:positionV relativeFrom="line">
                  <wp:align>top</wp:align>
                </wp:positionV>
                <wp:extent cx="81915" cy="180340"/>
                <wp:effectExtent l="0" t="0" r="0" b="0"/>
                <wp:wrapSquare wrapText="right"/>
                <wp:docPr id="217" name="Frame154"/>
                <a:graphic xmlns:a="http://schemas.openxmlformats.org/drawingml/2006/main">
                  <a:graphicData uri="http://schemas.microsoft.com/office/word/2010/wordprocessingShape">
                    <wps:wsp>
                      <wps:cNvSpPr txBox="1"/>
                      <wps:spPr>
                        <a:xfrm>
                          <a:off x="0" y="0"/>
                          <a:ext cx="81915" cy="180340"/>
                        </a:xfrm>
                        <a:prstGeom prst="rect"/>
                        <a:solidFill>
                          <a:srgbClr val="FFFFFF"/>
                        </a:solidFill>
                      </wps:spPr>
                      <wps:txbx>
                        <w:txbxContent>
                          <w:p>
                            <w:pPr>
                              <w:pStyle w:val="TextBody"/>
                              <w:bidi w:val="0"/>
                              <w:spacing w:lineRule="atLeast" w:line="142" w:before="0" w:after="283"/>
                              <w:jc w:val="left"/>
                              <w:rPr>
                                <w:sz w:val="9"/>
                              </w:rPr>
                            </w:pPr>
                            <w:r>
                              <w:rPr>
                                <w:sz w:val="9"/>
                              </w:rPr>
                              <w:t xml:space="preserve">(2) </w:t>
                              <w:br/>
                            </w:r>
                          </w:p>
                        </w:txbxContent>
                      </wps:txbx>
                      <wps:bodyPr anchor="t" lIns="0" tIns="0" rIns="0" bIns="0">
                        <a:noAutofit/>
                      </wps:bodyPr>
                    </wps:wsp>
                  </a:graphicData>
                </a:graphic>
              </wp:anchor>
            </w:drawing>
          </mc:Choice>
          <mc:Fallback>
            <w:pict>
              <v:rect style="position:absolute;rotation:-0;width:6.45pt;height:14.2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9"/>
                        </w:rPr>
                      </w:pPr>
                      <w:r>
                        <w:rPr>
                          <w:sz w:val="9"/>
                        </w:rPr>
                        <w:t xml:space="preserve">(2)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62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OEAA"/>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283"/>
        <w:ind w:left="720" w:right="0" w:hanging="0"/>
        <w:jc w:val="left"/>
        <w:rPr>
          <w:rFonts w:ascii="Times New Roman;Garamond;serif" w:hAnsi="Times New Roman;Garamond;serif"/>
          <w:b/>
          <w:i w:val="false"/>
          <w:caps w:val="false"/>
          <w:smallCaps w:val="false"/>
          <w:color w:val="000000"/>
          <w:sz w:val="40"/>
        </w:rPr>
      </w:pPr>
      <w:r>
        <w:rPr>
          <w:rFonts w:ascii="Times New Roman;Garamond;serif" w:hAnsi="Times New Roman;Garamond;serif"/>
          <w:b/>
          <w:i w:val="false"/>
          <w:caps w:val="false"/>
          <w:smallCaps w:val="false"/>
          <w:color w:val="000000"/>
          <w:sz w:val="40"/>
        </w:rPr>
        <w:t>Outstanding Equity Awards at Fiscal Year-End</w:t>
      </w:r>
      <w:r>
        <w:rPr>
          <w:rFonts w:ascii="Times New Roman;Garamond;serif" w:hAnsi="Times New Roman;Garamond;serif"/>
          <w:b/>
          <w:i w:val="false"/>
          <w:caps w:val="false"/>
          <w:smallCaps w:val="false"/>
          <w:color w:val="000000"/>
          <w:spacing w:val="8"/>
          <w:sz w:val="40"/>
        </w:rPr>
        <w:t xml:space="preserve"> </w:t>
      </w:r>
    </w:p>
    <w:tbl>
      <w:tblPr>
        <w:tblW w:w="13776" w:type="dxa"/>
        <w:jc w:val="left"/>
        <w:tblInd w:w="720" w:type="dxa"/>
        <w:tblLayout w:type="fixed"/>
        <w:tblCellMar>
          <w:top w:w="0" w:type="dxa"/>
          <w:left w:w="0" w:type="dxa"/>
          <w:bottom w:w="28" w:type="dxa"/>
          <w:right w:w="0" w:type="dxa"/>
        </w:tblCellMar>
      </w:tblPr>
      <w:tblGrid>
        <w:gridCol w:w="124"/>
        <w:gridCol w:w="1141"/>
        <w:gridCol w:w="109"/>
        <w:gridCol w:w="109"/>
        <w:gridCol w:w="109"/>
        <w:gridCol w:w="109"/>
        <w:gridCol w:w="1066"/>
        <w:gridCol w:w="109"/>
        <w:gridCol w:w="109"/>
        <w:gridCol w:w="109"/>
        <w:gridCol w:w="127"/>
        <w:gridCol w:w="127"/>
        <w:gridCol w:w="1072"/>
        <w:gridCol w:w="130"/>
        <w:gridCol w:w="109"/>
        <w:gridCol w:w="109"/>
        <w:gridCol w:w="117"/>
        <w:gridCol w:w="117"/>
        <w:gridCol w:w="564"/>
        <w:gridCol w:w="118"/>
        <w:gridCol w:w="109"/>
        <w:gridCol w:w="109"/>
        <w:gridCol w:w="109"/>
        <w:gridCol w:w="109"/>
        <w:gridCol w:w="769"/>
        <w:gridCol w:w="109"/>
        <w:gridCol w:w="109"/>
        <w:gridCol w:w="109"/>
        <w:gridCol w:w="109"/>
        <w:gridCol w:w="109"/>
        <w:gridCol w:w="1096"/>
        <w:gridCol w:w="109"/>
        <w:gridCol w:w="109"/>
        <w:gridCol w:w="109"/>
        <w:gridCol w:w="109"/>
        <w:gridCol w:w="109"/>
        <w:gridCol w:w="1186"/>
        <w:gridCol w:w="109"/>
        <w:gridCol w:w="109"/>
        <w:gridCol w:w="109"/>
        <w:gridCol w:w="109"/>
        <w:gridCol w:w="109"/>
        <w:gridCol w:w="1096"/>
        <w:gridCol w:w="109"/>
        <w:gridCol w:w="109"/>
        <w:gridCol w:w="109"/>
        <w:gridCol w:w="109"/>
        <w:gridCol w:w="109"/>
        <w:gridCol w:w="1066"/>
        <w:gridCol w:w="109"/>
        <w:gridCol w:w="154"/>
      </w:tblGrid>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1141"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5515" w:type="dxa"/>
            <w:gridSpan w:val="22"/>
            <w:tcBorders>
              <w:bottom w:val="single" w:sz="2" w:space="0" w:color="FEFEFE"/>
            </w:tcBorders>
            <w:shd w:fill="000000" w:val="clear"/>
            <w:tcMar>
              <w:bottom w:w="110" w:type="dxa"/>
            </w:tcMar>
            <w:vAlign w:val="center"/>
          </w:tcPr>
          <w:p>
            <w:pPr>
              <w:pStyle w:val="TableContents"/>
              <w:bidi w:val="0"/>
              <w:spacing w:before="0" w:after="0"/>
              <w:jc w:val="center"/>
              <w:rPr/>
            </w:pPr>
            <w:r>
              <w:rPr/>
              <w:t xml:space="preserve">Option Awards </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6406" w:type="dxa"/>
            <w:gridSpan w:val="22"/>
            <w:tcBorders>
              <w:bottom w:val="single" w:sz="2" w:space="0" w:color="FEFEFE"/>
            </w:tcBorders>
            <w:shd w:fill="000000" w:val="clear"/>
            <w:tcMar>
              <w:bottom w:w="110" w:type="dxa"/>
            </w:tcMar>
            <w:vAlign w:val="center"/>
          </w:tcPr>
          <w:p>
            <w:pPr>
              <w:pStyle w:val="TableContents"/>
              <w:bidi w:val="0"/>
              <w:spacing w:before="0" w:after="0"/>
              <w:jc w:val="center"/>
              <w:rPr/>
            </w:pPr>
            <w:r>
              <w:rPr/>
              <w:t xml:space="preserve">Stock Awards </w:t>
            </w:r>
          </w:p>
        </w:tc>
        <w:tc>
          <w:tcPr>
            <w:tcW w:w="154" w:type="dxa"/>
            <w:tcBorders>
              <w:bottom w:val="single" w:sz="2" w:space="0" w:color="000000"/>
            </w:tcBorders>
            <w:shd w:fill="000000" w:val="clear"/>
            <w:vAlign w:val="center"/>
          </w:tcPr>
          <w:p>
            <w:pPr>
              <w:pStyle w:val="TableContents"/>
              <w:bidi w:val="0"/>
              <w:spacing w:before="0" w:after="283"/>
              <w:jc w:val="left"/>
              <w:rPr/>
            </w:pPr>
            <w:r>
              <w:rPr/>
              <w:t>​</w:t>
            </w:r>
          </w:p>
        </w:tc>
      </w:tr>
      <w:tr>
        <w:trPr/>
        <w:tc>
          <w:tcPr>
            <w:tcW w:w="124" w:type="dxa"/>
            <w:tcBorders/>
            <w:shd w:fill="000000" w:val="clear"/>
            <w:tcMar>
              <w:bottom w:w="0" w:type="dxa"/>
            </w:tcMar>
            <w:vAlign w:val="center"/>
          </w:tcPr>
          <w:p>
            <w:pPr>
              <w:pStyle w:val="TableContents"/>
              <w:bidi w:val="0"/>
              <w:spacing w:before="0" w:after="283"/>
              <w:jc w:val="left"/>
              <w:rPr/>
            </w:pPr>
            <w:r>
              <w:rPr/>
              <w:t>​</w:t>
            </w:r>
          </w:p>
        </w:tc>
        <w:tc>
          <w:tcPr>
            <w:tcW w:w="1141" w:type="dxa"/>
            <w:tcBorders/>
            <w:shd w:fill="000000" w:val="clear"/>
            <w:tcMar>
              <w:bottom w:w="0" w:type="dxa"/>
            </w:tcMar>
            <w:vAlign w:val="center"/>
          </w:tcPr>
          <w:p>
            <w:pPr>
              <w:pStyle w:val="TableContents"/>
              <w:bidi w:val="0"/>
              <w:spacing w:before="0" w:after="0"/>
              <w:jc w:val="left"/>
              <w:rPr/>
            </w:pPr>
            <w:r>
              <w:rPr/>
              <w:t xml:space="preserve">Name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393" w:type="dxa"/>
            <w:gridSpan w:val="4"/>
            <w:tcBorders/>
            <w:shd w:fill="000000" w:val="clear"/>
            <w:tcMar>
              <w:bottom w:w="0" w:type="dxa"/>
            </w:tcMar>
            <w:vAlign w:val="center"/>
          </w:tcPr>
          <w:p>
            <w:pPr>
              <w:pStyle w:val="TableContents"/>
              <w:bidi w:val="0"/>
              <w:spacing w:before="0" w:after="0"/>
              <w:jc w:val="center"/>
              <w:rPr/>
            </w:pPr>
            <w:r>
              <w:rPr/>
              <w:t xml:space="preserve">Number of </w:t>
              <w:br/>
              <w:t xml:space="preserve">Securities </w:t>
              <w:br/>
              <w:t xml:space="preserve">Underlying </w:t>
              <w:br/>
              <w:t xml:space="preserve">Unexercised </w:t>
              <w:br/>
              <w:t xml:space="preserve">Options (#) </w:t>
              <w:br/>
              <w:t xml:space="preserve">Exercisable </w:t>
              <w:b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456" w:type="dxa"/>
            <w:gridSpan w:val="4"/>
            <w:tcBorders/>
            <w:shd w:fill="000000" w:val="clear"/>
            <w:tcMar>
              <w:bottom w:w="0" w:type="dxa"/>
            </w:tcMar>
            <w:vAlign w:val="center"/>
          </w:tcPr>
          <w:p>
            <w:pPr>
              <w:pStyle w:val="TableContents"/>
              <w:bidi w:val="0"/>
              <w:spacing w:before="0" w:after="0"/>
              <w:jc w:val="center"/>
              <w:rPr/>
            </w:pPr>
            <w:r>
              <w:rPr/>
              <w:t xml:space="preserve">Number of </w:t>
              <w:br/>
              <w:t xml:space="preserve">Securities </w:t>
              <w:br/>
              <w:t xml:space="preserve">Underlying </w:t>
              <w:br/>
              <w:t xml:space="preserve">Unexercised </w:t>
              <w:br/>
              <w:t xml:space="preserve">Options (#) </w:t>
              <w:br/>
              <w:t xml:space="preserve">Unexercisable </w:t>
              <w:b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916" w:type="dxa"/>
            <w:gridSpan w:val="4"/>
            <w:tcBorders/>
            <w:shd w:fill="000000" w:val="clear"/>
            <w:tcMar>
              <w:bottom w:w="0" w:type="dxa"/>
            </w:tcMar>
            <w:vAlign w:val="center"/>
          </w:tcPr>
          <w:p>
            <w:pPr>
              <w:pStyle w:val="TableContents"/>
              <w:bidi w:val="0"/>
              <w:spacing w:before="0" w:after="0"/>
              <w:jc w:val="center"/>
              <w:rPr/>
            </w:pPr>
            <w:r>
              <w:rPr/>
              <w:t xml:space="preserve">Option </w:t>
              <w:br/>
              <w:t xml:space="preserve">Exercise </w:t>
              <w:br/>
              <w:t xml:space="preserve">Price </w:t>
              <w:b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6" w:type="dxa"/>
            <w:gridSpan w:val="4"/>
            <w:tcBorders/>
            <w:shd w:fill="000000" w:val="clear"/>
            <w:tcMar>
              <w:bottom w:w="0" w:type="dxa"/>
            </w:tcMar>
            <w:vAlign w:val="center"/>
          </w:tcPr>
          <w:p>
            <w:pPr>
              <w:pStyle w:val="TableContents"/>
              <w:bidi w:val="0"/>
              <w:spacing w:before="0" w:after="0"/>
              <w:jc w:val="center"/>
              <w:rPr/>
            </w:pPr>
            <w:r>
              <w:rPr/>
              <w:t xml:space="preserve">Option </w:t>
              <w:br/>
              <w:t xml:space="preserve">Expiration </w:t>
              <w:br/>
              <w:t xml:space="preserve">Date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423" w:type="dxa"/>
            <w:gridSpan w:val="4"/>
            <w:tcBorders/>
            <w:shd w:fill="000000" w:val="clear"/>
            <w:tcMar>
              <w:bottom w:w="0" w:type="dxa"/>
            </w:tcMar>
            <w:vAlign w:val="center"/>
          </w:tcPr>
          <w:p>
            <w:pPr>
              <w:pStyle w:val="TableContents"/>
              <w:bidi w:val="0"/>
              <w:spacing w:before="0" w:after="0"/>
              <w:jc w:val="center"/>
              <w:rPr/>
            </w:pPr>
            <w:r>
              <w:rPr/>
              <w:t xml:space="preserve">Number of </w:t>
              <w:br/>
              <w:t xml:space="preserve">Shares or </w:t>
              <w:br/>
              <w:t xml:space="preserve">Units of </w:t>
              <w:br/>
              <w:t xml:space="preserve">Stock </w:t>
              <w:br/>
              <w:t xml:space="preserve">That Have </w:t>
              <w:br/>
              <w:t xml:space="preserve">Not Vested </w:t>
              <w:b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513" w:type="dxa"/>
            <w:gridSpan w:val="4"/>
            <w:tcBorders/>
            <w:shd w:fill="000000" w:val="clear"/>
            <w:tcMar>
              <w:bottom w:w="0" w:type="dxa"/>
            </w:tcMar>
            <w:vAlign w:val="center"/>
          </w:tcPr>
          <w:p>
            <w:pPr>
              <w:pStyle w:val="TableContents"/>
              <w:bidi w:val="0"/>
              <w:spacing w:before="0" w:after="0"/>
              <w:jc w:val="center"/>
              <w:rPr/>
            </w:pPr>
            <w:r>
              <w:rPr/>
              <w:t xml:space="preserve">Market Value </w:t>
              <w:br/>
              <w:t xml:space="preserve">of Shares </w:t>
              <w:br/>
              <w:t xml:space="preserve">or Units </w:t>
              <w:br/>
              <w:t xml:space="preserve">of Stock That </w:t>
              <w:br/>
              <w:t xml:space="preserve">Have Not </w:t>
              <w:br/>
              <w:t xml:space="preserve">Vested </w:t>
              <w:b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423" w:type="dxa"/>
            <w:gridSpan w:val="4"/>
            <w:tcBorders/>
            <w:shd w:fill="000000" w:val="clear"/>
            <w:tcMar>
              <w:bottom w:w="0" w:type="dxa"/>
            </w:tcMar>
            <w:vAlign w:val="center"/>
          </w:tcPr>
          <w:p>
            <w:pPr>
              <w:pStyle w:val="TableContents"/>
              <w:bidi w:val="0"/>
              <w:spacing w:before="0" w:after="0"/>
              <w:jc w:val="center"/>
              <w:rPr/>
            </w:pPr>
            <w:r>
              <w:rPr/>
              <w:t xml:space="preserve">Equity </w:t>
              <w:br/>
              <w:t xml:space="preserve">Incentive </w:t>
              <w:br/>
              <w:t xml:space="preserve">Plan </w:t>
              <w:br/>
              <w:t xml:space="preserve">Awards: </w:t>
              <w:br/>
              <w:t xml:space="preserve">Number of </w:t>
              <w:br/>
              <w:t xml:space="preserve">Unearned </w:t>
              <w:br/>
              <w:t xml:space="preserve">Shares, </w:t>
              <w:br/>
              <w:t xml:space="preserve">Units or </w:t>
              <w:br/>
              <w:t xml:space="preserve">Other Rights </w:t>
              <w:br/>
              <w:t xml:space="preserve">That Have </w:t>
              <w:br/>
              <w:t xml:space="preserve">Not Vested </w:t>
              <w:b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393" w:type="dxa"/>
            <w:gridSpan w:val="4"/>
            <w:tcBorders/>
            <w:shd w:fill="000000" w:val="clear"/>
            <w:tcMar>
              <w:bottom w:w="0" w:type="dxa"/>
            </w:tcMar>
            <w:vAlign w:val="center"/>
          </w:tcPr>
          <w:p>
            <w:pPr>
              <w:pStyle w:val="TableContents"/>
              <w:bidi w:val="0"/>
              <w:spacing w:before="0" w:after="0"/>
              <w:jc w:val="center"/>
              <w:rPr/>
            </w:pPr>
            <w:r>
              <w:rPr/>
              <w:t xml:space="preserve">Equity </w:t>
              <w:br/>
              <w:t xml:space="preserve">Incentive </w:t>
              <w:br/>
              <w:t xml:space="preserve">Plan </w:t>
              <w:br/>
              <w:t xml:space="preserve">Awards: </w:t>
              <w:br/>
              <w:t xml:space="preserve">Market or </w:t>
              <w:br/>
              <w:t xml:space="preserve">Payout </w:t>
              <w:br/>
              <w:t xml:space="preserve">Value of </w:t>
              <w:br/>
              <w:t xml:space="preserve">Unearned </w:t>
              <w:br/>
              <w:t xml:space="preserve">Shares, </w:t>
              <w:br/>
              <w:t xml:space="preserve">Units or </w:t>
              <w:br/>
              <w:t xml:space="preserve">Other Rights </w:t>
              <w:br/>
              <w:t xml:space="preserve">That </w:t>
              <w:br/>
              <w:t xml:space="preserve">Have Not </w:t>
              <w:br/>
              <w:t xml:space="preserve">Vested </w:t>
              <w:br/>
              <w:t xml:space="preserve">($) </w:t>
            </w:r>
          </w:p>
        </w:tc>
        <w:tc>
          <w:tcPr>
            <w:tcW w:w="154" w:type="dxa"/>
            <w:tcBorders/>
            <w:shd w:fill="000000" w:val="clear"/>
            <w:tcMar>
              <w:bottom w:w="0" w:type="dxa"/>
            </w:tcMar>
            <w:vAlign w:val="center"/>
          </w:tcPr>
          <w:p>
            <w:pPr>
              <w:pStyle w:val="TableContents"/>
              <w:bidi w:val="0"/>
              <w:spacing w:before="0" w:after="283"/>
              <w:jc w:val="left"/>
              <w:rPr/>
            </w:pPr>
            <w:r>
              <w:rPr/>
              <w:t>​</w:t>
            </w:r>
          </w:p>
        </w:tc>
      </w:tr>
      <w:tr>
        <w:trPr/>
        <w:tc>
          <w:tcPr>
            <w:tcW w:w="124" w:type="dxa"/>
            <w:vMerge w:val="restart"/>
            <w:tcBorders>
              <w:bottom w:val="single" w:sz="6" w:space="0" w:color="000000"/>
            </w:tcBorders>
            <w:vAlign w:val="center"/>
          </w:tcPr>
          <w:p>
            <w:pPr>
              <w:pStyle w:val="TableContents"/>
              <w:bidi w:val="0"/>
              <w:spacing w:before="0" w:after="283"/>
              <w:jc w:val="left"/>
              <w:rPr/>
            </w:pPr>
            <w:r>
              <w:rPr/>
              <w:t>​</w:t>
            </w:r>
          </w:p>
        </w:tc>
        <w:tc>
          <w:tcPr>
            <w:tcW w:w="1141" w:type="dxa"/>
            <w:vMerge w:val="restart"/>
            <w:tcBorders>
              <w:bottom w:val="single" w:sz="6" w:space="0" w:color="000000"/>
            </w:tcBorders>
            <w:tcMar>
              <w:bottom w:w="95" w:type="dxa"/>
            </w:tcMar>
            <w:vAlign w:val="center"/>
          </w:tcPr>
          <w:p>
            <w:pPr>
              <w:pStyle w:val="TableContents"/>
              <w:bidi w:val="0"/>
              <w:spacing w:lineRule="atLeast" w:line="180" w:before="0" w:after="0"/>
              <w:jc w:val="left"/>
              <w:rPr/>
            </w:pPr>
            <w:r>
              <w:rPr/>
              <w:t xml:space="preserve">Peter Rawlinson </w:t>
            </w:r>
          </w:p>
        </w:tc>
        <w:tc>
          <w:tcPr>
            <w:tcW w:w="109" w:type="dxa"/>
            <w:vMerge w:val="restart"/>
            <w:tcBorders>
              <w:bottom w:val="single" w:sz="6" w:space="0" w:color="000000"/>
            </w:tcBorders>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80" w:before="0" w:after="283"/>
              <w:jc w:val="right"/>
              <w:rPr/>
            </w:pPr>
            <w:r>
              <w:rPr/>
              <w:t>​</w:t>
            </w:r>
          </w:p>
        </w:tc>
        <w:tc>
          <w:tcPr>
            <w:tcW w:w="1066" w:type="dxa"/>
            <w:tcBorders/>
            <w:tcMar>
              <w:bottom w:w="0" w:type="dxa"/>
            </w:tcMar>
            <w:vAlign w:val="center"/>
          </w:tcPr>
          <w:p>
            <w:pPr>
              <w:pStyle w:val="TableContents"/>
              <w:bidi w:val="0"/>
              <w:spacing w:lineRule="atLeast" w:line="180" w:before="0" w:after="283"/>
              <w:jc w:val="right"/>
              <w:rPr/>
            </w:pPr>
            <w:r>
              <w:rPr/>
              <w:t>3,379,846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lineRule="atLeast" w:line="180" w:before="0" w:after="283"/>
              <w:jc w:val="right"/>
              <w:rPr/>
            </w:pPr>
            <w:r>
              <w:rPr/>
              <w:t>​</w:t>
            </w:r>
          </w:p>
        </w:tc>
        <w:tc>
          <w:tcPr>
            <w:tcW w:w="1072" w:type="dxa"/>
            <w:tcBorders/>
            <w:tcMar>
              <w:bottom w:w="0" w:type="dxa"/>
            </w:tcMar>
            <w:vAlign w:val="center"/>
          </w:tcPr>
          <w:p>
            <w:pPr>
              <w:pStyle w:val="TableContents"/>
              <w:bidi w:val="0"/>
              <w:spacing w:lineRule="atLeast" w:line="180" w:before="0" w:after="283"/>
              <w:jc w:val="right"/>
              <w:rPr/>
            </w:pPr>
            <w:r>
              <w:rPr/>
              <w:t>—</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lineRule="atLeast" w:line="180" w:before="0" w:after="283"/>
              <w:jc w:val="right"/>
              <w:rPr/>
            </w:pPr>
            <w:r>
              <w:rPr/>
              <w:t>​</w:t>
            </w:r>
          </w:p>
        </w:tc>
        <w:tc>
          <w:tcPr>
            <w:tcW w:w="564" w:type="dxa"/>
            <w:tcBorders/>
            <w:tcMar>
              <w:bottom w:w="0" w:type="dxa"/>
            </w:tcMar>
            <w:vAlign w:val="center"/>
          </w:tcPr>
          <w:p>
            <w:pPr>
              <w:pStyle w:val="TableContents"/>
              <w:bidi w:val="0"/>
              <w:spacing w:lineRule="atLeast" w:line="180" w:before="0" w:after="283"/>
              <w:jc w:val="right"/>
              <w:rPr/>
            </w:pPr>
            <w:r>
              <w:rPr/>
              <w:t>0.37</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80" w:before="0" w:after="283"/>
              <w:jc w:val="right"/>
              <w:rPr/>
            </w:pPr>
            <w:r>
              <w:rPr/>
              <w:t>​</w:t>
            </w:r>
          </w:p>
        </w:tc>
        <w:tc>
          <w:tcPr>
            <w:tcW w:w="769" w:type="dxa"/>
            <w:tcBorders/>
            <w:tcMar>
              <w:bottom w:w="0" w:type="dxa"/>
            </w:tcMar>
            <w:vAlign w:val="center"/>
          </w:tcPr>
          <w:p>
            <w:pPr>
              <w:pStyle w:val="TableContents"/>
              <w:bidi w:val="0"/>
              <w:spacing w:lineRule="atLeast" w:line="180" w:before="0" w:after="283"/>
              <w:jc w:val="right"/>
              <w:rPr/>
            </w:pPr>
            <w:r>
              <w:rPr/>
              <w:t>04/16/2025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80" w:before="0" w:after="283"/>
              <w:jc w:val="right"/>
              <w:rPr/>
            </w:pPr>
            <w:r>
              <w:rPr/>
              <w:t>​</w:t>
            </w:r>
          </w:p>
        </w:tc>
        <w:tc>
          <w:tcPr>
            <w:tcW w:w="1096" w:type="dxa"/>
            <w:tcBorders/>
            <w:tcMar>
              <w:bottom w:w="0" w:type="dxa"/>
            </w:tcMar>
            <w:vAlign w:val="center"/>
          </w:tcPr>
          <w:p>
            <w:pPr>
              <w:pStyle w:val="TableContents"/>
              <w:bidi w:val="0"/>
              <w:spacing w:lineRule="atLeast" w:line="18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80" w:before="0" w:after="283"/>
              <w:jc w:val="right"/>
              <w:rPr/>
            </w:pPr>
            <w:r>
              <w:rPr/>
              <w:t>​</w:t>
            </w:r>
          </w:p>
        </w:tc>
        <w:tc>
          <w:tcPr>
            <w:tcW w:w="1186" w:type="dxa"/>
            <w:tcBorders/>
            <w:tcMar>
              <w:bottom w:w="0" w:type="dxa"/>
            </w:tcMar>
            <w:vAlign w:val="center"/>
          </w:tcPr>
          <w:p>
            <w:pPr>
              <w:pStyle w:val="TableContents"/>
              <w:bidi w:val="0"/>
              <w:spacing w:lineRule="atLeast" w:line="18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80" w:before="0" w:after="283"/>
              <w:jc w:val="right"/>
              <w:rPr/>
            </w:pPr>
            <w:r>
              <w:rPr/>
              <w:t>​</w:t>
            </w:r>
          </w:p>
        </w:tc>
        <w:tc>
          <w:tcPr>
            <w:tcW w:w="1096" w:type="dxa"/>
            <w:tcBorders/>
            <w:tcMar>
              <w:bottom w:w="0" w:type="dxa"/>
            </w:tcMar>
            <w:vAlign w:val="center"/>
          </w:tcPr>
          <w:p>
            <w:pPr>
              <w:pStyle w:val="TableContents"/>
              <w:bidi w:val="0"/>
              <w:spacing w:lineRule="atLeast" w:line="18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80" w:before="0" w:after="283"/>
              <w:jc w:val="right"/>
              <w:rPr/>
            </w:pPr>
            <w:r>
              <w:rPr/>
              <w:t>​</w:t>
            </w:r>
          </w:p>
        </w:tc>
        <w:tc>
          <w:tcPr>
            <w:tcW w:w="1066" w:type="dxa"/>
            <w:tcBorders/>
            <w:tcMar>
              <w:bottom w:w="0" w:type="dxa"/>
            </w:tcMar>
            <w:vAlign w:val="center"/>
          </w:tcPr>
          <w:p>
            <w:pPr>
              <w:pStyle w:val="TableContents"/>
              <w:bidi w:val="0"/>
              <w:spacing w:lineRule="atLeast" w:line="18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vAlign w:val="center"/>
          </w:tcPr>
          <w:p>
            <w:pPr>
              <w:pStyle w:val="Normal"/>
              <w:bidi w:val="0"/>
              <w:jc w:val="left"/>
              <w:rPr/>
            </w:pPr>
            <w:r>
              <w:rPr/>
            </w:r>
          </w:p>
        </w:tc>
        <w:tc>
          <w:tcPr>
            <w:tcW w:w="1141" w:type="dxa"/>
            <w:vMerge w:val="continue"/>
            <w:tcBorders>
              <w:bottom w:val="single" w:sz="6" w:space="0" w:color="000000"/>
            </w:tcBorders>
            <w:tcMar>
              <w:bottom w:w="95" w:type="dxa"/>
            </w:tcMar>
            <w:vAlign w:val="center"/>
          </w:tcPr>
          <w:p>
            <w:pPr>
              <w:pStyle w:val="Normal"/>
              <w:bidi w:val="0"/>
              <w:jc w:val="left"/>
              <w:rPr/>
            </w:pPr>
            <w:r>
              <w:rPr/>
            </w:r>
          </w:p>
        </w:tc>
        <w:tc>
          <w:tcPr>
            <w:tcW w:w="109" w:type="dxa"/>
            <w:vMerge w:val="continue"/>
            <w:tcBorders>
              <w:bottom w:val="single" w:sz="6" w:space="0" w:color="000000"/>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7,751,276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72" w:type="dxa"/>
            <w:tcBorders/>
            <w:tcMar>
              <w:bottom w:w="0" w:type="dxa"/>
            </w:tcMar>
            <w:vAlign w:val="center"/>
          </w:tcPr>
          <w:p>
            <w:pPr>
              <w:pStyle w:val="TableContents"/>
              <w:bidi w:val="0"/>
              <w:spacing w:before="0" w:after="283"/>
              <w:jc w:val="right"/>
              <w:rPr/>
            </w:pPr>
            <w:r>
              <w:rPr/>
              <w:t>—</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564" w:type="dxa"/>
            <w:tcBorders/>
            <w:tcMar>
              <w:bottom w:w="0" w:type="dxa"/>
            </w:tcMar>
            <w:vAlign w:val="center"/>
          </w:tcPr>
          <w:p>
            <w:pPr>
              <w:pStyle w:val="TableContents"/>
              <w:bidi w:val="0"/>
              <w:spacing w:before="0" w:after="283"/>
              <w:jc w:val="right"/>
              <w:rPr/>
            </w:pPr>
            <w:r>
              <w:rPr/>
              <w:t>0.83</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9" w:type="dxa"/>
            <w:tcBorders/>
            <w:tcMar>
              <w:bottom w:w="0" w:type="dxa"/>
            </w:tcMar>
            <w:vAlign w:val="center"/>
          </w:tcPr>
          <w:p>
            <w:pPr>
              <w:pStyle w:val="TableContents"/>
              <w:bidi w:val="0"/>
              <w:spacing w:before="0" w:after="283"/>
              <w:jc w:val="right"/>
              <w:rPr/>
            </w:pPr>
            <w:r>
              <w:rPr/>
              <w:t>04/21/2029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vAlign w:val="center"/>
          </w:tcPr>
          <w:p>
            <w:pPr>
              <w:pStyle w:val="Normal"/>
              <w:bidi w:val="0"/>
              <w:jc w:val="left"/>
              <w:rPr/>
            </w:pPr>
            <w:r>
              <w:rPr/>
            </w:r>
          </w:p>
        </w:tc>
        <w:tc>
          <w:tcPr>
            <w:tcW w:w="1141" w:type="dxa"/>
            <w:vMerge w:val="continue"/>
            <w:tcBorders>
              <w:bottom w:val="single" w:sz="6" w:space="0" w:color="000000"/>
            </w:tcBorders>
            <w:tcMar>
              <w:bottom w:w="95" w:type="dxa"/>
            </w:tcMar>
            <w:vAlign w:val="center"/>
          </w:tcPr>
          <w:p>
            <w:pPr>
              <w:pStyle w:val="Normal"/>
              <w:bidi w:val="0"/>
              <w:jc w:val="left"/>
              <w:rPr/>
            </w:pPr>
            <w:r>
              <w:rPr/>
            </w:r>
          </w:p>
        </w:tc>
        <w:tc>
          <w:tcPr>
            <w:tcW w:w="109" w:type="dxa"/>
            <w:vMerge w:val="continue"/>
            <w:tcBorders>
              <w:bottom w:val="single" w:sz="6" w:space="0" w:color="000000"/>
            </w:tcBorders>
            <w:vAlign w:val="center"/>
          </w:tcPr>
          <w:p>
            <w:pPr>
              <w:pStyle w:val="Normal"/>
              <w:bidi w:val="0"/>
              <w:jc w:val="left"/>
              <w:rPr/>
            </w:pPr>
            <w:r>
              <w:rPr/>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right"/>
              <w:rPr/>
            </w:pPr>
            <w:r>
              <w:rPr/>
              <w:t>​</w:t>
            </w:r>
          </w:p>
        </w:tc>
        <w:tc>
          <w:tcPr>
            <w:tcW w:w="1066" w:type="dxa"/>
            <w:tcBorders>
              <w:bottom w:val="single" w:sz="6" w:space="0" w:color="000000"/>
            </w:tcBorders>
            <w:vAlign w:val="center"/>
          </w:tcPr>
          <w:p>
            <w:pPr>
              <w:pStyle w:val="TableContents"/>
              <w:bidi w:val="0"/>
              <w:spacing w:before="0" w:after="283"/>
              <w:jc w:val="righ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7" w:type="dxa"/>
            <w:tcBorders>
              <w:bottom w:val="single" w:sz="6" w:space="0" w:color="000000"/>
            </w:tcBorders>
            <w:vAlign w:val="center"/>
          </w:tcPr>
          <w:p>
            <w:pPr>
              <w:pStyle w:val="TableContents"/>
              <w:bidi w:val="0"/>
              <w:spacing w:before="0" w:after="283"/>
              <w:jc w:val="left"/>
              <w:rPr/>
            </w:pPr>
            <w:r>
              <w:rPr/>
              <w:t>​</w:t>
            </w:r>
          </w:p>
        </w:tc>
        <w:tc>
          <w:tcPr>
            <w:tcW w:w="127" w:type="dxa"/>
            <w:tcBorders>
              <w:bottom w:val="single" w:sz="6" w:space="0" w:color="000000"/>
            </w:tcBorders>
            <w:vAlign w:val="center"/>
          </w:tcPr>
          <w:p>
            <w:pPr>
              <w:pStyle w:val="TableContents"/>
              <w:bidi w:val="0"/>
              <w:spacing w:before="0" w:after="283"/>
              <w:jc w:val="right"/>
              <w:rPr/>
            </w:pPr>
            <w:r>
              <w:rPr/>
              <w:t>​</w:t>
            </w:r>
          </w:p>
        </w:tc>
        <w:tc>
          <w:tcPr>
            <w:tcW w:w="1072" w:type="dxa"/>
            <w:tcBorders>
              <w:bottom w:val="single" w:sz="6" w:space="0" w:color="000000"/>
            </w:tcBorders>
            <w:vAlign w:val="center"/>
          </w:tcPr>
          <w:p>
            <w:pPr>
              <w:pStyle w:val="TableContents"/>
              <w:bidi w:val="0"/>
              <w:spacing w:before="0" w:after="283"/>
              <w:jc w:val="right"/>
              <w:rPr/>
            </w:pPr>
            <w:r>
              <w:rPr/>
              <w:t>​</w:t>
            </w:r>
          </w:p>
        </w:tc>
        <w:tc>
          <w:tcPr>
            <w:tcW w:w="130"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7" w:type="dxa"/>
            <w:tcBorders>
              <w:bottom w:val="single" w:sz="6" w:space="0" w:color="000000"/>
            </w:tcBorders>
            <w:vAlign w:val="center"/>
          </w:tcPr>
          <w:p>
            <w:pPr>
              <w:pStyle w:val="TableContents"/>
              <w:bidi w:val="0"/>
              <w:spacing w:before="0" w:after="283"/>
              <w:jc w:val="left"/>
              <w:rPr/>
            </w:pPr>
            <w:r>
              <w:rPr/>
              <w:t>​</w:t>
            </w:r>
          </w:p>
        </w:tc>
        <w:tc>
          <w:tcPr>
            <w:tcW w:w="117" w:type="dxa"/>
            <w:tcBorders>
              <w:bottom w:val="single" w:sz="6" w:space="0" w:color="000000"/>
            </w:tcBorders>
            <w:vAlign w:val="center"/>
          </w:tcPr>
          <w:p>
            <w:pPr>
              <w:pStyle w:val="TableContents"/>
              <w:bidi w:val="0"/>
              <w:spacing w:before="0" w:after="283"/>
              <w:jc w:val="right"/>
              <w:rPr/>
            </w:pPr>
            <w:r>
              <w:rPr/>
              <w:t>​</w:t>
            </w:r>
          </w:p>
        </w:tc>
        <w:tc>
          <w:tcPr>
            <w:tcW w:w="564" w:type="dxa"/>
            <w:tcBorders>
              <w:bottom w:val="single" w:sz="6" w:space="0" w:color="000000"/>
            </w:tcBorders>
            <w:vAlign w:val="center"/>
          </w:tcPr>
          <w:p>
            <w:pPr>
              <w:pStyle w:val="TableContents"/>
              <w:bidi w:val="0"/>
              <w:spacing w:before="0" w:after="283"/>
              <w:jc w:val="right"/>
              <w:rPr/>
            </w:pPr>
            <w:r>
              <w:rPr/>
              <w:t>​</w:t>
            </w:r>
          </w:p>
        </w:tc>
        <w:tc>
          <w:tcPr>
            <w:tcW w:w="118"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right"/>
              <w:rPr/>
            </w:pPr>
            <w:r>
              <w:rPr/>
              <w:t>​</w:t>
            </w:r>
          </w:p>
        </w:tc>
        <w:tc>
          <w:tcPr>
            <w:tcW w:w="769" w:type="dxa"/>
            <w:tcBorders>
              <w:bottom w:val="single" w:sz="6" w:space="0" w:color="000000"/>
            </w:tcBorders>
            <w:vAlign w:val="center"/>
          </w:tcPr>
          <w:p>
            <w:pPr>
              <w:pStyle w:val="TableContents"/>
              <w:bidi w:val="0"/>
              <w:spacing w:before="0" w:after="283"/>
              <w:jc w:val="righ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95" w:type="dxa"/>
            </w:tcMar>
            <w:vAlign w:val="center"/>
          </w:tcPr>
          <w:p>
            <w:pPr>
              <w:pStyle w:val="TableContents"/>
              <w:bidi w:val="0"/>
              <w:spacing w:before="0" w:after="283"/>
              <w:jc w:val="right"/>
              <w:rPr/>
            </w:pPr>
            <w:r>
              <w:rPr/>
              <w:t>​</w:t>
            </w:r>
          </w:p>
        </w:tc>
        <w:tc>
          <w:tcPr>
            <w:tcW w:w="1096" w:type="dxa"/>
            <w:tcBorders>
              <w:bottom w:val="single" w:sz="6" w:space="0" w:color="000000"/>
            </w:tcBorders>
            <w:tcMar>
              <w:bottom w:w="95" w:type="dxa"/>
            </w:tcMar>
            <w:vAlign w:val="center"/>
          </w:tcPr>
          <w:p>
            <w:pPr>
              <w:pStyle w:val="TableContents"/>
              <w:bidi w:val="0"/>
              <w:spacing w:before="0" w:after="283"/>
              <w:jc w:val="right"/>
              <w:rPr/>
            </w:pPr>
            <w:r>
              <w:rPr/>
              <w:t>6,052,700</w:t>
            </w:r>
            <w:r>
              <w:rPr>
                <w:sz w:val="10"/>
              </w:rPr>
              <w:t>(1)</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95" w:type="dxa"/>
            </w:tcMar>
            <w:vAlign w:val="center"/>
          </w:tcPr>
          <w:p>
            <w:pPr>
              <w:pStyle w:val="TableContents"/>
              <w:bidi w:val="0"/>
              <w:spacing w:before="0" w:after="283"/>
              <w:jc w:val="right"/>
              <w:rPr/>
            </w:pPr>
            <w:r>
              <w:rPr/>
              <w:t>​</w:t>
            </w:r>
          </w:p>
        </w:tc>
        <w:tc>
          <w:tcPr>
            <w:tcW w:w="1186" w:type="dxa"/>
            <w:tcBorders>
              <w:bottom w:val="single" w:sz="6" w:space="0" w:color="000000"/>
            </w:tcBorders>
            <w:tcMar>
              <w:bottom w:w="95" w:type="dxa"/>
            </w:tcMar>
            <w:vAlign w:val="center"/>
          </w:tcPr>
          <w:p>
            <w:pPr>
              <w:pStyle w:val="TableContents"/>
              <w:bidi w:val="0"/>
              <w:spacing w:before="0" w:after="283"/>
              <w:jc w:val="right"/>
              <w:rPr/>
            </w:pPr>
            <w:r>
              <w:rPr/>
              <w:t>25,481,867</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95" w:type="dxa"/>
            </w:tcMar>
            <w:vAlign w:val="center"/>
          </w:tcPr>
          <w:p>
            <w:pPr>
              <w:pStyle w:val="TableContents"/>
              <w:bidi w:val="0"/>
              <w:spacing w:before="0" w:after="283"/>
              <w:jc w:val="right"/>
              <w:rPr/>
            </w:pPr>
            <w:r>
              <w:rPr/>
              <w:t>​</w:t>
            </w:r>
          </w:p>
        </w:tc>
        <w:tc>
          <w:tcPr>
            <w:tcW w:w="1096" w:type="dxa"/>
            <w:tcBorders>
              <w:bottom w:val="single" w:sz="6" w:space="0" w:color="000000"/>
            </w:tcBorders>
            <w:tcMar>
              <w:bottom w:w="95" w:type="dxa"/>
            </w:tcMar>
            <w:vAlign w:val="center"/>
          </w:tcPr>
          <w:p>
            <w:pPr>
              <w:pStyle w:val="TableContents"/>
              <w:bidi w:val="0"/>
              <w:spacing w:before="0" w:after="283"/>
              <w:jc w:val="right"/>
              <w:rPr/>
            </w:pPr>
            <w:r>
              <w:rPr/>
              <w:t>2,090,140</w:t>
            </w:r>
            <w:r>
              <w:rPr>
                <w:sz w:val="10"/>
              </w:rPr>
              <w:t>(2)</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95" w:type="dxa"/>
            </w:tcMar>
            <w:vAlign w:val="center"/>
          </w:tcPr>
          <w:p>
            <w:pPr>
              <w:pStyle w:val="TableContents"/>
              <w:bidi w:val="0"/>
              <w:spacing w:before="0" w:after="283"/>
              <w:jc w:val="right"/>
              <w:rPr/>
            </w:pPr>
            <w:r>
              <w:rPr/>
              <w:t>​</w:t>
            </w:r>
          </w:p>
        </w:tc>
        <w:tc>
          <w:tcPr>
            <w:tcW w:w="1066" w:type="dxa"/>
            <w:tcBorders>
              <w:bottom w:val="single" w:sz="6" w:space="0" w:color="000000"/>
            </w:tcBorders>
            <w:tcMar>
              <w:bottom w:w="95" w:type="dxa"/>
            </w:tcMar>
            <w:vAlign w:val="center"/>
          </w:tcPr>
          <w:p>
            <w:pPr>
              <w:pStyle w:val="TableContents"/>
              <w:bidi w:val="0"/>
              <w:spacing w:before="0" w:after="283"/>
              <w:jc w:val="right"/>
              <w:rPr/>
            </w:pPr>
            <w:r>
              <w:rPr/>
              <w:t>8,799,489</w:t>
            </w:r>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vMerge w:val="restart"/>
            <w:tcBorders>
              <w:bottom w:val="single" w:sz="6" w:space="0" w:color="000000"/>
            </w:tcBorders>
            <w:shd w:fill="F7F7F7" w:val="clear"/>
            <w:vAlign w:val="center"/>
          </w:tcPr>
          <w:p>
            <w:pPr>
              <w:pStyle w:val="TableContents"/>
              <w:bidi w:val="0"/>
              <w:spacing w:before="0" w:after="283"/>
              <w:jc w:val="left"/>
              <w:rPr/>
            </w:pPr>
            <w:r>
              <w:rPr/>
              <w:t>​</w:t>
            </w:r>
          </w:p>
        </w:tc>
        <w:tc>
          <w:tcPr>
            <w:tcW w:w="1141" w:type="dxa"/>
            <w:vMerge w:val="restart"/>
            <w:tcBorders>
              <w:bottom w:val="single" w:sz="6" w:space="0" w:color="000000"/>
            </w:tcBorders>
            <w:shd w:fill="F7F7F7" w:val="clear"/>
            <w:tcMar>
              <w:bottom w:w="95" w:type="dxa"/>
            </w:tcMar>
            <w:vAlign w:val="center"/>
          </w:tcPr>
          <w:p>
            <w:pPr>
              <w:pStyle w:val="TableContents"/>
              <w:bidi w:val="0"/>
              <w:spacing w:lineRule="atLeast" w:line="180" w:before="0" w:after="0"/>
              <w:jc w:val="left"/>
              <w:rPr/>
            </w:pPr>
            <w:r>
              <w:rPr/>
              <w:t xml:space="preserve">Gagan Dhingra </w:t>
            </w:r>
          </w:p>
        </w:tc>
        <w:tc>
          <w:tcPr>
            <w:tcW w:w="109" w:type="dxa"/>
            <w:vMerge w:val="restart"/>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lineRule="atLeast" w:line="180" w:before="0" w:after="283"/>
              <w:jc w:val="right"/>
              <w:rPr/>
            </w:pPr>
            <w:r>
              <w:rPr/>
              <w:t>​</w:t>
            </w:r>
          </w:p>
        </w:tc>
        <w:tc>
          <w:tcPr>
            <w:tcW w:w="1066" w:type="dxa"/>
            <w:tcBorders/>
            <w:shd w:fill="F7F7F7" w:val="clear"/>
            <w:tcMar>
              <w:bottom w:w="0" w:type="dxa"/>
            </w:tcMar>
            <w:vAlign w:val="center"/>
          </w:tcPr>
          <w:p>
            <w:pPr>
              <w:pStyle w:val="TableContents"/>
              <w:bidi w:val="0"/>
              <w:spacing w:lineRule="atLeast" w:line="180" w:before="0" w:after="283"/>
              <w:jc w:val="right"/>
              <w:rPr/>
            </w:pPr>
            <w:r>
              <w:rPr/>
              <w:t>16,554</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27" w:type="dxa"/>
            <w:tcBorders/>
            <w:shd w:fill="F7F7F7" w:val="clear"/>
            <w:tcMar>
              <w:bottom w:w="0" w:type="dxa"/>
            </w:tcMar>
            <w:vAlign w:val="center"/>
          </w:tcPr>
          <w:p>
            <w:pPr>
              <w:pStyle w:val="TableContents"/>
              <w:bidi w:val="0"/>
              <w:spacing w:before="0" w:after="283"/>
              <w:jc w:val="left"/>
              <w:rPr/>
            </w:pPr>
            <w:r>
              <w:rPr/>
              <w:t>​</w:t>
            </w:r>
          </w:p>
        </w:tc>
        <w:tc>
          <w:tcPr>
            <w:tcW w:w="127" w:type="dxa"/>
            <w:tcBorders/>
            <w:shd w:fill="F7F7F7" w:val="clear"/>
            <w:tcMar>
              <w:bottom w:w="0" w:type="dxa"/>
            </w:tcMar>
            <w:vAlign w:val="center"/>
          </w:tcPr>
          <w:p>
            <w:pPr>
              <w:pStyle w:val="TableContents"/>
              <w:bidi w:val="0"/>
              <w:spacing w:lineRule="atLeast" w:line="180" w:before="0" w:after="283"/>
              <w:jc w:val="right"/>
              <w:rPr/>
            </w:pPr>
            <w:r>
              <w:rPr/>
              <w:t>​</w:t>
            </w:r>
          </w:p>
        </w:tc>
        <w:tc>
          <w:tcPr>
            <w:tcW w:w="1072" w:type="dxa"/>
            <w:tcBorders/>
            <w:shd w:fill="F7F7F7" w:val="clear"/>
            <w:tcMar>
              <w:bottom w:w="0" w:type="dxa"/>
            </w:tcMar>
            <w:vAlign w:val="center"/>
          </w:tcPr>
          <w:p>
            <w:pPr>
              <w:pStyle w:val="TableContents"/>
              <w:bidi w:val="0"/>
              <w:spacing w:lineRule="atLeast" w:line="180" w:before="0" w:after="283"/>
              <w:jc w:val="right"/>
              <w:rPr/>
            </w:pPr>
            <w:r>
              <w:rPr/>
              <w:t>96,963</w:t>
            </w:r>
            <w:r>
              <w:rPr>
                <w:sz w:val="10"/>
              </w:rPr>
              <w:t>(8)</w:t>
            </w:r>
            <w:r>
              <w:rPr/>
              <w:t xml:space="preserve"> </w:t>
            </w:r>
          </w:p>
        </w:tc>
        <w:tc>
          <w:tcPr>
            <w:tcW w:w="130"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17" w:type="dxa"/>
            <w:tcBorders/>
            <w:shd w:fill="F7F7F7" w:val="clear"/>
            <w:tcMar>
              <w:bottom w:w="0" w:type="dxa"/>
            </w:tcMar>
            <w:vAlign w:val="center"/>
          </w:tcPr>
          <w:p>
            <w:pPr>
              <w:pStyle w:val="TableContents"/>
              <w:bidi w:val="0"/>
              <w:spacing w:before="0" w:after="283"/>
              <w:jc w:val="left"/>
              <w:rPr/>
            </w:pPr>
            <w:r>
              <w:rPr/>
              <w:t>​</w:t>
            </w:r>
          </w:p>
        </w:tc>
        <w:tc>
          <w:tcPr>
            <w:tcW w:w="117" w:type="dxa"/>
            <w:tcBorders/>
            <w:shd w:fill="F7F7F7" w:val="clear"/>
            <w:tcMar>
              <w:bottom w:w="0" w:type="dxa"/>
            </w:tcMar>
            <w:vAlign w:val="center"/>
          </w:tcPr>
          <w:p>
            <w:pPr>
              <w:pStyle w:val="TableContents"/>
              <w:bidi w:val="0"/>
              <w:spacing w:lineRule="atLeast" w:line="180" w:before="0" w:after="283"/>
              <w:jc w:val="right"/>
              <w:rPr/>
            </w:pPr>
            <w:r>
              <w:rPr/>
              <w:t>​</w:t>
            </w:r>
          </w:p>
        </w:tc>
        <w:tc>
          <w:tcPr>
            <w:tcW w:w="564" w:type="dxa"/>
            <w:tcBorders/>
            <w:shd w:fill="F7F7F7" w:val="clear"/>
            <w:tcMar>
              <w:bottom w:w="0" w:type="dxa"/>
            </w:tcMar>
            <w:vAlign w:val="center"/>
          </w:tcPr>
          <w:p>
            <w:pPr>
              <w:pStyle w:val="TableContents"/>
              <w:bidi w:val="0"/>
              <w:spacing w:lineRule="atLeast" w:line="180" w:before="0" w:after="283"/>
              <w:jc w:val="right"/>
              <w:rPr/>
            </w:pPr>
            <w:r>
              <w:rPr/>
              <w:t>8</w:t>
            </w:r>
            <w:r>
              <w:rPr>
                <w:b/>
              </w:rPr>
              <w:t>.</w:t>
            </w:r>
            <w:r>
              <w:rPr/>
              <w:t>26</w:t>
            </w:r>
          </w:p>
        </w:tc>
        <w:tc>
          <w:tcPr>
            <w:tcW w:w="118"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lineRule="atLeast" w:line="180" w:before="0" w:after="283"/>
              <w:jc w:val="right"/>
              <w:rPr/>
            </w:pPr>
            <w:r>
              <w:rPr/>
              <w:t>​</w:t>
            </w:r>
          </w:p>
        </w:tc>
        <w:tc>
          <w:tcPr>
            <w:tcW w:w="769" w:type="dxa"/>
            <w:tcBorders/>
            <w:shd w:fill="F7F7F7" w:val="clear"/>
            <w:tcMar>
              <w:bottom w:w="0" w:type="dxa"/>
            </w:tcMar>
            <w:vAlign w:val="center"/>
          </w:tcPr>
          <w:p>
            <w:pPr>
              <w:pStyle w:val="TableContents"/>
              <w:bidi w:val="0"/>
              <w:spacing w:lineRule="atLeast" w:line="180" w:before="0" w:after="283"/>
              <w:jc w:val="right"/>
              <w:rPr/>
            </w:pPr>
            <w:r>
              <w:rPr/>
              <w:t>09/10/2030</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lineRule="atLeast" w:line="180" w:before="0" w:after="283"/>
              <w:jc w:val="right"/>
              <w:rPr/>
            </w:pPr>
            <w:r>
              <w:rPr/>
              <w:t>​</w:t>
            </w:r>
          </w:p>
        </w:tc>
        <w:tc>
          <w:tcPr>
            <w:tcW w:w="1096" w:type="dxa"/>
            <w:tcBorders/>
            <w:shd w:fill="F7F7F7" w:val="clear"/>
            <w:tcMar>
              <w:bottom w:w="0" w:type="dxa"/>
            </w:tcMar>
            <w:vAlign w:val="center"/>
          </w:tcPr>
          <w:p>
            <w:pPr>
              <w:pStyle w:val="TableContents"/>
              <w:bidi w:val="0"/>
              <w:spacing w:lineRule="atLeast" w:line="180"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lineRule="atLeast" w:line="180" w:before="0" w:after="283"/>
              <w:jc w:val="right"/>
              <w:rPr/>
            </w:pPr>
            <w:r>
              <w:rPr/>
              <w:t>​</w:t>
            </w:r>
          </w:p>
        </w:tc>
        <w:tc>
          <w:tcPr>
            <w:tcW w:w="1186" w:type="dxa"/>
            <w:tcBorders/>
            <w:shd w:fill="F7F7F7" w:val="clear"/>
            <w:tcMar>
              <w:bottom w:w="0" w:type="dxa"/>
            </w:tcMar>
            <w:vAlign w:val="center"/>
          </w:tcPr>
          <w:p>
            <w:pPr>
              <w:pStyle w:val="TableContents"/>
              <w:bidi w:val="0"/>
              <w:spacing w:lineRule="atLeast" w:line="180"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lineRule="atLeast" w:line="180" w:before="0" w:after="283"/>
              <w:jc w:val="right"/>
              <w:rPr/>
            </w:pPr>
            <w:r>
              <w:rPr/>
              <w:t>​</w:t>
            </w:r>
          </w:p>
        </w:tc>
        <w:tc>
          <w:tcPr>
            <w:tcW w:w="1096" w:type="dxa"/>
            <w:tcBorders/>
            <w:shd w:fill="F7F7F7" w:val="clear"/>
            <w:tcMar>
              <w:bottom w:w="0" w:type="dxa"/>
            </w:tcMar>
            <w:vAlign w:val="center"/>
          </w:tcPr>
          <w:p>
            <w:pPr>
              <w:pStyle w:val="TableContents"/>
              <w:bidi w:val="0"/>
              <w:spacing w:lineRule="atLeast" w:line="180"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lineRule="atLeast" w:line="180" w:before="0" w:after="283"/>
              <w:jc w:val="right"/>
              <w:rPr/>
            </w:pPr>
            <w:r>
              <w:rPr/>
              <w:t>​</w:t>
            </w:r>
          </w:p>
        </w:tc>
        <w:tc>
          <w:tcPr>
            <w:tcW w:w="1066" w:type="dxa"/>
            <w:tcBorders/>
            <w:shd w:fill="F7F7F7" w:val="clear"/>
            <w:tcMar>
              <w:bottom w:w="0" w:type="dxa"/>
            </w:tcMar>
            <w:vAlign w:val="center"/>
          </w:tcPr>
          <w:p>
            <w:pPr>
              <w:pStyle w:val="TableContents"/>
              <w:bidi w:val="0"/>
              <w:spacing w:lineRule="atLeast" w:line="180"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54" w:type="dxa"/>
            <w:tcBorders/>
            <w:shd w:fill="F7F7F7"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shd w:fill="F7F7F7" w:val="clear"/>
            <w:vAlign w:val="center"/>
          </w:tcPr>
          <w:p>
            <w:pPr>
              <w:pStyle w:val="Normal"/>
              <w:bidi w:val="0"/>
              <w:jc w:val="left"/>
              <w:rPr/>
            </w:pPr>
            <w:r>
              <w:rPr/>
            </w:r>
          </w:p>
        </w:tc>
        <w:tc>
          <w:tcPr>
            <w:tcW w:w="1141" w:type="dxa"/>
            <w:vMerge w:val="continue"/>
            <w:tcBorders>
              <w:bottom w:val="single" w:sz="6" w:space="0" w:color="000000"/>
            </w:tcBorders>
            <w:shd w:fill="F7F7F7" w:val="clear"/>
            <w:tcMar>
              <w:bottom w:w="95" w:type="dxa"/>
            </w:tcMar>
            <w:vAlign w:val="center"/>
          </w:tcPr>
          <w:p>
            <w:pPr>
              <w:pStyle w:val="Normal"/>
              <w:bidi w:val="0"/>
              <w:jc w:val="left"/>
              <w:rPr/>
            </w:pPr>
            <w:r>
              <w:rPr/>
            </w:r>
          </w:p>
        </w:tc>
        <w:tc>
          <w:tcPr>
            <w:tcW w:w="109" w:type="dxa"/>
            <w:vMerge w:val="continue"/>
            <w:tcBorders>
              <w:bottom w:val="single" w:sz="6" w:space="0" w:color="000000"/>
            </w:tcBorders>
            <w:shd w:fill="F7F7F7" w:val="clear"/>
            <w:vAlign w:val="center"/>
          </w:tcPr>
          <w:p>
            <w:pPr>
              <w:pStyle w:val="Normal"/>
              <w:bidi w:val="0"/>
              <w:jc w:val="left"/>
              <w:rPr/>
            </w:pPr>
            <w:r>
              <w:rPr/>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6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27" w:type="dxa"/>
            <w:tcBorders/>
            <w:shd w:fill="F7F7F7" w:val="clear"/>
            <w:tcMar>
              <w:bottom w:w="0" w:type="dxa"/>
            </w:tcMar>
            <w:vAlign w:val="center"/>
          </w:tcPr>
          <w:p>
            <w:pPr>
              <w:pStyle w:val="TableContents"/>
              <w:bidi w:val="0"/>
              <w:spacing w:before="0" w:after="283"/>
              <w:jc w:val="left"/>
              <w:rPr/>
            </w:pPr>
            <w:r>
              <w:rPr/>
              <w:t>​</w:t>
            </w:r>
          </w:p>
        </w:tc>
        <w:tc>
          <w:tcPr>
            <w:tcW w:w="127" w:type="dxa"/>
            <w:tcBorders/>
            <w:shd w:fill="F7F7F7" w:val="clear"/>
            <w:tcMar>
              <w:bottom w:w="0" w:type="dxa"/>
            </w:tcMar>
            <w:vAlign w:val="center"/>
          </w:tcPr>
          <w:p>
            <w:pPr>
              <w:pStyle w:val="TableContents"/>
              <w:bidi w:val="0"/>
              <w:spacing w:before="0" w:after="283"/>
              <w:jc w:val="right"/>
              <w:rPr/>
            </w:pPr>
            <w:r>
              <w:rPr/>
              <w:t>​</w:t>
            </w:r>
          </w:p>
        </w:tc>
        <w:tc>
          <w:tcPr>
            <w:tcW w:w="1072" w:type="dxa"/>
            <w:tcBorders/>
            <w:shd w:fill="F7F7F7" w:val="clear"/>
            <w:tcMar>
              <w:bottom w:w="0" w:type="dxa"/>
            </w:tcMar>
            <w:vAlign w:val="center"/>
          </w:tcPr>
          <w:p>
            <w:pPr>
              <w:pStyle w:val="TableContents"/>
              <w:bidi w:val="0"/>
              <w:spacing w:before="0" w:after="283"/>
              <w:jc w:val="right"/>
              <w:rPr/>
            </w:pPr>
            <w:r>
              <w:rPr/>
              <w:t>—</w:t>
            </w:r>
          </w:p>
        </w:tc>
        <w:tc>
          <w:tcPr>
            <w:tcW w:w="130"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17" w:type="dxa"/>
            <w:tcBorders/>
            <w:shd w:fill="F7F7F7" w:val="clear"/>
            <w:tcMar>
              <w:bottom w:w="0" w:type="dxa"/>
            </w:tcMar>
            <w:vAlign w:val="center"/>
          </w:tcPr>
          <w:p>
            <w:pPr>
              <w:pStyle w:val="TableContents"/>
              <w:bidi w:val="0"/>
              <w:spacing w:before="0" w:after="283"/>
              <w:jc w:val="left"/>
              <w:rPr/>
            </w:pPr>
            <w:r>
              <w:rPr/>
              <w:t>​</w:t>
            </w:r>
          </w:p>
        </w:tc>
        <w:tc>
          <w:tcPr>
            <w:tcW w:w="117" w:type="dxa"/>
            <w:tcBorders/>
            <w:shd w:fill="F7F7F7" w:val="clear"/>
            <w:tcMar>
              <w:bottom w:w="0" w:type="dxa"/>
            </w:tcMar>
            <w:vAlign w:val="center"/>
          </w:tcPr>
          <w:p>
            <w:pPr>
              <w:pStyle w:val="TableContents"/>
              <w:bidi w:val="0"/>
              <w:spacing w:before="0" w:after="283"/>
              <w:jc w:val="right"/>
              <w:rPr/>
            </w:pPr>
            <w:r>
              <w:rPr/>
              <w:t>​</w:t>
            </w:r>
          </w:p>
        </w:tc>
        <w:tc>
          <w:tcPr>
            <w:tcW w:w="564" w:type="dxa"/>
            <w:tcBorders/>
            <w:shd w:fill="F7F7F7" w:val="clear"/>
            <w:tcMar>
              <w:bottom w:w="0" w:type="dxa"/>
            </w:tcMar>
            <w:vAlign w:val="center"/>
          </w:tcPr>
          <w:p>
            <w:pPr>
              <w:pStyle w:val="TableContents"/>
              <w:bidi w:val="0"/>
              <w:spacing w:before="0" w:after="283"/>
              <w:jc w:val="right"/>
              <w:rPr/>
            </w:pPr>
            <w:r>
              <w:rPr/>
              <w:t>—</w:t>
            </w:r>
          </w:p>
        </w:tc>
        <w:tc>
          <w:tcPr>
            <w:tcW w:w="118"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769"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96" w:type="dxa"/>
            <w:tcBorders/>
            <w:shd w:fill="F7F7F7" w:val="clear"/>
            <w:tcMar>
              <w:bottom w:w="0" w:type="dxa"/>
            </w:tcMar>
            <w:vAlign w:val="center"/>
          </w:tcPr>
          <w:p>
            <w:pPr>
              <w:pStyle w:val="TableContents"/>
              <w:bidi w:val="0"/>
              <w:spacing w:before="0" w:after="283"/>
              <w:jc w:val="right"/>
              <w:rPr/>
            </w:pPr>
            <w:r>
              <w:rPr/>
              <w:t>27,055</w:t>
            </w:r>
            <w:r>
              <w:rPr>
                <w:sz w:val="10"/>
              </w:rPr>
              <w:t>(3)</w:t>
            </w:r>
            <w:r>
              <w:rPr/>
              <w:t xml:space="preserve"> </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186" w:type="dxa"/>
            <w:tcBorders/>
            <w:shd w:fill="F7F7F7" w:val="clear"/>
            <w:tcMar>
              <w:bottom w:w="0" w:type="dxa"/>
            </w:tcMar>
            <w:vAlign w:val="center"/>
          </w:tcPr>
          <w:p>
            <w:pPr>
              <w:pStyle w:val="TableContents"/>
              <w:bidi w:val="0"/>
              <w:spacing w:before="0" w:after="283"/>
              <w:jc w:val="right"/>
              <w:rPr/>
            </w:pPr>
            <w:r>
              <w:rPr/>
              <w:t>113,902</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9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6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54" w:type="dxa"/>
            <w:tcBorders/>
            <w:shd w:fill="F7F7F7"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shd w:fill="F7F7F7" w:val="clear"/>
            <w:vAlign w:val="center"/>
          </w:tcPr>
          <w:p>
            <w:pPr>
              <w:pStyle w:val="Normal"/>
              <w:bidi w:val="0"/>
              <w:jc w:val="left"/>
              <w:rPr/>
            </w:pPr>
            <w:r>
              <w:rPr/>
            </w:r>
          </w:p>
        </w:tc>
        <w:tc>
          <w:tcPr>
            <w:tcW w:w="1141" w:type="dxa"/>
            <w:vMerge w:val="continue"/>
            <w:tcBorders>
              <w:bottom w:val="single" w:sz="6" w:space="0" w:color="000000"/>
            </w:tcBorders>
            <w:shd w:fill="F7F7F7" w:val="clear"/>
            <w:tcMar>
              <w:bottom w:w="95" w:type="dxa"/>
            </w:tcMar>
            <w:vAlign w:val="center"/>
          </w:tcPr>
          <w:p>
            <w:pPr>
              <w:pStyle w:val="Normal"/>
              <w:bidi w:val="0"/>
              <w:jc w:val="left"/>
              <w:rPr/>
            </w:pPr>
            <w:r>
              <w:rPr/>
            </w:r>
          </w:p>
        </w:tc>
        <w:tc>
          <w:tcPr>
            <w:tcW w:w="109" w:type="dxa"/>
            <w:vMerge w:val="continue"/>
            <w:tcBorders>
              <w:bottom w:val="single" w:sz="6" w:space="0" w:color="000000"/>
            </w:tcBorders>
            <w:shd w:fill="F7F7F7" w:val="clear"/>
            <w:vAlign w:val="center"/>
          </w:tcPr>
          <w:p>
            <w:pPr>
              <w:pStyle w:val="Normal"/>
              <w:bidi w:val="0"/>
              <w:jc w:val="left"/>
              <w:rPr/>
            </w:pPr>
            <w:r>
              <w:rPr/>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6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27" w:type="dxa"/>
            <w:tcBorders/>
            <w:shd w:fill="F7F7F7" w:val="clear"/>
            <w:tcMar>
              <w:bottom w:w="0" w:type="dxa"/>
            </w:tcMar>
            <w:vAlign w:val="center"/>
          </w:tcPr>
          <w:p>
            <w:pPr>
              <w:pStyle w:val="TableContents"/>
              <w:bidi w:val="0"/>
              <w:spacing w:before="0" w:after="283"/>
              <w:jc w:val="left"/>
              <w:rPr/>
            </w:pPr>
            <w:r>
              <w:rPr/>
              <w:t>​</w:t>
            </w:r>
          </w:p>
        </w:tc>
        <w:tc>
          <w:tcPr>
            <w:tcW w:w="127" w:type="dxa"/>
            <w:tcBorders/>
            <w:shd w:fill="F7F7F7" w:val="clear"/>
            <w:tcMar>
              <w:bottom w:w="0" w:type="dxa"/>
            </w:tcMar>
            <w:vAlign w:val="center"/>
          </w:tcPr>
          <w:p>
            <w:pPr>
              <w:pStyle w:val="TableContents"/>
              <w:bidi w:val="0"/>
              <w:spacing w:before="0" w:after="283"/>
              <w:jc w:val="right"/>
              <w:rPr/>
            </w:pPr>
            <w:r>
              <w:rPr/>
              <w:t>​</w:t>
            </w:r>
          </w:p>
        </w:tc>
        <w:tc>
          <w:tcPr>
            <w:tcW w:w="1072" w:type="dxa"/>
            <w:tcBorders/>
            <w:shd w:fill="F7F7F7" w:val="clear"/>
            <w:tcMar>
              <w:bottom w:w="0" w:type="dxa"/>
            </w:tcMar>
            <w:vAlign w:val="center"/>
          </w:tcPr>
          <w:p>
            <w:pPr>
              <w:pStyle w:val="TableContents"/>
              <w:bidi w:val="0"/>
              <w:spacing w:before="0" w:after="283"/>
              <w:jc w:val="right"/>
              <w:rPr/>
            </w:pPr>
            <w:r>
              <w:rPr/>
              <w:t>—</w:t>
            </w:r>
          </w:p>
        </w:tc>
        <w:tc>
          <w:tcPr>
            <w:tcW w:w="130"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17" w:type="dxa"/>
            <w:tcBorders/>
            <w:shd w:fill="F7F7F7" w:val="clear"/>
            <w:tcMar>
              <w:bottom w:w="0" w:type="dxa"/>
            </w:tcMar>
            <w:vAlign w:val="center"/>
          </w:tcPr>
          <w:p>
            <w:pPr>
              <w:pStyle w:val="TableContents"/>
              <w:bidi w:val="0"/>
              <w:spacing w:before="0" w:after="283"/>
              <w:jc w:val="left"/>
              <w:rPr/>
            </w:pPr>
            <w:r>
              <w:rPr/>
              <w:t>​</w:t>
            </w:r>
          </w:p>
        </w:tc>
        <w:tc>
          <w:tcPr>
            <w:tcW w:w="117" w:type="dxa"/>
            <w:tcBorders/>
            <w:shd w:fill="F7F7F7" w:val="clear"/>
            <w:tcMar>
              <w:bottom w:w="0" w:type="dxa"/>
            </w:tcMar>
            <w:vAlign w:val="center"/>
          </w:tcPr>
          <w:p>
            <w:pPr>
              <w:pStyle w:val="TableContents"/>
              <w:bidi w:val="0"/>
              <w:spacing w:before="0" w:after="283"/>
              <w:jc w:val="right"/>
              <w:rPr/>
            </w:pPr>
            <w:r>
              <w:rPr/>
              <w:t>​</w:t>
            </w:r>
          </w:p>
        </w:tc>
        <w:tc>
          <w:tcPr>
            <w:tcW w:w="564" w:type="dxa"/>
            <w:tcBorders/>
            <w:shd w:fill="F7F7F7" w:val="clear"/>
            <w:tcMar>
              <w:bottom w:w="0" w:type="dxa"/>
            </w:tcMar>
            <w:vAlign w:val="center"/>
          </w:tcPr>
          <w:p>
            <w:pPr>
              <w:pStyle w:val="TableContents"/>
              <w:bidi w:val="0"/>
              <w:spacing w:before="0" w:after="283"/>
              <w:jc w:val="right"/>
              <w:rPr/>
            </w:pPr>
            <w:r>
              <w:rPr/>
              <w:t>—</w:t>
            </w:r>
          </w:p>
        </w:tc>
        <w:tc>
          <w:tcPr>
            <w:tcW w:w="118"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769"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96" w:type="dxa"/>
            <w:tcBorders/>
            <w:shd w:fill="F7F7F7" w:val="clear"/>
            <w:tcMar>
              <w:bottom w:w="0" w:type="dxa"/>
            </w:tcMar>
            <w:vAlign w:val="center"/>
          </w:tcPr>
          <w:p>
            <w:pPr>
              <w:pStyle w:val="TableContents"/>
              <w:bidi w:val="0"/>
              <w:spacing w:before="0" w:after="283"/>
              <w:jc w:val="right"/>
              <w:rPr/>
            </w:pPr>
            <w:r>
              <w:rPr/>
              <w:t>23,129</w:t>
            </w:r>
            <w:r>
              <w:rPr>
                <w:sz w:val="10"/>
              </w:rPr>
              <w:t>(4)</w:t>
            </w:r>
            <w:r>
              <w:rPr/>
              <w:t xml:space="preserve"> </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186" w:type="dxa"/>
            <w:tcBorders/>
            <w:shd w:fill="F7F7F7" w:val="clear"/>
            <w:tcMar>
              <w:bottom w:w="0" w:type="dxa"/>
            </w:tcMar>
            <w:vAlign w:val="center"/>
          </w:tcPr>
          <w:p>
            <w:pPr>
              <w:pStyle w:val="TableContents"/>
              <w:bidi w:val="0"/>
              <w:spacing w:before="0" w:after="283"/>
              <w:jc w:val="right"/>
              <w:rPr/>
            </w:pPr>
            <w:r>
              <w:rPr/>
              <w:t>97,373</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9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6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54" w:type="dxa"/>
            <w:tcBorders/>
            <w:shd w:fill="F7F7F7"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shd w:fill="F7F7F7" w:val="clear"/>
            <w:vAlign w:val="center"/>
          </w:tcPr>
          <w:p>
            <w:pPr>
              <w:pStyle w:val="Normal"/>
              <w:bidi w:val="0"/>
              <w:jc w:val="left"/>
              <w:rPr/>
            </w:pPr>
            <w:r>
              <w:rPr/>
            </w:r>
          </w:p>
        </w:tc>
        <w:tc>
          <w:tcPr>
            <w:tcW w:w="1141" w:type="dxa"/>
            <w:vMerge w:val="continue"/>
            <w:tcBorders>
              <w:bottom w:val="single" w:sz="6" w:space="0" w:color="000000"/>
            </w:tcBorders>
            <w:shd w:fill="F7F7F7" w:val="clear"/>
            <w:tcMar>
              <w:bottom w:w="95" w:type="dxa"/>
            </w:tcMar>
            <w:vAlign w:val="center"/>
          </w:tcPr>
          <w:p>
            <w:pPr>
              <w:pStyle w:val="Normal"/>
              <w:bidi w:val="0"/>
              <w:jc w:val="left"/>
              <w:rPr/>
            </w:pPr>
            <w:r>
              <w:rPr/>
            </w:r>
          </w:p>
        </w:tc>
        <w:tc>
          <w:tcPr>
            <w:tcW w:w="109" w:type="dxa"/>
            <w:vMerge w:val="continue"/>
            <w:tcBorders>
              <w:bottom w:val="single" w:sz="6" w:space="0" w:color="000000"/>
            </w:tcBorders>
            <w:shd w:fill="F7F7F7" w:val="clear"/>
            <w:vAlign w:val="center"/>
          </w:tcPr>
          <w:p>
            <w:pPr>
              <w:pStyle w:val="Normal"/>
              <w:bidi w:val="0"/>
              <w:jc w:val="left"/>
              <w:rPr/>
            </w:pPr>
            <w:r>
              <w:rPr/>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6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27" w:type="dxa"/>
            <w:tcBorders/>
            <w:shd w:fill="F7F7F7" w:val="clear"/>
            <w:tcMar>
              <w:bottom w:w="0" w:type="dxa"/>
            </w:tcMar>
            <w:vAlign w:val="center"/>
          </w:tcPr>
          <w:p>
            <w:pPr>
              <w:pStyle w:val="TableContents"/>
              <w:bidi w:val="0"/>
              <w:spacing w:before="0" w:after="283"/>
              <w:jc w:val="left"/>
              <w:rPr/>
            </w:pPr>
            <w:r>
              <w:rPr/>
              <w:t>​</w:t>
            </w:r>
          </w:p>
        </w:tc>
        <w:tc>
          <w:tcPr>
            <w:tcW w:w="127" w:type="dxa"/>
            <w:tcBorders/>
            <w:shd w:fill="F7F7F7" w:val="clear"/>
            <w:tcMar>
              <w:bottom w:w="0" w:type="dxa"/>
            </w:tcMar>
            <w:vAlign w:val="center"/>
          </w:tcPr>
          <w:p>
            <w:pPr>
              <w:pStyle w:val="TableContents"/>
              <w:bidi w:val="0"/>
              <w:spacing w:before="0" w:after="283"/>
              <w:jc w:val="right"/>
              <w:rPr/>
            </w:pPr>
            <w:r>
              <w:rPr/>
              <w:t>​</w:t>
            </w:r>
          </w:p>
        </w:tc>
        <w:tc>
          <w:tcPr>
            <w:tcW w:w="1072" w:type="dxa"/>
            <w:tcBorders/>
            <w:shd w:fill="F7F7F7" w:val="clear"/>
            <w:tcMar>
              <w:bottom w:w="0" w:type="dxa"/>
            </w:tcMar>
            <w:vAlign w:val="center"/>
          </w:tcPr>
          <w:p>
            <w:pPr>
              <w:pStyle w:val="TableContents"/>
              <w:bidi w:val="0"/>
              <w:spacing w:before="0" w:after="283"/>
              <w:jc w:val="right"/>
              <w:rPr/>
            </w:pPr>
            <w:r>
              <w:rPr/>
              <w:t>—</w:t>
            </w:r>
          </w:p>
        </w:tc>
        <w:tc>
          <w:tcPr>
            <w:tcW w:w="130"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17" w:type="dxa"/>
            <w:tcBorders/>
            <w:shd w:fill="F7F7F7" w:val="clear"/>
            <w:tcMar>
              <w:bottom w:w="0" w:type="dxa"/>
            </w:tcMar>
            <w:vAlign w:val="center"/>
          </w:tcPr>
          <w:p>
            <w:pPr>
              <w:pStyle w:val="TableContents"/>
              <w:bidi w:val="0"/>
              <w:spacing w:before="0" w:after="283"/>
              <w:jc w:val="left"/>
              <w:rPr/>
            </w:pPr>
            <w:r>
              <w:rPr/>
              <w:t>​</w:t>
            </w:r>
          </w:p>
        </w:tc>
        <w:tc>
          <w:tcPr>
            <w:tcW w:w="117" w:type="dxa"/>
            <w:tcBorders/>
            <w:shd w:fill="F7F7F7" w:val="clear"/>
            <w:tcMar>
              <w:bottom w:w="0" w:type="dxa"/>
            </w:tcMar>
            <w:vAlign w:val="center"/>
          </w:tcPr>
          <w:p>
            <w:pPr>
              <w:pStyle w:val="TableContents"/>
              <w:bidi w:val="0"/>
              <w:spacing w:before="0" w:after="283"/>
              <w:jc w:val="right"/>
              <w:rPr/>
            </w:pPr>
            <w:r>
              <w:rPr/>
              <w:t>​</w:t>
            </w:r>
          </w:p>
        </w:tc>
        <w:tc>
          <w:tcPr>
            <w:tcW w:w="564" w:type="dxa"/>
            <w:tcBorders/>
            <w:shd w:fill="F7F7F7" w:val="clear"/>
            <w:tcMar>
              <w:bottom w:w="0" w:type="dxa"/>
            </w:tcMar>
            <w:vAlign w:val="center"/>
          </w:tcPr>
          <w:p>
            <w:pPr>
              <w:pStyle w:val="TableContents"/>
              <w:bidi w:val="0"/>
              <w:spacing w:before="0" w:after="283"/>
              <w:jc w:val="right"/>
              <w:rPr/>
            </w:pPr>
            <w:r>
              <w:rPr/>
              <w:t>—</w:t>
            </w:r>
          </w:p>
        </w:tc>
        <w:tc>
          <w:tcPr>
            <w:tcW w:w="118"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769"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96" w:type="dxa"/>
            <w:tcBorders/>
            <w:shd w:fill="F7F7F7" w:val="clear"/>
            <w:tcMar>
              <w:bottom w:w="0" w:type="dxa"/>
            </w:tcMar>
            <w:vAlign w:val="center"/>
          </w:tcPr>
          <w:p>
            <w:pPr>
              <w:pStyle w:val="TableContents"/>
              <w:bidi w:val="0"/>
              <w:spacing w:before="0" w:after="283"/>
              <w:jc w:val="right"/>
              <w:rPr/>
            </w:pPr>
            <w:r>
              <w:rPr/>
              <w:t>92,233</w:t>
            </w:r>
            <w:r>
              <w:rPr>
                <w:sz w:val="10"/>
              </w:rPr>
              <w:t>(5)</w:t>
            </w:r>
            <w:r>
              <w:rPr/>
              <w:t xml:space="preserve"> </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186" w:type="dxa"/>
            <w:tcBorders/>
            <w:shd w:fill="F7F7F7" w:val="clear"/>
            <w:tcMar>
              <w:bottom w:w="0" w:type="dxa"/>
            </w:tcMar>
            <w:vAlign w:val="center"/>
          </w:tcPr>
          <w:p>
            <w:pPr>
              <w:pStyle w:val="TableContents"/>
              <w:bidi w:val="0"/>
              <w:spacing w:before="0" w:after="283"/>
              <w:jc w:val="right"/>
              <w:rPr/>
            </w:pPr>
            <w:r>
              <w:rPr/>
              <w:t>477,907</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9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6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54" w:type="dxa"/>
            <w:tcBorders/>
            <w:shd w:fill="F7F7F7"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shd w:fill="F7F7F7" w:val="clear"/>
            <w:vAlign w:val="center"/>
          </w:tcPr>
          <w:p>
            <w:pPr>
              <w:pStyle w:val="Normal"/>
              <w:bidi w:val="0"/>
              <w:jc w:val="left"/>
              <w:rPr/>
            </w:pPr>
            <w:r>
              <w:rPr/>
            </w:r>
          </w:p>
        </w:tc>
        <w:tc>
          <w:tcPr>
            <w:tcW w:w="1141" w:type="dxa"/>
            <w:vMerge w:val="continue"/>
            <w:tcBorders>
              <w:bottom w:val="single" w:sz="6" w:space="0" w:color="000000"/>
            </w:tcBorders>
            <w:shd w:fill="F7F7F7" w:val="clear"/>
            <w:tcMar>
              <w:bottom w:w="95" w:type="dxa"/>
            </w:tcMar>
            <w:vAlign w:val="center"/>
          </w:tcPr>
          <w:p>
            <w:pPr>
              <w:pStyle w:val="Normal"/>
              <w:bidi w:val="0"/>
              <w:jc w:val="left"/>
              <w:rPr/>
            </w:pPr>
            <w:r>
              <w:rPr/>
            </w:r>
          </w:p>
        </w:tc>
        <w:tc>
          <w:tcPr>
            <w:tcW w:w="109" w:type="dxa"/>
            <w:vMerge w:val="continue"/>
            <w:tcBorders>
              <w:bottom w:val="single" w:sz="6" w:space="0" w:color="000000"/>
            </w:tcBorders>
            <w:shd w:fill="F7F7F7" w:val="clear"/>
            <w:vAlign w:val="center"/>
          </w:tcPr>
          <w:p>
            <w:pPr>
              <w:pStyle w:val="Normal"/>
              <w:bidi w:val="0"/>
              <w:jc w:val="left"/>
              <w:rPr/>
            </w:pPr>
            <w:r>
              <w:rPr/>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6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27" w:type="dxa"/>
            <w:tcBorders/>
            <w:shd w:fill="F7F7F7" w:val="clear"/>
            <w:tcMar>
              <w:bottom w:w="0" w:type="dxa"/>
            </w:tcMar>
            <w:vAlign w:val="center"/>
          </w:tcPr>
          <w:p>
            <w:pPr>
              <w:pStyle w:val="TableContents"/>
              <w:bidi w:val="0"/>
              <w:spacing w:before="0" w:after="283"/>
              <w:jc w:val="left"/>
              <w:rPr/>
            </w:pPr>
            <w:r>
              <w:rPr/>
              <w:t>​</w:t>
            </w:r>
          </w:p>
        </w:tc>
        <w:tc>
          <w:tcPr>
            <w:tcW w:w="127" w:type="dxa"/>
            <w:tcBorders/>
            <w:shd w:fill="F7F7F7" w:val="clear"/>
            <w:tcMar>
              <w:bottom w:w="0" w:type="dxa"/>
            </w:tcMar>
            <w:vAlign w:val="center"/>
          </w:tcPr>
          <w:p>
            <w:pPr>
              <w:pStyle w:val="TableContents"/>
              <w:bidi w:val="0"/>
              <w:spacing w:before="0" w:after="283"/>
              <w:jc w:val="right"/>
              <w:rPr/>
            </w:pPr>
            <w:r>
              <w:rPr/>
              <w:t>​</w:t>
            </w:r>
          </w:p>
        </w:tc>
        <w:tc>
          <w:tcPr>
            <w:tcW w:w="1072" w:type="dxa"/>
            <w:tcBorders/>
            <w:shd w:fill="F7F7F7" w:val="clear"/>
            <w:tcMar>
              <w:bottom w:w="0" w:type="dxa"/>
            </w:tcMar>
            <w:vAlign w:val="center"/>
          </w:tcPr>
          <w:p>
            <w:pPr>
              <w:pStyle w:val="TableContents"/>
              <w:bidi w:val="0"/>
              <w:spacing w:before="0" w:after="283"/>
              <w:jc w:val="right"/>
              <w:rPr/>
            </w:pPr>
            <w:r>
              <w:rPr/>
              <w:t>—</w:t>
            </w:r>
          </w:p>
        </w:tc>
        <w:tc>
          <w:tcPr>
            <w:tcW w:w="130"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17" w:type="dxa"/>
            <w:tcBorders/>
            <w:shd w:fill="F7F7F7" w:val="clear"/>
            <w:tcMar>
              <w:bottom w:w="0" w:type="dxa"/>
            </w:tcMar>
            <w:vAlign w:val="center"/>
          </w:tcPr>
          <w:p>
            <w:pPr>
              <w:pStyle w:val="TableContents"/>
              <w:bidi w:val="0"/>
              <w:spacing w:before="0" w:after="283"/>
              <w:jc w:val="left"/>
              <w:rPr/>
            </w:pPr>
            <w:r>
              <w:rPr/>
              <w:t>​</w:t>
            </w:r>
          </w:p>
        </w:tc>
        <w:tc>
          <w:tcPr>
            <w:tcW w:w="117" w:type="dxa"/>
            <w:tcBorders/>
            <w:shd w:fill="F7F7F7" w:val="clear"/>
            <w:tcMar>
              <w:bottom w:w="0" w:type="dxa"/>
            </w:tcMar>
            <w:vAlign w:val="center"/>
          </w:tcPr>
          <w:p>
            <w:pPr>
              <w:pStyle w:val="TableContents"/>
              <w:bidi w:val="0"/>
              <w:spacing w:before="0" w:after="283"/>
              <w:jc w:val="right"/>
              <w:rPr/>
            </w:pPr>
            <w:r>
              <w:rPr/>
              <w:t>​</w:t>
            </w:r>
          </w:p>
        </w:tc>
        <w:tc>
          <w:tcPr>
            <w:tcW w:w="564" w:type="dxa"/>
            <w:tcBorders/>
            <w:shd w:fill="F7F7F7" w:val="clear"/>
            <w:tcMar>
              <w:bottom w:w="0" w:type="dxa"/>
            </w:tcMar>
            <w:vAlign w:val="center"/>
          </w:tcPr>
          <w:p>
            <w:pPr>
              <w:pStyle w:val="TableContents"/>
              <w:bidi w:val="0"/>
              <w:spacing w:before="0" w:after="283"/>
              <w:jc w:val="right"/>
              <w:rPr/>
            </w:pPr>
            <w:r>
              <w:rPr/>
              <w:t>—</w:t>
            </w:r>
          </w:p>
        </w:tc>
        <w:tc>
          <w:tcPr>
            <w:tcW w:w="118"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769"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96" w:type="dxa"/>
            <w:tcBorders/>
            <w:shd w:fill="F7F7F7" w:val="clear"/>
            <w:tcMar>
              <w:bottom w:w="0" w:type="dxa"/>
            </w:tcMar>
            <w:vAlign w:val="center"/>
          </w:tcPr>
          <w:p>
            <w:pPr>
              <w:pStyle w:val="TableContents"/>
              <w:bidi w:val="0"/>
              <w:spacing w:before="0" w:after="283"/>
              <w:jc w:val="right"/>
              <w:rPr/>
            </w:pPr>
            <w:r>
              <w:rPr/>
              <w:t>117,365</w:t>
            </w:r>
            <w:r>
              <w:rPr>
                <w:sz w:val="10"/>
              </w:rPr>
              <w:t>(6)</w:t>
            </w:r>
            <w:r>
              <w:rPr/>
              <w:t xml:space="preserve"> </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186" w:type="dxa"/>
            <w:tcBorders/>
            <w:shd w:fill="F7F7F7" w:val="clear"/>
            <w:tcMar>
              <w:bottom w:w="0" w:type="dxa"/>
            </w:tcMar>
            <w:vAlign w:val="center"/>
          </w:tcPr>
          <w:p>
            <w:pPr>
              <w:pStyle w:val="TableContents"/>
              <w:bidi w:val="0"/>
              <w:spacing w:before="0" w:after="283"/>
              <w:jc w:val="right"/>
              <w:rPr/>
            </w:pPr>
            <w:r>
              <w:rPr/>
              <w:t>494,107</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9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6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54" w:type="dxa"/>
            <w:tcBorders/>
            <w:shd w:fill="F7F7F7"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shd w:fill="F7F7F7" w:val="clear"/>
            <w:vAlign w:val="center"/>
          </w:tcPr>
          <w:p>
            <w:pPr>
              <w:pStyle w:val="Normal"/>
              <w:bidi w:val="0"/>
              <w:jc w:val="left"/>
              <w:rPr/>
            </w:pPr>
            <w:r>
              <w:rPr/>
            </w:r>
          </w:p>
        </w:tc>
        <w:tc>
          <w:tcPr>
            <w:tcW w:w="1141" w:type="dxa"/>
            <w:vMerge w:val="continue"/>
            <w:tcBorders>
              <w:bottom w:val="single" w:sz="6" w:space="0" w:color="000000"/>
            </w:tcBorders>
            <w:shd w:fill="F7F7F7" w:val="clear"/>
            <w:tcMar>
              <w:bottom w:w="95" w:type="dxa"/>
            </w:tcMar>
            <w:vAlign w:val="center"/>
          </w:tcPr>
          <w:p>
            <w:pPr>
              <w:pStyle w:val="Normal"/>
              <w:bidi w:val="0"/>
              <w:jc w:val="left"/>
              <w:rPr/>
            </w:pPr>
            <w:r>
              <w:rPr/>
            </w:r>
          </w:p>
        </w:tc>
        <w:tc>
          <w:tcPr>
            <w:tcW w:w="109" w:type="dxa"/>
            <w:vMerge w:val="continue"/>
            <w:tcBorders>
              <w:bottom w:val="single" w:sz="6" w:space="0" w:color="000000"/>
            </w:tcBorders>
            <w:shd w:fill="F7F7F7" w:val="clear"/>
            <w:vAlign w:val="center"/>
          </w:tcPr>
          <w:p>
            <w:pPr>
              <w:pStyle w:val="Normal"/>
              <w:bidi w:val="0"/>
              <w:jc w:val="left"/>
              <w:rPr/>
            </w:pPr>
            <w:r>
              <w:rPr/>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1066"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27" w:type="dxa"/>
            <w:tcBorders>
              <w:bottom w:val="single" w:sz="6" w:space="0" w:color="000000"/>
            </w:tcBorders>
            <w:shd w:fill="F7F7F7" w:val="clear"/>
            <w:vAlign w:val="center"/>
          </w:tcPr>
          <w:p>
            <w:pPr>
              <w:pStyle w:val="TableContents"/>
              <w:bidi w:val="0"/>
              <w:spacing w:before="0" w:after="283"/>
              <w:jc w:val="left"/>
              <w:rPr/>
            </w:pPr>
            <w:r>
              <w:rPr/>
              <w:t>​</w:t>
            </w:r>
          </w:p>
        </w:tc>
        <w:tc>
          <w:tcPr>
            <w:tcW w:w="127"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1072"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130"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17" w:type="dxa"/>
            <w:tcBorders>
              <w:bottom w:val="single" w:sz="6" w:space="0" w:color="000000"/>
            </w:tcBorders>
            <w:shd w:fill="F7F7F7" w:val="clear"/>
            <w:vAlign w:val="center"/>
          </w:tcPr>
          <w:p>
            <w:pPr>
              <w:pStyle w:val="TableContents"/>
              <w:bidi w:val="0"/>
              <w:spacing w:before="0" w:after="283"/>
              <w:jc w:val="left"/>
              <w:rPr/>
            </w:pPr>
            <w:r>
              <w:rPr/>
              <w:t>​</w:t>
            </w:r>
          </w:p>
        </w:tc>
        <w:tc>
          <w:tcPr>
            <w:tcW w:w="117"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564"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118"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769"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1096" w:type="dxa"/>
            <w:tcBorders>
              <w:bottom w:val="single" w:sz="6" w:space="0" w:color="000000"/>
            </w:tcBorders>
            <w:shd w:fill="F7F7F7" w:val="clear"/>
            <w:tcMar>
              <w:bottom w:w="95" w:type="dxa"/>
            </w:tcMar>
            <w:vAlign w:val="center"/>
          </w:tcPr>
          <w:p>
            <w:pPr>
              <w:pStyle w:val="TableContents"/>
              <w:bidi w:val="0"/>
              <w:spacing w:before="0" w:after="283"/>
              <w:jc w:val="right"/>
              <w:rPr/>
            </w:pPr>
            <w:r>
              <w:rPr/>
              <w:t xml:space="preserve">— </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1186" w:type="dxa"/>
            <w:tcBorders>
              <w:bottom w:val="single" w:sz="6" w:space="0" w:color="000000"/>
            </w:tcBorders>
            <w:shd w:fill="F7F7F7" w:val="clear"/>
            <w:tcMar>
              <w:bottom w:w="95" w:type="dxa"/>
            </w:tcMar>
            <w:vAlign w:val="center"/>
          </w:tcPr>
          <w:p>
            <w:pPr>
              <w:pStyle w:val="TableContents"/>
              <w:bidi w:val="0"/>
              <w:spacing w:before="0" w:after="283"/>
              <w:jc w:val="right"/>
              <w:rPr/>
            </w:pPr>
            <w:r>
              <w:rPr/>
              <w:t xml:space="preserve">— </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1096" w:type="dxa"/>
            <w:tcBorders>
              <w:bottom w:val="single" w:sz="6" w:space="0" w:color="000000"/>
            </w:tcBorders>
            <w:shd w:fill="F7F7F7" w:val="clear"/>
            <w:tcMar>
              <w:bottom w:w="95" w:type="dxa"/>
            </w:tcMar>
            <w:vAlign w:val="center"/>
          </w:tcPr>
          <w:p>
            <w:pPr>
              <w:pStyle w:val="TableContents"/>
              <w:bidi w:val="0"/>
              <w:spacing w:before="0" w:after="283"/>
              <w:jc w:val="right"/>
              <w:rPr/>
            </w:pPr>
            <w:r>
              <w:rPr/>
              <w:t>227,035</w:t>
            </w:r>
            <w:r>
              <w:rPr>
                <w:sz w:val="10"/>
              </w:rPr>
              <w:t>(7)</w:t>
            </w:r>
            <w:r>
              <w:rPr/>
              <w:t xml:space="preserve"> </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1066" w:type="dxa"/>
            <w:tcBorders>
              <w:bottom w:val="single" w:sz="6" w:space="0" w:color="000000"/>
            </w:tcBorders>
            <w:shd w:fill="F7F7F7" w:val="clear"/>
            <w:tcMar>
              <w:bottom w:w="95" w:type="dxa"/>
            </w:tcMar>
            <w:vAlign w:val="center"/>
          </w:tcPr>
          <w:p>
            <w:pPr>
              <w:pStyle w:val="TableContents"/>
              <w:bidi w:val="0"/>
              <w:spacing w:before="0" w:after="283"/>
              <w:jc w:val="right"/>
              <w:rPr/>
            </w:pPr>
            <w:r>
              <w:rPr/>
              <w:t xml:space="preserve">955,817 </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54" w:type="dxa"/>
            <w:tcBorders>
              <w:bottom w:val="single" w:sz="6" w:space="0" w:color="000000"/>
            </w:tcBorders>
            <w:shd w:fill="F7F7F7" w:val="clear"/>
            <w:vAlign w:val="center"/>
          </w:tcPr>
          <w:p>
            <w:pPr>
              <w:pStyle w:val="TableContents"/>
              <w:bidi w:val="0"/>
              <w:spacing w:before="0" w:after="283"/>
              <w:jc w:val="left"/>
              <w:rPr/>
            </w:pPr>
            <w:r>
              <w:rPr/>
              <w:t>​</w:t>
            </w:r>
          </w:p>
        </w:tc>
      </w:tr>
      <w:tr>
        <w:trPr/>
        <w:tc>
          <w:tcPr>
            <w:tcW w:w="124" w:type="dxa"/>
            <w:vMerge w:val="restart"/>
            <w:tcBorders>
              <w:bottom w:val="single" w:sz="6" w:space="0" w:color="000000"/>
            </w:tcBorders>
            <w:vAlign w:val="center"/>
          </w:tcPr>
          <w:p>
            <w:pPr>
              <w:pStyle w:val="TableContents"/>
              <w:bidi w:val="0"/>
              <w:spacing w:before="0" w:after="283"/>
              <w:jc w:val="left"/>
              <w:rPr/>
            </w:pPr>
            <w:r>
              <w:rPr/>
              <w:t>​</w:t>
            </w:r>
          </w:p>
        </w:tc>
        <w:tc>
          <w:tcPr>
            <w:tcW w:w="1141" w:type="dxa"/>
            <w:vMerge w:val="restart"/>
            <w:tcBorders>
              <w:bottom w:val="single" w:sz="6" w:space="0" w:color="000000"/>
            </w:tcBorders>
            <w:tcMar>
              <w:bottom w:w="95" w:type="dxa"/>
            </w:tcMar>
            <w:vAlign w:val="center"/>
          </w:tcPr>
          <w:p>
            <w:pPr>
              <w:pStyle w:val="TableContents"/>
              <w:bidi w:val="0"/>
              <w:spacing w:lineRule="atLeast" w:line="180" w:before="0" w:after="0"/>
              <w:jc w:val="left"/>
              <w:rPr/>
            </w:pPr>
            <w:r>
              <w:rPr/>
              <w:t xml:space="preserve">Marc Winterhoff </w:t>
            </w:r>
          </w:p>
        </w:tc>
        <w:tc>
          <w:tcPr>
            <w:tcW w:w="109" w:type="dxa"/>
            <w:vMerge w:val="restart"/>
            <w:tcBorders>
              <w:bottom w:val="single" w:sz="6" w:space="0" w:color="000000"/>
            </w:tcBorders>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80" w:before="0" w:after="283"/>
              <w:jc w:val="right"/>
              <w:rPr/>
            </w:pPr>
            <w:r>
              <w:rPr/>
              <w:t>​</w:t>
            </w:r>
          </w:p>
        </w:tc>
        <w:tc>
          <w:tcPr>
            <w:tcW w:w="1066" w:type="dxa"/>
            <w:tcBorders/>
            <w:tcMar>
              <w:bottom w:w="0" w:type="dxa"/>
            </w:tcMar>
            <w:vAlign w:val="center"/>
          </w:tcPr>
          <w:p>
            <w:pPr>
              <w:pStyle w:val="TableContents"/>
              <w:bidi w:val="0"/>
              <w:spacing w:lineRule="atLeast" w:line="18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lineRule="atLeast" w:line="180" w:before="0" w:after="283"/>
              <w:jc w:val="right"/>
              <w:rPr/>
            </w:pPr>
            <w:r>
              <w:rPr/>
              <w:t>​</w:t>
            </w:r>
          </w:p>
        </w:tc>
        <w:tc>
          <w:tcPr>
            <w:tcW w:w="1072" w:type="dxa"/>
            <w:tcBorders/>
            <w:tcMar>
              <w:bottom w:w="0" w:type="dxa"/>
            </w:tcMar>
            <w:vAlign w:val="center"/>
          </w:tcPr>
          <w:p>
            <w:pPr>
              <w:pStyle w:val="TableContents"/>
              <w:bidi w:val="0"/>
              <w:spacing w:lineRule="atLeast" w:line="180" w:before="0" w:after="283"/>
              <w:jc w:val="right"/>
              <w:rPr/>
            </w:pPr>
            <w:r>
              <w:rPr/>
              <w:t>713,910</w:t>
            </w:r>
            <w:r>
              <w:rPr>
                <w:sz w:val="10"/>
              </w:rPr>
              <w:t>(9)</w:t>
            </w:r>
            <w:r>
              <w:rPr/>
              <w:t xml:space="preserve"> </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lineRule="atLeast" w:line="180" w:before="0" w:after="283"/>
              <w:jc w:val="right"/>
              <w:rPr/>
            </w:pPr>
            <w:r>
              <w:rPr/>
              <w:t>​</w:t>
            </w:r>
          </w:p>
        </w:tc>
        <w:tc>
          <w:tcPr>
            <w:tcW w:w="564" w:type="dxa"/>
            <w:tcBorders/>
            <w:tcMar>
              <w:bottom w:w="0" w:type="dxa"/>
            </w:tcMar>
            <w:vAlign w:val="center"/>
          </w:tcPr>
          <w:p>
            <w:pPr>
              <w:pStyle w:val="TableContents"/>
              <w:bidi w:val="0"/>
              <w:spacing w:lineRule="atLeast" w:line="180" w:before="0" w:after="283"/>
              <w:jc w:val="right"/>
              <w:rPr/>
            </w:pPr>
            <w:r>
              <w:rPr/>
              <w:t>5.25</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80" w:before="0" w:after="283"/>
              <w:jc w:val="right"/>
              <w:rPr/>
            </w:pPr>
            <w:r>
              <w:rPr/>
              <w:t>​</w:t>
            </w:r>
          </w:p>
        </w:tc>
        <w:tc>
          <w:tcPr>
            <w:tcW w:w="769" w:type="dxa"/>
            <w:tcBorders/>
            <w:tcMar>
              <w:bottom w:w="0" w:type="dxa"/>
            </w:tcMar>
            <w:vAlign w:val="center"/>
          </w:tcPr>
          <w:p>
            <w:pPr>
              <w:pStyle w:val="TableContents"/>
              <w:bidi w:val="0"/>
              <w:spacing w:lineRule="atLeast" w:line="180" w:before="0" w:after="283"/>
              <w:jc w:val="right"/>
              <w:rPr/>
            </w:pPr>
            <w:r>
              <w:rPr/>
              <w:t>12/4/2030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80" w:before="0" w:after="283"/>
              <w:jc w:val="right"/>
              <w:rPr/>
            </w:pPr>
            <w:r>
              <w:rPr/>
              <w:t>​</w:t>
            </w:r>
          </w:p>
        </w:tc>
        <w:tc>
          <w:tcPr>
            <w:tcW w:w="1096" w:type="dxa"/>
            <w:tcBorders/>
            <w:tcMar>
              <w:bottom w:w="0" w:type="dxa"/>
            </w:tcMar>
            <w:vAlign w:val="center"/>
          </w:tcPr>
          <w:p>
            <w:pPr>
              <w:pStyle w:val="TableContents"/>
              <w:bidi w:val="0"/>
              <w:spacing w:lineRule="atLeast" w:line="18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80" w:before="0" w:after="283"/>
              <w:jc w:val="right"/>
              <w:rPr/>
            </w:pPr>
            <w:r>
              <w:rPr/>
              <w:t>​</w:t>
            </w:r>
          </w:p>
        </w:tc>
        <w:tc>
          <w:tcPr>
            <w:tcW w:w="1186" w:type="dxa"/>
            <w:tcBorders/>
            <w:tcMar>
              <w:bottom w:w="0" w:type="dxa"/>
            </w:tcMar>
            <w:vAlign w:val="center"/>
          </w:tcPr>
          <w:p>
            <w:pPr>
              <w:pStyle w:val="TableContents"/>
              <w:bidi w:val="0"/>
              <w:spacing w:lineRule="atLeast" w:line="18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80" w:before="0" w:after="283"/>
              <w:jc w:val="right"/>
              <w:rPr/>
            </w:pPr>
            <w:r>
              <w:rPr/>
              <w:t>​</w:t>
            </w:r>
          </w:p>
        </w:tc>
        <w:tc>
          <w:tcPr>
            <w:tcW w:w="1096" w:type="dxa"/>
            <w:tcBorders/>
            <w:tcMar>
              <w:bottom w:w="0" w:type="dxa"/>
            </w:tcMar>
            <w:vAlign w:val="center"/>
          </w:tcPr>
          <w:p>
            <w:pPr>
              <w:pStyle w:val="TableContents"/>
              <w:bidi w:val="0"/>
              <w:spacing w:lineRule="atLeast" w:line="18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80" w:before="0" w:after="283"/>
              <w:jc w:val="right"/>
              <w:rPr/>
            </w:pPr>
            <w:r>
              <w:rPr/>
              <w:t>​</w:t>
            </w:r>
          </w:p>
        </w:tc>
        <w:tc>
          <w:tcPr>
            <w:tcW w:w="1066" w:type="dxa"/>
            <w:tcBorders/>
            <w:tcMar>
              <w:bottom w:w="0" w:type="dxa"/>
            </w:tcMar>
            <w:vAlign w:val="center"/>
          </w:tcPr>
          <w:p>
            <w:pPr>
              <w:pStyle w:val="TableContents"/>
              <w:bidi w:val="0"/>
              <w:spacing w:lineRule="atLeast" w:line="18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vAlign w:val="center"/>
          </w:tcPr>
          <w:p>
            <w:pPr>
              <w:pStyle w:val="Normal"/>
              <w:bidi w:val="0"/>
              <w:jc w:val="left"/>
              <w:rPr/>
            </w:pPr>
            <w:r>
              <w:rPr/>
            </w:r>
          </w:p>
        </w:tc>
        <w:tc>
          <w:tcPr>
            <w:tcW w:w="1141" w:type="dxa"/>
            <w:vMerge w:val="continue"/>
            <w:tcBorders>
              <w:bottom w:val="single" w:sz="6" w:space="0" w:color="000000"/>
            </w:tcBorders>
            <w:tcMar>
              <w:bottom w:w="95" w:type="dxa"/>
            </w:tcMar>
            <w:vAlign w:val="center"/>
          </w:tcPr>
          <w:p>
            <w:pPr>
              <w:pStyle w:val="Normal"/>
              <w:bidi w:val="0"/>
              <w:jc w:val="left"/>
              <w:rPr/>
            </w:pPr>
            <w:r>
              <w:rPr/>
            </w:r>
          </w:p>
        </w:tc>
        <w:tc>
          <w:tcPr>
            <w:tcW w:w="109" w:type="dxa"/>
            <w:vMerge w:val="continue"/>
            <w:tcBorders>
              <w:bottom w:val="single" w:sz="6" w:space="0" w:color="000000"/>
            </w:tcBorders>
            <w:vAlign w:val="center"/>
          </w:tcPr>
          <w:p>
            <w:pPr>
              <w:pStyle w:val="Normal"/>
              <w:bidi w:val="0"/>
              <w:jc w:val="left"/>
              <w:rPr/>
            </w:pPr>
            <w:r>
              <w:rPr/>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95" w:type="dxa"/>
            </w:tcMar>
            <w:vAlign w:val="center"/>
          </w:tcPr>
          <w:p>
            <w:pPr>
              <w:pStyle w:val="TableContents"/>
              <w:bidi w:val="0"/>
              <w:spacing w:before="0" w:after="283"/>
              <w:jc w:val="right"/>
              <w:rPr/>
            </w:pPr>
            <w:r>
              <w:rPr/>
              <w:t>​</w:t>
            </w:r>
          </w:p>
        </w:tc>
        <w:tc>
          <w:tcPr>
            <w:tcW w:w="1066" w:type="dxa"/>
            <w:tcBorders>
              <w:bottom w:val="single" w:sz="6" w:space="0" w:color="000000"/>
            </w:tcBorders>
            <w:tcMar>
              <w:bottom w:w="95" w:type="dxa"/>
            </w:tcMar>
            <w:vAlign w:val="center"/>
          </w:tcPr>
          <w:p>
            <w:pPr>
              <w:pStyle w:val="TableContents"/>
              <w:bidi w:val="0"/>
              <w:spacing w:before="0" w:after="283"/>
              <w:jc w:val="righ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7" w:type="dxa"/>
            <w:tcBorders>
              <w:bottom w:val="single" w:sz="6" w:space="0" w:color="000000"/>
            </w:tcBorders>
            <w:vAlign w:val="center"/>
          </w:tcPr>
          <w:p>
            <w:pPr>
              <w:pStyle w:val="TableContents"/>
              <w:bidi w:val="0"/>
              <w:spacing w:before="0" w:after="283"/>
              <w:jc w:val="left"/>
              <w:rPr/>
            </w:pPr>
            <w:r>
              <w:rPr/>
              <w:t>​</w:t>
            </w:r>
          </w:p>
        </w:tc>
        <w:tc>
          <w:tcPr>
            <w:tcW w:w="127" w:type="dxa"/>
            <w:tcBorders>
              <w:bottom w:val="single" w:sz="6" w:space="0" w:color="000000"/>
            </w:tcBorders>
            <w:tcMar>
              <w:bottom w:w="95" w:type="dxa"/>
            </w:tcMar>
            <w:vAlign w:val="center"/>
          </w:tcPr>
          <w:p>
            <w:pPr>
              <w:pStyle w:val="TableContents"/>
              <w:bidi w:val="0"/>
              <w:spacing w:before="0" w:after="283"/>
              <w:jc w:val="right"/>
              <w:rPr/>
            </w:pPr>
            <w:r>
              <w:rPr/>
              <w:t>​</w:t>
            </w:r>
          </w:p>
        </w:tc>
        <w:tc>
          <w:tcPr>
            <w:tcW w:w="1072" w:type="dxa"/>
            <w:tcBorders>
              <w:bottom w:val="single" w:sz="6" w:space="0" w:color="000000"/>
            </w:tcBorders>
            <w:tcMar>
              <w:bottom w:w="95" w:type="dxa"/>
            </w:tcMar>
            <w:vAlign w:val="center"/>
          </w:tcPr>
          <w:p>
            <w:pPr>
              <w:pStyle w:val="TableContents"/>
              <w:bidi w:val="0"/>
              <w:spacing w:before="0" w:after="283"/>
              <w:jc w:val="right"/>
              <w:rPr/>
            </w:pPr>
            <w:r>
              <w:rPr/>
              <w:t>—</w:t>
            </w:r>
          </w:p>
        </w:tc>
        <w:tc>
          <w:tcPr>
            <w:tcW w:w="130"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7" w:type="dxa"/>
            <w:tcBorders>
              <w:bottom w:val="single" w:sz="6" w:space="0" w:color="000000"/>
            </w:tcBorders>
            <w:vAlign w:val="center"/>
          </w:tcPr>
          <w:p>
            <w:pPr>
              <w:pStyle w:val="TableContents"/>
              <w:bidi w:val="0"/>
              <w:spacing w:before="0" w:after="283"/>
              <w:jc w:val="left"/>
              <w:rPr/>
            </w:pPr>
            <w:r>
              <w:rPr/>
              <w:t>​</w:t>
            </w:r>
          </w:p>
        </w:tc>
        <w:tc>
          <w:tcPr>
            <w:tcW w:w="117" w:type="dxa"/>
            <w:tcBorders>
              <w:bottom w:val="single" w:sz="6" w:space="0" w:color="000000"/>
            </w:tcBorders>
            <w:tcMar>
              <w:bottom w:w="95" w:type="dxa"/>
            </w:tcMar>
            <w:vAlign w:val="center"/>
          </w:tcPr>
          <w:p>
            <w:pPr>
              <w:pStyle w:val="TableContents"/>
              <w:bidi w:val="0"/>
              <w:spacing w:before="0" w:after="283"/>
              <w:jc w:val="right"/>
              <w:rPr/>
            </w:pPr>
            <w:r>
              <w:rPr/>
              <w:t>​</w:t>
            </w:r>
          </w:p>
        </w:tc>
        <w:tc>
          <w:tcPr>
            <w:tcW w:w="564" w:type="dxa"/>
            <w:tcBorders>
              <w:bottom w:val="single" w:sz="6" w:space="0" w:color="000000"/>
            </w:tcBorders>
            <w:tcMar>
              <w:bottom w:w="95" w:type="dxa"/>
            </w:tcMar>
            <w:vAlign w:val="center"/>
          </w:tcPr>
          <w:p>
            <w:pPr>
              <w:pStyle w:val="TableContents"/>
              <w:bidi w:val="0"/>
              <w:spacing w:before="0" w:after="283"/>
              <w:jc w:val="right"/>
              <w:rPr/>
            </w:pPr>
            <w:r>
              <w:rPr/>
              <w:t>—</w:t>
            </w:r>
          </w:p>
        </w:tc>
        <w:tc>
          <w:tcPr>
            <w:tcW w:w="118"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95" w:type="dxa"/>
            </w:tcMar>
            <w:vAlign w:val="center"/>
          </w:tcPr>
          <w:p>
            <w:pPr>
              <w:pStyle w:val="TableContents"/>
              <w:bidi w:val="0"/>
              <w:spacing w:before="0" w:after="283"/>
              <w:jc w:val="right"/>
              <w:rPr/>
            </w:pPr>
            <w:r>
              <w:rPr/>
              <w:t>​</w:t>
            </w:r>
          </w:p>
        </w:tc>
        <w:tc>
          <w:tcPr>
            <w:tcW w:w="769" w:type="dxa"/>
            <w:tcBorders>
              <w:bottom w:val="single" w:sz="6" w:space="0" w:color="000000"/>
            </w:tcBorders>
            <w:tcMar>
              <w:bottom w:w="95" w:type="dxa"/>
            </w:tcMar>
            <w:vAlign w:val="center"/>
          </w:tcPr>
          <w:p>
            <w:pPr>
              <w:pStyle w:val="TableContents"/>
              <w:bidi w:val="0"/>
              <w:spacing w:before="0" w:after="283"/>
              <w:jc w:val="righ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95" w:type="dxa"/>
            </w:tcMar>
            <w:vAlign w:val="center"/>
          </w:tcPr>
          <w:p>
            <w:pPr>
              <w:pStyle w:val="TableContents"/>
              <w:bidi w:val="0"/>
              <w:spacing w:before="0" w:after="283"/>
              <w:jc w:val="right"/>
              <w:rPr/>
            </w:pPr>
            <w:r>
              <w:rPr/>
              <w:t>​</w:t>
            </w:r>
          </w:p>
        </w:tc>
        <w:tc>
          <w:tcPr>
            <w:tcW w:w="1096" w:type="dxa"/>
            <w:tcBorders>
              <w:bottom w:val="single" w:sz="6" w:space="0" w:color="000000"/>
            </w:tcBorders>
            <w:tcMar>
              <w:bottom w:w="95" w:type="dxa"/>
            </w:tcMar>
            <w:vAlign w:val="center"/>
          </w:tcPr>
          <w:p>
            <w:pPr>
              <w:pStyle w:val="TableContents"/>
              <w:bidi w:val="0"/>
              <w:spacing w:before="0" w:after="283"/>
              <w:jc w:val="right"/>
              <w:rPr/>
            </w:pPr>
            <w:r>
              <w:rPr/>
              <w:t>713,911</w:t>
            </w:r>
            <w:r>
              <w:rPr>
                <w:sz w:val="10"/>
              </w:rPr>
              <w:t>(10)</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95" w:type="dxa"/>
            </w:tcMar>
            <w:vAlign w:val="center"/>
          </w:tcPr>
          <w:p>
            <w:pPr>
              <w:pStyle w:val="TableContents"/>
              <w:bidi w:val="0"/>
              <w:spacing w:before="0" w:after="283"/>
              <w:jc w:val="right"/>
              <w:rPr/>
            </w:pPr>
            <w:r>
              <w:rPr/>
              <w:t>​</w:t>
            </w:r>
          </w:p>
        </w:tc>
        <w:tc>
          <w:tcPr>
            <w:tcW w:w="1186" w:type="dxa"/>
            <w:tcBorders>
              <w:bottom w:val="single" w:sz="6" w:space="0" w:color="000000"/>
            </w:tcBorders>
            <w:tcMar>
              <w:bottom w:w="95" w:type="dxa"/>
            </w:tcMar>
            <w:vAlign w:val="center"/>
          </w:tcPr>
          <w:p>
            <w:pPr>
              <w:pStyle w:val="TableContents"/>
              <w:bidi w:val="0"/>
              <w:spacing w:before="0" w:after="283"/>
              <w:jc w:val="right"/>
              <w:rPr/>
            </w:pPr>
            <w:r>
              <w:rPr/>
              <w:t>3,005,565</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95" w:type="dxa"/>
            </w:tcMar>
            <w:vAlign w:val="center"/>
          </w:tcPr>
          <w:p>
            <w:pPr>
              <w:pStyle w:val="TableContents"/>
              <w:bidi w:val="0"/>
              <w:spacing w:before="0" w:after="283"/>
              <w:jc w:val="right"/>
              <w:rPr/>
            </w:pPr>
            <w:r>
              <w:rPr/>
              <w:t>​</w:t>
            </w:r>
          </w:p>
        </w:tc>
        <w:tc>
          <w:tcPr>
            <w:tcW w:w="1096" w:type="dxa"/>
            <w:tcBorders>
              <w:bottom w:val="single" w:sz="6" w:space="0" w:color="000000"/>
            </w:tcBorders>
            <w:tcMar>
              <w:bottom w:w="95" w:type="dxa"/>
            </w:tcMar>
            <w:vAlign w:val="center"/>
          </w:tcPr>
          <w:p>
            <w:pPr>
              <w:pStyle w:val="TableContents"/>
              <w:bidi w:val="0"/>
              <w:spacing w:before="0" w:after="283"/>
              <w:jc w:val="righ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95" w:type="dxa"/>
            </w:tcMar>
            <w:vAlign w:val="center"/>
          </w:tcPr>
          <w:p>
            <w:pPr>
              <w:pStyle w:val="TableContents"/>
              <w:bidi w:val="0"/>
              <w:spacing w:before="0" w:after="283"/>
              <w:jc w:val="right"/>
              <w:rPr/>
            </w:pPr>
            <w:r>
              <w:rPr/>
              <w:t>​</w:t>
            </w:r>
          </w:p>
        </w:tc>
        <w:tc>
          <w:tcPr>
            <w:tcW w:w="1066" w:type="dxa"/>
            <w:tcBorders>
              <w:bottom w:val="single" w:sz="6" w:space="0" w:color="000000"/>
            </w:tcBorders>
            <w:tcMar>
              <w:bottom w:w="95" w:type="dxa"/>
            </w:tcMar>
            <w:vAlign w:val="center"/>
          </w:tcPr>
          <w:p>
            <w:pPr>
              <w:pStyle w:val="TableContents"/>
              <w:bidi w:val="0"/>
              <w:spacing w:before="0" w:after="283"/>
              <w:jc w:val="righ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vMerge w:val="restart"/>
            <w:tcBorders>
              <w:bottom w:val="single" w:sz="6" w:space="0" w:color="000000"/>
            </w:tcBorders>
            <w:shd w:fill="F7F7F7" w:val="clear"/>
            <w:vAlign w:val="center"/>
          </w:tcPr>
          <w:p>
            <w:pPr>
              <w:pStyle w:val="TableContents"/>
              <w:bidi w:val="0"/>
              <w:spacing w:before="0" w:after="283"/>
              <w:jc w:val="left"/>
              <w:rPr/>
            </w:pPr>
            <w:r>
              <w:rPr/>
              <w:t>​</w:t>
            </w:r>
          </w:p>
        </w:tc>
        <w:tc>
          <w:tcPr>
            <w:tcW w:w="1141" w:type="dxa"/>
            <w:vMerge w:val="restart"/>
            <w:tcBorders>
              <w:bottom w:val="single" w:sz="6" w:space="0" w:color="000000"/>
            </w:tcBorders>
            <w:shd w:fill="F7F7F7" w:val="clear"/>
            <w:tcMar>
              <w:bottom w:w="95" w:type="dxa"/>
            </w:tcMar>
            <w:vAlign w:val="center"/>
          </w:tcPr>
          <w:p>
            <w:pPr>
              <w:pStyle w:val="TableContents"/>
              <w:bidi w:val="0"/>
              <w:spacing w:lineRule="atLeast" w:line="180" w:before="0" w:after="0"/>
              <w:jc w:val="left"/>
              <w:rPr/>
            </w:pPr>
            <w:r>
              <w:rPr/>
              <w:t xml:space="preserve">Eric Bach </w:t>
            </w:r>
          </w:p>
        </w:tc>
        <w:tc>
          <w:tcPr>
            <w:tcW w:w="109" w:type="dxa"/>
            <w:vMerge w:val="restart"/>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lineRule="atLeast" w:line="180" w:before="0" w:after="283"/>
              <w:jc w:val="right"/>
              <w:rPr/>
            </w:pPr>
            <w:r>
              <w:rPr/>
              <w:t>​</w:t>
            </w:r>
          </w:p>
        </w:tc>
        <w:tc>
          <w:tcPr>
            <w:tcW w:w="1066" w:type="dxa"/>
            <w:tcBorders/>
            <w:shd w:fill="F7F7F7" w:val="clear"/>
            <w:tcMar>
              <w:bottom w:w="0" w:type="dxa"/>
            </w:tcMar>
            <w:vAlign w:val="center"/>
          </w:tcPr>
          <w:p>
            <w:pPr>
              <w:pStyle w:val="TableContents"/>
              <w:bidi w:val="0"/>
              <w:spacing w:lineRule="atLeast" w:line="180" w:before="0" w:after="283"/>
              <w:jc w:val="right"/>
              <w:rPr/>
            </w:pPr>
            <w:r>
              <w:rPr/>
              <w:t>879,698</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27" w:type="dxa"/>
            <w:tcBorders/>
            <w:shd w:fill="F7F7F7" w:val="clear"/>
            <w:tcMar>
              <w:bottom w:w="0" w:type="dxa"/>
            </w:tcMar>
            <w:vAlign w:val="center"/>
          </w:tcPr>
          <w:p>
            <w:pPr>
              <w:pStyle w:val="TableContents"/>
              <w:bidi w:val="0"/>
              <w:spacing w:before="0" w:after="283"/>
              <w:jc w:val="left"/>
              <w:rPr/>
            </w:pPr>
            <w:r>
              <w:rPr/>
              <w:t>​</w:t>
            </w:r>
          </w:p>
        </w:tc>
        <w:tc>
          <w:tcPr>
            <w:tcW w:w="127" w:type="dxa"/>
            <w:tcBorders/>
            <w:shd w:fill="F7F7F7" w:val="clear"/>
            <w:tcMar>
              <w:bottom w:w="0" w:type="dxa"/>
            </w:tcMar>
            <w:vAlign w:val="center"/>
          </w:tcPr>
          <w:p>
            <w:pPr>
              <w:pStyle w:val="TableContents"/>
              <w:bidi w:val="0"/>
              <w:spacing w:lineRule="atLeast" w:line="180" w:before="0" w:after="283"/>
              <w:jc w:val="right"/>
              <w:rPr/>
            </w:pPr>
            <w:r>
              <w:rPr/>
              <w:t>​</w:t>
            </w:r>
          </w:p>
        </w:tc>
        <w:tc>
          <w:tcPr>
            <w:tcW w:w="1072" w:type="dxa"/>
            <w:tcBorders/>
            <w:shd w:fill="F7F7F7" w:val="clear"/>
            <w:tcMar>
              <w:bottom w:w="0" w:type="dxa"/>
            </w:tcMar>
            <w:vAlign w:val="center"/>
          </w:tcPr>
          <w:p>
            <w:pPr>
              <w:pStyle w:val="TableContents"/>
              <w:bidi w:val="0"/>
              <w:spacing w:lineRule="atLeast" w:line="180" w:before="0" w:after="283"/>
              <w:jc w:val="right"/>
              <w:rPr/>
            </w:pPr>
            <w:r>
              <w:rPr/>
              <w:t>—</w:t>
            </w:r>
          </w:p>
        </w:tc>
        <w:tc>
          <w:tcPr>
            <w:tcW w:w="130"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17" w:type="dxa"/>
            <w:tcBorders/>
            <w:shd w:fill="F7F7F7" w:val="clear"/>
            <w:tcMar>
              <w:bottom w:w="0" w:type="dxa"/>
            </w:tcMar>
            <w:vAlign w:val="center"/>
          </w:tcPr>
          <w:p>
            <w:pPr>
              <w:pStyle w:val="TableContents"/>
              <w:bidi w:val="0"/>
              <w:spacing w:before="0" w:after="283"/>
              <w:jc w:val="left"/>
              <w:rPr/>
            </w:pPr>
            <w:r>
              <w:rPr/>
              <w:t>​</w:t>
            </w:r>
          </w:p>
        </w:tc>
        <w:tc>
          <w:tcPr>
            <w:tcW w:w="117" w:type="dxa"/>
            <w:tcBorders/>
            <w:shd w:fill="F7F7F7" w:val="clear"/>
            <w:tcMar>
              <w:bottom w:w="0" w:type="dxa"/>
            </w:tcMar>
            <w:vAlign w:val="center"/>
          </w:tcPr>
          <w:p>
            <w:pPr>
              <w:pStyle w:val="TableContents"/>
              <w:bidi w:val="0"/>
              <w:spacing w:lineRule="atLeast" w:line="180" w:before="0" w:after="283"/>
              <w:jc w:val="right"/>
              <w:rPr/>
            </w:pPr>
            <w:r>
              <w:rPr/>
              <w:t>​</w:t>
            </w:r>
          </w:p>
        </w:tc>
        <w:tc>
          <w:tcPr>
            <w:tcW w:w="564" w:type="dxa"/>
            <w:tcBorders/>
            <w:shd w:fill="F7F7F7" w:val="clear"/>
            <w:tcMar>
              <w:bottom w:w="0" w:type="dxa"/>
            </w:tcMar>
            <w:vAlign w:val="center"/>
          </w:tcPr>
          <w:p>
            <w:pPr>
              <w:pStyle w:val="TableContents"/>
              <w:bidi w:val="0"/>
              <w:spacing w:lineRule="atLeast" w:line="180" w:before="0" w:after="283"/>
              <w:jc w:val="right"/>
              <w:rPr/>
            </w:pPr>
            <w:r>
              <w:rPr/>
              <w:t>0.83</w:t>
            </w:r>
          </w:p>
        </w:tc>
        <w:tc>
          <w:tcPr>
            <w:tcW w:w="118"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lineRule="atLeast" w:line="180" w:before="0" w:after="283"/>
              <w:jc w:val="right"/>
              <w:rPr/>
            </w:pPr>
            <w:r>
              <w:rPr/>
              <w:t>​</w:t>
            </w:r>
          </w:p>
        </w:tc>
        <w:tc>
          <w:tcPr>
            <w:tcW w:w="769" w:type="dxa"/>
            <w:tcBorders/>
            <w:shd w:fill="F7F7F7" w:val="clear"/>
            <w:tcMar>
              <w:bottom w:w="0" w:type="dxa"/>
            </w:tcMar>
            <w:vAlign w:val="center"/>
          </w:tcPr>
          <w:p>
            <w:pPr>
              <w:pStyle w:val="TableContents"/>
              <w:bidi w:val="0"/>
              <w:spacing w:lineRule="atLeast" w:line="180" w:before="0" w:after="283"/>
              <w:jc w:val="right"/>
              <w:rPr/>
            </w:pPr>
            <w:r>
              <w:rPr/>
              <w:t>04/21/2029</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lineRule="atLeast" w:line="180" w:before="0" w:after="283"/>
              <w:jc w:val="right"/>
              <w:rPr/>
            </w:pPr>
            <w:r>
              <w:rPr/>
              <w:t>​</w:t>
            </w:r>
          </w:p>
        </w:tc>
        <w:tc>
          <w:tcPr>
            <w:tcW w:w="1096" w:type="dxa"/>
            <w:tcBorders/>
            <w:shd w:fill="F7F7F7" w:val="clear"/>
            <w:tcMar>
              <w:bottom w:w="0" w:type="dxa"/>
            </w:tcMar>
            <w:vAlign w:val="center"/>
          </w:tcPr>
          <w:p>
            <w:pPr>
              <w:pStyle w:val="TableContents"/>
              <w:bidi w:val="0"/>
              <w:spacing w:lineRule="atLeast" w:line="180"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lineRule="atLeast" w:line="180" w:before="0" w:after="283"/>
              <w:jc w:val="right"/>
              <w:rPr/>
            </w:pPr>
            <w:r>
              <w:rPr/>
              <w:t>​</w:t>
            </w:r>
          </w:p>
        </w:tc>
        <w:tc>
          <w:tcPr>
            <w:tcW w:w="1186" w:type="dxa"/>
            <w:tcBorders/>
            <w:shd w:fill="F7F7F7" w:val="clear"/>
            <w:tcMar>
              <w:bottom w:w="0" w:type="dxa"/>
            </w:tcMar>
            <w:vAlign w:val="center"/>
          </w:tcPr>
          <w:p>
            <w:pPr>
              <w:pStyle w:val="TableContents"/>
              <w:bidi w:val="0"/>
              <w:spacing w:lineRule="atLeast" w:line="180"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lineRule="atLeast" w:line="180" w:before="0" w:after="283"/>
              <w:jc w:val="right"/>
              <w:rPr/>
            </w:pPr>
            <w:r>
              <w:rPr/>
              <w:t>​</w:t>
            </w:r>
          </w:p>
        </w:tc>
        <w:tc>
          <w:tcPr>
            <w:tcW w:w="1096" w:type="dxa"/>
            <w:tcBorders/>
            <w:shd w:fill="F7F7F7" w:val="clear"/>
            <w:tcMar>
              <w:bottom w:w="0" w:type="dxa"/>
            </w:tcMar>
            <w:vAlign w:val="center"/>
          </w:tcPr>
          <w:p>
            <w:pPr>
              <w:pStyle w:val="TableContents"/>
              <w:bidi w:val="0"/>
              <w:spacing w:lineRule="atLeast" w:line="180"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lineRule="atLeast" w:line="180" w:before="0" w:after="283"/>
              <w:jc w:val="right"/>
              <w:rPr/>
            </w:pPr>
            <w:r>
              <w:rPr/>
              <w:t>​</w:t>
            </w:r>
          </w:p>
        </w:tc>
        <w:tc>
          <w:tcPr>
            <w:tcW w:w="1066" w:type="dxa"/>
            <w:tcBorders/>
            <w:shd w:fill="F7F7F7" w:val="clear"/>
            <w:tcMar>
              <w:bottom w:w="0" w:type="dxa"/>
            </w:tcMar>
            <w:vAlign w:val="center"/>
          </w:tcPr>
          <w:p>
            <w:pPr>
              <w:pStyle w:val="TableContents"/>
              <w:bidi w:val="0"/>
              <w:spacing w:lineRule="atLeast" w:line="180"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54" w:type="dxa"/>
            <w:tcBorders/>
            <w:shd w:fill="F7F7F7"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shd w:fill="F7F7F7" w:val="clear"/>
            <w:vAlign w:val="center"/>
          </w:tcPr>
          <w:p>
            <w:pPr>
              <w:pStyle w:val="Normal"/>
              <w:bidi w:val="0"/>
              <w:jc w:val="left"/>
              <w:rPr/>
            </w:pPr>
            <w:r>
              <w:rPr/>
            </w:r>
          </w:p>
        </w:tc>
        <w:tc>
          <w:tcPr>
            <w:tcW w:w="1141" w:type="dxa"/>
            <w:vMerge w:val="continue"/>
            <w:tcBorders>
              <w:bottom w:val="single" w:sz="6" w:space="0" w:color="000000"/>
            </w:tcBorders>
            <w:shd w:fill="F7F7F7" w:val="clear"/>
            <w:tcMar>
              <w:bottom w:w="95" w:type="dxa"/>
            </w:tcMar>
            <w:vAlign w:val="center"/>
          </w:tcPr>
          <w:p>
            <w:pPr>
              <w:pStyle w:val="Normal"/>
              <w:bidi w:val="0"/>
              <w:jc w:val="left"/>
              <w:rPr/>
            </w:pPr>
            <w:r>
              <w:rPr/>
            </w:r>
          </w:p>
        </w:tc>
        <w:tc>
          <w:tcPr>
            <w:tcW w:w="109" w:type="dxa"/>
            <w:vMerge w:val="continue"/>
            <w:tcBorders>
              <w:bottom w:val="single" w:sz="6" w:space="0" w:color="000000"/>
            </w:tcBorders>
            <w:shd w:fill="F7F7F7" w:val="clear"/>
            <w:vAlign w:val="center"/>
          </w:tcPr>
          <w:p>
            <w:pPr>
              <w:pStyle w:val="Normal"/>
              <w:bidi w:val="0"/>
              <w:jc w:val="left"/>
              <w:rPr/>
            </w:pPr>
            <w:r>
              <w:rPr/>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66" w:type="dxa"/>
            <w:tcBorders/>
            <w:shd w:fill="F7F7F7" w:val="clear"/>
            <w:tcMar>
              <w:bottom w:w="0" w:type="dxa"/>
            </w:tcMar>
            <w:vAlign w:val="center"/>
          </w:tcPr>
          <w:p>
            <w:pPr>
              <w:pStyle w:val="TableContents"/>
              <w:bidi w:val="0"/>
              <w:spacing w:before="0" w:after="283"/>
              <w:jc w:val="right"/>
              <w:rPr/>
            </w:pPr>
            <w:r>
              <w:rPr/>
              <w:t>1,658,007</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27" w:type="dxa"/>
            <w:tcBorders/>
            <w:shd w:fill="F7F7F7" w:val="clear"/>
            <w:tcMar>
              <w:bottom w:w="0" w:type="dxa"/>
            </w:tcMar>
            <w:vAlign w:val="center"/>
          </w:tcPr>
          <w:p>
            <w:pPr>
              <w:pStyle w:val="TableContents"/>
              <w:bidi w:val="0"/>
              <w:spacing w:before="0" w:after="283"/>
              <w:jc w:val="left"/>
              <w:rPr/>
            </w:pPr>
            <w:r>
              <w:rPr/>
              <w:t>​</w:t>
            </w:r>
          </w:p>
        </w:tc>
        <w:tc>
          <w:tcPr>
            <w:tcW w:w="127" w:type="dxa"/>
            <w:tcBorders/>
            <w:shd w:fill="F7F7F7" w:val="clear"/>
            <w:tcMar>
              <w:bottom w:w="0" w:type="dxa"/>
            </w:tcMar>
            <w:vAlign w:val="center"/>
          </w:tcPr>
          <w:p>
            <w:pPr>
              <w:pStyle w:val="TableContents"/>
              <w:bidi w:val="0"/>
              <w:spacing w:before="0" w:after="283"/>
              <w:jc w:val="right"/>
              <w:rPr/>
            </w:pPr>
            <w:r>
              <w:rPr/>
              <w:t>​</w:t>
            </w:r>
          </w:p>
        </w:tc>
        <w:tc>
          <w:tcPr>
            <w:tcW w:w="1072" w:type="dxa"/>
            <w:tcBorders/>
            <w:shd w:fill="F7F7F7" w:val="clear"/>
            <w:tcMar>
              <w:bottom w:w="0" w:type="dxa"/>
            </w:tcMar>
            <w:vAlign w:val="center"/>
          </w:tcPr>
          <w:p>
            <w:pPr>
              <w:pStyle w:val="TableContents"/>
              <w:bidi w:val="0"/>
              <w:spacing w:before="0" w:after="283"/>
              <w:jc w:val="right"/>
              <w:rPr/>
            </w:pPr>
            <w:r>
              <w:rPr/>
              <w:t>192,793</w:t>
            </w:r>
            <w:r>
              <w:rPr>
                <w:sz w:val="10"/>
              </w:rPr>
              <w:t>(11)</w:t>
            </w:r>
            <w:r>
              <w:rPr/>
              <w:t xml:space="preserve"> </w:t>
            </w:r>
          </w:p>
        </w:tc>
        <w:tc>
          <w:tcPr>
            <w:tcW w:w="130"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17" w:type="dxa"/>
            <w:tcBorders/>
            <w:shd w:fill="F7F7F7" w:val="clear"/>
            <w:tcMar>
              <w:bottom w:w="0" w:type="dxa"/>
            </w:tcMar>
            <w:vAlign w:val="center"/>
          </w:tcPr>
          <w:p>
            <w:pPr>
              <w:pStyle w:val="TableContents"/>
              <w:bidi w:val="0"/>
              <w:spacing w:before="0" w:after="283"/>
              <w:jc w:val="left"/>
              <w:rPr/>
            </w:pPr>
            <w:r>
              <w:rPr/>
              <w:t>​</w:t>
            </w:r>
          </w:p>
        </w:tc>
        <w:tc>
          <w:tcPr>
            <w:tcW w:w="117" w:type="dxa"/>
            <w:tcBorders/>
            <w:shd w:fill="F7F7F7" w:val="clear"/>
            <w:tcMar>
              <w:bottom w:w="0" w:type="dxa"/>
            </w:tcMar>
            <w:vAlign w:val="center"/>
          </w:tcPr>
          <w:p>
            <w:pPr>
              <w:pStyle w:val="TableContents"/>
              <w:bidi w:val="0"/>
              <w:spacing w:before="0" w:after="283"/>
              <w:jc w:val="right"/>
              <w:rPr/>
            </w:pPr>
            <w:r>
              <w:rPr/>
              <w:t>​</w:t>
            </w:r>
          </w:p>
        </w:tc>
        <w:tc>
          <w:tcPr>
            <w:tcW w:w="564" w:type="dxa"/>
            <w:tcBorders/>
            <w:shd w:fill="F7F7F7" w:val="clear"/>
            <w:tcMar>
              <w:bottom w:w="0" w:type="dxa"/>
            </w:tcMar>
            <w:vAlign w:val="center"/>
          </w:tcPr>
          <w:p>
            <w:pPr>
              <w:pStyle w:val="TableContents"/>
              <w:bidi w:val="0"/>
              <w:spacing w:before="0" w:after="283"/>
              <w:jc w:val="right"/>
              <w:rPr/>
            </w:pPr>
            <w:r>
              <w:rPr/>
              <w:t>0.93</w:t>
            </w:r>
          </w:p>
        </w:tc>
        <w:tc>
          <w:tcPr>
            <w:tcW w:w="118"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769" w:type="dxa"/>
            <w:tcBorders/>
            <w:shd w:fill="F7F7F7" w:val="clear"/>
            <w:tcMar>
              <w:bottom w:w="0" w:type="dxa"/>
            </w:tcMar>
            <w:vAlign w:val="center"/>
          </w:tcPr>
          <w:p>
            <w:pPr>
              <w:pStyle w:val="TableContents"/>
              <w:bidi w:val="0"/>
              <w:spacing w:before="0" w:after="283"/>
              <w:jc w:val="right"/>
              <w:rPr/>
            </w:pPr>
            <w:r>
              <w:rPr/>
              <w:t>07/15/2030</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9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18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9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6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54" w:type="dxa"/>
            <w:tcBorders/>
            <w:shd w:fill="F7F7F7"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shd w:fill="F7F7F7" w:val="clear"/>
            <w:vAlign w:val="center"/>
          </w:tcPr>
          <w:p>
            <w:pPr>
              <w:pStyle w:val="Normal"/>
              <w:bidi w:val="0"/>
              <w:jc w:val="left"/>
              <w:rPr/>
            </w:pPr>
            <w:r>
              <w:rPr/>
            </w:r>
          </w:p>
        </w:tc>
        <w:tc>
          <w:tcPr>
            <w:tcW w:w="1141" w:type="dxa"/>
            <w:vMerge w:val="continue"/>
            <w:tcBorders>
              <w:bottom w:val="single" w:sz="6" w:space="0" w:color="000000"/>
            </w:tcBorders>
            <w:shd w:fill="F7F7F7" w:val="clear"/>
            <w:tcMar>
              <w:bottom w:w="95" w:type="dxa"/>
            </w:tcMar>
            <w:vAlign w:val="center"/>
          </w:tcPr>
          <w:p>
            <w:pPr>
              <w:pStyle w:val="Normal"/>
              <w:bidi w:val="0"/>
              <w:jc w:val="left"/>
              <w:rPr/>
            </w:pPr>
            <w:r>
              <w:rPr/>
            </w:r>
          </w:p>
        </w:tc>
        <w:tc>
          <w:tcPr>
            <w:tcW w:w="109" w:type="dxa"/>
            <w:vMerge w:val="continue"/>
            <w:tcBorders>
              <w:bottom w:val="single" w:sz="6" w:space="0" w:color="000000"/>
            </w:tcBorders>
            <w:shd w:fill="F7F7F7" w:val="clear"/>
            <w:vAlign w:val="center"/>
          </w:tcPr>
          <w:p>
            <w:pPr>
              <w:pStyle w:val="Normal"/>
              <w:bidi w:val="0"/>
              <w:jc w:val="left"/>
              <w:rPr/>
            </w:pPr>
            <w:r>
              <w:rPr/>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6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27" w:type="dxa"/>
            <w:tcBorders/>
            <w:shd w:fill="F7F7F7" w:val="clear"/>
            <w:tcMar>
              <w:bottom w:w="0" w:type="dxa"/>
            </w:tcMar>
            <w:vAlign w:val="center"/>
          </w:tcPr>
          <w:p>
            <w:pPr>
              <w:pStyle w:val="TableContents"/>
              <w:bidi w:val="0"/>
              <w:spacing w:before="0" w:after="283"/>
              <w:jc w:val="left"/>
              <w:rPr/>
            </w:pPr>
            <w:r>
              <w:rPr/>
              <w:t>​</w:t>
            </w:r>
          </w:p>
        </w:tc>
        <w:tc>
          <w:tcPr>
            <w:tcW w:w="127" w:type="dxa"/>
            <w:tcBorders/>
            <w:shd w:fill="F7F7F7" w:val="clear"/>
            <w:tcMar>
              <w:bottom w:w="0" w:type="dxa"/>
            </w:tcMar>
            <w:vAlign w:val="center"/>
          </w:tcPr>
          <w:p>
            <w:pPr>
              <w:pStyle w:val="TableContents"/>
              <w:bidi w:val="0"/>
              <w:spacing w:before="0" w:after="283"/>
              <w:jc w:val="right"/>
              <w:rPr/>
            </w:pPr>
            <w:r>
              <w:rPr/>
              <w:t>​</w:t>
            </w:r>
          </w:p>
        </w:tc>
        <w:tc>
          <w:tcPr>
            <w:tcW w:w="1072" w:type="dxa"/>
            <w:tcBorders/>
            <w:shd w:fill="F7F7F7" w:val="clear"/>
            <w:tcMar>
              <w:bottom w:w="0" w:type="dxa"/>
            </w:tcMar>
            <w:vAlign w:val="center"/>
          </w:tcPr>
          <w:p>
            <w:pPr>
              <w:pStyle w:val="TableContents"/>
              <w:bidi w:val="0"/>
              <w:spacing w:before="0" w:after="283"/>
              <w:jc w:val="right"/>
              <w:rPr/>
            </w:pPr>
            <w:r>
              <w:rPr/>
              <w:t>—</w:t>
            </w:r>
          </w:p>
        </w:tc>
        <w:tc>
          <w:tcPr>
            <w:tcW w:w="130"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17" w:type="dxa"/>
            <w:tcBorders/>
            <w:shd w:fill="F7F7F7" w:val="clear"/>
            <w:tcMar>
              <w:bottom w:w="0" w:type="dxa"/>
            </w:tcMar>
            <w:vAlign w:val="center"/>
          </w:tcPr>
          <w:p>
            <w:pPr>
              <w:pStyle w:val="TableContents"/>
              <w:bidi w:val="0"/>
              <w:spacing w:before="0" w:after="283"/>
              <w:jc w:val="left"/>
              <w:rPr/>
            </w:pPr>
            <w:r>
              <w:rPr/>
              <w:t>​</w:t>
            </w:r>
          </w:p>
        </w:tc>
        <w:tc>
          <w:tcPr>
            <w:tcW w:w="117" w:type="dxa"/>
            <w:tcBorders/>
            <w:shd w:fill="F7F7F7" w:val="clear"/>
            <w:tcMar>
              <w:bottom w:w="0" w:type="dxa"/>
            </w:tcMar>
            <w:vAlign w:val="center"/>
          </w:tcPr>
          <w:p>
            <w:pPr>
              <w:pStyle w:val="TableContents"/>
              <w:bidi w:val="0"/>
              <w:spacing w:before="0" w:after="283"/>
              <w:jc w:val="right"/>
              <w:rPr/>
            </w:pPr>
            <w:r>
              <w:rPr/>
              <w:t>​</w:t>
            </w:r>
          </w:p>
        </w:tc>
        <w:tc>
          <w:tcPr>
            <w:tcW w:w="564" w:type="dxa"/>
            <w:tcBorders/>
            <w:shd w:fill="F7F7F7" w:val="clear"/>
            <w:tcMar>
              <w:bottom w:w="0" w:type="dxa"/>
            </w:tcMar>
            <w:vAlign w:val="center"/>
          </w:tcPr>
          <w:p>
            <w:pPr>
              <w:pStyle w:val="TableContents"/>
              <w:bidi w:val="0"/>
              <w:spacing w:before="0" w:after="283"/>
              <w:jc w:val="right"/>
              <w:rPr/>
            </w:pPr>
            <w:r>
              <w:rPr/>
              <w:t>—</w:t>
            </w:r>
          </w:p>
        </w:tc>
        <w:tc>
          <w:tcPr>
            <w:tcW w:w="118"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769"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96" w:type="dxa"/>
            <w:tcBorders/>
            <w:shd w:fill="F7F7F7" w:val="clear"/>
            <w:tcMar>
              <w:bottom w:w="0" w:type="dxa"/>
            </w:tcMar>
            <w:vAlign w:val="center"/>
          </w:tcPr>
          <w:p>
            <w:pPr>
              <w:pStyle w:val="TableContents"/>
              <w:bidi w:val="0"/>
              <w:spacing w:before="0" w:after="283"/>
              <w:jc w:val="right"/>
              <w:rPr/>
            </w:pPr>
            <w:r>
              <w:rPr/>
              <w:t>206,560</w:t>
            </w:r>
            <w:r>
              <w:rPr>
                <w:sz w:val="10"/>
              </w:rPr>
              <w:t>(12)</w:t>
            </w:r>
            <w:r>
              <w:rPr/>
              <w:t xml:space="preserve"> </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186" w:type="dxa"/>
            <w:tcBorders/>
            <w:shd w:fill="F7F7F7" w:val="clear"/>
            <w:tcMar>
              <w:bottom w:w="0" w:type="dxa"/>
            </w:tcMar>
            <w:vAlign w:val="center"/>
          </w:tcPr>
          <w:p>
            <w:pPr>
              <w:pStyle w:val="TableContents"/>
              <w:bidi w:val="0"/>
              <w:spacing w:before="0" w:after="283"/>
              <w:jc w:val="right"/>
              <w:rPr/>
            </w:pPr>
            <w:r>
              <w:rPr/>
              <w:t>869,618</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9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6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54" w:type="dxa"/>
            <w:tcBorders/>
            <w:shd w:fill="F7F7F7"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shd w:fill="F7F7F7" w:val="clear"/>
            <w:vAlign w:val="center"/>
          </w:tcPr>
          <w:p>
            <w:pPr>
              <w:pStyle w:val="Normal"/>
              <w:bidi w:val="0"/>
              <w:jc w:val="left"/>
              <w:rPr/>
            </w:pPr>
            <w:r>
              <w:rPr/>
            </w:r>
          </w:p>
        </w:tc>
        <w:tc>
          <w:tcPr>
            <w:tcW w:w="1141" w:type="dxa"/>
            <w:vMerge w:val="continue"/>
            <w:tcBorders>
              <w:bottom w:val="single" w:sz="6" w:space="0" w:color="000000"/>
            </w:tcBorders>
            <w:shd w:fill="F7F7F7" w:val="clear"/>
            <w:tcMar>
              <w:bottom w:w="95" w:type="dxa"/>
            </w:tcMar>
            <w:vAlign w:val="center"/>
          </w:tcPr>
          <w:p>
            <w:pPr>
              <w:pStyle w:val="Normal"/>
              <w:bidi w:val="0"/>
              <w:jc w:val="left"/>
              <w:rPr/>
            </w:pPr>
            <w:r>
              <w:rPr/>
            </w:r>
          </w:p>
        </w:tc>
        <w:tc>
          <w:tcPr>
            <w:tcW w:w="109" w:type="dxa"/>
            <w:vMerge w:val="continue"/>
            <w:tcBorders>
              <w:bottom w:val="single" w:sz="6" w:space="0" w:color="000000"/>
            </w:tcBorders>
            <w:shd w:fill="F7F7F7" w:val="clear"/>
            <w:vAlign w:val="center"/>
          </w:tcPr>
          <w:p>
            <w:pPr>
              <w:pStyle w:val="Normal"/>
              <w:bidi w:val="0"/>
              <w:jc w:val="left"/>
              <w:rPr/>
            </w:pPr>
            <w:r>
              <w:rPr/>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6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27" w:type="dxa"/>
            <w:tcBorders/>
            <w:shd w:fill="F7F7F7" w:val="clear"/>
            <w:tcMar>
              <w:bottom w:w="0" w:type="dxa"/>
            </w:tcMar>
            <w:vAlign w:val="center"/>
          </w:tcPr>
          <w:p>
            <w:pPr>
              <w:pStyle w:val="TableContents"/>
              <w:bidi w:val="0"/>
              <w:spacing w:before="0" w:after="283"/>
              <w:jc w:val="left"/>
              <w:rPr/>
            </w:pPr>
            <w:r>
              <w:rPr/>
              <w:t>​</w:t>
            </w:r>
          </w:p>
        </w:tc>
        <w:tc>
          <w:tcPr>
            <w:tcW w:w="127" w:type="dxa"/>
            <w:tcBorders/>
            <w:shd w:fill="F7F7F7" w:val="clear"/>
            <w:tcMar>
              <w:bottom w:w="0" w:type="dxa"/>
            </w:tcMar>
            <w:vAlign w:val="center"/>
          </w:tcPr>
          <w:p>
            <w:pPr>
              <w:pStyle w:val="TableContents"/>
              <w:bidi w:val="0"/>
              <w:spacing w:before="0" w:after="283"/>
              <w:jc w:val="right"/>
              <w:rPr/>
            </w:pPr>
            <w:r>
              <w:rPr/>
              <w:t>​</w:t>
            </w:r>
          </w:p>
        </w:tc>
        <w:tc>
          <w:tcPr>
            <w:tcW w:w="1072" w:type="dxa"/>
            <w:tcBorders/>
            <w:shd w:fill="F7F7F7" w:val="clear"/>
            <w:tcMar>
              <w:bottom w:w="0" w:type="dxa"/>
            </w:tcMar>
            <w:vAlign w:val="center"/>
          </w:tcPr>
          <w:p>
            <w:pPr>
              <w:pStyle w:val="TableContents"/>
              <w:bidi w:val="0"/>
              <w:spacing w:before="0" w:after="283"/>
              <w:jc w:val="right"/>
              <w:rPr/>
            </w:pPr>
            <w:r>
              <w:rPr/>
              <w:t>—</w:t>
            </w:r>
          </w:p>
        </w:tc>
        <w:tc>
          <w:tcPr>
            <w:tcW w:w="130"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17" w:type="dxa"/>
            <w:tcBorders/>
            <w:shd w:fill="F7F7F7" w:val="clear"/>
            <w:tcMar>
              <w:bottom w:w="0" w:type="dxa"/>
            </w:tcMar>
            <w:vAlign w:val="center"/>
          </w:tcPr>
          <w:p>
            <w:pPr>
              <w:pStyle w:val="TableContents"/>
              <w:bidi w:val="0"/>
              <w:spacing w:before="0" w:after="283"/>
              <w:jc w:val="left"/>
              <w:rPr/>
            </w:pPr>
            <w:r>
              <w:rPr/>
              <w:t>​</w:t>
            </w:r>
          </w:p>
        </w:tc>
        <w:tc>
          <w:tcPr>
            <w:tcW w:w="117" w:type="dxa"/>
            <w:tcBorders/>
            <w:shd w:fill="F7F7F7" w:val="clear"/>
            <w:tcMar>
              <w:bottom w:w="0" w:type="dxa"/>
            </w:tcMar>
            <w:vAlign w:val="center"/>
          </w:tcPr>
          <w:p>
            <w:pPr>
              <w:pStyle w:val="TableContents"/>
              <w:bidi w:val="0"/>
              <w:spacing w:before="0" w:after="283"/>
              <w:jc w:val="right"/>
              <w:rPr/>
            </w:pPr>
            <w:r>
              <w:rPr/>
              <w:t>​</w:t>
            </w:r>
          </w:p>
        </w:tc>
        <w:tc>
          <w:tcPr>
            <w:tcW w:w="564" w:type="dxa"/>
            <w:tcBorders/>
            <w:shd w:fill="F7F7F7" w:val="clear"/>
            <w:tcMar>
              <w:bottom w:w="0" w:type="dxa"/>
            </w:tcMar>
            <w:vAlign w:val="center"/>
          </w:tcPr>
          <w:p>
            <w:pPr>
              <w:pStyle w:val="TableContents"/>
              <w:bidi w:val="0"/>
              <w:spacing w:before="0" w:after="283"/>
              <w:jc w:val="right"/>
              <w:rPr/>
            </w:pPr>
            <w:r>
              <w:rPr/>
              <w:t>—</w:t>
            </w:r>
          </w:p>
        </w:tc>
        <w:tc>
          <w:tcPr>
            <w:tcW w:w="118"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769"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96" w:type="dxa"/>
            <w:tcBorders/>
            <w:shd w:fill="F7F7F7" w:val="clear"/>
            <w:tcMar>
              <w:bottom w:w="0" w:type="dxa"/>
            </w:tcMar>
            <w:vAlign w:val="center"/>
          </w:tcPr>
          <w:p>
            <w:pPr>
              <w:pStyle w:val="TableContents"/>
              <w:bidi w:val="0"/>
              <w:spacing w:before="0" w:after="283"/>
              <w:jc w:val="right"/>
              <w:rPr/>
            </w:pPr>
            <w:r>
              <w:rPr/>
              <w:t>154,194</w:t>
            </w:r>
            <w:r>
              <w:rPr>
                <w:sz w:val="10"/>
              </w:rPr>
              <w:t>(4)</w:t>
            </w:r>
            <w:r>
              <w:rPr/>
              <w:t xml:space="preserve"> </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186" w:type="dxa"/>
            <w:tcBorders/>
            <w:shd w:fill="F7F7F7" w:val="clear"/>
            <w:tcMar>
              <w:bottom w:w="0" w:type="dxa"/>
            </w:tcMar>
            <w:vAlign w:val="center"/>
          </w:tcPr>
          <w:p>
            <w:pPr>
              <w:pStyle w:val="TableContents"/>
              <w:bidi w:val="0"/>
              <w:spacing w:before="0" w:after="283"/>
              <w:jc w:val="right"/>
              <w:rPr/>
            </w:pPr>
            <w:r>
              <w:rPr/>
              <w:t>649,157</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9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6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54" w:type="dxa"/>
            <w:tcBorders/>
            <w:shd w:fill="F7F7F7"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shd w:fill="F7F7F7" w:val="clear"/>
            <w:vAlign w:val="center"/>
          </w:tcPr>
          <w:p>
            <w:pPr>
              <w:pStyle w:val="Normal"/>
              <w:bidi w:val="0"/>
              <w:jc w:val="left"/>
              <w:rPr/>
            </w:pPr>
            <w:r>
              <w:rPr/>
            </w:r>
          </w:p>
        </w:tc>
        <w:tc>
          <w:tcPr>
            <w:tcW w:w="1141" w:type="dxa"/>
            <w:vMerge w:val="continue"/>
            <w:tcBorders>
              <w:bottom w:val="single" w:sz="6" w:space="0" w:color="000000"/>
            </w:tcBorders>
            <w:shd w:fill="F7F7F7" w:val="clear"/>
            <w:tcMar>
              <w:bottom w:w="95" w:type="dxa"/>
            </w:tcMar>
            <w:vAlign w:val="center"/>
          </w:tcPr>
          <w:p>
            <w:pPr>
              <w:pStyle w:val="Normal"/>
              <w:bidi w:val="0"/>
              <w:jc w:val="left"/>
              <w:rPr/>
            </w:pPr>
            <w:r>
              <w:rPr/>
            </w:r>
          </w:p>
        </w:tc>
        <w:tc>
          <w:tcPr>
            <w:tcW w:w="109" w:type="dxa"/>
            <w:vMerge w:val="continue"/>
            <w:tcBorders>
              <w:bottom w:val="single" w:sz="6" w:space="0" w:color="000000"/>
            </w:tcBorders>
            <w:shd w:fill="F7F7F7" w:val="clear"/>
            <w:vAlign w:val="center"/>
          </w:tcPr>
          <w:p>
            <w:pPr>
              <w:pStyle w:val="Normal"/>
              <w:bidi w:val="0"/>
              <w:jc w:val="left"/>
              <w:rPr/>
            </w:pPr>
            <w:r>
              <w:rPr/>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6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27" w:type="dxa"/>
            <w:tcBorders/>
            <w:shd w:fill="F7F7F7" w:val="clear"/>
            <w:tcMar>
              <w:bottom w:w="0" w:type="dxa"/>
            </w:tcMar>
            <w:vAlign w:val="center"/>
          </w:tcPr>
          <w:p>
            <w:pPr>
              <w:pStyle w:val="TableContents"/>
              <w:bidi w:val="0"/>
              <w:spacing w:before="0" w:after="283"/>
              <w:jc w:val="left"/>
              <w:rPr/>
            </w:pPr>
            <w:r>
              <w:rPr/>
              <w:t>​</w:t>
            </w:r>
          </w:p>
        </w:tc>
        <w:tc>
          <w:tcPr>
            <w:tcW w:w="127" w:type="dxa"/>
            <w:tcBorders/>
            <w:shd w:fill="F7F7F7" w:val="clear"/>
            <w:tcMar>
              <w:bottom w:w="0" w:type="dxa"/>
            </w:tcMar>
            <w:vAlign w:val="center"/>
          </w:tcPr>
          <w:p>
            <w:pPr>
              <w:pStyle w:val="TableContents"/>
              <w:bidi w:val="0"/>
              <w:spacing w:before="0" w:after="283"/>
              <w:jc w:val="right"/>
              <w:rPr/>
            </w:pPr>
            <w:r>
              <w:rPr/>
              <w:t>​</w:t>
            </w:r>
          </w:p>
        </w:tc>
        <w:tc>
          <w:tcPr>
            <w:tcW w:w="1072" w:type="dxa"/>
            <w:tcBorders/>
            <w:shd w:fill="F7F7F7" w:val="clear"/>
            <w:tcMar>
              <w:bottom w:w="0" w:type="dxa"/>
            </w:tcMar>
            <w:vAlign w:val="center"/>
          </w:tcPr>
          <w:p>
            <w:pPr>
              <w:pStyle w:val="TableContents"/>
              <w:bidi w:val="0"/>
              <w:spacing w:before="0" w:after="283"/>
              <w:jc w:val="right"/>
              <w:rPr/>
            </w:pPr>
            <w:r>
              <w:rPr/>
              <w:t>—</w:t>
            </w:r>
          </w:p>
        </w:tc>
        <w:tc>
          <w:tcPr>
            <w:tcW w:w="130"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17" w:type="dxa"/>
            <w:tcBorders/>
            <w:shd w:fill="F7F7F7" w:val="clear"/>
            <w:tcMar>
              <w:bottom w:w="0" w:type="dxa"/>
            </w:tcMar>
            <w:vAlign w:val="center"/>
          </w:tcPr>
          <w:p>
            <w:pPr>
              <w:pStyle w:val="TableContents"/>
              <w:bidi w:val="0"/>
              <w:spacing w:before="0" w:after="283"/>
              <w:jc w:val="left"/>
              <w:rPr/>
            </w:pPr>
            <w:r>
              <w:rPr/>
              <w:t>​</w:t>
            </w:r>
          </w:p>
        </w:tc>
        <w:tc>
          <w:tcPr>
            <w:tcW w:w="117" w:type="dxa"/>
            <w:tcBorders/>
            <w:shd w:fill="F7F7F7" w:val="clear"/>
            <w:tcMar>
              <w:bottom w:w="0" w:type="dxa"/>
            </w:tcMar>
            <w:vAlign w:val="center"/>
          </w:tcPr>
          <w:p>
            <w:pPr>
              <w:pStyle w:val="TableContents"/>
              <w:bidi w:val="0"/>
              <w:spacing w:before="0" w:after="283"/>
              <w:jc w:val="right"/>
              <w:rPr/>
            </w:pPr>
            <w:r>
              <w:rPr/>
              <w:t>​</w:t>
            </w:r>
          </w:p>
        </w:tc>
        <w:tc>
          <w:tcPr>
            <w:tcW w:w="564" w:type="dxa"/>
            <w:tcBorders/>
            <w:shd w:fill="F7F7F7" w:val="clear"/>
            <w:tcMar>
              <w:bottom w:w="0" w:type="dxa"/>
            </w:tcMar>
            <w:vAlign w:val="center"/>
          </w:tcPr>
          <w:p>
            <w:pPr>
              <w:pStyle w:val="TableContents"/>
              <w:bidi w:val="0"/>
              <w:spacing w:before="0" w:after="283"/>
              <w:jc w:val="right"/>
              <w:rPr/>
            </w:pPr>
            <w:r>
              <w:rPr/>
              <w:t>—</w:t>
            </w:r>
          </w:p>
        </w:tc>
        <w:tc>
          <w:tcPr>
            <w:tcW w:w="118"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769"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96" w:type="dxa"/>
            <w:tcBorders/>
            <w:shd w:fill="F7F7F7" w:val="clear"/>
            <w:tcMar>
              <w:bottom w:w="0" w:type="dxa"/>
            </w:tcMar>
            <w:vAlign w:val="center"/>
          </w:tcPr>
          <w:p>
            <w:pPr>
              <w:pStyle w:val="TableContents"/>
              <w:bidi w:val="0"/>
              <w:spacing w:before="0" w:after="283"/>
              <w:jc w:val="right"/>
              <w:rPr/>
            </w:pPr>
            <w:r>
              <w:rPr/>
              <w:t>332,039</w:t>
            </w:r>
            <w:r>
              <w:rPr>
                <w:sz w:val="10"/>
              </w:rPr>
              <w:t>(5)</w:t>
            </w:r>
            <w:r>
              <w:rPr/>
              <w:t xml:space="preserve"> </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186" w:type="dxa"/>
            <w:tcBorders/>
            <w:shd w:fill="F7F7F7" w:val="clear"/>
            <w:tcMar>
              <w:bottom w:w="0" w:type="dxa"/>
            </w:tcMar>
            <w:vAlign w:val="center"/>
          </w:tcPr>
          <w:p>
            <w:pPr>
              <w:pStyle w:val="TableContents"/>
              <w:bidi w:val="0"/>
              <w:spacing w:before="0" w:after="283"/>
              <w:jc w:val="right"/>
              <w:rPr/>
            </w:pPr>
            <w:r>
              <w:rPr/>
              <w:t>1,397,884</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9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6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54" w:type="dxa"/>
            <w:tcBorders/>
            <w:shd w:fill="F7F7F7"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shd w:fill="F7F7F7" w:val="clear"/>
            <w:vAlign w:val="center"/>
          </w:tcPr>
          <w:p>
            <w:pPr>
              <w:pStyle w:val="Normal"/>
              <w:bidi w:val="0"/>
              <w:jc w:val="left"/>
              <w:rPr/>
            </w:pPr>
            <w:r>
              <w:rPr/>
            </w:r>
          </w:p>
        </w:tc>
        <w:tc>
          <w:tcPr>
            <w:tcW w:w="1141" w:type="dxa"/>
            <w:vMerge w:val="continue"/>
            <w:tcBorders>
              <w:bottom w:val="single" w:sz="6" w:space="0" w:color="000000"/>
            </w:tcBorders>
            <w:shd w:fill="F7F7F7" w:val="clear"/>
            <w:tcMar>
              <w:bottom w:w="95" w:type="dxa"/>
            </w:tcMar>
            <w:vAlign w:val="center"/>
          </w:tcPr>
          <w:p>
            <w:pPr>
              <w:pStyle w:val="Normal"/>
              <w:bidi w:val="0"/>
              <w:jc w:val="left"/>
              <w:rPr/>
            </w:pPr>
            <w:r>
              <w:rPr/>
            </w:r>
          </w:p>
        </w:tc>
        <w:tc>
          <w:tcPr>
            <w:tcW w:w="109" w:type="dxa"/>
            <w:vMerge w:val="continue"/>
            <w:tcBorders>
              <w:bottom w:val="single" w:sz="6" w:space="0" w:color="000000"/>
            </w:tcBorders>
            <w:shd w:fill="F7F7F7" w:val="clear"/>
            <w:vAlign w:val="center"/>
          </w:tcPr>
          <w:p>
            <w:pPr>
              <w:pStyle w:val="Normal"/>
              <w:bidi w:val="0"/>
              <w:jc w:val="left"/>
              <w:rPr/>
            </w:pPr>
            <w:r>
              <w:rPr/>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66" w:type="dxa"/>
            <w:tcBorders/>
            <w:shd w:fill="F7F7F7" w:val="clear"/>
            <w:tcMar>
              <w:bottom w:w="0" w:type="dxa"/>
            </w:tcMar>
            <w:vAlign w:val="center"/>
          </w:tcPr>
          <w:p>
            <w:pPr>
              <w:pStyle w:val="TableContents"/>
              <w:bidi w:val="0"/>
              <w:spacing w:before="0" w:after="283"/>
              <w:jc w:val="right"/>
              <w:rPr/>
            </w:pPr>
            <w:r>
              <w:rPr/>
              <w:t>59,596</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27" w:type="dxa"/>
            <w:tcBorders/>
            <w:shd w:fill="F7F7F7" w:val="clear"/>
            <w:tcMar>
              <w:bottom w:w="0" w:type="dxa"/>
            </w:tcMar>
            <w:vAlign w:val="center"/>
          </w:tcPr>
          <w:p>
            <w:pPr>
              <w:pStyle w:val="TableContents"/>
              <w:bidi w:val="0"/>
              <w:spacing w:before="0" w:after="283"/>
              <w:jc w:val="left"/>
              <w:rPr/>
            </w:pPr>
            <w:r>
              <w:rPr/>
              <w:t>​</w:t>
            </w:r>
          </w:p>
        </w:tc>
        <w:tc>
          <w:tcPr>
            <w:tcW w:w="127" w:type="dxa"/>
            <w:tcBorders/>
            <w:shd w:fill="F7F7F7" w:val="clear"/>
            <w:tcMar>
              <w:bottom w:w="0" w:type="dxa"/>
            </w:tcMar>
            <w:vAlign w:val="center"/>
          </w:tcPr>
          <w:p>
            <w:pPr>
              <w:pStyle w:val="TableContents"/>
              <w:bidi w:val="0"/>
              <w:spacing w:before="0" w:after="283"/>
              <w:jc w:val="right"/>
              <w:rPr/>
            </w:pPr>
            <w:r>
              <w:rPr/>
              <w:t>​</w:t>
            </w:r>
          </w:p>
        </w:tc>
        <w:tc>
          <w:tcPr>
            <w:tcW w:w="1072" w:type="dxa"/>
            <w:tcBorders/>
            <w:shd w:fill="F7F7F7" w:val="clear"/>
            <w:tcMar>
              <w:bottom w:w="0" w:type="dxa"/>
            </w:tcMar>
            <w:vAlign w:val="center"/>
          </w:tcPr>
          <w:p>
            <w:pPr>
              <w:pStyle w:val="TableContents"/>
              <w:bidi w:val="0"/>
              <w:spacing w:before="0" w:after="283"/>
              <w:jc w:val="right"/>
              <w:rPr/>
            </w:pPr>
            <w:r>
              <w:rPr/>
              <w:t>349,067</w:t>
            </w:r>
            <w:r>
              <w:rPr>
                <w:sz w:val="10"/>
              </w:rPr>
              <w:t>(8)</w:t>
            </w:r>
            <w:r>
              <w:rPr/>
              <w:t xml:space="preserve"> </w:t>
            </w:r>
          </w:p>
        </w:tc>
        <w:tc>
          <w:tcPr>
            <w:tcW w:w="130"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17" w:type="dxa"/>
            <w:tcBorders/>
            <w:shd w:fill="F7F7F7" w:val="clear"/>
            <w:tcMar>
              <w:bottom w:w="0" w:type="dxa"/>
            </w:tcMar>
            <w:vAlign w:val="center"/>
          </w:tcPr>
          <w:p>
            <w:pPr>
              <w:pStyle w:val="TableContents"/>
              <w:bidi w:val="0"/>
              <w:spacing w:before="0" w:after="283"/>
              <w:jc w:val="left"/>
              <w:rPr/>
            </w:pPr>
            <w:r>
              <w:rPr/>
              <w:t>​</w:t>
            </w:r>
          </w:p>
        </w:tc>
        <w:tc>
          <w:tcPr>
            <w:tcW w:w="117" w:type="dxa"/>
            <w:tcBorders/>
            <w:shd w:fill="F7F7F7" w:val="clear"/>
            <w:tcMar>
              <w:bottom w:w="0" w:type="dxa"/>
            </w:tcMar>
            <w:vAlign w:val="center"/>
          </w:tcPr>
          <w:p>
            <w:pPr>
              <w:pStyle w:val="TableContents"/>
              <w:bidi w:val="0"/>
              <w:spacing w:before="0" w:after="283"/>
              <w:jc w:val="right"/>
              <w:rPr/>
            </w:pPr>
            <w:r>
              <w:rPr/>
              <w:t>​</w:t>
            </w:r>
          </w:p>
        </w:tc>
        <w:tc>
          <w:tcPr>
            <w:tcW w:w="564" w:type="dxa"/>
            <w:tcBorders/>
            <w:shd w:fill="F7F7F7" w:val="clear"/>
            <w:tcMar>
              <w:bottom w:w="0" w:type="dxa"/>
            </w:tcMar>
            <w:vAlign w:val="center"/>
          </w:tcPr>
          <w:p>
            <w:pPr>
              <w:pStyle w:val="TableContents"/>
              <w:bidi w:val="0"/>
              <w:spacing w:before="0" w:after="283"/>
              <w:jc w:val="right"/>
              <w:rPr/>
            </w:pPr>
            <w:r>
              <w:rPr/>
              <w:t>8.26</w:t>
            </w:r>
          </w:p>
        </w:tc>
        <w:tc>
          <w:tcPr>
            <w:tcW w:w="118"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769" w:type="dxa"/>
            <w:tcBorders/>
            <w:shd w:fill="F7F7F7" w:val="clear"/>
            <w:tcMar>
              <w:bottom w:w="0" w:type="dxa"/>
            </w:tcMar>
            <w:vAlign w:val="center"/>
          </w:tcPr>
          <w:p>
            <w:pPr>
              <w:pStyle w:val="TableContents"/>
              <w:bidi w:val="0"/>
              <w:spacing w:before="0" w:after="283"/>
              <w:jc w:val="right"/>
              <w:rPr/>
            </w:pPr>
            <w:r>
              <w:rPr/>
              <w:t>09/10/2030</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9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18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9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6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54" w:type="dxa"/>
            <w:tcBorders/>
            <w:shd w:fill="F7F7F7"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shd w:fill="F7F7F7" w:val="clear"/>
            <w:vAlign w:val="center"/>
          </w:tcPr>
          <w:p>
            <w:pPr>
              <w:pStyle w:val="Normal"/>
              <w:bidi w:val="0"/>
              <w:jc w:val="left"/>
              <w:rPr/>
            </w:pPr>
            <w:r>
              <w:rPr/>
            </w:r>
          </w:p>
        </w:tc>
        <w:tc>
          <w:tcPr>
            <w:tcW w:w="1141" w:type="dxa"/>
            <w:vMerge w:val="continue"/>
            <w:tcBorders>
              <w:bottom w:val="single" w:sz="6" w:space="0" w:color="000000"/>
            </w:tcBorders>
            <w:shd w:fill="F7F7F7" w:val="clear"/>
            <w:tcMar>
              <w:bottom w:w="95" w:type="dxa"/>
            </w:tcMar>
            <w:vAlign w:val="center"/>
          </w:tcPr>
          <w:p>
            <w:pPr>
              <w:pStyle w:val="Normal"/>
              <w:bidi w:val="0"/>
              <w:jc w:val="left"/>
              <w:rPr/>
            </w:pPr>
            <w:r>
              <w:rPr/>
            </w:r>
          </w:p>
        </w:tc>
        <w:tc>
          <w:tcPr>
            <w:tcW w:w="109" w:type="dxa"/>
            <w:vMerge w:val="continue"/>
            <w:tcBorders>
              <w:bottom w:val="single" w:sz="6" w:space="0" w:color="000000"/>
            </w:tcBorders>
            <w:shd w:fill="F7F7F7" w:val="clear"/>
            <w:vAlign w:val="center"/>
          </w:tcPr>
          <w:p>
            <w:pPr>
              <w:pStyle w:val="Normal"/>
              <w:bidi w:val="0"/>
              <w:jc w:val="left"/>
              <w:rPr/>
            </w:pPr>
            <w:r>
              <w:rPr/>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1066"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27" w:type="dxa"/>
            <w:tcBorders>
              <w:bottom w:val="single" w:sz="6" w:space="0" w:color="000000"/>
            </w:tcBorders>
            <w:shd w:fill="F7F7F7" w:val="clear"/>
            <w:vAlign w:val="center"/>
          </w:tcPr>
          <w:p>
            <w:pPr>
              <w:pStyle w:val="TableContents"/>
              <w:bidi w:val="0"/>
              <w:spacing w:before="0" w:after="283"/>
              <w:jc w:val="left"/>
              <w:rPr/>
            </w:pPr>
            <w:r>
              <w:rPr/>
              <w:t>​</w:t>
            </w:r>
          </w:p>
        </w:tc>
        <w:tc>
          <w:tcPr>
            <w:tcW w:w="127"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1072"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130"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17" w:type="dxa"/>
            <w:tcBorders>
              <w:bottom w:val="single" w:sz="6" w:space="0" w:color="000000"/>
            </w:tcBorders>
            <w:shd w:fill="F7F7F7" w:val="clear"/>
            <w:vAlign w:val="center"/>
          </w:tcPr>
          <w:p>
            <w:pPr>
              <w:pStyle w:val="TableContents"/>
              <w:bidi w:val="0"/>
              <w:spacing w:before="0" w:after="283"/>
              <w:jc w:val="left"/>
              <w:rPr/>
            </w:pPr>
            <w:r>
              <w:rPr/>
              <w:t>​</w:t>
            </w:r>
          </w:p>
        </w:tc>
        <w:tc>
          <w:tcPr>
            <w:tcW w:w="117"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564"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118"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769"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1096" w:type="dxa"/>
            <w:tcBorders>
              <w:bottom w:val="single" w:sz="6" w:space="0" w:color="000000"/>
            </w:tcBorders>
            <w:shd w:fill="F7F7F7" w:val="clear"/>
            <w:tcMar>
              <w:bottom w:w="95" w:type="dxa"/>
            </w:tcMar>
            <w:vAlign w:val="center"/>
          </w:tcPr>
          <w:p>
            <w:pPr>
              <w:pStyle w:val="TableContents"/>
              <w:bidi w:val="0"/>
              <w:spacing w:before="0" w:after="283"/>
              <w:jc w:val="right"/>
              <w:rPr/>
            </w:pPr>
            <w:r>
              <w:rPr/>
              <w:t xml:space="preserve">— </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1186" w:type="dxa"/>
            <w:tcBorders>
              <w:bottom w:val="single" w:sz="6" w:space="0" w:color="000000"/>
            </w:tcBorders>
            <w:shd w:fill="F7F7F7" w:val="clear"/>
            <w:tcMar>
              <w:bottom w:w="95" w:type="dxa"/>
            </w:tcMar>
            <w:vAlign w:val="center"/>
          </w:tcPr>
          <w:p>
            <w:pPr>
              <w:pStyle w:val="TableContents"/>
              <w:bidi w:val="0"/>
              <w:spacing w:before="0" w:after="283"/>
              <w:jc w:val="right"/>
              <w:rPr/>
            </w:pPr>
            <w:r>
              <w:rPr/>
              <w:t xml:space="preserve">— </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1096" w:type="dxa"/>
            <w:tcBorders>
              <w:bottom w:val="single" w:sz="6" w:space="0" w:color="000000"/>
            </w:tcBorders>
            <w:shd w:fill="F7F7F7" w:val="clear"/>
            <w:tcMar>
              <w:bottom w:w="95" w:type="dxa"/>
            </w:tcMar>
            <w:vAlign w:val="center"/>
          </w:tcPr>
          <w:p>
            <w:pPr>
              <w:pStyle w:val="TableContents"/>
              <w:bidi w:val="0"/>
              <w:spacing w:before="0" w:after="283"/>
              <w:jc w:val="right"/>
              <w:rPr/>
            </w:pPr>
            <w:r>
              <w:rPr/>
              <w:t>817,327</w:t>
            </w:r>
            <w:r>
              <w:rPr>
                <w:sz w:val="10"/>
              </w:rPr>
              <w:t>(7)</w:t>
            </w:r>
            <w:r>
              <w:rPr/>
              <w:t xml:space="preserve"> </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95" w:type="dxa"/>
            </w:tcMar>
            <w:vAlign w:val="center"/>
          </w:tcPr>
          <w:p>
            <w:pPr>
              <w:pStyle w:val="TableContents"/>
              <w:bidi w:val="0"/>
              <w:spacing w:before="0" w:after="283"/>
              <w:jc w:val="right"/>
              <w:rPr/>
            </w:pPr>
            <w:r>
              <w:rPr/>
              <w:t>​</w:t>
            </w:r>
          </w:p>
        </w:tc>
        <w:tc>
          <w:tcPr>
            <w:tcW w:w="1066" w:type="dxa"/>
            <w:tcBorders>
              <w:bottom w:val="single" w:sz="6" w:space="0" w:color="000000"/>
            </w:tcBorders>
            <w:shd w:fill="F7F7F7" w:val="clear"/>
            <w:tcMar>
              <w:bottom w:w="95" w:type="dxa"/>
            </w:tcMar>
            <w:vAlign w:val="center"/>
          </w:tcPr>
          <w:p>
            <w:pPr>
              <w:pStyle w:val="TableContents"/>
              <w:bidi w:val="0"/>
              <w:spacing w:before="0" w:after="283"/>
              <w:jc w:val="right"/>
              <w:rPr/>
            </w:pPr>
            <w:r>
              <w:rPr/>
              <w:t xml:space="preserve">3,440,947 </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54" w:type="dxa"/>
            <w:tcBorders>
              <w:bottom w:val="single" w:sz="6" w:space="0" w:color="000000"/>
            </w:tcBorders>
            <w:shd w:fill="F7F7F7" w:val="clear"/>
            <w:vAlign w:val="center"/>
          </w:tcPr>
          <w:p>
            <w:pPr>
              <w:pStyle w:val="TableContents"/>
              <w:bidi w:val="0"/>
              <w:spacing w:before="0" w:after="283"/>
              <w:jc w:val="left"/>
              <w:rPr/>
            </w:pPr>
            <w:r>
              <w:rPr/>
              <w:t>​</w:t>
            </w:r>
          </w:p>
        </w:tc>
      </w:tr>
      <w:tr>
        <w:trPr/>
        <w:tc>
          <w:tcPr>
            <w:tcW w:w="124" w:type="dxa"/>
            <w:vMerge w:val="restart"/>
            <w:tcBorders>
              <w:bottom w:val="single" w:sz="6" w:space="0" w:color="000000"/>
            </w:tcBorders>
            <w:vAlign w:val="center"/>
          </w:tcPr>
          <w:p>
            <w:pPr>
              <w:pStyle w:val="TableContents"/>
              <w:bidi w:val="0"/>
              <w:spacing w:before="0" w:after="283"/>
              <w:jc w:val="left"/>
              <w:rPr/>
            </w:pPr>
            <w:r>
              <w:rPr/>
              <w:t>​</w:t>
            </w:r>
          </w:p>
        </w:tc>
        <w:tc>
          <w:tcPr>
            <w:tcW w:w="1141" w:type="dxa"/>
            <w:vMerge w:val="restart"/>
            <w:tcBorders>
              <w:bottom w:val="single" w:sz="6" w:space="0" w:color="000000"/>
            </w:tcBorders>
            <w:tcMar>
              <w:bottom w:w="95" w:type="dxa"/>
            </w:tcMar>
            <w:vAlign w:val="center"/>
          </w:tcPr>
          <w:p>
            <w:pPr>
              <w:pStyle w:val="TableContents"/>
              <w:bidi w:val="0"/>
              <w:spacing w:lineRule="atLeast" w:line="180" w:before="0" w:after="0"/>
              <w:jc w:val="left"/>
              <w:rPr/>
            </w:pPr>
            <w:r>
              <w:rPr/>
              <w:t xml:space="preserve">Michael Bell </w:t>
            </w:r>
          </w:p>
        </w:tc>
        <w:tc>
          <w:tcPr>
            <w:tcW w:w="109" w:type="dxa"/>
            <w:vMerge w:val="restart"/>
            <w:tcBorders>
              <w:bottom w:val="single" w:sz="6" w:space="0" w:color="000000"/>
            </w:tcBorders>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80" w:before="0" w:after="283"/>
              <w:jc w:val="right"/>
              <w:rPr/>
            </w:pPr>
            <w:r>
              <w:rPr/>
              <w:t>​</w:t>
            </w:r>
          </w:p>
        </w:tc>
        <w:tc>
          <w:tcPr>
            <w:tcW w:w="1066" w:type="dxa"/>
            <w:tcBorders/>
            <w:tcMar>
              <w:bottom w:w="0" w:type="dxa"/>
            </w:tcMar>
            <w:vAlign w:val="center"/>
          </w:tcPr>
          <w:p>
            <w:pPr>
              <w:pStyle w:val="TableContents"/>
              <w:bidi w:val="0"/>
              <w:spacing w:lineRule="atLeast" w:line="18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lineRule="atLeast" w:line="180" w:before="0" w:after="283"/>
              <w:jc w:val="right"/>
              <w:rPr/>
            </w:pPr>
            <w:r>
              <w:rPr/>
              <w:t>​</w:t>
            </w:r>
          </w:p>
        </w:tc>
        <w:tc>
          <w:tcPr>
            <w:tcW w:w="1072" w:type="dxa"/>
            <w:tcBorders/>
            <w:tcMar>
              <w:bottom w:w="0" w:type="dxa"/>
            </w:tcMar>
            <w:vAlign w:val="center"/>
          </w:tcPr>
          <w:p>
            <w:pPr>
              <w:pStyle w:val="TableContents"/>
              <w:bidi w:val="0"/>
              <w:spacing w:lineRule="atLeast" w:line="180" w:before="0" w:after="283"/>
              <w:jc w:val="right"/>
              <w:rPr/>
            </w:pPr>
            <w:r>
              <w:rPr/>
              <w:t>—</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lineRule="atLeast" w:line="180" w:before="0" w:after="283"/>
              <w:jc w:val="right"/>
              <w:rPr/>
            </w:pPr>
            <w:r>
              <w:rPr/>
              <w:t>​</w:t>
            </w:r>
          </w:p>
        </w:tc>
        <w:tc>
          <w:tcPr>
            <w:tcW w:w="564" w:type="dxa"/>
            <w:tcBorders/>
            <w:tcMar>
              <w:bottom w:w="0" w:type="dxa"/>
            </w:tcMar>
            <w:vAlign w:val="center"/>
          </w:tcPr>
          <w:p>
            <w:pPr>
              <w:pStyle w:val="TableContents"/>
              <w:bidi w:val="0"/>
              <w:spacing w:lineRule="atLeast" w:line="180"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80" w:before="0" w:after="283"/>
              <w:jc w:val="right"/>
              <w:rPr/>
            </w:pPr>
            <w:r>
              <w:rPr/>
              <w:t>​</w:t>
            </w:r>
          </w:p>
        </w:tc>
        <w:tc>
          <w:tcPr>
            <w:tcW w:w="769" w:type="dxa"/>
            <w:tcBorders/>
            <w:tcMar>
              <w:bottom w:w="0" w:type="dxa"/>
            </w:tcMar>
            <w:vAlign w:val="center"/>
          </w:tcPr>
          <w:p>
            <w:pPr>
              <w:pStyle w:val="TableContents"/>
              <w:bidi w:val="0"/>
              <w:spacing w:lineRule="atLeast" w:line="18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80" w:before="0" w:after="283"/>
              <w:jc w:val="right"/>
              <w:rPr/>
            </w:pPr>
            <w:r>
              <w:rPr/>
              <w:t>​</w:t>
            </w:r>
          </w:p>
        </w:tc>
        <w:tc>
          <w:tcPr>
            <w:tcW w:w="1096" w:type="dxa"/>
            <w:tcBorders/>
            <w:tcMar>
              <w:bottom w:w="0" w:type="dxa"/>
            </w:tcMar>
            <w:vAlign w:val="center"/>
          </w:tcPr>
          <w:p>
            <w:pPr>
              <w:pStyle w:val="TableContents"/>
              <w:bidi w:val="0"/>
              <w:spacing w:lineRule="atLeast" w:line="180" w:before="0" w:after="283"/>
              <w:jc w:val="right"/>
              <w:rPr/>
            </w:pPr>
            <w:r>
              <w:rPr/>
              <w:t>247,875</w:t>
            </w:r>
            <w:r>
              <w:rPr>
                <w:sz w:val="10"/>
              </w:rPr>
              <w:t>(13)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80" w:before="0" w:after="283"/>
              <w:jc w:val="right"/>
              <w:rPr/>
            </w:pPr>
            <w:r>
              <w:rPr/>
              <w:t>​</w:t>
            </w:r>
          </w:p>
        </w:tc>
        <w:tc>
          <w:tcPr>
            <w:tcW w:w="1186" w:type="dxa"/>
            <w:tcBorders/>
            <w:tcMar>
              <w:bottom w:w="0" w:type="dxa"/>
            </w:tcMar>
            <w:vAlign w:val="center"/>
          </w:tcPr>
          <w:p>
            <w:pPr>
              <w:pStyle w:val="TableContents"/>
              <w:bidi w:val="0"/>
              <w:spacing w:lineRule="atLeast" w:line="180" w:before="0" w:after="283"/>
              <w:jc w:val="right"/>
              <w:rPr/>
            </w:pPr>
            <w:r>
              <w:rPr/>
              <w:t>1,043,554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80" w:before="0" w:after="283"/>
              <w:jc w:val="right"/>
              <w:rPr/>
            </w:pPr>
            <w:r>
              <w:rPr/>
              <w:t>​</w:t>
            </w:r>
          </w:p>
        </w:tc>
        <w:tc>
          <w:tcPr>
            <w:tcW w:w="1096" w:type="dxa"/>
            <w:tcBorders/>
            <w:tcMar>
              <w:bottom w:w="0" w:type="dxa"/>
            </w:tcMar>
            <w:vAlign w:val="center"/>
          </w:tcPr>
          <w:p>
            <w:pPr>
              <w:pStyle w:val="TableContents"/>
              <w:bidi w:val="0"/>
              <w:spacing w:lineRule="atLeast" w:line="18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80" w:before="0" w:after="283"/>
              <w:jc w:val="right"/>
              <w:rPr/>
            </w:pPr>
            <w:r>
              <w:rPr/>
              <w:t>​</w:t>
            </w:r>
          </w:p>
        </w:tc>
        <w:tc>
          <w:tcPr>
            <w:tcW w:w="1066" w:type="dxa"/>
            <w:tcBorders/>
            <w:tcMar>
              <w:bottom w:w="0" w:type="dxa"/>
            </w:tcMar>
            <w:vAlign w:val="center"/>
          </w:tcPr>
          <w:p>
            <w:pPr>
              <w:pStyle w:val="TableContents"/>
              <w:bidi w:val="0"/>
              <w:spacing w:lineRule="atLeast" w:line="18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vAlign w:val="center"/>
          </w:tcPr>
          <w:p>
            <w:pPr>
              <w:pStyle w:val="Normal"/>
              <w:bidi w:val="0"/>
              <w:jc w:val="left"/>
              <w:rPr/>
            </w:pPr>
            <w:r>
              <w:rPr/>
            </w:r>
          </w:p>
        </w:tc>
        <w:tc>
          <w:tcPr>
            <w:tcW w:w="1141" w:type="dxa"/>
            <w:vMerge w:val="continue"/>
            <w:tcBorders>
              <w:bottom w:val="single" w:sz="6" w:space="0" w:color="000000"/>
            </w:tcBorders>
            <w:tcMar>
              <w:bottom w:w="95" w:type="dxa"/>
            </w:tcMar>
            <w:vAlign w:val="center"/>
          </w:tcPr>
          <w:p>
            <w:pPr>
              <w:pStyle w:val="Normal"/>
              <w:bidi w:val="0"/>
              <w:jc w:val="left"/>
              <w:rPr/>
            </w:pPr>
            <w:r>
              <w:rPr/>
            </w:r>
          </w:p>
        </w:tc>
        <w:tc>
          <w:tcPr>
            <w:tcW w:w="109" w:type="dxa"/>
            <w:vMerge w:val="continue"/>
            <w:tcBorders>
              <w:bottom w:val="single" w:sz="6" w:space="0" w:color="000000"/>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72" w:type="dxa"/>
            <w:tcBorders/>
            <w:tcMar>
              <w:bottom w:w="0" w:type="dxa"/>
            </w:tcMar>
            <w:vAlign w:val="center"/>
          </w:tcPr>
          <w:p>
            <w:pPr>
              <w:pStyle w:val="TableContents"/>
              <w:bidi w:val="0"/>
              <w:spacing w:before="0" w:after="283"/>
              <w:jc w:val="right"/>
              <w:rPr/>
            </w:pPr>
            <w:r>
              <w:rPr/>
              <w:t>—</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564" w:type="dxa"/>
            <w:tcBorders/>
            <w:tcMar>
              <w:bottom w:w="0" w:type="dxa"/>
            </w:tcMar>
            <w:vAlign w:val="center"/>
          </w:tcPr>
          <w:p>
            <w:pPr>
              <w:pStyle w:val="TableContents"/>
              <w:bidi w:val="0"/>
              <w:spacing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154,194</w:t>
            </w:r>
            <w:r>
              <w:rPr>
                <w:sz w:val="10"/>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649,157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vAlign w:val="center"/>
          </w:tcPr>
          <w:p>
            <w:pPr>
              <w:pStyle w:val="Normal"/>
              <w:bidi w:val="0"/>
              <w:jc w:val="left"/>
              <w:rPr/>
            </w:pPr>
            <w:r>
              <w:rPr/>
            </w:r>
          </w:p>
        </w:tc>
        <w:tc>
          <w:tcPr>
            <w:tcW w:w="1141" w:type="dxa"/>
            <w:vMerge w:val="continue"/>
            <w:tcBorders>
              <w:bottom w:val="single" w:sz="6" w:space="0" w:color="000000"/>
            </w:tcBorders>
            <w:tcMar>
              <w:bottom w:w="95" w:type="dxa"/>
            </w:tcMar>
            <w:vAlign w:val="center"/>
          </w:tcPr>
          <w:p>
            <w:pPr>
              <w:pStyle w:val="Normal"/>
              <w:bidi w:val="0"/>
              <w:jc w:val="left"/>
              <w:rPr/>
            </w:pPr>
            <w:r>
              <w:rPr/>
            </w:r>
          </w:p>
        </w:tc>
        <w:tc>
          <w:tcPr>
            <w:tcW w:w="109" w:type="dxa"/>
            <w:vMerge w:val="continue"/>
            <w:tcBorders>
              <w:bottom w:val="single" w:sz="6" w:space="0" w:color="000000"/>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72" w:type="dxa"/>
            <w:tcBorders/>
            <w:tcMar>
              <w:bottom w:w="0" w:type="dxa"/>
            </w:tcMar>
            <w:vAlign w:val="center"/>
          </w:tcPr>
          <w:p>
            <w:pPr>
              <w:pStyle w:val="TableContents"/>
              <w:bidi w:val="0"/>
              <w:spacing w:before="0" w:after="283"/>
              <w:jc w:val="right"/>
              <w:rPr/>
            </w:pPr>
            <w:r>
              <w:rPr/>
              <w:t>—</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564" w:type="dxa"/>
            <w:tcBorders/>
            <w:tcMar>
              <w:bottom w:w="0" w:type="dxa"/>
            </w:tcMar>
            <w:vAlign w:val="center"/>
          </w:tcPr>
          <w:p>
            <w:pPr>
              <w:pStyle w:val="TableContents"/>
              <w:bidi w:val="0"/>
              <w:spacing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332,039</w:t>
            </w:r>
            <w:r>
              <w:rPr>
                <w:sz w:val="10"/>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1,397,884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vAlign w:val="center"/>
          </w:tcPr>
          <w:p>
            <w:pPr>
              <w:pStyle w:val="Normal"/>
              <w:bidi w:val="0"/>
              <w:jc w:val="left"/>
              <w:rPr/>
            </w:pPr>
            <w:r>
              <w:rPr/>
            </w:r>
          </w:p>
        </w:tc>
        <w:tc>
          <w:tcPr>
            <w:tcW w:w="1141" w:type="dxa"/>
            <w:vMerge w:val="continue"/>
            <w:tcBorders>
              <w:bottom w:val="single" w:sz="6" w:space="0" w:color="000000"/>
            </w:tcBorders>
            <w:tcMar>
              <w:bottom w:w="95" w:type="dxa"/>
            </w:tcMar>
            <w:vAlign w:val="center"/>
          </w:tcPr>
          <w:p>
            <w:pPr>
              <w:pStyle w:val="Normal"/>
              <w:bidi w:val="0"/>
              <w:jc w:val="left"/>
              <w:rPr/>
            </w:pPr>
            <w:r>
              <w:rPr/>
            </w:r>
          </w:p>
        </w:tc>
        <w:tc>
          <w:tcPr>
            <w:tcW w:w="109" w:type="dxa"/>
            <w:vMerge w:val="continue"/>
            <w:tcBorders>
              <w:bottom w:val="single" w:sz="6" w:space="0" w:color="000000"/>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59,596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72" w:type="dxa"/>
            <w:tcBorders/>
            <w:tcMar>
              <w:bottom w:w="0" w:type="dxa"/>
            </w:tcMar>
            <w:vAlign w:val="center"/>
          </w:tcPr>
          <w:p>
            <w:pPr>
              <w:pStyle w:val="TableContents"/>
              <w:bidi w:val="0"/>
              <w:spacing w:before="0" w:after="283"/>
              <w:jc w:val="right"/>
              <w:rPr/>
            </w:pPr>
            <w:r>
              <w:rPr/>
              <w:t>349,067</w:t>
            </w:r>
            <w:r>
              <w:rPr>
                <w:sz w:val="10"/>
              </w:rPr>
              <w:t>(8)</w:t>
            </w:r>
            <w:r>
              <w:rPr/>
              <w:t xml:space="preserve"> </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564" w:type="dxa"/>
            <w:tcBorders/>
            <w:tcMar>
              <w:bottom w:w="0" w:type="dxa"/>
            </w:tcMar>
            <w:vAlign w:val="center"/>
          </w:tcPr>
          <w:p>
            <w:pPr>
              <w:pStyle w:val="TableContents"/>
              <w:bidi w:val="0"/>
              <w:spacing w:before="0" w:after="283"/>
              <w:jc w:val="right"/>
              <w:rPr/>
            </w:pPr>
            <w:r>
              <w:rPr/>
              <w:t>8.26</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9" w:type="dxa"/>
            <w:tcBorders/>
            <w:tcMar>
              <w:bottom w:w="0" w:type="dxa"/>
            </w:tcMar>
            <w:vAlign w:val="center"/>
          </w:tcPr>
          <w:p>
            <w:pPr>
              <w:pStyle w:val="TableContents"/>
              <w:bidi w:val="0"/>
              <w:spacing w:before="0" w:after="283"/>
              <w:jc w:val="right"/>
              <w:rPr/>
            </w:pPr>
            <w:r>
              <w:rPr/>
              <w:t>09/10/2030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vAlign w:val="center"/>
          </w:tcPr>
          <w:p>
            <w:pPr>
              <w:pStyle w:val="Normal"/>
              <w:bidi w:val="0"/>
              <w:jc w:val="left"/>
              <w:rPr/>
            </w:pPr>
            <w:r>
              <w:rPr/>
            </w:r>
          </w:p>
        </w:tc>
        <w:tc>
          <w:tcPr>
            <w:tcW w:w="1141" w:type="dxa"/>
            <w:vMerge w:val="continue"/>
            <w:tcBorders>
              <w:bottom w:val="single" w:sz="6" w:space="0" w:color="000000"/>
            </w:tcBorders>
            <w:tcMar>
              <w:bottom w:w="95" w:type="dxa"/>
            </w:tcMar>
            <w:vAlign w:val="center"/>
          </w:tcPr>
          <w:p>
            <w:pPr>
              <w:pStyle w:val="Normal"/>
              <w:bidi w:val="0"/>
              <w:jc w:val="left"/>
              <w:rPr/>
            </w:pPr>
            <w:r>
              <w:rPr/>
            </w:r>
          </w:p>
        </w:tc>
        <w:tc>
          <w:tcPr>
            <w:tcW w:w="109" w:type="dxa"/>
            <w:vMerge w:val="continue"/>
            <w:tcBorders>
              <w:bottom w:val="single" w:sz="6" w:space="0" w:color="000000"/>
            </w:tcBorders>
            <w:vAlign w:val="center"/>
          </w:tcPr>
          <w:p>
            <w:pPr>
              <w:pStyle w:val="Normal"/>
              <w:bidi w:val="0"/>
              <w:jc w:val="left"/>
              <w:rPr/>
            </w:pPr>
            <w:r>
              <w:rPr/>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95" w:type="dxa"/>
            </w:tcMar>
            <w:vAlign w:val="center"/>
          </w:tcPr>
          <w:p>
            <w:pPr>
              <w:pStyle w:val="TableContents"/>
              <w:bidi w:val="0"/>
              <w:spacing w:before="0" w:after="283"/>
              <w:jc w:val="right"/>
              <w:rPr/>
            </w:pPr>
            <w:r>
              <w:rPr/>
              <w:t>​</w:t>
            </w:r>
          </w:p>
        </w:tc>
        <w:tc>
          <w:tcPr>
            <w:tcW w:w="1066" w:type="dxa"/>
            <w:tcBorders>
              <w:bottom w:val="single" w:sz="6" w:space="0" w:color="000000"/>
            </w:tcBorders>
            <w:tcMar>
              <w:bottom w:w="95" w:type="dxa"/>
            </w:tcMar>
            <w:vAlign w:val="center"/>
          </w:tcPr>
          <w:p>
            <w:pPr>
              <w:pStyle w:val="TableContents"/>
              <w:bidi w:val="0"/>
              <w:spacing w:before="0" w:after="283"/>
              <w:jc w:val="righ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7" w:type="dxa"/>
            <w:tcBorders>
              <w:bottom w:val="single" w:sz="6" w:space="0" w:color="000000"/>
            </w:tcBorders>
            <w:vAlign w:val="center"/>
          </w:tcPr>
          <w:p>
            <w:pPr>
              <w:pStyle w:val="TableContents"/>
              <w:bidi w:val="0"/>
              <w:spacing w:before="0" w:after="283"/>
              <w:jc w:val="left"/>
              <w:rPr/>
            </w:pPr>
            <w:r>
              <w:rPr/>
              <w:t>​</w:t>
            </w:r>
          </w:p>
        </w:tc>
        <w:tc>
          <w:tcPr>
            <w:tcW w:w="127" w:type="dxa"/>
            <w:tcBorders>
              <w:bottom w:val="single" w:sz="6" w:space="0" w:color="000000"/>
            </w:tcBorders>
            <w:tcMar>
              <w:bottom w:w="95" w:type="dxa"/>
            </w:tcMar>
            <w:vAlign w:val="center"/>
          </w:tcPr>
          <w:p>
            <w:pPr>
              <w:pStyle w:val="TableContents"/>
              <w:bidi w:val="0"/>
              <w:spacing w:before="0" w:after="283"/>
              <w:jc w:val="right"/>
              <w:rPr/>
            </w:pPr>
            <w:r>
              <w:rPr/>
              <w:t>​</w:t>
            </w:r>
          </w:p>
        </w:tc>
        <w:tc>
          <w:tcPr>
            <w:tcW w:w="1072" w:type="dxa"/>
            <w:tcBorders>
              <w:bottom w:val="single" w:sz="6" w:space="0" w:color="000000"/>
            </w:tcBorders>
            <w:tcMar>
              <w:bottom w:w="95" w:type="dxa"/>
            </w:tcMar>
            <w:vAlign w:val="center"/>
          </w:tcPr>
          <w:p>
            <w:pPr>
              <w:pStyle w:val="TableContents"/>
              <w:bidi w:val="0"/>
              <w:spacing w:before="0" w:after="283"/>
              <w:jc w:val="right"/>
              <w:rPr/>
            </w:pPr>
            <w:r>
              <w:rPr/>
              <w:t>—</w:t>
            </w:r>
          </w:p>
        </w:tc>
        <w:tc>
          <w:tcPr>
            <w:tcW w:w="130"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7" w:type="dxa"/>
            <w:tcBorders>
              <w:bottom w:val="single" w:sz="6" w:space="0" w:color="000000"/>
            </w:tcBorders>
            <w:vAlign w:val="center"/>
          </w:tcPr>
          <w:p>
            <w:pPr>
              <w:pStyle w:val="TableContents"/>
              <w:bidi w:val="0"/>
              <w:spacing w:before="0" w:after="283"/>
              <w:jc w:val="left"/>
              <w:rPr/>
            </w:pPr>
            <w:r>
              <w:rPr/>
              <w:t>​</w:t>
            </w:r>
          </w:p>
        </w:tc>
        <w:tc>
          <w:tcPr>
            <w:tcW w:w="117" w:type="dxa"/>
            <w:tcBorders>
              <w:bottom w:val="single" w:sz="6" w:space="0" w:color="000000"/>
            </w:tcBorders>
            <w:tcMar>
              <w:bottom w:w="95" w:type="dxa"/>
            </w:tcMar>
            <w:vAlign w:val="center"/>
          </w:tcPr>
          <w:p>
            <w:pPr>
              <w:pStyle w:val="TableContents"/>
              <w:bidi w:val="0"/>
              <w:spacing w:before="0" w:after="283"/>
              <w:jc w:val="right"/>
              <w:rPr/>
            </w:pPr>
            <w:r>
              <w:rPr/>
              <w:t>​</w:t>
            </w:r>
          </w:p>
        </w:tc>
        <w:tc>
          <w:tcPr>
            <w:tcW w:w="564" w:type="dxa"/>
            <w:tcBorders>
              <w:bottom w:val="single" w:sz="6" w:space="0" w:color="000000"/>
            </w:tcBorders>
            <w:tcMar>
              <w:bottom w:w="95" w:type="dxa"/>
            </w:tcMar>
            <w:vAlign w:val="center"/>
          </w:tcPr>
          <w:p>
            <w:pPr>
              <w:pStyle w:val="TableContents"/>
              <w:bidi w:val="0"/>
              <w:spacing w:before="0" w:after="283"/>
              <w:jc w:val="right"/>
              <w:rPr/>
            </w:pPr>
            <w:r>
              <w:rPr/>
              <w:t>—</w:t>
            </w:r>
          </w:p>
        </w:tc>
        <w:tc>
          <w:tcPr>
            <w:tcW w:w="118"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95" w:type="dxa"/>
            </w:tcMar>
            <w:vAlign w:val="center"/>
          </w:tcPr>
          <w:p>
            <w:pPr>
              <w:pStyle w:val="TableContents"/>
              <w:bidi w:val="0"/>
              <w:spacing w:before="0" w:after="283"/>
              <w:jc w:val="right"/>
              <w:rPr/>
            </w:pPr>
            <w:r>
              <w:rPr/>
              <w:t>​</w:t>
            </w:r>
          </w:p>
        </w:tc>
        <w:tc>
          <w:tcPr>
            <w:tcW w:w="769" w:type="dxa"/>
            <w:tcBorders>
              <w:bottom w:val="single" w:sz="6" w:space="0" w:color="000000"/>
            </w:tcBorders>
            <w:tcMar>
              <w:bottom w:w="95" w:type="dxa"/>
            </w:tcMar>
            <w:vAlign w:val="center"/>
          </w:tcPr>
          <w:p>
            <w:pPr>
              <w:pStyle w:val="TableContents"/>
              <w:bidi w:val="0"/>
              <w:spacing w:before="0" w:after="283"/>
              <w:jc w:val="righ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95" w:type="dxa"/>
            </w:tcMar>
            <w:vAlign w:val="center"/>
          </w:tcPr>
          <w:p>
            <w:pPr>
              <w:pStyle w:val="TableContents"/>
              <w:bidi w:val="0"/>
              <w:spacing w:before="0" w:after="283"/>
              <w:jc w:val="right"/>
              <w:rPr/>
            </w:pPr>
            <w:r>
              <w:rPr/>
              <w:t>​</w:t>
            </w:r>
          </w:p>
        </w:tc>
        <w:tc>
          <w:tcPr>
            <w:tcW w:w="1096" w:type="dxa"/>
            <w:tcBorders>
              <w:bottom w:val="single" w:sz="6" w:space="0" w:color="000000"/>
            </w:tcBorders>
            <w:tcMar>
              <w:bottom w:w="95" w:type="dxa"/>
            </w:tcMar>
            <w:vAlign w:val="center"/>
          </w:tcPr>
          <w:p>
            <w:pPr>
              <w:pStyle w:val="TableContents"/>
              <w:bidi w:val="0"/>
              <w:spacing w:before="0" w:after="283"/>
              <w:jc w:val="right"/>
              <w:rPr/>
            </w:pP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95" w:type="dxa"/>
            </w:tcMar>
            <w:vAlign w:val="center"/>
          </w:tcPr>
          <w:p>
            <w:pPr>
              <w:pStyle w:val="TableContents"/>
              <w:bidi w:val="0"/>
              <w:spacing w:before="0" w:after="283"/>
              <w:jc w:val="right"/>
              <w:rPr/>
            </w:pPr>
            <w:r>
              <w:rPr/>
              <w:t>​</w:t>
            </w:r>
          </w:p>
        </w:tc>
        <w:tc>
          <w:tcPr>
            <w:tcW w:w="1186" w:type="dxa"/>
            <w:tcBorders>
              <w:bottom w:val="single" w:sz="6" w:space="0" w:color="000000"/>
            </w:tcBorders>
            <w:tcMar>
              <w:bottom w:w="95" w:type="dxa"/>
            </w:tcMar>
            <w:vAlign w:val="center"/>
          </w:tcPr>
          <w:p>
            <w:pPr>
              <w:pStyle w:val="TableContents"/>
              <w:bidi w:val="0"/>
              <w:spacing w:before="0" w:after="283"/>
              <w:jc w:val="right"/>
              <w:rPr/>
            </w:pP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95" w:type="dxa"/>
            </w:tcMar>
            <w:vAlign w:val="center"/>
          </w:tcPr>
          <w:p>
            <w:pPr>
              <w:pStyle w:val="TableContents"/>
              <w:bidi w:val="0"/>
              <w:spacing w:before="0" w:after="283"/>
              <w:jc w:val="right"/>
              <w:rPr/>
            </w:pPr>
            <w:r>
              <w:rPr/>
              <w:t>​</w:t>
            </w:r>
          </w:p>
        </w:tc>
        <w:tc>
          <w:tcPr>
            <w:tcW w:w="1096" w:type="dxa"/>
            <w:tcBorders>
              <w:bottom w:val="single" w:sz="6" w:space="0" w:color="000000"/>
            </w:tcBorders>
            <w:tcMar>
              <w:bottom w:w="95" w:type="dxa"/>
            </w:tcMar>
            <w:vAlign w:val="center"/>
          </w:tcPr>
          <w:p>
            <w:pPr>
              <w:pStyle w:val="TableContents"/>
              <w:bidi w:val="0"/>
              <w:spacing w:before="0" w:after="283"/>
              <w:jc w:val="right"/>
              <w:rPr/>
            </w:pPr>
            <w:r>
              <w:rPr/>
              <w:t>817,327</w:t>
            </w:r>
            <w:r>
              <w:rPr>
                <w:sz w:val="10"/>
              </w:rPr>
              <w:t>(7)</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95" w:type="dxa"/>
            </w:tcMar>
            <w:vAlign w:val="center"/>
          </w:tcPr>
          <w:p>
            <w:pPr>
              <w:pStyle w:val="TableContents"/>
              <w:bidi w:val="0"/>
              <w:spacing w:before="0" w:after="283"/>
              <w:jc w:val="right"/>
              <w:rPr/>
            </w:pPr>
            <w:r>
              <w:rPr/>
              <w:t>​</w:t>
            </w:r>
          </w:p>
        </w:tc>
        <w:tc>
          <w:tcPr>
            <w:tcW w:w="1066" w:type="dxa"/>
            <w:tcBorders>
              <w:bottom w:val="single" w:sz="6" w:space="0" w:color="000000"/>
            </w:tcBorders>
            <w:tcMar>
              <w:bottom w:w="95" w:type="dxa"/>
            </w:tcMar>
            <w:vAlign w:val="center"/>
          </w:tcPr>
          <w:p>
            <w:pPr>
              <w:pStyle w:val="TableContents"/>
              <w:bidi w:val="0"/>
              <w:spacing w:before="0" w:after="283"/>
              <w:jc w:val="right"/>
              <w:rPr/>
            </w:pPr>
            <w:r>
              <w:rPr/>
              <w:t xml:space="preserve">3,440,947 </w:t>
            </w:r>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vMerge w:val="restart"/>
            <w:tcBorders>
              <w:bottom w:val="single" w:sz="6" w:space="0" w:color="000000"/>
            </w:tcBorders>
            <w:shd w:fill="F7F7F7" w:val="clear"/>
            <w:vAlign w:val="center"/>
          </w:tcPr>
          <w:p>
            <w:pPr>
              <w:pStyle w:val="TableContents"/>
              <w:bidi w:val="0"/>
              <w:spacing w:before="0" w:after="283"/>
              <w:jc w:val="left"/>
              <w:rPr/>
            </w:pPr>
            <w:r>
              <w:rPr/>
              <w:t>​</w:t>
            </w:r>
          </w:p>
        </w:tc>
        <w:tc>
          <w:tcPr>
            <w:tcW w:w="1141" w:type="dxa"/>
            <w:vMerge w:val="restart"/>
            <w:tcBorders>
              <w:bottom w:val="single" w:sz="6" w:space="0" w:color="000000"/>
            </w:tcBorders>
            <w:shd w:fill="F7F7F7" w:val="clear"/>
            <w:tcMar>
              <w:bottom w:w="95" w:type="dxa"/>
            </w:tcMar>
            <w:vAlign w:val="center"/>
          </w:tcPr>
          <w:p>
            <w:pPr>
              <w:pStyle w:val="TableContents"/>
              <w:bidi w:val="0"/>
              <w:spacing w:lineRule="atLeast" w:line="180" w:before="0" w:after="0"/>
              <w:jc w:val="left"/>
              <w:rPr>
                <w:sz w:val="12"/>
              </w:rPr>
            </w:pPr>
            <w:r>
              <w:rPr>
                <w:sz w:val="16"/>
              </w:rPr>
              <w:t>Sherry House</w:t>
            </w:r>
            <w:r>
              <w:rPr>
                <w:sz w:val="10"/>
              </w:rPr>
              <w:t>(14)</w:t>
            </w:r>
            <w:r>
              <w:rPr>
                <w:sz w:val="12"/>
              </w:rPr>
              <w:t xml:space="preserve">​ </w:t>
            </w:r>
          </w:p>
        </w:tc>
        <w:tc>
          <w:tcPr>
            <w:tcW w:w="109" w:type="dxa"/>
            <w:vMerge w:val="restart"/>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lineRule="atLeast" w:line="180" w:before="0" w:after="283"/>
              <w:jc w:val="right"/>
              <w:rPr/>
            </w:pPr>
            <w:r>
              <w:rPr/>
              <w:t>​</w:t>
            </w:r>
          </w:p>
        </w:tc>
        <w:tc>
          <w:tcPr>
            <w:tcW w:w="1066" w:type="dxa"/>
            <w:tcBorders/>
            <w:shd w:fill="F7F7F7" w:val="clear"/>
            <w:tcMar>
              <w:bottom w:w="0" w:type="dxa"/>
            </w:tcMar>
            <w:vAlign w:val="center"/>
          </w:tcPr>
          <w:p>
            <w:pPr>
              <w:pStyle w:val="TableContents"/>
              <w:bidi w:val="0"/>
              <w:spacing w:lineRule="atLeast" w:line="180"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27" w:type="dxa"/>
            <w:tcBorders/>
            <w:shd w:fill="F7F7F7" w:val="clear"/>
            <w:tcMar>
              <w:bottom w:w="0" w:type="dxa"/>
            </w:tcMar>
            <w:vAlign w:val="center"/>
          </w:tcPr>
          <w:p>
            <w:pPr>
              <w:pStyle w:val="TableContents"/>
              <w:bidi w:val="0"/>
              <w:spacing w:before="0" w:after="283"/>
              <w:jc w:val="left"/>
              <w:rPr/>
            </w:pPr>
            <w:r>
              <w:rPr/>
              <w:t>​</w:t>
            </w:r>
          </w:p>
        </w:tc>
        <w:tc>
          <w:tcPr>
            <w:tcW w:w="127" w:type="dxa"/>
            <w:tcBorders/>
            <w:shd w:fill="F7F7F7" w:val="clear"/>
            <w:tcMar>
              <w:bottom w:w="0" w:type="dxa"/>
            </w:tcMar>
            <w:vAlign w:val="center"/>
          </w:tcPr>
          <w:p>
            <w:pPr>
              <w:pStyle w:val="TableContents"/>
              <w:bidi w:val="0"/>
              <w:spacing w:lineRule="atLeast" w:line="180" w:before="0" w:after="283"/>
              <w:jc w:val="right"/>
              <w:rPr/>
            </w:pPr>
            <w:r>
              <w:rPr/>
              <w:t>​</w:t>
            </w:r>
          </w:p>
        </w:tc>
        <w:tc>
          <w:tcPr>
            <w:tcW w:w="1072" w:type="dxa"/>
            <w:tcBorders/>
            <w:shd w:fill="F7F7F7" w:val="clear"/>
            <w:tcMar>
              <w:bottom w:w="0" w:type="dxa"/>
            </w:tcMar>
            <w:vAlign w:val="center"/>
          </w:tcPr>
          <w:p>
            <w:pPr>
              <w:pStyle w:val="TableContents"/>
              <w:bidi w:val="0"/>
              <w:spacing w:lineRule="atLeast" w:line="180" w:before="0" w:after="283"/>
              <w:jc w:val="right"/>
              <w:rPr/>
            </w:pPr>
            <w:r>
              <w:rPr/>
              <w:t>—</w:t>
            </w:r>
          </w:p>
        </w:tc>
        <w:tc>
          <w:tcPr>
            <w:tcW w:w="130"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17" w:type="dxa"/>
            <w:tcBorders/>
            <w:shd w:fill="F7F7F7" w:val="clear"/>
            <w:tcMar>
              <w:bottom w:w="0" w:type="dxa"/>
            </w:tcMar>
            <w:vAlign w:val="center"/>
          </w:tcPr>
          <w:p>
            <w:pPr>
              <w:pStyle w:val="TableContents"/>
              <w:bidi w:val="0"/>
              <w:spacing w:before="0" w:after="283"/>
              <w:jc w:val="left"/>
              <w:rPr/>
            </w:pPr>
            <w:r>
              <w:rPr/>
              <w:t>​</w:t>
            </w:r>
          </w:p>
        </w:tc>
        <w:tc>
          <w:tcPr>
            <w:tcW w:w="117" w:type="dxa"/>
            <w:tcBorders/>
            <w:shd w:fill="F7F7F7" w:val="clear"/>
            <w:tcMar>
              <w:bottom w:w="0" w:type="dxa"/>
            </w:tcMar>
            <w:vAlign w:val="center"/>
          </w:tcPr>
          <w:p>
            <w:pPr>
              <w:pStyle w:val="TableContents"/>
              <w:bidi w:val="0"/>
              <w:spacing w:lineRule="atLeast" w:line="180" w:before="0" w:after="283"/>
              <w:jc w:val="right"/>
              <w:rPr/>
            </w:pPr>
            <w:r>
              <w:rPr/>
              <w:t>​</w:t>
            </w:r>
          </w:p>
        </w:tc>
        <w:tc>
          <w:tcPr>
            <w:tcW w:w="564" w:type="dxa"/>
            <w:tcBorders/>
            <w:shd w:fill="F7F7F7" w:val="clear"/>
            <w:tcMar>
              <w:bottom w:w="0" w:type="dxa"/>
            </w:tcMar>
            <w:vAlign w:val="center"/>
          </w:tcPr>
          <w:p>
            <w:pPr>
              <w:pStyle w:val="TableContents"/>
              <w:bidi w:val="0"/>
              <w:spacing w:lineRule="atLeast" w:line="180" w:before="0" w:after="283"/>
              <w:jc w:val="right"/>
              <w:rPr/>
            </w:pPr>
            <w:r>
              <w:rPr/>
              <w:t>—</w:t>
            </w:r>
          </w:p>
        </w:tc>
        <w:tc>
          <w:tcPr>
            <w:tcW w:w="118"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lineRule="atLeast" w:line="180" w:before="0" w:after="283"/>
              <w:jc w:val="right"/>
              <w:rPr/>
            </w:pPr>
            <w:r>
              <w:rPr/>
              <w:t>​</w:t>
            </w:r>
          </w:p>
        </w:tc>
        <w:tc>
          <w:tcPr>
            <w:tcW w:w="769" w:type="dxa"/>
            <w:tcBorders/>
            <w:shd w:fill="F7F7F7" w:val="clear"/>
            <w:tcMar>
              <w:bottom w:w="0" w:type="dxa"/>
            </w:tcMar>
            <w:vAlign w:val="center"/>
          </w:tcPr>
          <w:p>
            <w:pPr>
              <w:pStyle w:val="TableContents"/>
              <w:bidi w:val="0"/>
              <w:spacing w:lineRule="atLeast" w:line="180"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lineRule="atLeast" w:line="180" w:before="0" w:after="283"/>
              <w:jc w:val="right"/>
              <w:rPr/>
            </w:pPr>
            <w:r>
              <w:rPr/>
              <w:t>​</w:t>
            </w:r>
          </w:p>
        </w:tc>
        <w:tc>
          <w:tcPr>
            <w:tcW w:w="1096" w:type="dxa"/>
            <w:tcBorders/>
            <w:shd w:fill="F7F7F7" w:val="clear"/>
            <w:tcMar>
              <w:bottom w:w="0" w:type="dxa"/>
            </w:tcMar>
            <w:vAlign w:val="center"/>
          </w:tcPr>
          <w:p>
            <w:pPr>
              <w:pStyle w:val="TableContents"/>
              <w:bidi w:val="0"/>
              <w:spacing w:lineRule="atLeast" w:line="180"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lineRule="atLeast" w:line="180" w:before="0" w:after="283"/>
              <w:jc w:val="right"/>
              <w:rPr/>
            </w:pPr>
            <w:r>
              <w:rPr/>
              <w:t>​</w:t>
            </w:r>
          </w:p>
        </w:tc>
        <w:tc>
          <w:tcPr>
            <w:tcW w:w="1186" w:type="dxa"/>
            <w:tcBorders/>
            <w:shd w:fill="F7F7F7" w:val="clear"/>
            <w:tcMar>
              <w:bottom w:w="0" w:type="dxa"/>
            </w:tcMar>
            <w:vAlign w:val="center"/>
          </w:tcPr>
          <w:p>
            <w:pPr>
              <w:pStyle w:val="TableContents"/>
              <w:bidi w:val="0"/>
              <w:spacing w:lineRule="atLeast" w:line="180"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lineRule="atLeast" w:line="180" w:before="0" w:after="283"/>
              <w:jc w:val="right"/>
              <w:rPr/>
            </w:pPr>
            <w:r>
              <w:rPr/>
              <w:t>​</w:t>
            </w:r>
          </w:p>
        </w:tc>
        <w:tc>
          <w:tcPr>
            <w:tcW w:w="1096" w:type="dxa"/>
            <w:tcBorders/>
            <w:shd w:fill="F7F7F7" w:val="clear"/>
            <w:tcMar>
              <w:bottom w:w="0" w:type="dxa"/>
            </w:tcMar>
            <w:vAlign w:val="center"/>
          </w:tcPr>
          <w:p>
            <w:pPr>
              <w:pStyle w:val="TableContents"/>
              <w:bidi w:val="0"/>
              <w:spacing w:lineRule="atLeast" w:line="180"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lineRule="atLeast" w:line="180" w:before="0" w:after="283"/>
              <w:jc w:val="right"/>
              <w:rPr/>
            </w:pPr>
            <w:r>
              <w:rPr/>
              <w:t>​</w:t>
            </w:r>
          </w:p>
        </w:tc>
        <w:tc>
          <w:tcPr>
            <w:tcW w:w="1066" w:type="dxa"/>
            <w:tcBorders/>
            <w:shd w:fill="F7F7F7" w:val="clear"/>
            <w:tcMar>
              <w:bottom w:w="0" w:type="dxa"/>
            </w:tcMar>
            <w:vAlign w:val="center"/>
          </w:tcPr>
          <w:p>
            <w:pPr>
              <w:pStyle w:val="TableContents"/>
              <w:bidi w:val="0"/>
              <w:spacing w:lineRule="atLeast" w:line="180"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54" w:type="dxa"/>
            <w:tcBorders/>
            <w:shd w:fill="F7F7F7"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shd w:fill="F7F7F7" w:val="clear"/>
            <w:vAlign w:val="center"/>
          </w:tcPr>
          <w:p>
            <w:pPr>
              <w:pStyle w:val="Normal"/>
              <w:bidi w:val="0"/>
              <w:jc w:val="left"/>
              <w:rPr/>
            </w:pPr>
            <w:r>
              <w:rPr/>
            </w:r>
          </w:p>
        </w:tc>
        <w:tc>
          <w:tcPr>
            <w:tcW w:w="1141" w:type="dxa"/>
            <w:vMerge w:val="continue"/>
            <w:tcBorders>
              <w:bottom w:val="single" w:sz="6" w:space="0" w:color="000000"/>
            </w:tcBorders>
            <w:shd w:fill="F7F7F7" w:val="clear"/>
            <w:tcMar>
              <w:bottom w:w="95" w:type="dxa"/>
            </w:tcMar>
            <w:vAlign w:val="center"/>
          </w:tcPr>
          <w:p>
            <w:pPr>
              <w:pStyle w:val="Normal"/>
              <w:bidi w:val="0"/>
              <w:jc w:val="left"/>
              <w:rPr/>
            </w:pPr>
            <w:r>
              <w:rPr/>
            </w:r>
          </w:p>
        </w:tc>
        <w:tc>
          <w:tcPr>
            <w:tcW w:w="109" w:type="dxa"/>
            <w:vMerge w:val="continue"/>
            <w:tcBorders>
              <w:bottom w:val="single" w:sz="6" w:space="0" w:color="000000"/>
            </w:tcBorders>
            <w:shd w:fill="F7F7F7" w:val="clear"/>
            <w:vAlign w:val="center"/>
          </w:tcPr>
          <w:p>
            <w:pPr>
              <w:pStyle w:val="Normal"/>
              <w:bidi w:val="0"/>
              <w:jc w:val="left"/>
              <w:rPr/>
            </w:pPr>
            <w:r>
              <w:rPr/>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6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27" w:type="dxa"/>
            <w:tcBorders/>
            <w:shd w:fill="F7F7F7" w:val="clear"/>
            <w:tcMar>
              <w:bottom w:w="0" w:type="dxa"/>
            </w:tcMar>
            <w:vAlign w:val="center"/>
          </w:tcPr>
          <w:p>
            <w:pPr>
              <w:pStyle w:val="TableContents"/>
              <w:bidi w:val="0"/>
              <w:spacing w:before="0" w:after="283"/>
              <w:jc w:val="left"/>
              <w:rPr/>
            </w:pPr>
            <w:r>
              <w:rPr/>
              <w:t>​</w:t>
            </w:r>
          </w:p>
        </w:tc>
        <w:tc>
          <w:tcPr>
            <w:tcW w:w="127" w:type="dxa"/>
            <w:tcBorders/>
            <w:shd w:fill="F7F7F7" w:val="clear"/>
            <w:tcMar>
              <w:bottom w:w="0" w:type="dxa"/>
            </w:tcMar>
            <w:vAlign w:val="center"/>
          </w:tcPr>
          <w:p>
            <w:pPr>
              <w:pStyle w:val="TableContents"/>
              <w:bidi w:val="0"/>
              <w:spacing w:before="0" w:after="283"/>
              <w:jc w:val="right"/>
              <w:rPr/>
            </w:pPr>
            <w:r>
              <w:rPr/>
              <w:t>​</w:t>
            </w:r>
          </w:p>
        </w:tc>
        <w:tc>
          <w:tcPr>
            <w:tcW w:w="1072" w:type="dxa"/>
            <w:tcBorders/>
            <w:shd w:fill="F7F7F7" w:val="clear"/>
            <w:tcMar>
              <w:bottom w:w="0" w:type="dxa"/>
            </w:tcMar>
            <w:vAlign w:val="center"/>
          </w:tcPr>
          <w:p>
            <w:pPr>
              <w:pStyle w:val="TableContents"/>
              <w:bidi w:val="0"/>
              <w:spacing w:before="0" w:after="283"/>
              <w:jc w:val="right"/>
              <w:rPr/>
            </w:pPr>
            <w:r>
              <w:rPr/>
              <w:t>—</w:t>
            </w:r>
          </w:p>
        </w:tc>
        <w:tc>
          <w:tcPr>
            <w:tcW w:w="130"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17" w:type="dxa"/>
            <w:tcBorders/>
            <w:shd w:fill="F7F7F7" w:val="clear"/>
            <w:tcMar>
              <w:bottom w:w="0" w:type="dxa"/>
            </w:tcMar>
            <w:vAlign w:val="center"/>
          </w:tcPr>
          <w:p>
            <w:pPr>
              <w:pStyle w:val="TableContents"/>
              <w:bidi w:val="0"/>
              <w:spacing w:before="0" w:after="283"/>
              <w:jc w:val="left"/>
              <w:rPr/>
            </w:pPr>
            <w:r>
              <w:rPr/>
              <w:t>​</w:t>
            </w:r>
          </w:p>
        </w:tc>
        <w:tc>
          <w:tcPr>
            <w:tcW w:w="117" w:type="dxa"/>
            <w:tcBorders/>
            <w:shd w:fill="F7F7F7" w:val="clear"/>
            <w:tcMar>
              <w:bottom w:w="0" w:type="dxa"/>
            </w:tcMar>
            <w:vAlign w:val="center"/>
          </w:tcPr>
          <w:p>
            <w:pPr>
              <w:pStyle w:val="TableContents"/>
              <w:bidi w:val="0"/>
              <w:spacing w:before="0" w:after="283"/>
              <w:jc w:val="right"/>
              <w:rPr/>
            </w:pPr>
            <w:r>
              <w:rPr/>
              <w:t>​</w:t>
            </w:r>
          </w:p>
        </w:tc>
        <w:tc>
          <w:tcPr>
            <w:tcW w:w="564" w:type="dxa"/>
            <w:tcBorders/>
            <w:shd w:fill="F7F7F7" w:val="clear"/>
            <w:tcMar>
              <w:bottom w:w="0" w:type="dxa"/>
            </w:tcMar>
            <w:vAlign w:val="center"/>
          </w:tcPr>
          <w:p>
            <w:pPr>
              <w:pStyle w:val="TableContents"/>
              <w:bidi w:val="0"/>
              <w:spacing w:before="0" w:after="283"/>
              <w:jc w:val="right"/>
              <w:rPr/>
            </w:pPr>
            <w:r>
              <w:rPr/>
              <w:t>—</w:t>
            </w:r>
          </w:p>
        </w:tc>
        <w:tc>
          <w:tcPr>
            <w:tcW w:w="118"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769"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9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18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9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6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54" w:type="dxa"/>
            <w:tcBorders/>
            <w:shd w:fill="F7F7F7"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shd w:fill="F7F7F7" w:val="clear"/>
            <w:vAlign w:val="center"/>
          </w:tcPr>
          <w:p>
            <w:pPr>
              <w:pStyle w:val="Normal"/>
              <w:bidi w:val="0"/>
              <w:jc w:val="left"/>
              <w:rPr/>
            </w:pPr>
            <w:r>
              <w:rPr/>
            </w:r>
          </w:p>
        </w:tc>
        <w:tc>
          <w:tcPr>
            <w:tcW w:w="1141" w:type="dxa"/>
            <w:vMerge w:val="continue"/>
            <w:tcBorders>
              <w:bottom w:val="single" w:sz="6" w:space="0" w:color="000000"/>
            </w:tcBorders>
            <w:shd w:fill="F7F7F7" w:val="clear"/>
            <w:tcMar>
              <w:bottom w:w="95" w:type="dxa"/>
            </w:tcMar>
            <w:vAlign w:val="center"/>
          </w:tcPr>
          <w:p>
            <w:pPr>
              <w:pStyle w:val="Normal"/>
              <w:bidi w:val="0"/>
              <w:jc w:val="left"/>
              <w:rPr/>
            </w:pPr>
            <w:r>
              <w:rPr/>
            </w:r>
          </w:p>
        </w:tc>
        <w:tc>
          <w:tcPr>
            <w:tcW w:w="109" w:type="dxa"/>
            <w:vMerge w:val="continue"/>
            <w:tcBorders>
              <w:bottom w:val="single" w:sz="6" w:space="0" w:color="000000"/>
            </w:tcBorders>
            <w:shd w:fill="F7F7F7" w:val="clear"/>
            <w:vAlign w:val="center"/>
          </w:tcPr>
          <w:p>
            <w:pPr>
              <w:pStyle w:val="Normal"/>
              <w:bidi w:val="0"/>
              <w:jc w:val="left"/>
              <w:rPr/>
            </w:pPr>
            <w:r>
              <w:rPr/>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66" w:type="dxa"/>
            <w:tcBorders/>
            <w:shd w:fill="F7F7F7" w:val="clear"/>
            <w:tcMar>
              <w:bottom w:w="0" w:type="dxa"/>
            </w:tcMar>
            <w:vAlign w:val="center"/>
          </w:tcPr>
          <w:p>
            <w:pPr>
              <w:pStyle w:val="TableContents"/>
              <w:bidi w:val="0"/>
              <w:spacing w:before="0" w:after="283"/>
              <w:jc w:val="right"/>
              <w:rPr/>
            </w:pPr>
            <w:r>
              <w:rPr/>
              <w:t>59,596</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27" w:type="dxa"/>
            <w:tcBorders/>
            <w:shd w:fill="F7F7F7" w:val="clear"/>
            <w:tcMar>
              <w:bottom w:w="0" w:type="dxa"/>
            </w:tcMar>
            <w:vAlign w:val="center"/>
          </w:tcPr>
          <w:p>
            <w:pPr>
              <w:pStyle w:val="TableContents"/>
              <w:bidi w:val="0"/>
              <w:spacing w:before="0" w:after="283"/>
              <w:jc w:val="left"/>
              <w:rPr/>
            </w:pPr>
            <w:r>
              <w:rPr/>
              <w:t>​</w:t>
            </w:r>
          </w:p>
        </w:tc>
        <w:tc>
          <w:tcPr>
            <w:tcW w:w="127" w:type="dxa"/>
            <w:tcBorders/>
            <w:shd w:fill="F7F7F7" w:val="clear"/>
            <w:tcMar>
              <w:bottom w:w="0" w:type="dxa"/>
            </w:tcMar>
            <w:vAlign w:val="center"/>
          </w:tcPr>
          <w:p>
            <w:pPr>
              <w:pStyle w:val="TableContents"/>
              <w:bidi w:val="0"/>
              <w:spacing w:before="0" w:after="283"/>
              <w:jc w:val="right"/>
              <w:rPr/>
            </w:pPr>
            <w:r>
              <w:rPr/>
              <w:t>​</w:t>
            </w:r>
          </w:p>
        </w:tc>
        <w:tc>
          <w:tcPr>
            <w:tcW w:w="1072" w:type="dxa"/>
            <w:tcBorders/>
            <w:shd w:fill="F7F7F7" w:val="clear"/>
            <w:tcMar>
              <w:bottom w:w="0" w:type="dxa"/>
            </w:tcMar>
            <w:vAlign w:val="center"/>
          </w:tcPr>
          <w:p>
            <w:pPr>
              <w:pStyle w:val="TableContents"/>
              <w:bidi w:val="0"/>
              <w:spacing w:before="0" w:after="283"/>
              <w:jc w:val="right"/>
              <w:rPr/>
            </w:pPr>
            <w:r>
              <w:rPr/>
              <w:t>—</w:t>
            </w:r>
          </w:p>
        </w:tc>
        <w:tc>
          <w:tcPr>
            <w:tcW w:w="130"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17" w:type="dxa"/>
            <w:tcBorders/>
            <w:shd w:fill="F7F7F7" w:val="clear"/>
            <w:tcMar>
              <w:bottom w:w="0" w:type="dxa"/>
            </w:tcMar>
            <w:vAlign w:val="center"/>
          </w:tcPr>
          <w:p>
            <w:pPr>
              <w:pStyle w:val="TableContents"/>
              <w:bidi w:val="0"/>
              <w:spacing w:before="0" w:after="283"/>
              <w:jc w:val="left"/>
              <w:rPr/>
            </w:pPr>
            <w:r>
              <w:rPr/>
              <w:t>​</w:t>
            </w:r>
          </w:p>
        </w:tc>
        <w:tc>
          <w:tcPr>
            <w:tcW w:w="117" w:type="dxa"/>
            <w:tcBorders/>
            <w:shd w:fill="F7F7F7" w:val="clear"/>
            <w:tcMar>
              <w:bottom w:w="0" w:type="dxa"/>
            </w:tcMar>
            <w:vAlign w:val="center"/>
          </w:tcPr>
          <w:p>
            <w:pPr>
              <w:pStyle w:val="TableContents"/>
              <w:bidi w:val="0"/>
              <w:spacing w:before="0" w:after="283"/>
              <w:jc w:val="right"/>
              <w:rPr/>
            </w:pPr>
            <w:r>
              <w:rPr/>
              <w:t>​</w:t>
            </w:r>
          </w:p>
        </w:tc>
        <w:tc>
          <w:tcPr>
            <w:tcW w:w="564" w:type="dxa"/>
            <w:tcBorders/>
            <w:shd w:fill="F7F7F7" w:val="clear"/>
            <w:tcMar>
              <w:bottom w:w="0" w:type="dxa"/>
            </w:tcMar>
            <w:vAlign w:val="center"/>
          </w:tcPr>
          <w:p>
            <w:pPr>
              <w:pStyle w:val="TableContents"/>
              <w:bidi w:val="0"/>
              <w:spacing w:before="0" w:after="283"/>
              <w:jc w:val="right"/>
              <w:rPr/>
            </w:pPr>
            <w:r>
              <w:rPr/>
              <w:t>8.26</w:t>
            </w:r>
          </w:p>
        </w:tc>
        <w:tc>
          <w:tcPr>
            <w:tcW w:w="118"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769" w:type="dxa"/>
            <w:tcBorders/>
            <w:shd w:fill="F7F7F7" w:val="clear"/>
            <w:tcMar>
              <w:bottom w:w="0" w:type="dxa"/>
            </w:tcMar>
            <w:vAlign w:val="center"/>
          </w:tcPr>
          <w:p>
            <w:pPr>
              <w:pStyle w:val="TableContents"/>
              <w:bidi w:val="0"/>
              <w:spacing w:before="0" w:after="283"/>
              <w:jc w:val="right"/>
              <w:rPr/>
            </w:pPr>
            <w:r>
              <w:rPr/>
              <w:t xml:space="preserve">03/31/2024 </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9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18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9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09" w:type="dxa"/>
            <w:tcBorders/>
            <w:shd w:fill="F7F7F7" w:val="clear"/>
            <w:tcMar>
              <w:bottom w:w="0" w:type="dxa"/>
            </w:tcMar>
            <w:vAlign w:val="center"/>
          </w:tcPr>
          <w:p>
            <w:pPr>
              <w:pStyle w:val="TableContents"/>
              <w:bidi w:val="0"/>
              <w:spacing w:before="0" w:after="283"/>
              <w:jc w:val="right"/>
              <w:rPr/>
            </w:pPr>
            <w:r>
              <w:rPr/>
              <w:t>​</w:t>
            </w:r>
          </w:p>
        </w:tc>
        <w:tc>
          <w:tcPr>
            <w:tcW w:w="1066" w:type="dxa"/>
            <w:tcBorders/>
            <w:shd w:fill="F7F7F7" w:val="clear"/>
            <w:tcMar>
              <w:bottom w:w="0" w:type="dxa"/>
            </w:tcMar>
            <w:vAlign w:val="center"/>
          </w:tcPr>
          <w:p>
            <w:pPr>
              <w:pStyle w:val="TableContents"/>
              <w:bidi w:val="0"/>
              <w:spacing w:before="0" w:after="283"/>
              <w:jc w:val="right"/>
              <w:rPr/>
            </w:pPr>
            <w:r>
              <w:rPr/>
              <w:t>—</w:t>
            </w:r>
          </w:p>
        </w:tc>
        <w:tc>
          <w:tcPr>
            <w:tcW w:w="109" w:type="dxa"/>
            <w:tcBorders/>
            <w:shd w:fill="F7F7F7" w:val="clear"/>
            <w:tcMar>
              <w:bottom w:w="0" w:type="dxa"/>
            </w:tcMar>
            <w:vAlign w:val="center"/>
          </w:tcPr>
          <w:p>
            <w:pPr>
              <w:pStyle w:val="TableContents"/>
              <w:bidi w:val="0"/>
              <w:spacing w:before="0" w:after="283"/>
              <w:jc w:val="left"/>
              <w:rPr/>
            </w:pPr>
            <w:r>
              <w:rPr/>
              <w:t>​</w:t>
            </w:r>
          </w:p>
        </w:tc>
        <w:tc>
          <w:tcPr>
            <w:tcW w:w="154" w:type="dxa"/>
            <w:tcBorders/>
            <w:shd w:fill="F7F7F7" w:val="clear"/>
            <w:tcMar>
              <w:bottom w:w="0" w:type="dxa"/>
            </w:tcMar>
            <w:vAlign w:val="center"/>
          </w:tcPr>
          <w:p>
            <w:pPr>
              <w:pStyle w:val="TableContents"/>
              <w:bidi w:val="0"/>
              <w:spacing w:before="0" w:after="283"/>
              <w:jc w:val="left"/>
              <w:rPr/>
            </w:pPr>
            <w:r>
              <w:rPr/>
              <w:t>​</w:t>
            </w:r>
          </w:p>
        </w:tc>
      </w:tr>
    </w:tbl>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63</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42" w:before="840" w:after="283"/>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The RSUs vest in 16 equal quarterly installments beginning on December 5, 2021, subject to Mr. Rawlinson’s continued employment as of each applicable vesting date.</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0" distB="0" distL="0" distR="0" simplePos="0" locked="0" layoutInCell="1" allowOverlap="1" relativeHeight="226">
                <wp:simplePos x="0" y="0"/>
                <wp:positionH relativeFrom="column">
                  <wp:align>left</wp:align>
                </wp:positionH>
                <wp:positionV relativeFrom="line">
                  <wp:posOffset>635</wp:posOffset>
                </wp:positionV>
                <wp:extent cx="81915" cy="525780"/>
                <wp:effectExtent l="0" t="0" r="0" b="0"/>
                <wp:wrapSquare wrapText="right"/>
                <wp:docPr id="218" name="Frame155"/>
                <a:graphic xmlns:a="http://schemas.openxmlformats.org/drawingml/2006/main">
                  <a:graphicData uri="http://schemas.microsoft.com/office/word/2010/wordprocessingShape">
                    <wps:wsp>
                      <wps:cNvSpPr txBox="1"/>
                      <wps:spPr>
                        <a:xfrm>
                          <a:off x="0" y="0"/>
                          <a:ext cx="81915" cy="525780"/>
                        </a:xfrm>
                        <a:prstGeom prst="rect"/>
                        <a:solidFill>
                          <a:srgbClr val="FFFFFF"/>
                        </a:solidFill>
                      </wps:spPr>
                      <wps:txbx>
                        <w:txbxContent>
                          <w:p>
                            <w:pPr>
                              <w:pStyle w:val="TextBody"/>
                              <w:bidi w:val="0"/>
                              <w:spacing w:lineRule="atLeast" w:line="142" w:before="0" w:after="283"/>
                              <w:jc w:val="left"/>
                              <w:rPr/>
                            </w:pPr>
                            <w:r>
                              <w:rPr>
                                <w:sz w:val="9"/>
                              </w:rPr>
                              <w:t>(1)</w:t>
                            </w:r>
                            <w:r>
                              <w:rPr/>
                              <w:t xml:space="preserve"> </w:t>
                              <w:br/>
                            </w:r>
                          </w:p>
                        </w:txbxContent>
                      </wps:txbx>
                      <wps:bodyPr anchor="t" lIns="0" tIns="0" rIns="0" bIns="0">
                        <a:noAutofit/>
                      </wps:bodyPr>
                    </wps:wsp>
                  </a:graphicData>
                </a:graphic>
              </wp:anchor>
            </w:drawing>
          </mc:Choice>
          <mc:Fallback>
            <w:pict>
              <v:rect style="position:absolute;rotation:-0;width:6.4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283"/>
                        <w:jc w:val="left"/>
                        <w:rPr/>
                      </w:pPr>
                      <w:r>
                        <w:rPr>
                          <w:sz w:val="9"/>
                        </w:rPr>
                        <w:t>(1)</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The CEO Performance RSUs vest in five tranches based on the achievement of market capitalization goals applicable to each tranche over any six-month period, subject to Mr. Rawlinson’s continued employment through the applicable vesting date. 13,934,271 CEO Performance RSUs relating to Tranche 1, Tranche 2, Tranche 3, and Tranche 4 vested on March 5, 2022 and were settled on March 7, 2022. The amount reported is the number of CEO Performance RSUs relating to Tranche 5, which was not vested as of December 31, 2023. Amounts can be earned until July 23, 2026.</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27">
                <wp:simplePos x="0" y="0"/>
                <wp:positionH relativeFrom="column">
                  <wp:align>left</wp:align>
                </wp:positionH>
                <wp:positionV relativeFrom="line">
                  <wp:align>top</wp:align>
                </wp:positionV>
                <wp:extent cx="81915" cy="525780"/>
                <wp:effectExtent l="0" t="0" r="0" b="0"/>
                <wp:wrapSquare wrapText="right"/>
                <wp:docPr id="219" name="Frame156"/>
                <a:graphic xmlns:a="http://schemas.openxmlformats.org/drawingml/2006/main">
                  <a:graphicData uri="http://schemas.microsoft.com/office/word/2010/wordprocessingShape">
                    <wps:wsp>
                      <wps:cNvSpPr txBox="1"/>
                      <wps:spPr>
                        <a:xfrm>
                          <a:off x="0" y="0"/>
                          <a:ext cx="81915" cy="525780"/>
                        </a:xfrm>
                        <a:prstGeom prst="rect"/>
                        <a:solidFill>
                          <a:srgbClr val="FFFFFF"/>
                        </a:solidFill>
                      </wps:spPr>
                      <wps:txbx>
                        <w:txbxContent>
                          <w:p>
                            <w:pPr>
                              <w:pStyle w:val="TextBody"/>
                              <w:bidi w:val="0"/>
                              <w:spacing w:lineRule="atLeast" w:line="142" w:before="0" w:after="283"/>
                              <w:jc w:val="left"/>
                              <w:rPr/>
                            </w:pPr>
                            <w:r>
                              <w:rPr>
                                <w:sz w:val="9"/>
                              </w:rPr>
                              <w:t>(2)</w:t>
                            </w:r>
                            <w:r>
                              <w:rPr/>
                              <w:t xml:space="preserve"> </w:t>
                              <w:br/>
                            </w:r>
                          </w:p>
                        </w:txbxContent>
                      </wps:txbx>
                      <wps:bodyPr anchor="t" lIns="0" tIns="0" rIns="0" bIns="0">
                        <a:noAutofit/>
                      </wps:bodyPr>
                    </wps:wsp>
                  </a:graphicData>
                </a:graphic>
              </wp:anchor>
            </w:drawing>
          </mc:Choice>
          <mc:Fallback>
            <w:pict>
              <v:rect style="position:absolute;rotation:-0;width:6.45pt;height:41.4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pPr>
                      <w:r>
                        <w:rPr>
                          <w:sz w:val="9"/>
                        </w:rPr>
                        <w:t>(2)</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25% of the RSUs vested on March 5, 2023 and 1/16 of the RSUs vest each quarter beginning June 5, 2023 and ending March 5, 2026, subject to the NEO’s continued employment as of each applicable vesting date.</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28">
                <wp:simplePos x="0" y="0"/>
                <wp:positionH relativeFrom="column">
                  <wp:align>left</wp:align>
                </wp:positionH>
                <wp:positionV relativeFrom="line">
                  <wp:align>top</wp:align>
                </wp:positionV>
                <wp:extent cx="81915" cy="525780"/>
                <wp:effectExtent l="0" t="0" r="0" b="0"/>
                <wp:wrapSquare wrapText="right"/>
                <wp:docPr id="220" name="Frame157"/>
                <a:graphic xmlns:a="http://schemas.openxmlformats.org/drawingml/2006/main">
                  <a:graphicData uri="http://schemas.microsoft.com/office/word/2010/wordprocessingShape">
                    <wps:wsp>
                      <wps:cNvSpPr txBox="1"/>
                      <wps:spPr>
                        <a:xfrm>
                          <a:off x="0" y="0"/>
                          <a:ext cx="81915" cy="525780"/>
                        </a:xfrm>
                        <a:prstGeom prst="rect"/>
                        <a:solidFill>
                          <a:srgbClr val="FFFFFF"/>
                        </a:solidFill>
                      </wps:spPr>
                      <wps:txbx>
                        <w:txbxContent>
                          <w:p>
                            <w:pPr>
                              <w:pStyle w:val="TextBody"/>
                              <w:bidi w:val="0"/>
                              <w:spacing w:lineRule="atLeast" w:line="142" w:before="0" w:after="283"/>
                              <w:jc w:val="left"/>
                              <w:rPr/>
                            </w:pPr>
                            <w:r>
                              <w:rPr>
                                <w:sz w:val="9"/>
                              </w:rPr>
                              <w:t>(3)</w:t>
                            </w:r>
                            <w:r>
                              <w:rPr/>
                              <w:t xml:space="preserve"> </w:t>
                              <w:br/>
                            </w:r>
                          </w:p>
                        </w:txbxContent>
                      </wps:txbx>
                      <wps:bodyPr anchor="t" lIns="0" tIns="0" rIns="0" bIns="0">
                        <a:noAutofit/>
                      </wps:bodyPr>
                    </wps:wsp>
                  </a:graphicData>
                </a:graphic>
              </wp:anchor>
            </w:drawing>
          </mc:Choice>
          <mc:Fallback>
            <w:pict>
              <v:rect style="position:absolute;rotation:-0;width:6.45pt;height:41.4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pPr>
                      <w:r>
                        <w:rPr>
                          <w:sz w:val="9"/>
                        </w:rPr>
                        <w:t>(3)</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1/8 of the RSUs vest on September 5, 2022 and 1/16 of the RSUs vest each quarter beginning December 5, 2022 and ending March 5, 2026, subject to the NEO’s continued employment as of each applicable vesting date.</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29">
                <wp:simplePos x="0" y="0"/>
                <wp:positionH relativeFrom="column">
                  <wp:align>left</wp:align>
                </wp:positionH>
                <wp:positionV relativeFrom="line">
                  <wp:align>top</wp:align>
                </wp:positionV>
                <wp:extent cx="81915" cy="525780"/>
                <wp:effectExtent l="0" t="0" r="0" b="0"/>
                <wp:wrapSquare wrapText="right"/>
                <wp:docPr id="221" name="Frame158"/>
                <a:graphic xmlns:a="http://schemas.openxmlformats.org/drawingml/2006/main">
                  <a:graphicData uri="http://schemas.microsoft.com/office/word/2010/wordprocessingShape">
                    <wps:wsp>
                      <wps:cNvSpPr txBox="1"/>
                      <wps:spPr>
                        <a:xfrm>
                          <a:off x="0" y="0"/>
                          <a:ext cx="81915" cy="525780"/>
                        </a:xfrm>
                        <a:prstGeom prst="rect"/>
                        <a:solidFill>
                          <a:srgbClr val="FFFFFF"/>
                        </a:solidFill>
                      </wps:spPr>
                      <wps:txbx>
                        <w:txbxContent>
                          <w:p>
                            <w:pPr>
                              <w:pStyle w:val="TextBody"/>
                              <w:bidi w:val="0"/>
                              <w:spacing w:lineRule="atLeast" w:line="142" w:before="0" w:after="283"/>
                              <w:jc w:val="left"/>
                              <w:rPr/>
                            </w:pPr>
                            <w:r>
                              <w:rPr>
                                <w:sz w:val="9"/>
                              </w:rPr>
                              <w:t>(4)</w:t>
                            </w:r>
                            <w:r>
                              <w:rPr/>
                              <w:t xml:space="preserve"> </w:t>
                              <w:br/>
                            </w:r>
                          </w:p>
                        </w:txbxContent>
                      </wps:txbx>
                      <wps:bodyPr anchor="t" lIns="0" tIns="0" rIns="0" bIns="0">
                        <a:noAutofit/>
                      </wps:bodyPr>
                    </wps:wsp>
                  </a:graphicData>
                </a:graphic>
              </wp:anchor>
            </w:drawing>
          </mc:Choice>
          <mc:Fallback>
            <w:pict>
              <v:rect style="position:absolute;rotation:-0;width:6.45pt;height:41.4pt;mso-wrap-distance-left:0pt;mso-wrap-distance-right:0pt;mso-wrap-distance-top:5.5pt;mso-wrap-distance-bottom:0pt;margin-top:5.5pt;mso-position-vertical:top;mso-position-vertical-relative:text;margin-left:6.45pt;mso-position-horizontal:left;mso-position-horizontal-relative:text">
                <v:textbox>
                  <w:txbxContent>
                    <w:p>
                      <w:pPr>
                        <w:pStyle w:val="TextBody"/>
                        <w:bidi w:val="0"/>
                        <w:spacing w:lineRule="atLeast" w:line="142" w:before="0" w:after="283"/>
                        <w:jc w:val="left"/>
                        <w:rPr/>
                      </w:pPr>
                      <w:r>
                        <w:rPr>
                          <w:sz w:val="9"/>
                        </w:rPr>
                        <w:t>(4)</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1/8 of the RSUs vest on September 10, 2023 and 1/16 of the RSUs vest each quarter beginning December 5, 2023 and ending March 5, 2027, subject to the NEO’s continued employment as of each applicable vesting date.</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30">
                <wp:simplePos x="0" y="0"/>
                <wp:positionH relativeFrom="column">
                  <wp:align>left</wp:align>
                </wp:positionH>
                <wp:positionV relativeFrom="line">
                  <wp:align>top</wp:align>
                </wp:positionV>
                <wp:extent cx="81915" cy="525780"/>
                <wp:effectExtent l="0" t="0" r="0" b="0"/>
                <wp:wrapSquare wrapText="right"/>
                <wp:docPr id="222" name="Frame159"/>
                <a:graphic xmlns:a="http://schemas.openxmlformats.org/drawingml/2006/main">
                  <a:graphicData uri="http://schemas.microsoft.com/office/word/2010/wordprocessingShape">
                    <wps:wsp>
                      <wps:cNvSpPr txBox="1"/>
                      <wps:spPr>
                        <a:xfrm>
                          <a:off x="0" y="0"/>
                          <a:ext cx="81915" cy="525780"/>
                        </a:xfrm>
                        <a:prstGeom prst="rect"/>
                        <a:solidFill>
                          <a:srgbClr val="FFFFFF"/>
                        </a:solidFill>
                      </wps:spPr>
                      <wps:txbx>
                        <w:txbxContent>
                          <w:p>
                            <w:pPr>
                              <w:pStyle w:val="TextBody"/>
                              <w:bidi w:val="0"/>
                              <w:spacing w:lineRule="atLeast" w:line="142" w:before="0" w:after="283"/>
                              <w:jc w:val="left"/>
                              <w:rPr/>
                            </w:pPr>
                            <w:r>
                              <w:rPr>
                                <w:sz w:val="9"/>
                              </w:rPr>
                              <w:t>(5)</w:t>
                            </w:r>
                            <w:r>
                              <w:rPr/>
                              <w:t xml:space="preserve"> </w:t>
                              <w:br/>
                            </w:r>
                          </w:p>
                        </w:txbxContent>
                      </wps:txbx>
                      <wps:bodyPr anchor="t" lIns="0" tIns="0" rIns="0" bIns="0">
                        <a:noAutofit/>
                      </wps:bodyPr>
                    </wps:wsp>
                  </a:graphicData>
                </a:graphic>
              </wp:anchor>
            </w:drawing>
          </mc:Choice>
          <mc:Fallback>
            <w:pict>
              <v:rect style="position:absolute;rotation:-0;width:6.45pt;height:41.4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pPr>
                      <w:r>
                        <w:rPr>
                          <w:sz w:val="9"/>
                        </w:rPr>
                        <w:t>(5)</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1/2 of the RSUs vest on June 5, 2024 and 1/2 vest on December 5, 2024, subject to the NEO’s continued employment as of each applicable vesting date.</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31">
                <wp:simplePos x="0" y="0"/>
                <wp:positionH relativeFrom="column">
                  <wp:align>left</wp:align>
                </wp:positionH>
                <wp:positionV relativeFrom="line">
                  <wp:align>top</wp:align>
                </wp:positionV>
                <wp:extent cx="81915" cy="525780"/>
                <wp:effectExtent l="0" t="0" r="0" b="0"/>
                <wp:wrapSquare wrapText="right"/>
                <wp:docPr id="223" name="Frame160"/>
                <a:graphic xmlns:a="http://schemas.openxmlformats.org/drawingml/2006/main">
                  <a:graphicData uri="http://schemas.microsoft.com/office/word/2010/wordprocessingShape">
                    <wps:wsp>
                      <wps:cNvSpPr txBox="1"/>
                      <wps:spPr>
                        <a:xfrm>
                          <a:off x="0" y="0"/>
                          <a:ext cx="81915" cy="525780"/>
                        </a:xfrm>
                        <a:prstGeom prst="rect"/>
                        <a:solidFill>
                          <a:srgbClr val="FFFFFF"/>
                        </a:solidFill>
                      </wps:spPr>
                      <wps:txbx>
                        <w:txbxContent>
                          <w:p>
                            <w:pPr>
                              <w:pStyle w:val="TextBody"/>
                              <w:bidi w:val="0"/>
                              <w:spacing w:lineRule="atLeast" w:line="142" w:before="0" w:after="283"/>
                              <w:jc w:val="left"/>
                              <w:rPr/>
                            </w:pPr>
                            <w:r>
                              <w:rPr>
                                <w:sz w:val="9"/>
                              </w:rPr>
                              <w:t>(6)</w:t>
                            </w:r>
                            <w:r>
                              <w:rPr/>
                              <w:t xml:space="preserve"> </w:t>
                              <w:br/>
                            </w:r>
                          </w:p>
                        </w:txbxContent>
                      </wps:txbx>
                      <wps:bodyPr anchor="t" lIns="0" tIns="0" rIns="0" bIns="0">
                        <a:noAutofit/>
                      </wps:bodyPr>
                    </wps:wsp>
                  </a:graphicData>
                </a:graphic>
              </wp:anchor>
            </w:drawing>
          </mc:Choice>
          <mc:Fallback>
            <w:pict>
              <v:rect style="position:absolute;rotation:-0;width:6.45pt;height:41.4pt;mso-wrap-distance-left:0pt;mso-wrap-distance-right:0pt;mso-wrap-distance-top:5.5pt;mso-wrap-distance-bottom:0pt;margin-top:5.5pt;mso-position-vertical:top;mso-position-vertical-relative:text;margin-left:6.45pt;mso-position-horizontal:left;mso-position-horizontal-relative:text">
                <v:textbox>
                  <w:txbxContent>
                    <w:p>
                      <w:pPr>
                        <w:pStyle w:val="TextBody"/>
                        <w:bidi w:val="0"/>
                        <w:spacing w:lineRule="atLeast" w:line="142" w:before="0" w:after="283"/>
                        <w:jc w:val="left"/>
                        <w:rPr/>
                      </w:pPr>
                      <w:r>
                        <w:rPr>
                          <w:sz w:val="9"/>
                        </w:rPr>
                        <w:t>(6)</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Represents PSUs at target level of performance. The earned PSUs determined in April 2024 include: Mr. Dhingra, 76,306; Mr. Bach, 343,380; and Mr. Bell, 137,352. 1/3 of the earned PSUs vested on April 9, 2024, the date the Board certified the achievement of the performance metrics, and 1/12 of the earned PSUs vest each quarter beginning June 5, 2024 and ending March 5, 2026, subject to the NEO’s continued employment as of each applicable vesting date.</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32">
                <wp:simplePos x="0" y="0"/>
                <wp:positionH relativeFrom="column">
                  <wp:align>left</wp:align>
                </wp:positionH>
                <wp:positionV relativeFrom="line">
                  <wp:align>top</wp:align>
                </wp:positionV>
                <wp:extent cx="81915" cy="525780"/>
                <wp:effectExtent l="0" t="0" r="0" b="0"/>
                <wp:wrapSquare wrapText="right"/>
                <wp:docPr id="224" name="Frame161"/>
                <a:graphic xmlns:a="http://schemas.openxmlformats.org/drawingml/2006/main">
                  <a:graphicData uri="http://schemas.microsoft.com/office/word/2010/wordprocessingShape">
                    <wps:wsp>
                      <wps:cNvSpPr txBox="1"/>
                      <wps:spPr>
                        <a:xfrm>
                          <a:off x="0" y="0"/>
                          <a:ext cx="81915" cy="525780"/>
                        </a:xfrm>
                        <a:prstGeom prst="rect"/>
                        <a:solidFill>
                          <a:srgbClr val="FFFFFF"/>
                        </a:solidFill>
                      </wps:spPr>
                      <wps:txbx>
                        <w:txbxContent>
                          <w:p>
                            <w:pPr>
                              <w:pStyle w:val="TextBody"/>
                              <w:bidi w:val="0"/>
                              <w:spacing w:lineRule="atLeast" w:line="142" w:before="0" w:after="283"/>
                              <w:jc w:val="left"/>
                              <w:rPr/>
                            </w:pPr>
                            <w:r>
                              <w:rPr>
                                <w:sz w:val="9"/>
                              </w:rPr>
                              <w:t>(7)</w:t>
                            </w:r>
                            <w:r>
                              <w:rPr/>
                              <w:t xml:space="preserve"> </w:t>
                              <w:br/>
                            </w:r>
                          </w:p>
                        </w:txbxContent>
                      </wps:txbx>
                      <wps:bodyPr anchor="t" lIns="0" tIns="0" rIns="0" bIns="0">
                        <a:noAutofit/>
                      </wps:bodyPr>
                    </wps:wsp>
                  </a:graphicData>
                </a:graphic>
              </wp:anchor>
            </w:drawing>
          </mc:Choice>
          <mc:Fallback>
            <w:pict>
              <v:rect style="position:absolute;rotation:-0;width:6.45pt;height:41.4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pPr>
                      <w:r>
                        <w:rPr>
                          <w:sz w:val="9"/>
                        </w:rPr>
                        <w:t>(7)</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The options to vest over four years, with 5/48 vested on the first monthly anniversary of the September 10, 2023 and 1/48 of the options vest each monthly anniversary thereafter, subject to the NEO’s continued employment as of each applicable vesting date.</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33">
                <wp:simplePos x="0" y="0"/>
                <wp:positionH relativeFrom="column">
                  <wp:align>left</wp:align>
                </wp:positionH>
                <wp:positionV relativeFrom="line">
                  <wp:align>top</wp:align>
                </wp:positionV>
                <wp:extent cx="81915" cy="525780"/>
                <wp:effectExtent l="0" t="0" r="0" b="0"/>
                <wp:wrapSquare wrapText="right"/>
                <wp:docPr id="225" name="Frame162"/>
                <a:graphic xmlns:a="http://schemas.openxmlformats.org/drawingml/2006/main">
                  <a:graphicData uri="http://schemas.microsoft.com/office/word/2010/wordprocessingShape">
                    <wps:wsp>
                      <wps:cNvSpPr txBox="1"/>
                      <wps:spPr>
                        <a:xfrm>
                          <a:off x="0" y="0"/>
                          <a:ext cx="81915" cy="525780"/>
                        </a:xfrm>
                        <a:prstGeom prst="rect"/>
                        <a:solidFill>
                          <a:srgbClr val="FFFFFF"/>
                        </a:solidFill>
                      </wps:spPr>
                      <wps:txbx>
                        <w:txbxContent>
                          <w:p>
                            <w:pPr>
                              <w:pStyle w:val="TextBody"/>
                              <w:bidi w:val="0"/>
                              <w:spacing w:lineRule="atLeast" w:line="142" w:before="0" w:after="283"/>
                              <w:jc w:val="left"/>
                              <w:rPr/>
                            </w:pPr>
                            <w:r>
                              <w:rPr>
                                <w:sz w:val="9"/>
                              </w:rPr>
                              <w:t>(8)</w:t>
                            </w:r>
                            <w:r>
                              <w:rPr/>
                              <w:t xml:space="preserve"> </w:t>
                              <w:br/>
                            </w:r>
                          </w:p>
                        </w:txbxContent>
                      </wps:txbx>
                      <wps:bodyPr anchor="t" lIns="0" tIns="0" rIns="0" bIns="0">
                        <a:noAutofit/>
                      </wps:bodyPr>
                    </wps:wsp>
                  </a:graphicData>
                </a:graphic>
              </wp:anchor>
            </w:drawing>
          </mc:Choice>
          <mc:Fallback>
            <w:pict>
              <v:rect style="position:absolute;rotation:-0;width:6.45pt;height:41.4pt;mso-wrap-distance-left:0pt;mso-wrap-distance-right:0pt;mso-wrap-distance-top:5.5pt;mso-wrap-distance-bottom:0pt;margin-top:5.5pt;mso-position-vertical:top;mso-position-vertical-relative:text;margin-left:6.45pt;mso-position-horizontal:left;mso-position-horizontal-relative:text">
                <v:textbox>
                  <w:txbxContent>
                    <w:p>
                      <w:pPr>
                        <w:pStyle w:val="TextBody"/>
                        <w:bidi w:val="0"/>
                        <w:spacing w:lineRule="atLeast" w:line="142" w:before="0" w:after="283"/>
                        <w:jc w:val="left"/>
                        <w:rPr/>
                      </w:pPr>
                      <w:r>
                        <w:rPr>
                          <w:sz w:val="9"/>
                        </w:rPr>
                        <w:t>(8)</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The options vest 25% in December 4, 2024 and 1/48 of the options vest each monthly anniversary thereafter, subject to the NEO’s continued employment as of each applicable vesting date.</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34">
                <wp:simplePos x="0" y="0"/>
                <wp:positionH relativeFrom="column">
                  <wp:align>left</wp:align>
                </wp:positionH>
                <wp:positionV relativeFrom="line">
                  <wp:align>top</wp:align>
                </wp:positionV>
                <wp:extent cx="81915" cy="525780"/>
                <wp:effectExtent l="0" t="0" r="0" b="0"/>
                <wp:wrapSquare wrapText="right"/>
                <wp:docPr id="226" name="Frame163"/>
                <a:graphic xmlns:a="http://schemas.openxmlformats.org/drawingml/2006/main">
                  <a:graphicData uri="http://schemas.microsoft.com/office/word/2010/wordprocessingShape">
                    <wps:wsp>
                      <wps:cNvSpPr txBox="1"/>
                      <wps:spPr>
                        <a:xfrm>
                          <a:off x="0" y="0"/>
                          <a:ext cx="81915" cy="525780"/>
                        </a:xfrm>
                        <a:prstGeom prst="rect"/>
                        <a:solidFill>
                          <a:srgbClr val="FFFFFF"/>
                        </a:solidFill>
                      </wps:spPr>
                      <wps:txbx>
                        <w:txbxContent>
                          <w:p>
                            <w:pPr>
                              <w:pStyle w:val="TextBody"/>
                              <w:bidi w:val="0"/>
                              <w:spacing w:lineRule="atLeast" w:line="142" w:before="0" w:after="283"/>
                              <w:jc w:val="left"/>
                              <w:rPr/>
                            </w:pPr>
                            <w:r>
                              <w:rPr>
                                <w:sz w:val="9"/>
                              </w:rPr>
                              <w:t>(9)</w:t>
                            </w:r>
                            <w:r>
                              <w:rPr/>
                              <w:t xml:space="preserve"> </w:t>
                              <w:br/>
                            </w:r>
                          </w:p>
                        </w:txbxContent>
                      </wps:txbx>
                      <wps:bodyPr anchor="t" lIns="0" tIns="0" rIns="0" bIns="0">
                        <a:noAutofit/>
                      </wps:bodyPr>
                    </wps:wsp>
                  </a:graphicData>
                </a:graphic>
              </wp:anchor>
            </w:drawing>
          </mc:Choice>
          <mc:Fallback>
            <w:pict>
              <v:rect style="position:absolute;rotation:-0;width:6.45pt;height:41.4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pPr>
                      <w:r>
                        <w:rPr>
                          <w:sz w:val="9"/>
                        </w:rPr>
                        <w:t>(9)</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905"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25% of the RSUs vest on December 4, 2024 and 1/16 of the RSUs vest each quarter over 12 quarters beginning March 5, 2025 and ending December 5, 2027, subject to the NEO’s continued employment as of each applicable vesting date.</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35">
                <wp:simplePos x="0" y="0"/>
                <wp:positionH relativeFrom="column">
                  <wp:align>left</wp:align>
                </wp:positionH>
                <wp:positionV relativeFrom="line">
                  <wp:align>top</wp:align>
                </wp:positionV>
                <wp:extent cx="117475" cy="525780"/>
                <wp:effectExtent l="0" t="0" r="0" b="0"/>
                <wp:wrapSquare wrapText="right"/>
                <wp:docPr id="227" name="Frame164"/>
                <a:graphic xmlns:a="http://schemas.openxmlformats.org/drawingml/2006/main">
                  <a:graphicData uri="http://schemas.microsoft.com/office/word/2010/wordprocessingShape">
                    <wps:wsp>
                      <wps:cNvSpPr txBox="1"/>
                      <wps:spPr>
                        <a:xfrm>
                          <a:off x="0" y="0"/>
                          <a:ext cx="117475" cy="525780"/>
                        </a:xfrm>
                        <a:prstGeom prst="rect"/>
                        <a:solidFill>
                          <a:srgbClr val="FFFFFF"/>
                        </a:solidFill>
                      </wps:spPr>
                      <wps:txbx>
                        <w:txbxContent>
                          <w:p>
                            <w:pPr>
                              <w:pStyle w:val="TextBody"/>
                              <w:bidi w:val="0"/>
                              <w:spacing w:lineRule="atLeast" w:line="142" w:before="0" w:after="283"/>
                              <w:jc w:val="left"/>
                              <w:rPr/>
                            </w:pPr>
                            <w:r>
                              <w:rPr>
                                <w:sz w:val="9"/>
                              </w:rPr>
                              <w:t>(10)</w:t>
                            </w:r>
                            <w:r>
                              <w:rPr/>
                              <w:t xml:space="preserve"> </w:t>
                              <w:br/>
                            </w:r>
                          </w:p>
                        </w:txbxContent>
                      </wps:txbx>
                      <wps:bodyPr anchor="t" lIns="0" tIns="0" rIns="0" bIns="0">
                        <a:noAutofit/>
                      </wps:bodyPr>
                    </wps:wsp>
                  </a:graphicData>
                </a:graphic>
              </wp:anchor>
            </w:drawing>
          </mc:Choice>
          <mc:Fallback>
            <w:pict>
              <v:rect style="position:absolute;rotation:-0;width:9.25pt;height:41.4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pPr>
                      <w:r>
                        <w:rPr>
                          <w:sz w:val="9"/>
                        </w:rPr>
                        <w:t>(10)</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905"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The options vest in 48 equal monthly installments beginning on June 1, 2020, subject to the NEO’s continued employment as of each applicable vesting date.</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36">
                <wp:simplePos x="0" y="0"/>
                <wp:positionH relativeFrom="column">
                  <wp:align>left</wp:align>
                </wp:positionH>
                <wp:positionV relativeFrom="line">
                  <wp:align>top</wp:align>
                </wp:positionV>
                <wp:extent cx="117475" cy="525780"/>
                <wp:effectExtent l="0" t="0" r="0" b="0"/>
                <wp:wrapSquare wrapText="right"/>
                <wp:docPr id="228" name="Frame165"/>
                <a:graphic xmlns:a="http://schemas.openxmlformats.org/drawingml/2006/main">
                  <a:graphicData uri="http://schemas.microsoft.com/office/word/2010/wordprocessingShape">
                    <wps:wsp>
                      <wps:cNvSpPr txBox="1"/>
                      <wps:spPr>
                        <a:xfrm>
                          <a:off x="0" y="0"/>
                          <a:ext cx="117475" cy="525780"/>
                        </a:xfrm>
                        <a:prstGeom prst="rect"/>
                        <a:solidFill>
                          <a:srgbClr val="FFFFFF"/>
                        </a:solidFill>
                      </wps:spPr>
                      <wps:txbx>
                        <w:txbxContent>
                          <w:p>
                            <w:pPr>
                              <w:pStyle w:val="TextBody"/>
                              <w:bidi w:val="0"/>
                              <w:spacing w:lineRule="atLeast" w:line="142" w:before="0" w:after="283"/>
                              <w:jc w:val="left"/>
                              <w:rPr/>
                            </w:pPr>
                            <w:r>
                              <w:rPr>
                                <w:sz w:val="9"/>
                              </w:rPr>
                              <w:t>(11)</w:t>
                            </w:r>
                            <w:r>
                              <w:rPr/>
                              <w:t xml:space="preserve"> </w:t>
                              <w:br/>
                            </w:r>
                          </w:p>
                        </w:txbxContent>
                      </wps:txbx>
                      <wps:bodyPr anchor="t" lIns="0" tIns="0" rIns="0" bIns="0">
                        <a:noAutofit/>
                      </wps:bodyPr>
                    </wps:wsp>
                  </a:graphicData>
                </a:graphic>
              </wp:anchor>
            </w:drawing>
          </mc:Choice>
          <mc:Fallback>
            <w:pict>
              <v:rect style="position:absolute;rotation:-0;width:9.25pt;height:41.4pt;mso-wrap-distance-left:0pt;mso-wrap-distance-right:0pt;mso-wrap-distance-top:5.5pt;mso-wrap-distance-bottom:0pt;margin-top:5.5pt;mso-position-vertical:top;mso-position-vertical-relative:text;margin-left:9.25pt;mso-position-horizontal:left;mso-position-horizontal-relative:text">
                <v:textbox>
                  <w:txbxContent>
                    <w:p>
                      <w:pPr>
                        <w:pStyle w:val="TextBody"/>
                        <w:bidi w:val="0"/>
                        <w:spacing w:lineRule="atLeast" w:line="142" w:before="0" w:after="283"/>
                        <w:jc w:val="left"/>
                        <w:rPr/>
                      </w:pPr>
                      <w:r>
                        <w:rPr>
                          <w:sz w:val="9"/>
                        </w:rPr>
                        <w:t>(11)</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905"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1/16 of the RSUs vest on June 5, 2021 and 1/16 of the RSUs vest each quarter beginning September 5, 2021 and ending March 5, 2025, subject to the NEO’s continued employment as of each applicable vesting date.</w:t>
      </w:r>
      <w:r>
        <mc:AlternateContent>
          <mc:Choice Requires="wps">
            <w:drawing>
              <wp:anchor behindDoc="0" distT="69850" distB="0" distL="0" distR="0" simplePos="0" locked="0" layoutInCell="1" allowOverlap="1" relativeHeight="237">
                <wp:simplePos x="0" y="0"/>
                <wp:positionH relativeFrom="column">
                  <wp:align>left</wp:align>
                </wp:positionH>
                <wp:positionV relativeFrom="line">
                  <wp:align>top</wp:align>
                </wp:positionV>
                <wp:extent cx="117475" cy="525780"/>
                <wp:effectExtent l="0" t="0" r="0" b="0"/>
                <wp:wrapSquare wrapText="right"/>
                <wp:docPr id="229" name="Frame166"/>
                <a:graphic xmlns:a="http://schemas.openxmlformats.org/drawingml/2006/main">
                  <a:graphicData uri="http://schemas.microsoft.com/office/word/2010/wordprocessingShape">
                    <wps:wsp>
                      <wps:cNvSpPr txBox="1"/>
                      <wps:spPr>
                        <a:xfrm>
                          <a:off x="0" y="0"/>
                          <a:ext cx="117475" cy="525780"/>
                        </a:xfrm>
                        <a:prstGeom prst="rect"/>
                        <a:solidFill>
                          <a:srgbClr val="FFFFFF"/>
                        </a:solidFill>
                      </wps:spPr>
                      <wps:txbx>
                        <w:txbxContent>
                          <w:p>
                            <w:pPr>
                              <w:pStyle w:val="TextBody"/>
                              <w:bidi w:val="0"/>
                              <w:spacing w:lineRule="atLeast" w:line="142" w:before="0" w:after="283"/>
                              <w:jc w:val="left"/>
                              <w:rPr/>
                            </w:pPr>
                            <w:r>
                              <w:rPr>
                                <w:sz w:val="9"/>
                              </w:rPr>
                              <w:t>(12)</w:t>
                            </w:r>
                            <w:r>
                              <w:rPr/>
                              <w:t xml:space="preserve"> </w:t>
                              <w:br/>
                            </w:r>
                          </w:p>
                        </w:txbxContent>
                      </wps:txbx>
                      <wps:bodyPr anchor="t" lIns="0" tIns="0" rIns="0" bIns="0">
                        <a:noAutofit/>
                      </wps:bodyPr>
                    </wps:wsp>
                  </a:graphicData>
                </a:graphic>
              </wp:anchor>
            </w:drawing>
          </mc:Choice>
          <mc:Fallback>
            <w:pict>
              <v:rect style="position:absolute;rotation:-0;width:9.25pt;height:41.4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pPr>
                      <w:r>
                        <w:rPr>
                          <w:sz w:val="9"/>
                        </w:rPr>
                        <w:t>(12)</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905"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25% of the RSUs vest on September 5, 2021 and 1/16 of the RSUs vest each quarter beginning December 5, 2021 and ending September 5, 2024, subject to the NEO’s continued employment as of each applicable vesting date.</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38">
                <wp:simplePos x="0" y="0"/>
                <wp:positionH relativeFrom="column">
                  <wp:align>left</wp:align>
                </wp:positionH>
                <wp:positionV relativeFrom="line">
                  <wp:align>top</wp:align>
                </wp:positionV>
                <wp:extent cx="117475" cy="525780"/>
                <wp:effectExtent l="0" t="0" r="0" b="0"/>
                <wp:wrapSquare wrapText="right"/>
                <wp:docPr id="230" name="Frame167"/>
                <a:graphic xmlns:a="http://schemas.openxmlformats.org/drawingml/2006/main">
                  <a:graphicData uri="http://schemas.microsoft.com/office/word/2010/wordprocessingShape">
                    <wps:wsp>
                      <wps:cNvSpPr txBox="1"/>
                      <wps:spPr>
                        <a:xfrm>
                          <a:off x="0" y="0"/>
                          <a:ext cx="117475" cy="525780"/>
                        </a:xfrm>
                        <a:prstGeom prst="rect"/>
                        <a:solidFill>
                          <a:srgbClr val="FFFFFF"/>
                        </a:solidFill>
                      </wps:spPr>
                      <wps:txbx>
                        <w:txbxContent>
                          <w:p>
                            <w:pPr>
                              <w:pStyle w:val="TextBody"/>
                              <w:bidi w:val="0"/>
                              <w:spacing w:lineRule="atLeast" w:line="142" w:before="0" w:after="283"/>
                              <w:jc w:val="left"/>
                              <w:rPr/>
                            </w:pPr>
                            <w:r>
                              <w:rPr>
                                <w:sz w:val="9"/>
                              </w:rPr>
                              <w:t>(13)</w:t>
                            </w:r>
                            <w:r>
                              <w:rPr/>
                              <w:t xml:space="preserve"> </w:t>
                              <w:br/>
                            </w:r>
                          </w:p>
                        </w:txbxContent>
                      </wps:txbx>
                      <wps:bodyPr anchor="t" lIns="0" tIns="0" rIns="0" bIns="0">
                        <a:noAutofit/>
                      </wps:bodyPr>
                    </wps:wsp>
                  </a:graphicData>
                </a:graphic>
              </wp:anchor>
            </w:drawing>
          </mc:Choice>
          <mc:Fallback>
            <w:pict>
              <v:rect style="position:absolute;rotation:-0;width:9.25pt;height:41.4pt;mso-wrap-distance-left:0pt;mso-wrap-distance-right:0pt;mso-wrap-distance-top:5.5pt;mso-wrap-distance-bottom:0pt;margin-top:5.5pt;mso-position-vertical:top;mso-position-vertical-relative:text;margin-left:9.25pt;mso-position-horizontal:left;mso-position-horizontal-relative:text">
                <v:textbox>
                  <w:txbxContent>
                    <w:p>
                      <w:pPr>
                        <w:pStyle w:val="TextBody"/>
                        <w:bidi w:val="0"/>
                        <w:spacing w:lineRule="atLeast" w:line="142" w:before="0" w:after="283"/>
                        <w:jc w:val="left"/>
                        <w:rPr/>
                      </w:pPr>
                      <w:r>
                        <w:rPr>
                          <w:sz w:val="9"/>
                        </w:rPr>
                        <w:t>(13)</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905"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Ms. House separated from service effective December 31, 2023. On the date of her separation, Ms. House’s equity awards were (i) previously vested and exercisable as scheduled, (ii) subject to accelerated vesting pursuant to the terms of the Executive Severance Plan, her related participation agreement, and her separation agreement, or (iii) forfeited, as set forth in the table below. Ms. House’s vested stock options remained exercisable for three months following her separation date.</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39">
                <wp:simplePos x="0" y="0"/>
                <wp:positionH relativeFrom="column">
                  <wp:align>left</wp:align>
                </wp:positionH>
                <wp:positionV relativeFrom="line">
                  <wp:align>top</wp:align>
                </wp:positionV>
                <wp:extent cx="117475" cy="265430"/>
                <wp:effectExtent l="0" t="0" r="0" b="0"/>
                <wp:wrapSquare wrapText="right"/>
                <wp:docPr id="231" name="Frame168"/>
                <a:graphic xmlns:a="http://schemas.openxmlformats.org/drawingml/2006/main">
                  <a:graphicData uri="http://schemas.microsoft.com/office/word/2010/wordprocessingShape">
                    <wps:wsp>
                      <wps:cNvSpPr txBox="1"/>
                      <wps:spPr>
                        <a:xfrm>
                          <a:off x="0" y="0"/>
                          <a:ext cx="117475" cy="265430"/>
                        </a:xfrm>
                        <a:prstGeom prst="rect"/>
                        <a:solidFill>
                          <a:srgbClr val="FFFFFF"/>
                        </a:solidFill>
                      </wps:spPr>
                      <wps:txbx>
                        <w:txbxContent>
                          <w:p>
                            <w:pPr>
                              <w:pStyle w:val="TextBody"/>
                              <w:bidi w:val="0"/>
                              <w:spacing w:lineRule="atLeast" w:line="142" w:before="0" w:after="283"/>
                              <w:jc w:val="left"/>
                              <w:rPr/>
                            </w:pPr>
                            <w:r>
                              <w:rPr>
                                <w:sz w:val="9"/>
                              </w:rPr>
                              <w:t>(14)</w:t>
                            </w:r>
                            <w:r>
                              <w:rPr/>
                              <w:br/>
                            </w:r>
                          </w:p>
                        </w:txbxContent>
                      </wps:txbx>
                      <wps:bodyPr anchor="t" lIns="0" tIns="0" rIns="0" bIns="0">
                        <a:noAutofit/>
                      </wps:bodyPr>
                    </wps:wsp>
                  </a:graphicData>
                </a:graphic>
              </wp:anchor>
            </w:drawing>
          </mc:Choice>
          <mc:Fallback>
            <w:pict>
              <v:rect style="position:absolute;rotation:-0;width:9.25pt;height:20.9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pPr>
                      <w:r>
                        <w:rPr>
                          <w:sz w:val="9"/>
                        </w:rPr>
                        <w:t>(14)</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9485" w:type="dxa"/>
        <w:jc w:val="left"/>
        <w:tblInd w:w="720" w:type="dxa"/>
        <w:tblLayout w:type="fixed"/>
        <w:tblCellMar>
          <w:top w:w="0" w:type="dxa"/>
          <w:left w:w="0" w:type="dxa"/>
          <w:bottom w:w="0" w:type="dxa"/>
          <w:right w:w="0" w:type="dxa"/>
        </w:tblCellMar>
      </w:tblPr>
      <w:tblGrid>
        <w:gridCol w:w="124"/>
        <w:gridCol w:w="1806"/>
        <w:gridCol w:w="109"/>
        <w:gridCol w:w="109"/>
        <w:gridCol w:w="109"/>
        <w:gridCol w:w="109"/>
        <w:gridCol w:w="523"/>
        <w:gridCol w:w="109"/>
        <w:gridCol w:w="109"/>
        <w:gridCol w:w="109"/>
        <w:gridCol w:w="114"/>
        <w:gridCol w:w="114"/>
        <w:gridCol w:w="931"/>
        <w:gridCol w:w="114"/>
        <w:gridCol w:w="109"/>
        <w:gridCol w:w="109"/>
        <w:gridCol w:w="109"/>
        <w:gridCol w:w="109"/>
        <w:gridCol w:w="945"/>
        <w:gridCol w:w="109"/>
        <w:gridCol w:w="109"/>
        <w:gridCol w:w="109"/>
        <w:gridCol w:w="1462"/>
        <w:gridCol w:w="109"/>
        <w:gridCol w:w="109"/>
        <w:gridCol w:w="122"/>
        <w:gridCol w:w="122"/>
        <w:gridCol w:w="1082"/>
        <w:gridCol w:w="122"/>
        <w:gridCol w:w="160"/>
      </w:tblGrid>
      <w:tr>
        <w:trPr/>
        <w:tc>
          <w:tcPr>
            <w:tcW w:w="124" w:type="dxa"/>
            <w:tcBorders/>
            <w:shd w:fill="000000" w:val="clear"/>
            <w:vAlign w:val="center"/>
          </w:tcPr>
          <w:p>
            <w:pPr>
              <w:pStyle w:val="TableContents"/>
              <w:bidi w:val="0"/>
              <w:spacing w:before="0" w:after="283"/>
              <w:jc w:val="left"/>
              <w:rPr/>
            </w:pPr>
            <w:r>
              <w:rPr/>
              <w:t>​</w:t>
            </w:r>
          </w:p>
        </w:tc>
        <w:tc>
          <w:tcPr>
            <w:tcW w:w="1806" w:type="dxa"/>
            <w:tcBorders/>
            <w:shd w:fill="000000" w:val="clear"/>
            <w:vAlign w:val="center"/>
          </w:tcPr>
          <w:p>
            <w:pPr>
              <w:pStyle w:val="TableContents"/>
              <w:bidi w:val="0"/>
              <w:spacing w:before="0" w:after="0"/>
              <w:jc w:val="left"/>
              <w:rPr/>
            </w:pPr>
            <w:r>
              <w:rPr/>
              <w:t xml:space="preserve">Award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850" w:type="dxa"/>
            <w:gridSpan w:val="4"/>
            <w:tcBorders/>
            <w:shd w:fill="000000" w:val="clear"/>
            <w:vAlign w:val="center"/>
          </w:tcPr>
          <w:p>
            <w:pPr>
              <w:pStyle w:val="TableContents"/>
              <w:bidi w:val="0"/>
              <w:spacing w:before="0" w:after="0"/>
              <w:jc w:val="center"/>
              <w:rPr/>
            </w:pPr>
            <w:r>
              <w:rPr/>
              <w:t xml:space="preserve">Grant Date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73" w:type="dxa"/>
            <w:gridSpan w:val="4"/>
            <w:tcBorders/>
            <w:shd w:fill="000000" w:val="clear"/>
            <w:vAlign w:val="center"/>
          </w:tcPr>
          <w:p>
            <w:pPr>
              <w:pStyle w:val="TableContents"/>
              <w:bidi w:val="0"/>
              <w:spacing w:before="0" w:after="0"/>
              <w:jc w:val="center"/>
              <w:rPr/>
            </w:pPr>
            <w:r>
              <w:rPr/>
              <w:t xml:space="preserve">Total # Shares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72" w:type="dxa"/>
            <w:gridSpan w:val="4"/>
            <w:tcBorders/>
            <w:shd w:fill="000000" w:val="clear"/>
            <w:vAlign w:val="center"/>
          </w:tcPr>
          <w:p>
            <w:pPr>
              <w:pStyle w:val="TableContents"/>
              <w:bidi w:val="0"/>
              <w:spacing w:before="0" w:after="0"/>
              <w:jc w:val="center"/>
              <w:rPr/>
            </w:pPr>
            <w:r>
              <w:rPr/>
              <w:t xml:space="preserve">Previously </w:t>
              <w:br/>
              <w:t xml:space="preserve">Vested (#)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62" w:type="dxa"/>
            <w:tcBorders/>
            <w:shd w:fill="000000" w:val="clear"/>
            <w:vAlign w:val="center"/>
          </w:tcPr>
          <w:p>
            <w:pPr>
              <w:pStyle w:val="TableContents"/>
              <w:bidi w:val="0"/>
              <w:spacing w:before="0" w:after="0"/>
              <w:jc w:val="center"/>
              <w:rPr/>
            </w:pPr>
            <w:r>
              <w:rPr/>
              <w:t xml:space="preserve">Accelerated Vesting (#)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48" w:type="dxa"/>
            <w:gridSpan w:val="4"/>
            <w:tcBorders/>
            <w:shd w:fill="000000" w:val="clear"/>
            <w:vAlign w:val="center"/>
          </w:tcPr>
          <w:p>
            <w:pPr>
              <w:pStyle w:val="TableContents"/>
              <w:bidi w:val="0"/>
              <w:spacing w:before="0" w:after="0"/>
              <w:jc w:val="center"/>
              <w:rPr/>
            </w:pPr>
            <w:r>
              <w:rPr/>
              <w:t xml:space="preserve">Unvested/Forfeited (#) </w:t>
            </w:r>
          </w:p>
        </w:tc>
        <w:tc>
          <w:tcPr>
            <w:tcW w:w="160"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806" w:type="dxa"/>
            <w:tcBorders>
              <w:bottom w:val="single" w:sz="6" w:space="0" w:color="000000"/>
            </w:tcBorders>
            <w:tcMar>
              <w:bottom w:w="145" w:type="dxa"/>
            </w:tcMar>
            <w:vAlign w:val="center"/>
          </w:tcPr>
          <w:p>
            <w:pPr>
              <w:pStyle w:val="TableContents"/>
              <w:bidi w:val="0"/>
              <w:spacing w:before="0" w:after="283"/>
              <w:jc w:val="left"/>
              <w:rPr/>
            </w:pPr>
            <w:r>
              <w:rPr/>
              <w:t xml:space="preserve">RSU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523" w:type="dxa"/>
            <w:tcBorders>
              <w:bottom w:val="single" w:sz="6" w:space="0" w:color="000000"/>
            </w:tcBorders>
            <w:tcMar>
              <w:bottom w:w="145" w:type="dxa"/>
            </w:tcMar>
            <w:vAlign w:val="center"/>
          </w:tcPr>
          <w:p>
            <w:pPr>
              <w:pStyle w:val="TableContents"/>
              <w:bidi w:val="0"/>
              <w:spacing w:before="0" w:after="283"/>
              <w:jc w:val="right"/>
              <w:rPr/>
            </w:pPr>
            <w:r>
              <w:rPr/>
              <w:t xml:space="preserve">06/29/21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145" w:type="dxa"/>
            </w:tcMar>
            <w:vAlign w:val="center"/>
          </w:tcPr>
          <w:p>
            <w:pPr>
              <w:pStyle w:val="TableContents"/>
              <w:bidi w:val="0"/>
              <w:spacing w:before="0" w:after="283"/>
              <w:jc w:val="right"/>
              <w:rPr/>
            </w:pPr>
            <w:r>
              <w:rPr/>
              <w:t>​</w:t>
            </w:r>
          </w:p>
        </w:tc>
        <w:tc>
          <w:tcPr>
            <w:tcW w:w="931" w:type="dxa"/>
            <w:tcBorders>
              <w:bottom w:val="single" w:sz="6" w:space="0" w:color="000000"/>
            </w:tcBorders>
            <w:tcMar>
              <w:bottom w:w="145" w:type="dxa"/>
            </w:tcMar>
            <w:vAlign w:val="center"/>
          </w:tcPr>
          <w:p>
            <w:pPr>
              <w:pStyle w:val="TableContents"/>
              <w:bidi w:val="0"/>
              <w:spacing w:before="0" w:after="283"/>
              <w:jc w:val="right"/>
              <w:rPr/>
            </w:pPr>
            <w:r>
              <w:rPr/>
              <w:t>661,000</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945" w:type="dxa"/>
            <w:tcBorders>
              <w:bottom w:val="single" w:sz="6" w:space="0" w:color="000000"/>
            </w:tcBorders>
            <w:tcMar>
              <w:bottom w:w="145" w:type="dxa"/>
            </w:tcMar>
            <w:vAlign w:val="center"/>
          </w:tcPr>
          <w:p>
            <w:pPr>
              <w:pStyle w:val="TableContents"/>
              <w:bidi w:val="0"/>
              <w:spacing w:before="0" w:after="283"/>
              <w:jc w:val="right"/>
              <w:rPr/>
            </w:pPr>
            <w:r>
              <w:rPr/>
              <w:t>413,126</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62" w:type="dxa"/>
            <w:tcBorders>
              <w:bottom w:val="single" w:sz="6" w:space="0" w:color="000000"/>
            </w:tcBorders>
            <w:tcMar>
              <w:bottom w:w="145" w:type="dxa"/>
            </w:tcMar>
            <w:vAlign w:val="center"/>
          </w:tcPr>
          <w:p>
            <w:pPr>
              <w:pStyle w:val="TableContents"/>
              <w:bidi w:val="0"/>
              <w:spacing w:before="0" w:after="0"/>
              <w:jc w:val="center"/>
              <w:rPr/>
            </w:pPr>
            <w:r>
              <w:rPr/>
              <w:t>183,137</w:t>
            </w:r>
            <w:r>
              <w:rPr>
                <w:sz w:val="10"/>
              </w:rPr>
              <w:t>(a)</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2" w:type="dxa"/>
            <w:tcBorders>
              <w:bottom w:val="single" w:sz="6" w:space="0" w:color="000000"/>
            </w:tcBorders>
            <w:tcMar>
              <w:bottom w:w="28" w:type="dxa"/>
            </w:tcMar>
            <w:vAlign w:val="center"/>
          </w:tcPr>
          <w:p>
            <w:pPr>
              <w:pStyle w:val="TableContents"/>
              <w:bidi w:val="0"/>
              <w:spacing w:before="0" w:after="283"/>
              <w:jc w:val="left"/>
              <w:rPr/>
            </w:pPr>
            <w:r>
              <w:rPr/>
              <w:t>​</w:t>
            </w:r>
          </w:p>
        </w:tc>
        <w:tc>
          <w:tcPr>
            <w:tcW w:w="122" w:type="dxa"/>
            <w:tcBorders>
              <w:bottom w:val="single" w:sz="6" w:space="0" w:color="000000"/>
            </w:tcBorders>
            <w:tcMar>
              <w:bottom w:w="145" w:type="dxa"/>
            </w:tcMar>
            <w:vAlign w:val="center"/>
          </w:tcPr>
          <w:p>
            <w:pPr>
              <w:pStyle w:val="TableContents"/>
              <w:bidi w:val="0"/>
              <w:spacing w:before="0" w:after="283"/>
              <w:jc w:val="right"/>
              <w:rPr/>
            </w:pPr>
            <w:r>
              <w:rPr/>
              <w:t>​</w:t>
            </w:r>
          </w:p>
        </w:tc>
        <w:tc>
          <w:tcPr>
            <w:tcW w:w="1082" w:type="dxa"/>
            <w:tcBorders>
              <w:bottom w:val="single" w:sz="6" w:space="0" w:color="000000"/>
            </w:tcBorders>
            <w:tcMar>
              <w:bottom w:w="145" w:type="dxa"/>
            </w:tcMar>
            <w:vAlign w:val="center"/>
          </w:tcPr>
          <w:p>
            <w:pPr>
              <w:pStyle w:val="TableContents"/>
              <w:bidi w:val="0"/>
              <w:spacing w:before="0" w:after="283"/>
              <w:jc w:val="right"/>
              <w:rPr/>
            </w:pPr>
            <w:r>
              <w:rPr/>
              <w:t>64,737</w:t>
            </w:r>
            <w:r>
              <w:rPr>
                <w:sz w:val="10"/>
              </w:rPr>
              <w:t>(a</w:t>
            </w:r>
            <w:r>
              <w:rPr>
                <w:sz w:val="10"/>
              </w:rPr>
              <w:t>)</w:t>
            </w:r>
            <w:r>
              <w:rPr/>
              <w:t xml:space="preserve"> </w:t>
            </w:r>
          </w:p>
        </w:tc>
        <w:tc>
          <w:tcPr>
            <w:tcW w:w="122" w:type="dxa"/>
            <w:tcBorders>
              <w:bottom w:val="single" w:sz="6" w:space="0" w:color="000000"/>
            </w:tcBorders>
            <w:tcMar>
              <w:bottom w:w="28" w:type="dxa"/>
            </w:tcMar>
            <w:vAlign w:val="center"/>
          </w:tcPr>
          <w:p>
            <w:pPr>
              <w:pStyle w:val="TableContents"/>
              <w:bidi w:val="0"/>
              <w:spacing w:before="0" w:after="283"/>
              <w:jc w:val="left"/>
              <w:rPr/>
            </w:pPr>
            <w:r>
              <w:rPr/>
              <w:t>​</w:t>
            </w:r>
          </w:p>
        </w:tc>
        <w:tc>
          <w:tcPr>
            <w:tcW w:w="160"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806" w:type="dxa"/>
            <w:tcBorders>
              <w:bottom w:val="single" w:sz="6" w:space="0" w:color="000000"/>
            </w:tcBorders>
            <w:shd w:fill="F7F7F7" w:val="clear"/>
            <w:tcMar>
              <w:bottom w:w="145" w:type="dxa"/>
            </w:tcMar>
            <w:vAlign w:val="center"/>
          </w:tcPr>
          <w:p>
            <w:pPr>
              <w:pStyle w:val="TableContents"/>
              <w:bidi w:val="0"/>
              <w:spacing w:before="0" w:after="283"/>
              <w:jc w:val="left"/>
              <w:rPr/>
            </w:pPr>
            <w:r>
              <w:rPr/>
              <w:t xml:space="preserve">RSU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523" w:type="dxa"/>
            <w:tcBorders>
              <w:bottom w:val="single" w:sz="6" w:space="0" w:color="000000"/>
            </w:tcBorders>
            <w:shd w:fill="F7F7F7" w:val="clear"/>
            <w:tcMar>
              <w:bottom w:w="145" w:type="dxa"/>
            </w:tcMar>
            <w:vAlign w:val="center"/>
          </w:tcPr>
          <w:p>
            <w:pPr>
              <w:pStyle w:val="TableContents"/>
              <w:bidi w:val="0"/>
              <w:spacing w:before="0" w:after="283"/>
              <w:jc w:val="right"/>
              <w:rPr/>
            </w:pPr>
            <w:r>
              <w:rPr/>
              <w:t>06/06/22</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931" w:type="dxa"/>
            <w:tcBorders>
              <w:bottom w:val="single" w:sz="6" w:space="0" w:color="000000"/>
            </w:tcBorders>
            <w:shd w:fill="F7F7F7" w:val="clear"/>
            <w:tcMar>
              <w:bottom w:w="145" w:type="dxa"/>
            </w:tcMar>
            <w:vAlign w:val="center"/>
          </w:tcPr>
          <w:p>
            <w:pPr>
              <w:pStyle w:val="TableContents"/>
              <w:bidi w:val="0"/>
              <w:spacing w:before="0" w:after="283"/>
              <w:jc w:val="right"/>
              <w:rPr/>
            </w:pPr>
            <w:r>
              <w:rPr/>
              <w:t>274,122</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945" w:type="dxa"/>
            <w:tcBorders>
              <w:bottom w:val="single" w:sz="6" w:space="0" w:color="000000"/>
            </w:tcBorders>
            <w:shd w:fill="F7F7F7" w:val="clear"/>
            <w:tcMar>
              <w:bottom w:w="145" w:type="dxa"/>
            </w:tcMar>
            <w:vAlign w:val="center"/>
          </w:tcPr>
          <w:p>
            <w:pPr>
              <w:pStyle w:val="TableContents"/>
              <w:bidi w:val="0"/>
              <w:spacing w:before="0" w:after="283"/>
              <w:jc w:val="right"/>
              <w:rPr/>
            </w:pPr>
            <w:r>
              <w:rPr/>
              <w:t>119,928</w:t>
            </w:r>
            <w:r>
              <w:rPr>
                <w:sz w:val="10"/>
              </w:rPr>
              <w:t>(4)</w:t>
            </w: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62" w:type="dxa"/>
            <w:tcBorders>
              <w:bottom w:val="single" w:sz="6" w:space="0" w:color="000000"/>
            </w:tcBorders>
            <w:shd w:fill="F7F7F7" w:val="clear"/>
            <w:tcMar>
              <w:bottom w:w="145" w:type="dxa"/>
            </w:tcMar>
            <w:vAlign w:val="center"/>
          </w:tcPr>
          <w:p>
            <w:pPr>
              <w:pStyle w:val="TableContents"/>
              <w:bidi w:val="0"/>
              <w:spacing w:before="0" w:after="0"/>
              <w:jc w:val="center"/>
              <w:rPr/>
            </w:pP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22"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22"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082" w:type="dxa"/>
            <w:tcBorders>
              <w:bottom w:val="single" w:sz="6" w:space="0" w:color="000000"/>
            </w:tcBorders>
            <w:shd w:fill="F7F7F7" w:val="clear"/>
            <w:tcMar>
              <w:bottom w:w="145" w:type="dxa"/>
            </w:tcMar>
            <w:vAlign w:val="center"/>
          </w:tcPr>
          <w:p>
            <w:pPr>
              <w:pStyle w:val="TableContents"/>
              <w:bidi w:val="0"/>
              <w:spacing w:before="0" w:after="283"/>
              <w:jc w:val="right"/>
              <w:rPr/>
            </w:pPr>
            <w:r>
              <w:rPr/>
              <w:t>154,194</w:t>
            </w:r>
          </w:p>
        </w:tc>
        <w:tc>
          <w:tcPr>
            <w:tcW w:w="122"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60"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806" w:type="dxa"/>
            <w:tcBorders>
              <w:bottom w:val="single" w:sz="6" w:space="0" w:color="000000"/>
            </w:tcBorders>
            <w:tcMar>
              <w:bottom w:w="145" w:type="dxa"/>
            </w:tcMar>
            <w:vAlign w:val="center"/>
          </w:tcPr>
          <w:p>
            <w:pPr>
              <w:pStyle w:val="TableContents"/>
              <w:bidi w:val="0"/>
              <w:spacing w:before="0" w:after="283"/>
              <w:jc w:val="left"/>
              <w:rPr/>
            </w:pPr>
            <w:r>
              <w:rPr/>
              <w:t xml:space="preserve">PSU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523" w:type="dxa"/>
            <w:tcBorders>
              <w:bottom w:val="single" w:sz="6" w:space="0" w:color="000000"/>
            </w:tcBorders>
            <w:tcMar>
              <w:bottom w:w="145" w:type="dxa"/>
            </w:tcMar>
            <w:vAlign w:val="center"/>
          </w:tcPr>
          <w:p>
            <w:pPr>
              <w:pStyle w:val="TableContents"/>
              <w:bidi w:val="0"/>
              <w:spacing w:before="0" w:after="283"/>
              <w:jc w:val="right"/>
              <w:rPr/>
            </w:pPr>
            <w:r>
              <w:rPr/>
              <w:t>09/10/23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145" w:type="dxa"/>
            </w:tcMar>
            <w:vAlign w:val="center"/>
          </w:tcPr>
          <w:p>
            <w:pPr>
              <w:pStyle w:val="TableContents"/>
              <w:bidi w:val="0"/>
              <w:spacing w:before="0" w:after="283"/>
              <w:jc w:val="right"/>
              <w:rPr/>
            </w:pPr>
            <w:r>
              <w:rPr/>
              <w:t>​</w:t>
            </w:r>
          </w:p>
        </w:tc>
        <w:tc>
          <w:tcPr>
            <w:tcW w:w="931" w:type="dxa"/>
            <w:tcBorders>
              <w:bottom w:val="single" w:sz="6" w:space="0" w:color="000000"/>
            </w:tcBorders>
            <w:tcMar>
              <w:bottom w:w="145" w:type="dxa"/>
            </w:tcMar>
            <w:vAlign w:val="center"/>
          </w:tcPr>
          <w:p>
            <w:pPr>
              <w:pStyle w:val="TableContents"/>
              <w:bidi w:val="0"/>
              <w:spacing w:before="0" w:after="283"/>
              <w:jc w:val="right"/>
              <w:rPr/>
            </w:pPr>
            <w:r>
              <w:rPr/>
              <w:t>817,327</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945" w:type="dxa"/>
            <w:tcBorders>
              <w:bottom w:val="single" w:sz="6" w:space="0" w:color="000000"/>
            </w:tcBorders>
            <w:tcMar>
              <w:bottom w:w="145" w:type="dxa"/>
            </w:tcMar>
            <w:vAlign w:val="center"/>
          </w:tcPr>
          <w:p>
            <w:pPr>
              <w:pStyle w:val="TableContents"/>
              <w:bidi w:val="0"/>
              <w:spacing w:before="0" w:after="283"/>
              <w:jc w:val="right"/>
              <w:rPr/>
            </w:pPr>
            <w:r>
              <w:rPr/>
              <w:t>—</w:t>
            </w:r>
            <w:r>
              <w:rPr>
                <w:sz w:val="10"/>
              </w:rPr>
              <w:t>(7)</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62" w:type="dxa"/>
            <w:tcBorders>
              <w:bottom w:val="single" w:sz="6" w:space="0" w:color="000000"/>
            </w:tcBorders>
            <w:tcMar>
              <w:bottom w:w="145" w:type="dxa"/>
            </w:tcMar>
            <w:vAlign w:val="center"/>
          </w:tcPr>
          <w:p>
            <w:pPr>
              <w:pStyle w:val="TableContents"/>
              <w:bidi w:val="0"/>
              <w:spacing w:before="0" w:after="0"/>
              <w:jc w:val="center"/>
              <w:rPr/>
            </w:pPr>
            <w:r>
              <w:rPr/>
              <w:t>136,221</w:t>
            </w:r>
            <w:r>
              <w:rPr>
                <w:sz w:val="10"/>
              </w:rPr>
              <w:t>(b)</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2" w:type="dxa"/>
            <w:tcBorders>
              <w:bottom w:val="single" w:sz="6" w:space="0" w:color="000000"/>
            </w:tcBorders>
            <w:tcMar>
              <w:bottom w:w="28" w:type="dxa"/>
            </w:tcMar>
            <w:vAlign w:val="center"/>
          </w:tcPr>
          <w:p>
            <w:pPr>
              <w:pStyle w:val="TableContents"/>
              <w:bidi w:val="0"/>
              <w:spacing w:before="0" w:after="283"/>
              <w:jc w:val="left"/>
              <w:rPr/>
            </w:pPr>
            <w:r>
              <w:rPr/>
              <w:t>​</w:t>
            </w:r>
          </w:p>
        </w:tc>
        <w:tc>
          <w:tcPr>
            <w:tcW w:w="122" w:type="dxa"/>
            <w:tcBorders>
              <w:bottom w:val="single" w:sz="6" w:space="0" w:color="000000"/>
            </w:tcBorders>
            <w:tcMar>
              <w:bottom w:w="145" w:type="dxa"/>
            </w:tcMar>
            <w:vAlign w:val="center"/>
          </w:tcPr>
          <w:p>
            <w:pPr>
              <w:pStyle w:val="TableContents"/>
              <w:bidi w:val="0"/>
              <w:spacing w:before="0" w:after="283"/>
              <w:jc w:val="right"/>
              <w:rPr/>
            </w:pPr>
            <w:r>
              <w:rPr/>
              <w:t>​</w:t>
            </w:r>
          </w:p>
        </w:tc>
        <w:tc>
          <w:tcPr>
            <w:tcW w:w="1082" w:type="dxa"/>
            <w:tcBorders>
              <w:bottom w:val="single" w:sz="6" w:space="0" w:color="000000"/>
            </w:tcBorders>
            <w:tcMar>
              <w:bottom w:w="145" w:type="dxa"/>
            </w:tcMar>
            <w:vAlign w:val="center"/>
          </w:tcPr>
          <w:p>
            <w:pPr>
              <w:pStyle w:val="TableContents"/>
              <w:bidi w:val="0"/>
              <w:spacing w:before="0" w:after="283"/>
              <w:jc w:val="right"/>
              <w:rPr/>
            </w:pPr>
            <w:r>
              <w:rPr/>
              <w:t>681,106</w:t>
            </w:r>
            <w:r>
              <w:rPr>
                <w:sz w:val="10"/>
              </w:rPr>
              <w:t>(b</w:t>
            </w:r>
            <w:r>
              <w:rPr>
                <w:sz w:val="10"/>
              </w:rPr>
              <w:t>)</w:t>
            </w:r>
            <w:r>
              <w:rPr/>
              <w:t xml:space="preserve"> </w:t>
            </w:r>
          </w:p>
        </w:tc>
        <w:tc>
          <w:tcPr>
            <w:tcW w:w="122" w:type="dxa"/>
            <w:tcBorders>
              <w:bottom w:val="single" w:sz="6" w:space="0" w:color="000000"/>
            </w:tcBorders>
            <w:tcMar>
              <w:bottom w:w="28" w:type="dxa"/>
            </w:tcMar>
            <w:vAlign w:val="center"/>
          </w:tcPr>
          <w:p>
            <w:pPr>
              <w:pStyle w:val="TableContents"/>
              <w:bidi w:val="0"/>
              <w:spacing w:before="0" w:after="283"/>
              <w:jc w:val="left"/>
              <w:rPr/>
            </w:pPr>
            <w:r>
              <w:rPr/>
              <w:t>​</w:t>
            </w:r>
          </w:p>
        </w:tc>
        <w:tc>
          <w:tcPr>
            <w:tcW w:w="160"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806" w:type="dxa"/>
            <w:tcBorders>
              <w:bottom w:val="single" w:sz="6" w:space="0" w:color="000000"/>
            </w:tcBorders>
            <w:shd w:fill="F7F7F7" w:val="clear"/>
            <w:tcMar>
              <w:bottom w:w="145" w:type="dxa"/>
            </w:tcMar>
            <w:vAlign w:val="center"/>
          </w:tcPr>
          <w:p>
            <w:pPr>
              <w:pStyle w:val="TableContents"/>
              <w:bidi w:val="0"/>
              <w:spacing w:before="0" w:after="283"/>
              <w:jc w:val="left"/>
              <w:rPr/>
            </w:pPr>
            <w:r>
              <w:rPr/>
              <w:t xml:space="preserve">RSU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523" w:type="dxa"/>
            <w:tcBorders>
              <w:bottom w:val="single" w:sz="6" w:space="0" w:color="000000"/>
            </w:tcBorders>
            <w:shd w:fill="F7F7F7" w:val="clear"/>
            <w:tcMar>
              <w:bottom w:w="145" w:type="dxa"/>
            </w:tcMar>
            <w:vAlign w:val="center"/>
          </w:tcPr>
          <w:p>
            <w:pPr>
              <w:pStyle w:val="TableContents"/>
              <w:bidi w:val="0"/>
              <w:spacing w:before="0" w:after="283"/>
              <w:jc w:val="right"/>
              <w:rPr/>
            </w:pPr>
            <w:r>
              <w:rPr/>
              <w:t>09/10/23</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931" w:type="dxa"/>
            <w:tcBorders>
              <w:bottom w:val="single" w:sz="6" w:space="0" w:color="000000"/>
            </w:tcBorders>
            <w:shd w:fill="F7F7F7" w:val="clear"/>
            <w:tcMar>
              <w:bottom w:w="145" w:type="dxa"/>
            </w:tcMar>
            <w:vAlign w:val="center"/>
          </w:tcPr>
          <w:p>
            <w:pPr>
              <w:pStyle w:val="TableContents"/>
              <w:bidi w:val="0"/>
              <w:spacing w:before="0" w:after="283"/>
              <w:jc w:val="right"/>
              <w:rPr/>
            </w:pPr>
            <w:r>
              <w:rPr/>
              <w:t>408,663</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945" w:type="dxa"/>
            <w:tcBorders>
              <w:bottom w:val="single" w:sz="6" w:space="0" w:color="000000"/>
            </w:tcBorders>
            <w:shd w:fill="F7F7F7" w:val="clear"/>
            <w:tcMar>
              <w:bottom w:w="145" w:type="dxa"/>
            </w:tcMar>
            <w:vAlign w:val="center"/>
          </w:tcPr>
          <w:p>
            <w:pPr>
              <w:pStyle w:val="TableContents"/>
              <w:bidi w:val="0"/>
              <w:spacing w:before="0" w:after="283"/>
              <w:jc w:val="right"/>
              <w:rPr/>
            </w:pPr>
            <w:r>
              <w:rPr/>
              <w:t>76,624</w:t>
            </w:r>
            <w:r>
              <w:rPr>
                <w:sz w:val="10"/>
              </w:rPr>
              <w:t>(5)</w:t>
            </w: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62" w:type="dxa"/>
            <w:tcBorders>
              <w:bottom w:val="single" w:sz="6" w:space="0" w:color="000000"/>
            </w:tcBorders>
            <w:shd w:fill="F7F7F7" w:val="clear"/>
            <w:tcMar>
              <w:bottom w:w="145" w:type="dxa"/>
            </w:tcMar>
            <w:vAlign w:val="center"/>
          </w:tcPr>
          <w:p>
            <w:pPr>
              <w:pStyle w:val="TableContents"/>
              <w:bidi w:val="0"/>
              <w:spacing w:before="0" w:after="0"/>
              <w:jc w:val="center"/>
              <w:rPr/>
            </w:pP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22"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22"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082" w:type="dxa"/>
            <w:tcBorders>
              <w:bottom w:val="single" w:sz="6" w:space="0" w:color="000000"/>
            </w:tcBorders>
            <w:shd w:fill="F7F7F7" w:val="clear"/>
            <w:tcMar>
              <w:bottom w:w="145" w:type="dxa"/>
            </w:tcMar>
            <w:vAlign w:val="center"/>
          </w:tcPr>
          <w:p>
            <w:pPr>
              <w:pStyle w:val="TableContents"/>
              <w:bidi w:val="0"/>
              <w:spacing w:before="0" w:after="283"/>
              <w:jc w:val="right"/>
              <w:rPr/>
            </w:pPr>
            <w:r>
              <w:rPr/>
              <w:t>332,039</w:t>
            </w:r>
          </w:p>
        </w:tc>
        <w:tc>
          <w:tcPr>
            <w:tcW w:w="122"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60"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806" w:type="dxa"/>
            <w:tcBorders>
              <w:bottom w:val="single" w:sz="6" w:space="0" w:color="000000"/>
            </w:tcBorders>
            <w:tcMar>
              <w:bottom w:w="145" w:type="dxa"/>
            </w:tcMar>
            <w:vAlign w:val="center"/>
          </w:tcPr>
          <w:p>
            <w:pPr>
              <w:pStyle w:val="TableContents"/>
              <w:bidi w:val="0"/>
              <w:spacing w:before="0" w:after="283"/>
              <w:jc w:val="left"/>
              <w:rPr/>
            </w:pPr>
            <w:r>
              <w:rPr/>
              <w:t xml:space="preserve">Premium-Priced Options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523" w:type="dxa"/>
            <w:tcBorders>
              <w:bottom w:val="single" w:sz="6" w:space="0" w:color="000000"/>
            </w:tcBorders>
            <w:tcMar>
              <w:bottom w:w="145" w:type="dxa"/>
            </w:tcMar>
            <w:vAlign w:val="center"/>
          </w:tcPr>
          <w:p>
            <w:pPr>
              <w:pStyle w:val="TableContents"/>
              <w:bidi w:val="0"/>
              <w:spacing w:before="0" w:after="283"/>
              <w:jc w:val="right"/>
              <w:rPr/>
            </w:pPr>
            <w:r>
              <w:rPr/>
              <w:t>09/10/23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145" w:type="dxa"/>
            </w:tcMar>
            <w:vAlign w:val="center"/>
          </w:tcPr>
          <w:p>
            <w:pPr>
              <w:pStyle w:val="TableContents"/>
              <w:bidi w:val="0"/>
              <w:spacing w:before="0" w:after="283"/>
              <w:jc w:val="right"/>
              <w:rPr/>
            </w:pPr>
            <w:r>
              <w:rPr/>
              <w:t>​</w:t>
            </w:r>
          </w:p>
        </w:tc>
        <w:tc>
          <w:tcPr>
            <w:tcW w:w="931" w:type="dxa"/>
            <w:tcBorders>
              <w:bottom w:val="single" w:sz="6" w:space="0" w:color="000000"/>
            </w:tcBorders>
            <w:tcMar>
              <w:bottom w:w="145" w:type="dxa"/>
            </w:tcMar>
            <w:vAlign w:val="center"/>
          </w:tcPr>
          <w:p>
            <w:pPr>
              <w:pStyle w:val="TableContents"/>
              <w:bidi w:val="0"/>
              <w:spacing w:before="0" w:after="283"/>
              <w:jc w:val="right"/>
              <w:rPr/>
            </w:pPr>
            <w:r>
              <w:rPr/>
              <w:t>408,663</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945" w:type="dxa"/>
            <w:tcBorders>
              <w:bottom w:val="single" w:sz="6" w:space="0" w:color="000000"/>
            </w:tcBorders>
            <w:tcMar>
              <w:bottom w:w="145" w:type="dxa"/>
            </w:tcMar>
            <w:vAlign w:val="center"/>
          </w:tcPr>
          <w:p>
            <w:pPr>
              <w:pStyle w:val="TableContents"/>
              <w:bidi w:val="0"/>
              <w:spacing w:before="0" w:after="283"/>
              <w:jc w:val="right"/>
              <w:rPr/>
            </w:pPr>
            <w:r>
              <w:rPr/>
              <w:t>59,596</w:t>
            </w:r>
            <w:r>
              <w:rPr>
                <w:sz w:val="10"/>
              </w:rPr>
              <w:t>(8)</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62" w:type="dxa"/>
            <w:tcBorders>
              <w:bottom w:val="single" w:sz="6" w:space="0" w:color="000000"/>
            </w:tcBorders>
            <w:tcMar>
              <w:bottom w:w="145" w:type="dxa"/>
            </w:tcMar>
            <w:vAlign w:val="center"/>
          </w:tcPr>
          <w:p>
            <w:pPr>
              <w:pStyle w:val="TableContents"/>
              <w:bidi w:val="0"/>
              <w:spacing w:before="0" w:after="0"/>
              <w:jc w:val="center"/>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2" w:type="dxa"/>
            <w:tcBorders>
              <w:bottom w:val="single" w:sz="6" w:space="0" w:color="000000"/>
            </w:tcBorders>
            <w:tcMar>
              <w:bottom w:w="28" w:type="dxa"/>
            </w:tcMar>
            <w:vAlign w:val="center"/>
          </w:tcPr>
          <w:p>
            <w:pPr>
              <w:pStyle w:val="TableContents"/>
              <w:bidi w:val="0"/>
              <w:spacing w:before="0" w:after="283"/>
              <w:jc w:val="left"/>
              <w:rPr/>
            </w:pPr>
            <w:r>
              <w:rPr/>
              <w:t>​</w:t>
            </w:r>
          </w:p>
        </w:tc>
        <w:tc>
          <w:tcPr>
            <w:tcW w:w="122" w:type="dxa"/>
            <w:tcBorders>
              <w:bottom w:val="single" w:sz="6" w:space="0" w:color="000000"/>
            </w:tcBorders>
            <w:tcMar>
              <w:bottom w:w="145" w:type="dxa"/>
            </w:tcMar>
            <w:vAlign w:val="center"/>
          </w:tcPr>
          <w:p>
            <w:pPr>
              <w:pStyle w:val="TableContents"/>
              <w:bidi w:val="0"/>
              <w:spacing w:before="0" w:after="283"/>
              <w:jc w:val="right"/>
              <w:rPr/>
            </w:pPr>
            <w:r>
              <w:rPr/>
              <w:t>​</w:t>
            </w:r>
          </w:p>
        </w:tc>
        <w:tc>
          <w:tcPr>
            <w:tcW w:w="1082" w:type="dxa"/>
            <w:tcBorders>
              <w:bottom w:val="single" w:sz="6" w:space="0" w:color="000000"/>
            </w:tcBorders>
            <w:tcMar>
              <w:bottom w:w="145" w:type="dxa"/>
            </w:tcMar>
            <w:vAlign w:val="center"/>
          </w:tcPr>
          <w:p>
            <w:pPr>
              <w:pStyle w:val="TableContents"/>
              <w:bidi w:val="0"/>
              <w:spacing w:before="0" w:after="283"/>
              <w:jc w:val="right"/>
              <w:rPr/>
            </w:pPr>
            <w:r>
              <w:rPr/>
              <w:t>349,067</w:t>
            </w:r>
          </w:p>
        </w:tc>
        <w:tc>
          <w:tcPr>
            <w:tcW w:w="122" w:type="dxa"/>
            <w:tcBorders>
              <w:bottom w:val="single" w:sz="6" w:space="0" w:color="000000"/>
            </w:tcBorders>
            <w:tcMar>
              <w:bottom w:w="28" w:type="dxa"/>
            </w:tcMar>
            <w:vAlign w:val="center"/>
          </w:tcPr>
          <w:p>
            <w:pPr>
              <w:pStyle w:val="TableContents"/>
              <w:bidi w:val="0"/>
              <w:spacing w:before="0" w:after="283"/>
              <w:jc w:val="left"/>
              <w:rPr/>
            </w:pPr>
            <w:r>
              <w:rPr/>
              <w:t>​</w:t>
            </w:r>
          </w:p>
        </w:tc>
        <w:tc>
          <w:tcPr>
            <w:tcW w:w="160"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20" w:after="0"/>
        <w:ind w:left="842"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Of the 247,874 unvested RSUs, 99,150 RSUs (or 40%, calculated as 25% plus 5% for each year of Ms. House’s three years of service) were accelerated pursuant to the terms of the Executive Severance Plan and her participation agreement thereunder; and an additional 83,987 RSUs were accelerated pursuant to the terms of her separation agreement. The remaining 64,737 RSUs were cancelled and forfeited upon her separation date on December 31, 2023.</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203200" distB="0" distL="0" distR="0" simplePos="0" locked="0" layoutInCell="1" allowOverlap="1" relativeHeight="240">
                <wp:simplePos x="0" y="0"/>
                <wp:positionH relativeFrom="column">
                  <wp:align>left</wp:align>
                </wp:positionH>
                <wp:positionV relativeFrom="line">
                  <wp:align>top</wp:align>
                </wp:positionV>
                <wp:extent cx="77470" cy="525780"/>
                <wp:effectExtent l="0" t="0" r="0" b="0"/>
                <wp:wrapSquare wrapText="right"/>
                <wp:docPr id="232" name="Frame169"/>
                <a:graphic xmlns:a="http://schemas.openxmlformats.org/drawingml/2006/main">
                  <a:graphicData uri="http://schemas.microsoft.com/office/word/2010/wordprocessingShape">
                    <wps:wsp>
                      <wps:cNvSpPr txBox="1"/>
                      <wps:spPr>
                        <a:xfrm>
                          <a:off x="0" y="0"/>
                          <a:ext cx="77470" cy="525780"/>
                        </a:xfrm>
                        <a:prstGeom prst="rect"/>
                        <a:solidFill>
                          <a:srgbClr val="FFFFFF"/>
                        </a:solidFill>
                      </wps:spPr>
                      <wps:txbx>
                        <w:txbxContent>
                          <w:p>
                            <w:pPr>
                              <w:pStyle w:val="TextBody"/>
                              <w:bidi w:val="0"/>
                              <w:spacing w:lineRule="atLeast" w:line="142" w:before="0" w:after="283"/>
                              <w:jc w:val="left"/>
                              <w:rPr/>
                            </w:pPr>
                            <w:r>
                              <w:rPr>
                                <w:sz w:val="9"/>
                              </w:rPr>
                              <w:t>(a)</w:t>
                            </w:r>
                            <w:r>
                              <w:rPr/>
                              <w:t xml:space="preserve"> </w:t>
                              <w:br/>
                            </w:r>
                          </w:p>
                        </w:txbxContent>
                      </wps:txbx>
                      <wps:bodyPr anchor="t" lIns="0" tIns="0" rIns="0" bIns="0">
                        <a:noAutofit/>
                      </wps:bodyPr>
                    </wps:wsp>
                  </a:graphicData>
                </a:graphic>
              </wp:anchor>
            </w:drawing>
          </mc:Choice>
          <mc:Fallback>
            <w:pict>
              <v:rect style="position:absolute;rotation:-0;width:6.1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42" w:before="0" w:after="283"/>
                        <w:jc w:val="left"/>
                        <w:rPr/>
                      </w:pPr>
                      <w:r>
                        <w:rPr>
                          <w:sz w:val="9"/>
                        </w:rPr>
                        <w:t>(a)</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46"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 xml:space="preserve">136,221 RSUs accelerated pursuant to the terms of Ms. House’s separation agreement and the remaining 681,106 PSUs were cancelled and forfeited upon her separation date on December 31, 2023. </w:t>
      </w:r>
      <w:r>
        <mc:AlternateContent>
          <mc:Choice Requires="wps">
            <w:drawing>
              <wp:anchor behindDoc="0" distT="69850" distB="0" distL="0" distR="0" simplePos="0" locked="0" layoutInCell="1" allowOverlap="1" relativeHeight="241">
                <wp:simplePos x="0" y="0"/>
                <wp:positionH relativeFrom="column">
                  <wp:align>left</wp:align>
                </wp:positionH>
                <wp:positionV relativeFrom="line">
                  <wp:align>top</wp:align>
                </wp:positionV>
                <wp:extent cx="80010" cy="525780"/>
                <wp:effectExtent l="0" t="0" r="0" b="0"/>
                <wp:wrapSquare wrapText="right"/>
                <wp:docPr id="233" name="Frame170"/>
                <a:graphic xmlns:a="http://schemas.openxmlformats.org/drawingml/2006/main">
                  <a:graphicData uri="http://schemas.microsoft.com/office/word/2010/wordprocessingShape">
                    <wps:wsp>
                      <wps:cNvSpPr txBox="1"/>
                      <wps:spPr>
                        <a:xfrm>
                          <a:off x="0" y="0"/>
                          <a:ext cx="80010" cy="525780"/>
                        </a:xfrm>
                        <a:prstGeom prst="rect"/>
                        <a:solidFill>
                          <a:srgbClr val="FFFFFF"/>
                        </a:solidFill>
                      </wps:spPr>
                      <wps:txbx>
                        <w:txbxContent>
                          <w:p>
                            <w:pPr>
                              <w:pStyle w:val="TextBody"/>
                              <w:bidi w:val="0"/>
                              <w:spacing w:lineRule="atLeast" w:line="142" w:before="0" w:after="283"/>
                              <w:jc w:val="left"/>
                              <w:rPr/>
                            </w:pPr>
                            <w:r>
                              <w:rPr>
                                <w:sz w:val="9"/>
                              </w:rPr>
                              <w:t>(b)</w:t>
                            </w:r>
                            <w:r>
                              <w:rPr/>
                              <w:t xml:space="preserve"> </w:t>
                              <w:br/>
                            </w:r>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5.5pt;mso-wrap-distance-bottom:0pt;margin-top:5.5pt;mso-position-vertical:top;mso-position-vertical-relative:text;margin-left:5.9pt;mso-position-horizontal:left;mso-position-horizontal-relative:text">
                <v:textbox>
                  <w:txbxContent>
                    <w:p>
                      <w:pPr>
                        <w:pStyle w:val="TextBody"/>
                        <w:bidi w:val="0"/>
                        <w:spacing w:lineRule="atLeast" w:line="142" w:before="0" w:after="283"/>
                        <w:jc w:val="left"/>
                        <w:rPr/>
                      </w:pPr>
                      <w:r>
                        <w:rPr>
                          <w:sz w:val="9"/>
                        </w:rPr>
                        <w:t>(b)</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64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OEAS"/>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283"/>
        <w:ind w:left="720" w:right="0" w:hanging="0"/>
        <w:jc w:val="left"/>
        <w:rPr>
          <w:rFonts w:ascii="Times New Roman;Garamond;serif" w:hAnsi="Times New Roman;Garamond;serif"/>
          <w:b/>
          <w:i w:val="false"/>
          <w:caps w:val="false"/>
          <w:smallCaps w:val="false"/>
          <w:color w:val="000000"/>
          <w:sz w:val="40"/>
        </w:rPr>
      </w:pPr>
      <w:r>
        <w:rPr>
          <w:rFonts w:ascii="Times New Roman;Garamond;serif" w:hAnsi="Times New Roman;Garamond;serif"/>
          <w:b/>
          <w:i w:val="false"/>
          <w:caps w:val="false"/>
          <w:smallCaps w:val="false"/>
          <w:color w:val="000000"/>
          <w:sz w:val="40"/>
        </w:rPr>
        <w:t>Option Exercises and Stock Vested</w:t>
      </w:r>
      <w:r>
        <w:rPr>
          <w:rFonts w:ascii="Times New Roman;Garamond;serif" w:hAnsi="Times New Roman;Garamond;serif"/>
          <w:b/>
          <w:i w:val="false"/>
          <w:caps w:val="false"/>
          <w:smallCaps w:val="false"/>
          <w:color w:val="000000"/>
          <w:spacing w:val="8"/>
          <w:sz w:val="40"/>
        </w:rPr>
        <w:t xml:space="preserve"> </w:t>
      </w:r>
    </w:p>
    <w:tbl>
      <w:tblPr>
        <w:tblW w:w="9485" w:type="dxa"/>
        <w:jc w:val="left"/>
        <w:tblInd w:w="720" w:type="dxa"/>
        <w:tblLayout w:type="fixed"/>
        <w:tblCellMar>
          <w:top w:w="0" w:type="dxa"/>
          <w:left w:w="0" w:type="dxa"/>
          <w:bottom w:w="28" w:type="dxa"/>
          <w:right w:w="0" w:type="dxa"/>
        </w:tblCellMar>
      </w:tblPr>
      <w:tblGrid>
        <w:gridCol w:w="124"/>
        <w:gridCol w:w="1894"/>
        <w:gridCol w:w="109"/>
        <w:gridCol w:w="109"/>
        <w:gridCol w:w="155"/>
        <w:gridCol w:w="155"/>
        <w:gridCol w:w="1267"/>
        <w:gridCol w:w="155"/>
        <w:gridCol w:w="109"/>
        <w:gridCol w:w="109"/>
        <w:gridCol w:w="117"/>
        <w:gridCol w:w="117"/>
        <w:gridCol w:w="1083"/>
        <w:gridCol w:w="117"/>
        <w:gridCol w:w="109"/>
        <w:gridCol w:w="109"/>
        <w:gridCol w:w="128"/>
        <w:gridCol w:w="128"/>
        <w:gridCol w:w="1263"/>
        <w:gridCol w:w="128"/>
        <w:gridCol w:w="109"/>
        <w:gridCol w:w="109"/>
        <w:gridCol w:w="109"/>
        <w:gridCol w:w="109"/>
        <w:gridCol w:w="1293"/>
        <w:gridCol w:w="109"/>
        <w:gridCol w:w="162"/>
      </w:tblGrid>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1894"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3384" w:type="dxa"/>
            <w:gridSpan w:val="10"/>
            <w:tcBorders>
              <w:bottom w:val="single" w:sz="2" w:space="0" w:color="FEFEFE"/>
            </w:tcBorders>
            <w:shd w:fill="000000" w:val="clear"/>
            <w:tcMar>
              <w:bottom w:w="160" w:type="dxa"/>
            </w:tcMar>
            <w:vAlign w:val="center"/>
          </w:tcPr>
          <w:p>
            <w:pPr>
              <w:pStyle w:val="TableContents"/>
              <w:bidi w:val="0"/>
              <w:spacing w:before="0" w:after="0"/>
              <w:jc w:val="center"/>
              <w:rPr/>
            </w:pPr>
            <w:r>
              <w:rPr/>
              <w:t xml:space="preserve">Option </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3485" w:type="dxa"/>
            <w:gridSpan w:val="10"/>
            <w:tcBorders>
              <w:bottom w:val="single" w:sz="2" w:space="0" w:color="FEFEFE"/>
            </w:tcBorders>
            <w:shd w:fill="000000" w:val="clear"/>
            <w:tcMar>
              <w:bottom w:w="160" w:type="dxa"/>
            </w:tcMar>
            <w:vAlign w:val="center"/>
          </w:tcPr>
          <w:p>
            <w:pPr>
              <w:pStyle w:val="TableContents"/>
              <w:bidi w:val="0"/>
              <w:spacing w:before="0" w:after="0"/>
              <w:jc w:val="center"/>
              <w:rPr/>
            </w:pPr>
            <w:r>
              <w:rPr/>
              <w:t xml:space="preserve">Stock Awards </w:t>
            </w:r>
          </w:p>
        </w:tc>
        <w:tc>
          <w:tcPr>
            <w:tcW w:w="162" w:type="dxa"/>
            <w:tcBorders>
              <w:bottom w:val="single" w:sz="2" w:space="0" w:color="000000"/>
            </w:tcBorders>
            <w:shd w:fill="000000" w:val="clear"/>
            <w:vAlign w:val="center"/>
          </w:tcPr>
          <w:p>
            <w:pPr>
              <w:pStyle w:val="TableContents"/>
              <w:bidi w:val="0"/>
              <w:spacing w:before="0" w:after="283"/>
              <w:jc w:val="left"/>
              <w:rPr/>
            </w:pPr>
            <w:r>
              <w:rPr/>
              <w:t>​</w:t>
            </w:r>
          </w:p>
        </w:tc>
      </w:tr>
      <w:tr>
        <w:trPr/>
        <w:tc>
          <w:tcPr>
            <w:tcW w:w="124" w:type="dxa"/>
            <w:tcBorders/>
            <w:shd w:fill="000000" w:val="clear"/>
            <w:tcMar>
              <w:bottom w:w="0" w:type="dxa"/>
            </w:tcMar>
            <w:vAlign w:val="center"/>
          </w:tcPr>
          <w:p>
            <w:pPr>
              <w:pStyle w:val="TableContents"/>
              <w:bidi w:val="0"/>
              <w:spacing w:before="0" w:after="283"/>
              <w:jc w:val="left"/>
              <w:rPr/>
            </w:pPr>
            <w:r>
              <w:rPr/>
              <w:t>​</w:t>
            </w:r>
          </w:p>
        </w:tc>
        <w:tc>
          <w:tcPr>
            <w:tcW w:w="1894" w:type="dxa"/>
            <w:tcBorders/>
            <w:shd w:fill="000000" w:val="clear"/>
            <w:tcMar>
              <w:bottom w:w="0" w:type="dxa"/>
            </w:tcMar>
            <w:vAlign w:val="center"/>
          </w:tcPr>
          <w:p>
            <w:pPr>
              <w:pStyle w:val="TableContents"/>
              <w:bidi w:val="0"/>
              <w:spacing w:before="0" w:after="0"/>
              <w:jc w:val="left"/>
              <w:rPr/>
            </w:pPr>
            <w:r>
              <w:rPr/>
              <w:t xml:space="preserve">Named Executive Officer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732" w:type="dxa"/>
            <w:gridSpan w:val="4"/>
            <w:tcBorders/>
            <w:shd w:fill="000000" w:val="clear"/>
            <w:tcMar>
              <w:bottom w:w="0" w:type="dxa"/>
            </w:tcMar>
            <w:vAlign w:val="center"/>
          </w:tcPr>
          <w:p>
            <w:pPr>
              <w:pStyle w:val="TableContents"/>
              <w:bidi w:val="0"/>
              <w:spacing w:before="0" w:after="0"/>
              <w:jc w:val="center"/>
              <w:rPr/>
            </w:pPr>
            <w:r>
              <w:rPr/>
              <w:t xml:space="preserve">Number of Shares </w:t>
              <w:br/>
              <w:t xml:space="preserve">Acquired on Exercise </w:t>
              <w:b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434" w:type="dxa"/>
            <w:gridSpan w:val="4"/>
            <w:tcBorders/>
            <w:shd w:fill="000000" w:val="clear"/>
            <w:tcMar>
              <w:bottom w:w="0" w:type="dxa"/>
            </w:tcMar>
            <w:vAlign w:val="center"/>
          </w:tcPr>
          <w:p>
            <w:pPr>
              <w:pStyle w:val="TableContents"/>
              <w:bidi w:val="0"/>
              <w:spacing w:before="0" w:after="0"/>
              <w:jc w:val="center"/>
              <w:rPr/>
            </w:pPr>
            <w:r>
              <w:rPr/>
              <w:t xml:space="preserve">Value Realized </w:t>
              <w:br/>
              <w:t xml:space="preserve">on Exercise </w:t>
              <w:b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647" w:type="dxa"/>
            <w:gridSpan w:val="4"/>
            <w:tcBorders/>
            <w:shd w:fill="000000" w:val="clear"/>
            <w:tcMar>
              <w:bottom w:w="0" w:type="dxa"/>
            </w:tcMar>
            <w:vAlign w:val="center"/>
          </w:tcPr>
          <w:p>
            <w:pPr>
              <w:pStyle w:val="TableContents"/>
              <w:bidi w:val="0"/>
              <w:spacing w:before="0" w:after="0"/>
              <w:jc w:val="center"/>
              <w:rPr/>
            </w:pPr>
            <w:r>
              <w:rPr/>
              <w:t xml:space="preserve">Number of Shares </w:t>
              <w:br/>
              <w:t xml:space="preserve">Acquired on </w:t>
              <w:br/>
              <w:t xml:space="preserve">Vesting </w:t>
              <w:b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620" w:type="dxa"/>
            <w:gridSpan w:val="4"/>
            <w:tcBorders/>
            <w:shd w:fill="000000" w:val="clear"/>
            <w:tcMar>
              <w:bottom w:w="0" w:type="dxa"/>
            </w:tcMar>
            <w:vAlign w:val="center"/>
          </w:tcPr>
          <w:p>
            <w:pPr>
              <w:pStyle w:val="TableContents"/>
              <w:bidi w:val="0"/>
              <w:spacing w:before="0" w:after="0"/>
              <w:jc w:val="center"/>
              <w:rPr/>
            </w:pPr>
            <w:r>
              <w:rPr/>
              <w:t xml:space="preserve">Value Realized </w:t>
              <w:br/>
              <w:t xml:space="preserve">on Vesting </w:t>
              <w:br/>
              <w:t xml:space="preserve">($) </w:t>
            </w:r>
          </w:p>
        </w:tc>
        <w:tc>
          <w:tcPr>
            <w:tcW w:w="162" w:type="dxa"/>
            <w:tcBorders/>
            <w:shd w:fill="000000"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894" w:type="dxa"/>
            <w:tcBorders>
              <w:bottom w:val="single" w:sz="6" w:space="0" w:color="000000"/>
            </w:tcBorders>
            <w:tcMar>
              <w:bottom w:w="145" w:type="dxa"/>
            </w:tcMar>
            <w:vAlign w:val="center"/>
          </w:tcPr>
          <w:p>
            <w:pPr>
              <w:pStyle w:val="TableContents"/>
              <w:bidi w:val="0"/>
              <w:spacing w:before="0" w:after="283"/>
              <w:jc w:val="left"/>
              <w:rPr/>
            </w:pPr>
            <w:r>
              <w:rPr/>
              <w:t xml:space="preserve">Peter Rawlinson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c>
          <w:tcPr>
            <w:tcW w:w="155" w:type="dxa"/>
            <w:tcBorders>
              <w:bottom w:val="single" w:sz="6" w:space="0" w:color="000000"/>
            </w:tcBorders>
            <w:tcMar>
              <w:bottom w:w="145" w:type="dxa"/>
            </w:tcMar>
            <w:vAlign w:val="center"/>
          </w:tcPr>
          <w:p>
            <w:pPr>
              <w:pStyle w:val="TableContents"/>
              <w:bidi w:val="0"/>
              <w:spacing w:before="0" w:after="283"/>
              <w:jc w:val="right"/>
              <w:rPr/>
            </w:pPr>
            <w:r>
              <w:rPr/>
              <w:t>​</w:t>
            </w:r>
          </w:p>
        </w:tc>
        <w:tc>
          <w:tcPr>
            <w:tcW w:w="1267" w:type="dxa"/>
            <w:tcBorders>
              <w:bottom w:val="single" w:sz="6" w:space="0" w:color="000000"/>
            </w:tcBorders>
            <w:tcMar>
              <w:bottom w:w="145" w:type="dxa"/>
            </w:tcMar>
            <w:vAlign w:val="center"/>
          </w:tcPr>
          <w:p>
            <w:pPr>
              <w:pStyle w:val="TableContents"/>
              <w:bidi w:val="0"/>
              <w:spacing w:before="0" w:after="283"/>
              <w:jc w:val="right"/>
              <w:rPr/>
            </w:pPr>
            <w:r>
              <w:rPr/>
              <w:t>180,723</w:t>
            </w:r>
          </w:p>
        </w:tc>
        <w:tc>
          <w:tcPr>
            <w:tcW w:w="155"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7" w:type="dxa"/>
            <w:tcBorders>
              <w:bottom w:val="single" w:sz="6" w:space="0" w:color="000000"/>
            </w:tcBorders>
            <w:vAlign w:val="center"/>
          </w:tcPr>
          <w:p>
            <w:pPr>
              <w:pStyle w:val="TableContents"/>
              <w:bidi w:val="0"/>
              <w:spacing w:before="0" w:after="283"/>
              <w:jc w:val="left"/>
              <w:rPr/>
            </w:pPr>
            <w:r>
              <w:rPr/>
              <w:t>​</w:t>
            </w:r>
          </w:p>
        </w:tc>
        <w:tc>
          <w:tcPr>
            <w:tcW w:w="117" w:type="dxa"/>
            <w:tcBorders>
              <w:bottom w:val="single" w:sz="6" w:space="0" w:color="000000"/>
            </w:tcBorders>
            <w:tcMar>
              <w:bottom w:w="145" w:type="dxa"/>
            </w:tcMar>
            <w:vAlign w:val="center"/>
          </w:tcPr>
          <w:p>
            <w:pPr>
              <w:pStyle w:val="TableContents"/>
              <w:bidi w:val="0"/>
              <w:spacing w:before="0" w:after="283"/>
              <w:jc w:val="right"/>
              <w:rPr/>
            </w:pPr>
            <w:r>
              <w:rPr/>
              <w:t>​</w:t>
            </w:r>
          </w:p>
        </w:tc>
        <w:tc>
          <w:tcPr>
            <w:tcW w:w="1083" w:type="dxa"/>
            <w:tcBorders>
              <w:bottom w:val="single" w:sz="6" w:space="0" w:color="000000"/>
            </w:tcBorders>
            <w:tcMar>
              <w:bottom w:w="145" w:type="dxa"/>
            </w:tcMar>
            <w:vAlign w:val="center"/>
          </w:tcPr>
          <w:p>
            <w:pPr>
              <w:pStyle w:val="TableContents"/>
              <w:bidi w:val="0"/>
              <w:spacing w:before="0" w:after="283"/>
              <w:jc w:val="right"/>
              <w:rPr/>
            </w:pPr>
            <w:r>
              <w:rPr/>
              <w:t>610,843</w:t>
            </w:r>
            <w:r>
              <w:rPr>
                <w:sz w:val="10"/>
              </w:rPr>
              <w:t>(1)</w:t>
            </w:r>
            <w:r>
              <w:rPr/>
              <w:t xml:space="preserve"> </w:t>
            </w:r>
          </w:p>
        </w:tc>
        <w:tc>
          <w:tcPr>
            <w:tcW w:w="117"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8" w:type="dxa"/>
            <w:tcBorders>
              <w:bottom w:val="single" w:sz="6" w:space="0" w:color="000000"/>
            </w:tcBorders>
            <w:vAlign w:val="center"/>
          </w:tcPr>
          <w:p>
            <w:pPr>
              <w:pStyle w:val="TableContents"/>
              <w:bidi w:val="0"/>
              <w:spacing w:before="0" w:after="283"/>
              <w:jc w:val="left"/>
              <w:rPr/>
            </w:pPr>
            <w:r>
              <w:rPr/>
              <w:t>​</w:t>
            </w:r>
          </w:p>
        </w:tc>
        <w:tc>
          <w:tcPr>
            <w:tcW w:w="128" w:type="dxa"/>
            <w:tcBorders>
              <w:bottom w:val="single" w:sz="6" w:space="0" w:color="000000"/>
            </w:tcBorders>
            <w:tcMar>
              <w:bottom w:w="145" w:type="dxa"/>
            </w:tcMar>
            <w:vAlign w:val="center"/>
          </w:tcPr>
          <w:p>
            <w:pPr>
              <w:pStyle w:val="TableContents"/>
              <w:bidi w:val="0"/>
              <w:spacing w:before="0" w:after="283"/>
              <w:jc w:val="right"/>
              <w:rPr/>
            </w:pPr>
            <w:r>
              <w:rPr/>
              <w:t>​</w:t>
            </w:r>
          </w:p>
        </w:tc>
        <w:tc>
          <w:tcPr>
            <w:tcW w:w="1263" w:type="dxa"/>
            <w:tcBorders>
              <w:bottom w:val="single" w:sz="6" w:space="0" w:color="000000"/>
            </w:tcBorders>
            <w:tcMar>
              <w:bottom w:w="145" w:type="dxa"/>
            </w:tcMar>
            <w:vAlign w:val="center"/>
          </w:tcPr>
          <w:p>
            <w:pPr>
              <w:pStyle w:val="TableContents"/>
              <w:bidi w:val="0"/>
              <w:spacing w:before="0" w:after="283"/>
              <w:jc w:val="right"/>
              <w:rPr/>
            </w:pPr>
            <w:r>
              <w:rPr/>
              <w:t>3,458,689</w:t>
            </w:r>
          </w:p>
        </w:tc>
        <w:tc>
          <w:tcPr>
            <w:tcW w:w="128"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293" w:type="dxa"/>
            <w:tcBorders>
              <w:bottom w:val="single" w:sz="6" w:space="0" w:color="000000"/>
            </w:tcBorders>
            <w:tcMar>
              <w:bottom w:w="145" w:type="dxa"/>
            </w:tcMar>
            <w:vAlign w:val="center"/>
          </w:tcPr>
          <w:p>
            <w:pPr>
              <w:pStyle w:val="TableContents"/>
              <w:bidi w:val="0"/>
              <w:spacing w:before="0" w:after="283"/>
              <w:jc w:val="right"/>
              <w:rPr/>
            </w:pPr>
            <w:r>
              <w:rPr/>
              <w:t>22,706,293</w:t>
            </w:r>
            <w:r>
              <w:rPr>
                <w:sz w:val="10"/>
              </w:rPr>
              <w:t>(2)</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62"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vAlign w:val="center"/>
          </w:tcPr>
          <w:p>
            <w:pPr>
              <w:pStyle w:val="TableContents"/>
              <w:bidi w:val="0"/>
              <w:spacing w:before="0" w:after="283"/>
              <w:jc w:val="left"/>
              <w:rPr/>
            </w:pPr>
            <w:r>
              <w:rPr/>
              <w:t>​</w:t>
            </w:r>
          </w:p>
        </w:tc>
        <w:tc>
          <w:tcPr>
            <w:tcW w:w="1894" w:type="dxa"/>
            <w:tcBorders>
              <w:bottom w:val="single" w:sz="6" w:space="0" w:color="000000"/>
            </w:tcBorders>
            <w:shd w:fill="F7F7F7" w:val="clear"/>
            <w:tcMar>
              <w:bottom w:w="145" w:type="dxa"/>
            </w:tcMar>
            <w:vAlign w:val="center"/>
          </w:tcPr>
          <w:p>
            <w:pPr>
              <w:pStyle w:val="TableContents"/>
              <w:bidi w:val="0"/>
              <w:spacing w:before="0" w:after="283"/>
              <w:jc w:val="left"/>
              <w:rPr/>
            </w:pPr>
            <w:r>
              <w:rPr/>
              <w:t xml:space="preserve">Gagan Dhingra </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55" w:type="dxa"/>
            <w:tcBorders>
              <w:bottom w:val="single" w:sz="6" w:space="0" w:color="000000"/>
            </w:tcBorders>
            <w:shd w:fill="F7F7F7" w:val="clear"/>
            <w:vAlign w:val="center"/>
          </w:tcPr>
          <w:p>
            <w:pPr>
              <w:pStyle w:val="TableContents"/>
              <w:bidi w:val="0"/>
              <w:spacing w:before="0" w:after="283"/>
              <w:jc w:val="left"/>
              <w:rPr/>
            </w:pPr>
            <w:r>
              <w:rPr/>
              <w:t>​</w:t>
            </w:r>
          </w:p>
        </w:tc>
        <w:tc>
          <w:tcPr>
            <w:tcW w:w="155"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267"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55"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17" w:type="dxa"/>
            <w:tcBorders>
              <w:bottom w:val="single" w:sz="6" w:space="0" w:color="000000"/>
            </w:tcBorders>
            <w:shd w:fill="F7F7F7" w:val="clear"/>
            <w:vAlign w:val="center"/>
          </w:tcPr>
          <w:p>
            <w:pPr>
              <w:pStyle w:val="TableContents"/>
              <w:bidi w:val="0"/>
              <w:spacing w:before="0" w:after="283"/>
              <w:jc w:val="left"/>
              <w:rPr/>
            </w:pPr>
            <w:r>
              <w:rPr/>
              <w:t>​</w:t>
            </w:r>
          </w:p>
        </w:tc>
        <w:tc>
          <w:tcPr>
            <w:tcW w:w="117"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083"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17"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28" w:type="dxa"/>
            <w:tcBorders>
              <w:bottom w:val="single" w:sz="6" w:space="0" w:color="000000"/>
            </w:tcBorders>
            <w:shd w:fill="F7F7F7" w:val="clear"/>
            <w:vAlign w:val="center"/>
          </w:tcPr>
          <w:p>
            <w:pPr>
              <w:pStyle w:val="TableContents"/>
              <w:bidi w:val="0"/>
              <w:spacing w:before="0" w:after="283"/>
              <w:jc w:val="left"/>
              <w:rPr/>
            </w:pPr>
            <w:r>
              <w:rPr/>
              <w:t>​</w:t>
            </w:r>
          </w:p>
        </w:tc>
        <w:tc>
          <w:tcPr>
            <w:tcW w:w="128"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263" w:type="dxa"/>
            <w:tcBorders>
              <w:bottom w:val="single" w:sz="6" w:space="0" w:color="000000"/>
            </w:tcBorders>
            <w:shd w:fill="F7F7F7" w:val="clear"/>
            <w:tcMar>
              <w:bottom w:w="145" w:type="dxa"/>
            </w:tcMar>
            <w:vAlign w:val="center"/>
          </w:tcPr>
          <w:p>
            <w:pPr>
              <w:pStyle w:val="TableContents"/>
              <w:bidi w:val="0"/>
              <w:spacing w:before="0" w:after="283"/>
              <w:jc w:val="right"/>
              <w:rPr/>
            </w:pPr>
            <w:r>
              <w:rPr/>
              <w:t>52,606</w:t>
            </w:r>
          </w:p>
        </w:tc>
        <w:tc>
          <w:tcPr>
            <w:tcW w:w="128"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293" w:type="dxa"/>
            <w:tcBorders>
              <w:bottom w:val="single" w:sz="6" w:space="0" w:color="000000"/>
            </w:tcBorders>
            <w:shd w:fill="F7F7F7" w:val="clear"/>
            <w:tcMar>
              <w:bottom w:w="145" w:type="dxa"/>
            </w:tcMar>
            <w:vAlign w:val="center"/>
          </w:tcPr>
          <w:p>
            <w:pPr>
              <w:pStyle w:val="TableContents"/>
              <w:bidi w:val="0"/>
              <w:spacing w:before="0" w:after="283"/>
              <w:jc w:val="right"/>
              <w:rPr/>
            </w:pPr>
            <w:r>
              <w:rPr/>
              <w:t>340,841</w:t>
            </w:r>
            <w:r>
              <w:rPr>
                <w:sz w:val="10"/>
              </w:rPr>
              <w:t>(3)</w:t>
            </w:r>
            <w:r>
              <w:rPr/>
              <w:t xml:space="preserve"> </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62" w:type="dxa"/>
            <w:tcBorders>
              <w:bottom w:val="single" w:sz="6" w:space="0" w:color="000000"/>
            </w:tcBorders>
            <w:shd w:fill="F7F7F7"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894" w:type="dxa"/>
            <w:tcBorders>
              <w:bottom w:val="single" w:sz="6" w:space="0" w:color="000000"/>
            </w:tcBorders>
            <w:tcMar>
              <w:bottom w:w="145" w:type="dxa"/>
            </w:tcMar>
            <w:vAlign w:val="center"/>
          </w:tcPr>
          <w:p>
            <w:pPr>
              <w:pStyle w:val="TableContents"/>
              <w:bidi w:val="0"/>
              <w:spacing w:before="0" w:after="283"/>
              <w:jc w:val="left"/>
              <w:rPr/>
            </w:pPr>
            <w:r>
              <w:rPr/>
              <w:t xml:space="preserve">Marc Winterhoff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c>
          <w:tcPr>
            <w:tcW w:w="155" w:type="dxa"/>
            <w:tcBorders>
              <w:bottom w:val="single" w:sz="6" w:space="0" w:color="000000"/>
            </w:tcBorders>
            <w:tcMar>
              <w:bottom w:w="145" w:type="dxa"/>
            </w:tcMar>
            <w:vAlign w:val="center"/>
          </w:tcPr>
          <w:p>
            <w:pPr>
              <w:pStyle w:val="TableContents"/>
              <w:bidi w:val="0"/>
              <w:spacing w:before="0" w:after="283"/>
              <w:jc w:val="right"/>
              <w:rPr/>
            </w:pPr>
            <w:r>
              <w:rPr/>
              <w:t>​</w:t>
            </w:r>
          </w:p>
        </w:tc>
        <w:tc>
          <w:tcPr>
            <w:tcW w:w="1267" w:type="dxa"/>
            <w:tcBorders>
              <w:bottom w:val="single" w:sz="6" w:space="0" w:color="000000"/>
            </w:tcBorders>
            <w:tcMar>
              <w:bottom w:w="145" w:type="dxa"/>
            </w:tcMar>
            <w:vAlign w:val="center"/>
          </w:tcPr>
          <w:p>
            <w:pPr>
              <w:pStyle w:val="TableContents"/>
              <w:bidi w:val="0"/>
              <w:spacing w:before="0" w:after="283"/>
              <w:jc w:val="right"/>
              <w:rPr/>
            </w:pPr>
            <w:r>
              <w:rPr/>
              <w:t>—</w:t>
            </w:r>
          </w:p>
        </w:tc>
        <w:tc>
          <w:tcPr>
            <w:tcW w:w="155"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7" w:type="dxa"/>
            <w:tcBorders>
              <w:bottom w:val="single" w:sz="6" w:space="0" w:color="000000"/>
            </w:tcBorders>
            <w:vAlign w:val="center"/>
          </w:tcPr>
          <w:p>
            <w:pPr>
              <w:pStyle w:val="TableContents"/>
              <w:bidi w:val="0"/>
              <w:spacing w:before="0" w:after="283"/>
              <w:jc w:val="left"/>
              <w:rPr/>
            </w:pPr>
            <w:r>
              <w:rPr/>
              <w:t>​</w:t>
            </w:r>
          </w:p>
        </w:tc>
        <w:tc>
          <w:tcPr>
            <w:tcW w:w="117" w:type="dxa"/>
            <w:tcBorders>
              <w:bottom w:val="single" w:sz="6" w:space="0" w:color="000000"/>
            </w:tcBorders>
            <w:tcMar>
              <w:bottom w:w="145" w:type="dxa"/>
            </w:tcMar>
            <w:vAlign w:val="center"/>
          </w:tcPr>
          <w:p>
            <w:pPr>
              <w:pStyle w:val="TableContents"/>
              <w:bidi w:val="0"/>
              <w:spacing w:before="0" w:after="283"/>
              <w:jc w:val="right"/>
              <w:rPr/>
            </w:pPr>
            <w:r>
              <w:rPr/>
              <w:t>​</w:t>
            </w:r>
          </w:p>
        </w:tc>
        <w:tc>
          <w:tcPr>
            <w:tcW w:w="1083" w:type="dxa"/>
            <w:tcBorders>
              <w:bottom w:val="single" w:sz="6" w:space="0" w:color="000000"/>
            </w:tcBorders>
            <w:tcMar>
              <w:bottom w:w="145" w:type="dxa"/>
            </w:tcMar>
            <w:vAlign w:val="center"/>
          </w:tcPr>
          <w:p>
            <w:pPr>
              <w:pStyle w:val="TableContents"/>
              <w:bidi w:val="0"/>
              <w:spacing w:before="0" w:after="283"/>
              <w:jc w:val="right"/>
              <w:rPr/>
            </w:pPr>
            <w:r>
              <w:rPr/>
              <w:t>—</w:t>
            </w:r>
          </w:p>
        </w:tc>
        <w:tc>
          <w:tcPr>
            <w:tcW w:w="117"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8" w:type="dxa"/>
            <w:tcBorders>
              <w:bottom w:val="single" w:sz="6" w:space="0" w:color="000000"/>
            </w:tcBorders>
            <w:vAlign w:val="center"/>
          </w:tcPr>
          <w:p>
            <w:pPr>
              <w:pStyle w:val="TableContents"/>
              <w:bidi w:val="0"/>
              <w:spacing w:before="0" w:after="283"/>
              <w:jc w:val="left"/>
              <w:rPr/>
            </w:pPr>
            <w:r>
              <w:rPr/>
              <w:t>​</w:t>
            </w:r>
          </w:p>
        </w:tc>
        <w:tc>
          <w:tcPr>
            <w:tcW w:w="128" w:type="dxa"/>
            <w:tcBorders>
              <w:bottom w:val="single" w:sz="6" w:space="0" w:color="000000"/>
            </w:tcBorders>
            <w:tcMar>
              <w:bottom w:w="145" w:type="dxa"/>
            </w:tcMar>
            <w:vAlign w:val="center"/>
          </w:tcPr>
          <w:p>
            <w:pPr>
              <w:pStyle w:val="TableContents"/>
              <w:bidi w:val="0"/>
              <w:spacing w:before="0" w:after="283"/>
              <w:jc w:val="right"/>
              <w:rPr/>
            </w:pPr>
            <w:r>
              <w:rPr/>
              <w:t>​</w:t>
            </w:r>
          </w:p>
        </w:tc>
        <w:tc>
          <w:tcPr>
            <w:tcW w:w="1263" w:type="dxa"/>
            <w:tcBorders>
              <w:bottom w:val="single" w:sz="6" w:space="0" w:color="000000"/>
            </w:tcBorders>
            <w:tcMar>
              <w:bottom w:w="145" w:type="dxa"/>
            </w:tcMar>
            <w:vAlign w:val="center"/>
          </w:tcPr>
          <w:p>
            <w:pPr>
              <w:pStyle w:val="TableContents"/>
              <w:bidi w:val="0"/>
              <w:spacing w:before="0" w:after="283"/>
              <w:jc w:val="right"/>
              <w:rPr/>
            </w:pPr>
            <w:r>
              <w:rPr/>
              <w:t>—</w:t>
            </w:r>
          </w:p>
        </w:tc>
        <w:tc>
          <w:tcPr>
            <w:tcW w:w="128"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293" w:type="dxa"/>
            <w:tcBorders>
              <w:bottom w:val="single" w:sz="6" w:space="0" w:color="000000"/>
            </w:tcBorders>
            <w:tcMar>
              <w:bottom w:w="145" w:type="dxa"/>
            </w:tcMar>
            <w:vAlign w:val="center"/>
          </w:tcPr>
          <w:p>
            <w:pPr>
              <w:pStyle w:val="TableContents"/>
              <w:bidi w:val="0"/>
              <w:spacing w:before="0" w:after="283"/>
              <w:jc w:val="righ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2"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vAlign w:val="center"/>
          </w:tcPr>
          <w:p>
            <w:pPr>
              <w:pStyle w:val="TableContents"/>
              <w:bidi w:val="0"/>
              <w:spacing w:before="0" w:after="283"/>
              <w:jc w:val="left"/>
              <w:rPr/>
            </w:pPr>
            <w:r>
              <w:rPr/>
              <w:t>​</w:t>
            </w:r>
          </w:p>
        </w:tc>
        <w:tc>
          <w:tcPr>
            <w:tcW w:w="1894" w:type="dxa"/>
            <w:tcBorders>
              <w:bottom w:val="single" w:sz="6" w:space="0" w:color="000000"/>
            </w:tcBorders>
            <w:shd w:fill="F7F7F7" w:val="clear"/>
            <w:tcMar>
              <w:bottom w:w="145" w:type="dxa"/>
            </w:tcMar>
            <w:vAlign w:val="center"/>
          </w:tcPr>
          <w:p>
            <w:pPr>
              <w:pStyle w:val="TableContents"/>
              <w:bidi w:val="0"/>
              <w:spacing w:before="0" w:after="283"/>
              <w:jc w:val="left"/>
              <w:rPr/>
            </w:pPr>
            <w:r>
              <w:rPr/>
              <w:t xml:space="preserve">Eric Bach </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55" w:type="dxa"/>
            <w:tcBorders>
              <w:bottom w:val="single" w:sz="6" w:space="0" w:color="000000"/>
            </w:tcBorders>
            <w:shd w:fill="F7F7F7" w:val="clear"/>
            <w:vAlign w:val="center"/>
          </w:tcPr>
          <w:p>
            <w:pPr>
              <w:pStyle w:val="TableContents"/>
              <w:bidi w:val="0"/>
              <w:spacing w:before="0" w:after="283"/>
              <w:jc w:val="left"/>
              <w:rPr/>
            </w:pPr>
            <w:r>
              <w:rPr/>
              <w:t>​</w:t>
            </w:r>
          </w:p>
        </w:tc>
        <w:tc>
          <w:tcPr>
            <w:tcW w:w="155"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267"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55"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17" w:type="dxa"/>
            <w:tcBorders>
              <w:bottom w:val="single" w:sz="6" w:space="0" w:color="000000"/>
            </w:tcBorders>
            <w:shd w:fill="F7F7F7" w:val="clear"/>
            <w:vAlign w:val="center"/>
          </w:tcPr>
          <w:p>
            <w:pPr>
              <w:pStyle w:val="TableContents"/>
              <w:bidi w:val="0"/>
              <w:spacing w:before="0" w:after="283"/>
              <w:jc w:val="left"/>
              <w:rPr/>
            </w:pPr>
            <w:r>
              <w:rPr/>
              <w:t>​</w:t>
            </w:r>
          </w:p>
        </w:tc>
        <w:tc>
          <w:tcPr>
            <w:tcW w:w="117"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083"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17"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28" w:type="dxa"/>
            <w:tcBorders>
              <w:bottom w:val="single" w:sz="6" w:space="0" w:color="000000"/>
            </w:tcBorders>
            <w:shd w:fill="F7F7F7" w:val="clear"/>
            <w:vAlign w:val="center"/>
          </w:tcPr>
          <w:p>
            <w:pPr>
              <w:pStyle w:val="TableContents"/>
              <w:bidi w:val="0"/>
              <w:spacing w:before="0" w:after="283"/>
              <w:jc w:val="left"/>
              <w:rPr/>
            </w:pPr>
            <w:r>
              <w:rPr/>
              <w:t>​</w:t>
            </w:r>
          </w:p>
        </w:tc>
        <w:tc>
          <w:tcPr>
            <w:tcW w:w="128"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263" w:type="dxa"/>
            <w:tcBorders>
              <w:bottom w:val="single" w:sz="6" w:space="0" w:color="000000"/>
            </w:tcBorders>
            <w:shd w:fill="F7F7F7" w:val="clear"/>
            <w:tcMar>
              <w:bottom w:w="145" w:type="dxa"/>
            </w:tcMar>
            <w:vAlign w:val="center"/>
          </w:tcPr>
          <w:p>
            <w:pPr>
              <w:pStyle w:val="TableContents"/>
              <w:bidi w:val="0"/>
              <w:spacing w:before="0" w:after="283"/>
              <w:jc w:val="right"/>
              <w:rPr/>
            </w:pPr>
            <w:r>
              <w:rPr/>
              <w:t>310,404</w:t>
            </w:r>
          </w:p>
        </w:tc>
        <w:tc>
          <w:tcPr>
            <w:tcW w:w="128"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293" w:type="dxa"/>
            <w:tcBorders>
              <w:bottom w:val="single" w:sz="6" w:space="0" w:color="000000"/>
            </w:tcBorders>
            <w:shd w:fill="F7F7F7" w:val="clear"/>
            <w:tcMar>
              <w:bottom w:w="145" w:type="dxa"/>
            </w:tcMar>
            <w:vAlign w:val="center"/>
          </w:tcPr>
          <w:p>
            <w:pPr>
              <w:pStyle w:val="TableContents"/>
              <w:bidi w:val="0"/>
              <w:spacing w:before="0" w:after="283"/>
              <w:jc w:val="right"/>
              <w:rPr/>
            </w:pPr>
            <w:r>
              <w:rPr/>
              <w:t>1,944,446</w:t>
            </w:r>
            <w:r>
              <w:rPr>
                <w:sz w:val="10"/>
              </w:rPr>
              <w:t>(4)</w:t>
            </w:r>
            <w:r>
              <w:rPr/>
              <w:t xml:space="preserve"> </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62" w:type="dxa"/>
            <w:tcBorders>
              <w:bottom w:val="single" w:sz="6" w:space="0" w:color="000000"/>
            </w:tcBorders>
            <w:shd w:fill="F7F7F7"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894" w:type="dxa"/>
            <w:tcBorders>
              <w:bottom w:val="single" w:sz="6" w:space="0" w:color="000000"/>
            </w:tcBorders>
            <w:tcMar>
              <w:bottom w:w="152" w:type="dxa"/>
            </w:tcMar>
            <w:vAlign w:val="center"/>
          </w:tcPr>
          <w:p>
            <w:pPr>
              <w:pStyle w:val="TableContents"/>
              <w:bidi w:val="0"/>
              <w:spacing w:before="0" w:after="283"/>
              <w:jc w:val="left"/>
              <w:rPr/>
            </w:pPr>
            <w:r>
              <w:rPr/>
              <w:t xml:space="preserve">Michael Bell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c>
          <w:tcPr>
            <w:tcW w:w="155" w:type="dxa"/>
            <w:tcBorders>
              <w:bottom w:val="single" w:sz="6" w:space="0" w:color="000000"/>
            </w:tcBorders>
            <w:tcMar>
              <w:bottom w:w="152" w:type="dxa"/>
            </w:tcMar>
            <w:vAlign w:val="center"/>
          </w:tcPr>
          <w:p>
            <w:pPr>
              <w:pStyle w:val="TableContents"/>
              <w:bidi w:val="0"/>
              <w:spacing w:before="0" w:after="283"/>
              <w:jc w:val="right"/>
              <w:rPr/>
            </w:pPr>
            <w:r>
              <w:rPr/>
              <w:t>​</w:t>
            </w:r>
          </w:p>
        </w:tc>
        <w:tc>
          <w:tcPr>
            <w:tcW w:w="1267" w:type="dxa"/>
            <w:tcBorders>
              <w:bottom w:val="single" w:sz="6" w:space="0" w:color="000000"/>
            </w:tcBorders>
            <w:tcMar>
              <w:bottom w:w="152" w:type="dxa"/>
            </w:tcMar>
            <w:vAlign w:val="center"/>
          </w:tcPr>
          <w:p>
            <w:pPr>
              <w:pStyle w:val="TableContents"/>
              <w:bidi w:val="0"/>
              <w:spacing w:before="0" w:after="283"/>
              <w:jc w:val="right"/>
              <w:rPr/>
            </w:pPr>
            <w:r>
              <w:rPr/>
              <w:t>—</w:t>
            </w:r>
          </w:p>
        </w:tc>
        <w:tc>
          <w:tcPr>
            <w:tcW w:w="155"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7" w:type="dxa"/>
            <w:tcBorders>
              <w:bottom w:val="single" w:sz="6" w:space="0" w:color="000000"/>
            </w:tcBorders>
            <w:vAlign w:val="center"/>
          </w:tcPr>
          <w:p>
            <w:pPr>
              <w:pStyle w:val="TableContents"/>
              <w:bidi w:val="0"/>
              <w:spacing w:before="0" w:after="283"/>
              <w:jc w:val="left"/>
              <w:rPr/>
            </w:pPr>
            <w:r>
              <w:rPr/>
              <w:t>​</w:t>
            </w:r>
          </w:p>
        </w:tc>
        <w:tc>
          <w:tcPr>
            <w:tcW w:w="117" w:type="dxa"/>
            <w:tcBorders>
              <w:bottom w:val="single" w:sz="6" w:space="0" w:color="000000"/>
            </w:tcBorders>
            <w:tcMar>
              <w:bottom w:w="152" w:type="dxa"/>
            </w:tcMar>
            <w:vAlign w:val="center"/>
          </w:tcPr>
          <w:p>
            <w:pPr>
              <w:pStyle w:val="TableContents"/>
              <w:bidi w:val="0"/>
              <w:spacing w:before="0" w:after="283"/>
              <w:jc w:val="right"/>
              <w:rPr/>
            </w:pPr>
            <w:r>
              <w:rPr/>
              <w:t>​</w:t>
            </w:r>
          </w:p>
        </w:tc>
        <w:tc>
          <w:tcPr>
            <w:tcW w:w="1083" w:type="dxa"/>
            <w:tcBorders>
              <w:bottom w:val="single" w:sz="6" w:space="0" w:color="000000"/>
            </w:tcBorders>
            <w:tcMar>
              <w:bottom w:w="152" w:type="dxa"/>
            </w:tcMar>
            <w:vAlign w:val="center"/>
          </w:tcPr>
          <w:p>
            <w:pPr>
              <w:pStyle w:val="TableContents"/>
              <w:bidi w:val="0"/>
              <w:spacing w:before="0" w:after="283"/>
              <w:jc w:val="right"/>
              <w:rPr/>
            </w:pPr>
            <w:r>
              <w:rPr/>
              <w:t>—</w:t>
            </w:r>
          </w:p>
        </w:tc>
        <w:tc>
          <w:tcPr>
            <w:tcW w:w="117"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8" w:type="dxa"/>
            <w:tcBorders>
              <w:bottom w:val="single" w:sz="6" w:space="0" w:color="000000"/>
            </w:tcBorders>
            <w:vAlign w:val="center"/>
          </w:tcPr>
          <w:p>
            <w:pPr>
              <w:pStyle w:val="TableContents"/>
              <w:bidi w:val="0"/>
              <w:spacing w:before="0" w:after="283"/>
              <w:jc w:val="left"/>
              <w:rPr/>
            </w:pPr>
            <w:r>
              <w:rPr/>
              <w:t>​</w:t>
            </w:r>
          </w:p>
        </w:tc>
        <w:tc>
          <w:tcPr>
            <w:tcW w:w="128" w:type="dxa"/>
            <w:tcBorders>
              <w:bottom w:val="single" w:sz="6" w:space="0" w:color="000000"/>
            </w:tcBorders>
            <w:tcMar>
              <w:bottom w:w="152" w:type="dxa"/>
            </w:tcMar>
            <w:vAlign w:val="center"/>
          </w:tcPr>
          <w:p>
            <w:pPr>
              <w:pStyle w:val="TableContents"/>
              <w:bidi w:val="0"/>
              <w:spacing w:before="0" w:after="283"/>
              <w:jc w:val="right"/>
              <w:rPr/>
            </w:pPr>
            <w:r>
              <w:rPr/>
              <w:t>​</w:t>
            </w:r>
          </w:p>
        </w:tc>
        <w:tc>
          <w:tcPr>
            <w:tcW w:w="1263" w:type="dxa"/>
            <w:tcBorders>
              <w:bottom w:val="single" w:sz="6" w:space="0" w:color="000000"/>
            </w:tcBorders>
            <w:tcMar>
              <w:bottom w:w="152" w:type="dxa"/>
            </w:tcMar>
            <w:vAlign w:val="center"/>
          </w:tcPr>
          <w:p>
            <w:pPr>
              <w:pStyle w:val="TableContents"/>
              <w:bidi w:val="0"/>
              <w:spacing w:before="0" w:after="283"/>
              <w:jc w:val="right"/>
              <w:rPr/>
            </w:pPr>
            <w:r>
              <w:rPr/>
              <w:t>475,655</w:t>
            </w:r>
          </w:p>
        </w:tc>
        <w:tc>
          <w:tcPr>
            <w:tcW w:w="128"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52" w:type="dxa"/>
            </w:tcMar>
            <w:vAlign w:val="center"/>
          </w:tcPr>
          <w:p>
            <w:pPr>
              <w:pStyle w:val="TableContents"/>
              <w:bidi w:val="0"/>
              <w:spacing w:before="0" w:after="283"/>
              <w:jc w:val="right"/>
              <w:rPr/>
            </w:pPr>
            <w:r>
              <w:rPr/>
              <w:t>​</w:t>
            </w:r>
          </w:p>
        </w:tc>
        <w:tc>
          <w:tcPr>
            <w:tcW w:w="1293" w:type="dxa"/>
            <w:tcBorders>
              <w:bottom w:val="single" w:sz="6" w:space="0" w:color="000000"/>
            </w:tcBorders>
            <w:tcMar>
              <w:bottom w:w="152" w:type="dxa"/>
            </w:tcMar>
            <w:vAlign w:val="center"/>
          </w:tcPr>
          <w:p>
            <w:pPr>
              <w:pStyle w:val="TableContents"/>
              <w:bidi w:val="0"/>
              <w:spacing w:before="0" w:after="283"/>
              <w:jc w:val="right"/>
              <w:rPr/>
            </w:pPr>
            <w:r>
              <w:rPr/>
              <w:t>3,029,317</w:t>
            </w:r>
            <w:r>
              <w:rPr>
                <w:sz w:val="10"/>
              </w:rPr>
              <w:t>(5)</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62"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vAlign w:val="center"/>
          </w:tcPr>
          <w:p>
            <w:pPr>
              <w:pStyle w:val="TableContents"/>
              <w:bidi w:val="0"/>
              <w:spacing w:before="0" w:after="283"/>
              <w:jc w:val="left"/>
              <w:rPr/>
            </w:pPr>
            <w:r>
              <w:rPr/>
              <w:t>​</w:t>
            </w:r>
          </w:p>
        </w:tc>
        <w:tc>
          <w:tcPr>
            <w:tcW w:w="1894" w:type="dxa"/>
            <w:tcBorders>
              <w:bottom w:val="single" w:sz="6" w:space="0" w:color="000000"/>
            </w:tcBorders>
            <w:shd w:fill="F7F7F7" w:val="clear"/>
            <w:tcMar>
              <w:bottom w:w="152" w:type="dxa"/>
            </w:tcMar>
            <w:vAlign w:val="center"/>
          </w:tcPr>
          <w:p>
            <w:pPr>
              <w:pStyle w:val="TableContents"/>
              <w:bidi w:val="0"/>
              <w:spacing w:before="0" w:after="283"/>
              <w:jc w:val="left"/>
              <w:rPr/>
            </w:pPr>
            <w:r>
              <w:rPr/>
              <w:t xml:space="preserve">Sherry House </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55" w:type="dxa"/>
            <w:tcBorders>
              <w:bottom w:val="single" w:sz="6" w:space="0" w:color="000000"/>
            </w:tcBorders>
            <w:shd w:fill="F7F7F7" w:val="clear"/>
            <w:vAlign w:val="center"/>
          </w:tcPr>
          <w:p>
            <w:pPr>
              <w:pStyle w:val="TableContents"/>
              <w:bidi w:val="0"/>
              <w:spacing w:before="0" w:after="283"/>
              <w:jc w:val="left"/>
              <w:rPr/>
            </w:pPr>
            <w:r>
              <w:rPr/>
              <w:t>​</w:t>
            </w:r>
          </w:p>
        </w:tc>
        <w:tc>
          <w:tcPr>
            <w:tcW w:w="155" w:type="dxa"/>
            <w:tcBorders>
              <w:bottom w:val="single" w:sz="6" w:space="0" w:color="000000"/>
            </w:tcBorders>
            <w:shd w:fill="F7F7F7" w:val="clear"/>
            <w:tcMar>
              <w:bottom w:w="152" w:type="dxa"/>
            </w:tcMar>
            <w:vAlign w:val="center"/>
          </w:tcPr>
          <w:p>
            <w:pPr>
              <w:pStyle w:val="TableContents"/>
              <w:bidi w:val="0"/>
              <w:spacing w:before="0" w:after="283"/>
              <w:jc w:val="right"/>
              <w:rPr/>
            </w:pPr>
            <w:r>
              <w:rPr/>
              <w:t>​</w:t>
            </w:r>
          </w:p>
        </w:tc>
        <w:tc>
          <w:tcPr>
            <w:tcW w:w="1267" w:type="dxa"/>
            <w:tcBorders>
              <w:bottom w:val="single" w:sz="6" w:space="0" w:color="000000"/>
            </w:tcBorders>
            <w:shd w:fill="F7F7F7" w:val="clear"/>
            <w:tcMar>
              <w:bottom w:w="152" w:type="dxa"/>
            </w:tcMar>
            <w:vAlign w:val="center"/>
          </w:tcPr>
          <w:p>
            <w:pPr>
              <w:pStyle w:val="TableContents"/>
              <w:bidi w:val="0"/>
              <w:spacing w:before="0" w:after="283"/>
              <w:jc w:val="right"/>
              <w:rPr/>
            </w:pPr>
            <w:r>
              <w:rPr/>
              <w:t>—</w:t>
            </w:r>
          </w:p>
        </w:tc>
        <w:tc>
          <w:tcPr>
            <w:tcW w:w="155"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17" w:type="dxa"/>
            <w:tcBorders>
              <w:bottom w:val="single" w:sz="6" w:space="0" w:color="000000"/>
            </w:tcBorders>
            <w:shd w:fill="F7F7F7" w:val="clear"/>
            <w:vAlign w:val="center"/>
          </w:tcPr>
          <w:p>
            <w:pPr>
              <w:pStyle w:val="TableContents"/>
              <w:bidi w:val="0"/>
              <w:spacing w:before="0" w:after="283"/>
              <w:jc w:val="left"/>
              <w:rPr/>
            </w:pPr>
            <w:r>
              <w:rPr/>
              <w:t>​</w:t>
            </w:r>
          </w:p>
        </w:tc>
        <w:tc>
          <w:tcPr>
            <w:tcW w:w="117" w:type="dxa"/>
            <w:tcBorders>
              <w:bottom w:val="single" w:sz="6" w:space="0" w:color="000000"/>
            </w:tcBorders>
            <w:shd w:fill="F7F7F7" w:val="clear"/>
            <w:tcMar>
              <w:bottom w:w="152" w:type="dxa"/>
            </w:tcMar>
            <w:vAlign w:val="center"/>
          </w:tcPr>
          <w:p>
            <w:pPr>
              <w:pStyle w:val="TableContents"/>
              <w:bidi w:val="0"/>
              <w:spacing w:before="0" w:after="283"/>
              <w:jc w:val="right"/>
              <w:rPr/>
            </w:pPr>
            <w:r>
              <w:rPr/>
              <w:t>​</w:t>
            </w:r>
          </w:p>
        </w:tc>
        <w:tc>
          <w:tcPr>
            <w:tcW w:w="1083" w:type="dxa"/>
            <w:tcBorders>
              <w:bottom w:val="single" w:sz="6" w:space="0" w:color="000000"/>
            </w:tcBorders>
            <w:shd w:fill="F7F7F7" w:val="clear"/>
            <w:tcMar>
              <w:bottom w:w="152" w:type="dxa"/>
            </w:tcMar>
            <w:vAlign w:val="center"/>
          </w:tcPr>
          <w:p>
            <w:pPr>
              <w:pStyle w:val="TableContents"/>
              <w:bidi w:val="0"/>
              <w:spacing w:before="0" w:after="283"/>
              <w:jc w:val="right"/>
              <w:rPr/>
            </w:pPr>
            <w:r>
              <w:rPr/>
              <w:t>—</w:t>
            </w:r>
          </w:p>
        </w:tc>
        <w:tc>
          <w:tcPr>
            <w:tcW w:w="117"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28" w:type="dxa"/>
            <w:tcBorders>
              <w:bottom w:val="single" w:sz="6" w:space="0" w:color="000000"/>
            </w:tcBorders>
            <w:shd w:fill="F7F7F7" w:val="clear"/>
            <w:vAlign w:val="center"/>
          </w:tcPr>
          <w:p>
            <w:pPr>
              <w:pStyle w:val="TableContents"/>
              <w:bidi w:val="0"/>
              <w:spacing w:before="0" w:after="283"/>
              <w:jc w:val="left"/>
              <w:rPr/>
            </w:pPr>
            <w:r>
              <w:rPr/>
              <w:t>​</w:t>
            </w:r>
          </w:p>
        </w:tc>
        <w:tc>
          <w:tcPr>
            <w:tcW w:w="128" w:type="dxa"/>
            <w:tcBorders>
              <w:bottom w:val="single" w:sz="6" w:space="0" w:color="000000"/>
            </w:tcBorders>
            <w:shd w:fill="F7F7F7" w:val="clear"/>
            <w:tcMar>
              <w:bottom w:w="152" w:type="dxa"/>
            </w:tcMar>
            <w:vAlign w:val="center"/>
          </w:tcPr>
          <w:p>
            <w:pPr>
              <w:pStyle w:val="TableContents"/>
              <w:bidi w:val="0"/>
              <w:spacing w:before="0" w:after="283"/>
              <w:jc w:val="right"/>
              <w:rPr/>
            </w:pPr>
            <w:r>
              <w:rPr/>
              <w:t>​</w:t>
            </w:r>
          </w:p>
        </w:tc>
        <w:tc>
          <w:tcPr>
            <w:tcW w:w="1263" w:type="dxa"/>
            <w:tcBorders>
              <w:bottom w:val="single" w:sz="6" w:space="0" w:color="000000"/>
            </w:tcBorders>
            <w:shd w:fill="F7F7F7" w:val="clear"/>
            <w:tcMar>
              <w:bottom w:w="152" w:type="dxa"/>
            </w:tcMar>
            <w:vAlign w:val="center"/>
          </w:tcPr>
          <w:p>
            <w:pPr>
              <w:pStyle w:val="TableContents"/>
              <w:bidi w:val="0"/>
              <w:spacing w:before="0" w:after="283"/>
              <w:jc w:val="right"/>
              <w:rPr/>
            </w:pPr>
            <w:r>
              <w:rPr/>
              <w:t>629,765</w:t>
            </w:r>
          </w:p>
        </w:tc>
        <w:tc>
          <w:tcPr>
            <w:tcW w:w="128"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52" w:type="dxa"/>
            </w:tcMar>
            <w:vAlign w:val="center"/>
          </w:tcPr>
          <w:p>
            <w:pPr>
              <w:pStyle w:val="TableContents"/>
              <w:bidi w:val="0"/>
              <w:spacing w:before="0" w:after="283"/>
              <w:jc w:val="right"/>
              <w:rPr/>
            </w:pPr>
            <w:r>
              <w:rPr/>
              <w:t>​</w:t>
            </w:r>
          </w:p>
        </w:tc>
        <w:tc>
          <w:tcPr>
            <w:tcW w:w="1293" w:type="dxa"/>
            <w:tcBorders>
              <w:bottom w:val="single" w:sz="6" w:space="0" w:color="000000"/>
            </w:tcBorders>
            <w:shd w:fill="F7F7F7" w:val="clear"/>
            <w:tcMar>
              <w:bottom w:w="152" w:type="dxa"/>
            </w:tcMar>
            <w:vAlign w:val="center"/>
          </w:tcPr>
          <w:p>
            <w:pPr>
              <w:pStyle w:val="TableContents"/>
              <w:bidi w:val="0"/>
              <w:spacing w:before="0" w:after="283"/>
              <w:jc w:val="right"/>
              <w:rPr/>
            </w:pPr>
            <w:r>
              <w:rPr/>
              <w:t>3,288,958</w:t>
            </w:r>
            <w:r>
              <w:rPr>
                <w:sz w:val="10"/>
              </w:rPr>
              <w:t>(6)</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62" w:type="dxa"/>
            <w:tcBorders>
              <w:bottom w:val="single" w:sz="6" w:space="0" w:color="000000"/>
            </w:tcBorders>
            <w:shd w:fill="F7F7F7" w:val="cle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4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Computed as the difference between the closing price of the underlying shares on the date of exercise and the exercise price of the options for Mr. Rawlinson, based on the following:</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215900" distB="0" distL="0" distR="0" simplePos="0" locked="0" layoutInCell="1" allowOverlap="1" relativeHeight="242">
                <wp:simplePos x="0" y="0"/>
                <wp:positionH relativeFrom="column">
                  <wp:align>left</wp:align>
                </wp:positionH>
                <wp:positionV relativeFrom="line">
                  <wp:align>top</wp:align>
                </wp:positionV>
                <wp:extent cx="81915" cy="270510"/>
                <wp:effectExtent l="0" t="0" r="0" b="0"/>
                <wp:wrapSquare wrapText="right"/>
                <wp:docPr id="234" name="Frame171"/>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(1)</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9485" w:type="dxa"/>
        <w:jc w:val="left"/>
        <w:tblInd w:w="720" w:type="dxa"/>
        <w:tblLayout w:type="fixed"/>
        <w:tblCellMar>
          <w:top w:w="0" w:type="dxa"/>
          <w:left w:w="0" w:type="dxa"/>
          <w:bottom w:w="0" w:type="dxa"/>
          <w:right w:w="0" w:type="dxa"/>
        </w:tblCellMar>
      </w:tblPr>
      <w:tblGrid>
        <w:gridCol w:w="124"/>
        <w:gridCol w:w="123"/>
        <w:gridCol w:w="123"/>
        <w:gridCol w:w="1210"/>
        <w:gridCol w:w="123"/>
        <w:gridCol w:w="109"/>
        <w:gridCol w:w="109"/>
        <w:gridCol w:w="109"/>
        <w:gridCol w:w="109"/>
        <w:gridCol w:w="1179"/>
        <w:gridCol w:w="109"/>
        <w:gridCol w:w="109"/>
        <w:gridCol w:w="109"/>
        <w:gridCol w:w="179"/>
        <w:gridCol w:w="179"/>
        <w:gridCol w:w="1462"/>
        <w:gridCol w:w="179"/>
        <w:gridCol w:w="109"/>
        <w:gridCol w:w="109"/>
        <w:gridCol w:w="141"/>
        <w:gridCol w:w="294"/>
        <w:gridCol w:w="1156"/>
        <w:gridCol w:w="141"/>
        <w:gridCol w:w="109"/>
        <w:gridCol w:w="109"/>
        <w:gridCol w:w="123"/>
        <w:gridCol w:w="256"/>
        <w:gridCol w:w="1007"/>
        <w:gridCol w:w="123"/>
        <w:gridCol w:w="164"/>
      </w:tblGrid>
      <w:tr>
        <w:trPr/>
        <w:tc>
          <w:tcPr>
            <w:tcW w:w="124" w:type="dxa"/>
            <w:tcBorders/>
            <w:shd w:fill="000000" w:val="clear"/>
            <w:vAlign w:val="center"/>
          </w:tcPr>
          <w:p>
            <w:pPr>
              <w:pStyle w:val="TableContents"/>
              <w:bidi w:val="0"/>
              <w:spacing w:before="0" w:after="283"/>
              <w:jc w:val="left"/>
              <w:rPr/>
            </w:pPr>
            <w:r>
              <w:rPr/>
              <w:t>​</w:t>
            </w:r>
          </w:p>
        </w:tc>
        <w:tc>
          <w:tcPr>
            <w:tcW w:w="1579" w:type="dxa"/>
            <w:gridSpan w:val="4"/>
            <w:tcBorders/>
            <w:shd w:fill="000000" w:val="clear"/>
            <w:vAlign w:val="center"/>
          </w:tcPr>
          <w:p>
            <w:pPr>
              <w:pStyle w:val="TableContents"/>
              <w:bidi w:val="0"/>
              <w:spacing w:before="0" w:after="0"/>
              <w:jc w:val="left"/>
              <w:rPr/>
            </w:pPr>
            <w:r>
              <w:rPr/>
              <w:t xml:space="preserve">Date of Award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06" w:type="dxa"/>
            <w:gridSpan w:val="4"/>
            <w:tcBorders/>
            <w:shd w:fill="000000" w:val="clear"/>
            <w:vAlign w:val="center"/>
          </w:tcPr>
          <w:p>
            <w:pPr>
              <w:pStyle w:val="TableContents"/>
              <w:bidi w:val="0"/>
              <w:spacing w:before="0" w:after="0"/>
              <w:jc w:val="center"/>
              <w:rPr/>
            </w:pPr>
            <w:r>
              <w:rPr/>
              <w:t xml:space="preserve">Exercise Date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999" w:type="dxa"/>
            <w:gridSpan w:val="4"/>
            <w:tcBorders/>
            <w:shd w:fill="000000" w:val="clear"/>
            <w:vAlign w:val="center"/>
          </w:tcPr>
          <w:p>
            <w:pPr>
              <w:pStyle w:val="TableContents"/>
              <w:bidi w:val="0"/>
              <w:spacing w:before="0" w:after="0"/>
              <w:jc w:val="center"/>
              <w:rPr/>
            </w:pPr>
            <w:r>
              <w:rPr/>
              <w:t xml:space="preserve">Number of Options </w:t>
              <w:br/>
              <w:t xml:space="preserve">Exercised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732" w:type="dxa"/>
            <w:gridSpan w:val="4"/>
            <w:tcBorders/>
            <w:shd w:fill="000000" w:val="clear"/>
            <w:vAlign w:val="center"/>
          </w:tcPr>
          <w:p>
            <w:pPr>
              <w:pStyle w:val="TableContents"/>
              <w:bidi w:val="0"/>
              <w:spacing w:before="0" w:after="0"/>
              <w:jc w:val="center"/>
              <w:rPr/>
            </w:pPr>
            <w:r>
              <w:rPr/>
              <w:t xml:space="preserve">Aggregate </w:t>
              <w:br/>
              <w:t xml:space="preserve">Closing Price on </w:t>
              <w:br/>
              <w:t xml:space="preserve">Exercise Date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09" w:type="dxa"/>
            <w:gridSpan w:val="4"/>
            <w:tcBorders/>
            <w:shd w:fill="000000" w:val="clear"/>
            <w:vAlign w:val="center"/>
          </w:tcPr>
          <w:p>
            <w:pPr>
              <w:pStyle w:val="TableContents"/>
              <w:bidi w:val="0"/>
              <w:spacing w:before="0" w:after="0"/>
              <w:jc w:val="center"/>
              <w:rPr/>
            </w:pPr>
            <w:r>
              <w:rPr/>
              <w:t xml:space="preserve">Aggregate </w:t>
              <w:br/>
              <w:t xml:space="preserve">Exercise Price </w:t>
            </w:r>
          </w:p>
        </w:tc>
        <w:tc>
          <w:tcPr>
            <w:tcW w:w="164"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23" w:type="dxa"/>
            <w:tcBorders>
              <w:bottom w:val="single" w:sz="6" w:space="0" w:color="000000"/>
            </w:tcBorders>
            <w:tcMar>
              <w:bottom w:w="28" w:type="dxa"/>
            </w:tcMar>
            <w:vAlign w:val="center"/>
          </w:tcPr>
          <w:p>
            <w:pPr>
              <w:pStyle w:val="TableContents"/>
              <w:bidi w:val="0"/>
              <w:spacing w:before="0" w:after="283"/>
              <w:jc w:val="left"/>
              <w:rPr/>
            </w:pPr>
            <w:r>
              <w:rPr/>
              <w:t>​</w:t>
            </w:r>
          </w:p>
        </w:tc>
        <w:tc>
          <w:tcPr>
            <w:tcW w:w="123" w:type="dxa"/>
            <w:tcBorders>
              <w:bottom w:val="single" w:sz="6" w:space="0" w:color="000000"/>
            </w:tcBorders>
            <w:tcMar>
              <w:bottom w:w="153" w:type="dxa"/>
            </w:tcMar>
            <w:vAlign w:val="center"/>
          </w:tcPr>
          <w:p>
            <w:pPr>
              <w:pStyle w:val="TableContents"/>
              <w:bidi w:val="0"/>
              <w:spacing w:before="0" w:after="283"/>
              <w:jc w:val="right"/>
              <w:rPr/>
            </w:pPr>
            <w:r>
              <w:rPr/>
              <w:t>​</w:t>
            </w:r>
          </w:p>
        </w:tc>
        <w:tc>
          <w:tcPr>
            <w:tcW w:w="1210" w:type="dxa"/>
            <w:tcBorders>
              <w:bottom w:val="single" w:sz="6" w:space="0" w:color="000000"/>
            </w:tcBorders>
            <w:tcMar>
              <w:bottom w:w="153" w:type="dxa"/>
            </w:tcMar>
            <w:vAlign w:val="center"/>
          </w:tcPr>
          <w:p>
            <w:pPr>
              <w:pStyle w:val="TableContents"/>
              <w:bidi w:val="0"/>
              <w:spacing w:before="0" w:after="283"/>
              <w:jc w:val="right"/>
              <w:rPr/>
            </w:pPr>
            <w:r>
              <w:rPr/>
              <w:t>4/22/2019</w:t>
            </w:r>
          </w:p>
        </w:tc>
        <w:tc>
          <w:tcPr>
            <w:tcW w:w="123"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53" w:type="dxa"/>
            </w:tcMar>
            <w:vAlign w:val="center"/>
          </w:tcPr>
          <w:p>
            <w:pPr>
              <w:pStyle w:val="TableContents"/>
              <w:bidi w:val="0"/>
              <w:spacing w:before="0" w:after="283"/>
              <w:jc w:val="right"/>
              <w:rPr/>
            </w:pPr>
            <w:r>
              <w:rPr/>
              <w:t>​</w:t>
            </w:r>
          </w:p>
        </w:tc>
        <w:tc>
          <w:tcPr>
            <w:tcW w:w="1179" w:type="dxa"/>
            <w:tcBorders>
              <w:bottom w:val="single" w:sz="6" w:space="0" w:color="000000"/>
            </w:tcBorders>
            <w:tcMar>
              <w:bottom w:w="153" w:type="dxa"/>
            </w:tcMar>
            <w:vAlign w:val="center"/>
          </w:tcPr>
          <w:p>
            <w:pPr>
              <w:pStyle w:val="TableContents"/>
              <w:bidi w:val="0"/>
              <w:spacing w:before="0" w:after="283"/>
              <w:jc w:val="right"/>
              <w:rPr/>
            </w:pPr>
            <w:r>
              <w:rPr/>
              <w:t>12/29/2023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79" w:type="dxa"/>
            <w:tcBorders>
              <w:bottom w:val="single" w:sz="6" w:space="0" w:color="000000"/>
            </w:tcBorders>
            <w:tcMar>
              <w:bottom w:w="28" w:type="dxa"/>
            </w:tcMar>
            <w:vAlign w:val="center"/>
          </w:tcPr>
          <w:p>
            <w:pPr>
              <w:pStyle w:val="TableContents"/>
              <w:bidi w:val="0"/>
              <w:spacing w:before="0" w:after="283"/>
              <w:jc w:val="left"/>
              <w:rPr/>
            </w:pPr>
            <w:r>
              <w:rPr/>
              <w:t>​</w:t>
            </w:r>
          </w:p>
        </w:tc>
        <w:tc>
          <w:tcPr>
            <w:tcW w:w="179" w:type="dxa"/>
            <w:tcBorders>
              <w:bottom w:val="single" w:sz="6" w:space="0" w:color="000000"/>
            </w:tcBorders>
            <w:tcMar>
              <w:bottom w:w="153" w:type="dxa"/>
            </w:tcMar>
            <w:vAlign w:val="center"/>
          </w:tcPr>
          <w:p>
            <w:pPr>
              <w:pStyle w:val="TableContents"/>
              <w:bidi w:val="0"/>
              <w:spacing w:before="0" w:after="283"/>
              <w:jc w:val="right"/>
              <w:rPr/>
            </w:pPr>
            <w:r>
              <w:rPr/>
              <w:t>​</w:t>
            </w:r>
          </w:p>
        </w:tc>
        <w:tc>
          <w:tcPr>
            <w:tcW w:w="1462" w:type="dxa"/>
            <w:tcBorders>
              <w:bottom w:val="single" w:sz="6" w:space="0" w:color="000000"/>
            </w:tcBorders>
            <w:tcMar>
              <w:bottom w:w="153" w:type="dxa"/>
            </w:tcMar>
            <w:vAlign w:val="center"/>
          </w:tcPr>
          <w:p>
            <w:pPr>
              <w:pStyle w:val="TableContents"/>
              <w:bidi w:val="0"/>
              <w:spacing w:before="0" w:after="283"/>
              <w:jc w:val="right"/>
              <w:rPr/>
            </w:pPr>
            <w:r>
              <w:rPr/>
              <w:t>180,723</w:t>
            </w:r>
          </w:p>
        </w:tc>
        <w:tc>
          <w:tcPr>
            <w:tcW w:w="17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1" w:type="dxa"/>
            <w:tcBorders>
              <w:bottom w:val="single" w:sz="6" w:space="0" w:color="000000"/>
            </w:tcBorders>
            <w:tcMar>
              <w:bottom w:w="28" w:type="dxa"/>
            </w:tcMar>
            <w:vAlign w:val="center"/>
          </w:tcPr>
          <w:p>
            <w:pPr>
              <w:pStyle w:val="TableContents"/>
              <w:bidi w:val="0"/>
              <w:spacing w:before="0" w:after="283"/>
              <w:jc w:val="left"/>
              <w:rPr/>
            </w:pPr>
            <w:r>
              <w:rPr/>
              <w:t>​</w:t>
            </w:r>
          </w:p>
        </w:tc>
        <w:tc>
          <w:tcPr>
            <w:tcW w:w="294" w:type="dxa"/>
            <w:tcBorders>
              <w:bottom w:val="single" w:sz="6" w:space="0" w:color="000000"/>
            </w:tcBorders>
            <w:tcMar>
              <w:bottom w:w="153" w:type="dxa"/>
            </w:tcMar>
            <w:vAlign w:val="center"/>
          </w:tcPr>
          <w:p>
            <w:pPr>
              <w:pStyle w:val="TableContents"/>
              <w:bidi w:val="0"/>
              <w:spacing w:before="0" w:after="283"/>
              <w:jc w:val="right"/>
              <w:rPr/>
            </w:pPr>
            <w:r>
              <w:rPr/>
              <w:t>$</w:t>
            </w:r>
          </w:p>
        </w:tc>
        <w:tc>
          <w:tcPr>
            <w:tcW w:w="1156" w:type="dxa"/>
            <w:tcBorders>
              <w:bottom w:val="single" w:sz="6" w:space="0" w:color="000000"/>
            </w:tcBorders>
            <w:tcMar>
              <w:bottom w:w="153" w:type="dxa"/>
            </w:tcMar>
            <w:vAlign w:val="center"/>
          </w:tcPr>
          <w:p>
            <w:pPr>
              <w:pStyle w:val="TableContents"/>
              <w:bidi w:val="0"/>
              <w:spacing w:before="0" w:after="283"/>
              <w:jc w:val="right"/>
              <w:rPr/>
            </w:pPr>
            <w:r>
              <w:rPr/>
              <w:t>760,843</w:t>
            </w:r>
          </w:p>
        </w:tc>
        <w:tc>
          <w:tcPr>
            <w:tcW w:w="14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3" w:type="dxa"/>
            <w:tcBorders>
              <w:bottom w:val="single" w:sz="6" w:space="0" w:color="000000"/>
            </w:tcBorders>
            <w:tcMar>
              <w:bottom w:w="28" w:type="dxa"/>
            </w:tcMar>
            <w:vAlign w:val="center"/>
          </w:tcPr>
          <w:p>
            <w:pPr>
              <w:pStyle w:val="TableContents"/>
              <w:bidi w:val="0"/>
              <w:spacing w:before="0" w:after="283"/>
              <w:jc w:val="left"/>
              <w:rPr/>
            </w:pPr>
            <w:r>
              <w:rPr/>
              <w:t>​</w:t>
            </w:r>
          </w:p>
        </w:tc>
        <w:tc>
          <w:tcPr>
            <w:tcW w:w="256" w:type="dxa"/>
            <w:tcBorders>
              <w:bottom w:val="single" w:sz="6" w:space="0" w:color="000000"/>
            </w:tcBorders>
            <w:tcMar>
              <w:bottom w:w="153" w:type="dxa"/>
            </w:tcMar>
            <w:vAlign w:val="center"/>
          </w:tcPr>
          <w:p>
            <w:pPr>
              <w:pStyle w:val="TableContents"/>
              <w:bidi w:val="0"/>
              <w:spacing w:before="0" w:after="283"/>
              <w:jc w:val="right"/>
              <w:rPr/>
            </w:pPr>
            <w:r>
              <w:rPr/>
              <w:t>$</w:t>
            </w:r>
          </w:p>
        </w:tc>
        <w:tc>
          <w:tcPr>
            <w:tcW w:w="1007" w:type="dxa"/>
            <w:tcBorders>
              <w:bottom w:val="single" w:sz="6" w:space="0" w:color="000000"/>
            </w:tcBorders>
            <w:tcMar>
              <w:bottom w:w="153" w:type="dxa"/>
            </w:tcMar>
            <w:vAlign w:val="center"/>
          </w:tcPr>
          <w:p>
            <w:pPr>
              <w:pStyle w:val="TableContents"/>
              <w:bidi w:val="0"/>
              <w:spacing w:before="0" w:after="283"/>
              <w:jc w:val="right"/>
              <w:rPr/>
            </w:pPr>
            <w:r>
              <w:rPr/>
              <w:t>150,000</w:t>
            </w:r>
          </w:p>
        </w:tc>
        <w:tc>
          <w:tcPr>
            <w:tcW w:w="123" w:type="dxa"/>
            <w:tcBorders>
              <w:bottom w:val="single" w:sz="6" w:space="0" w:color="000000"/>
            </w:tcBorders>
            <w:tcMar>
              <w:bottom w:w="28" w:type="dxa"/>
            </w:tcMar>
            <w:vAlign w:val="center"/>
          </w:tcPr>
          <w:p>
            <w:pPr>
              <w:pStyle w:val="TableContents"/>
              <w:bidi w:val="0"/>
              <w:spacing w:before="0" w:after="283"/>
              <w:jc w:val="left"/>
              <w:rPr/>
            </w:pPr>
            <w:r>
              <w:rPr/>
              <w:t>​</w:t>
            </w:r>
          </w:p>
        </w:tc>
        <w:tc>
          <w:tcPr>
            <w:tcW w:w="164"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2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Computed as the aggregate dollar amount realized upon the vesting of CEO Time-Based RSUs, determined by multiplying the number of units that vested as of the applicable vesting date by the closing price of our Common Stock on the trading day prior to the applicable vesting date, as follows:</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203200" distB="0" distL="0" distR="0" simplePos="0" locked="0" layoutInCell="1" allowOverlap="1" relativeHeight="243">
                <wp:simplePos x="0" y="0"/>
                <wp:positionH relativeFrom="column">
                  <wp:align>left</wp:align>
                </wp:positionH>
                <wp:positionV relativeFrom="line">
                  <wp:align>top</wp:align>
                </wp:positionV>
                <wp:extent cx="81915" cy="270510"/>
                <wp:effectExtent l="0" t="0" r="0" b="0"/>
                <wp:wrapSquare wrapText="right"/>
                <wp:docPr id="235" name="Frame172"/>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(2)</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(2)</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8491" w:type="dxa"/>
        <w:jc w:val="left"/>
        <w:tblInd w:w="720" w:type="dxa"/>
        <w:tblLayout w:type="fixed"/>
        <w:tblCellMar>
          <w:top w:w="0" w:type="dxa"/>
          <w:left w:w="0" w:type="dxa"/>
          <w:bottom w:w="0" w:type="dxa"/>
          <w:right w:w="0" w:type="dxa"/>
        </w:tblCellMar>
      </w:tblPr>
      <w:tblGrid>
        <w:gridCol w:w="124"/>
        <w:gridCol w:w="136"/>
        <w:gridCol w:w="136"/>
        <w:gridCol w:w="1182"/>
        <w:gridCol w:w="136"/>
        <w:gridCol w:w="109"/>
        <w:gridCol w:w="109"/>
        <w:gridCol w:w="109"/>
        <w:gridCol w:w="109"/>
        <w:gridCol w:w="1186"/>
        <w:gridCol w:w="109"/>
        <w:gridCol w:w="109"/>
        <w:gridCol w:w="109"/>
        <w:gridCol w:w="121"/>
        <w:gridCol w:w="121"/>
        <w:gridCol w:w="986"/>
        <w:gridCol w:w="121"/>
        <w:gridCol w:w="109"/>
        <w:gridCol w:w="109"/>
        <w:gridCol w:w="155"/>
        <w:gridCol w:w="321"/>
        <w:gridCol w:w="748"/>
        <w:gridCol w:w="155"/>
        <w:gridCol w:w="109"/>
        <w:gridCol w:w="109"/>
        <w:gridCol w:w="109"/>
        <w:gridCol w:w="226"/>
        <w:gridCol w:w="1066"/>
        <w:gridCol w:w="109"/>
        <w:gridCol w:w="154"/>
      </w:tblGrid>
      <w:tr>
        <w:trPr/>
        <w:tc>
          <w:tcPr>
            <w:tcW w:w="124" w:type="dxa"/>
            <w:tcBorders/>
            <w:shd w:fill="000000" w:val="clear"/>
            <w:vAlign w:val="center"/>
          </w:tcPr>
          <w:p>
            <w:pPr>
              <w:pStyle w:val="TableContents"/>
              <w:bidi w:val="0"/>
              <w:spacing w:before="0" w:after="283"/>
              <w:jc w:val="left"/>
              <w:rPr/>
            </w:pPr>
            <w:r>
              <w:rPr/>
              <w:t>​</w:t>
            </w:r>
          </w:p>
        </w:tc>
        <w:tc>
          <w:tcPr>
            <w:tcW w:w="1590" w:type="dxa"/>
            <w:gridSpan w:val="4"/>
            <w:tcBorders/>
            <w:shd w:fill="000000" w:val="clear"/>
            <w:vAlign w:val="center"/>
          </w:tcPr>
          <w:p>
            <w:pPr>
              <w:pStyle w:val="TableContents"/>
              <w:bidi w:val="0"/>
              <w:spacing w:before="0" w:after="0"/>
              <w:jc w:val="left"/>
              <w:rPr/>
            </w:pPr>
            <w:r>
              <w:rPr/>
              <w:t xml:space="preserve">Date of Award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13" w:type="dxa"/>
            <w:gridSpan w:val="4"/>
            <w:tcBorders/>
            <w:shd w:fill="000000" w:val="clear"/>
            <w:vAlign w:val="center"/>
          </w:tcPr>
          <w:p>
            <w:pPr>
              <w:pStyle w:val="TableContents"/>
              <w:bidi w:val="0"/>
              <w:spacing w:before="0" w:after="0"/>
              <w:jc w:val="center"/>
              <w:rPr/>
            </w:pPr>
            <w:r>
              <w:rPr/>
              <w:t xml:space="preserve">Vesting Date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49" w:type="dxa"/>
            <w:gridSpan w:val="4"/>
            <w:tcBorders/>
            <w:shd w:fill="000000" w:val="clear"/>
            <w:vAlign w:val="center"/>
          </w:tcPr>
          <w:p>
            <w:pPr>
              <w:pStyle w:val="TableContents"/>
              <w:bidi w:val="0"/>
              <w:spacing w:before="0" w:after="0"/>
              <w:jc w:val="center"/>
              <w:rPr/>
            </w:pPr>
            <w:r>
              <w:rPr/>
              <w:t xml:space="preserve">Number of </w:t>
              <w:br/>
              <w:t xml:space="preserve">Shares </w:t>
              <w:br/>
              <w:t xml:space="preserve">Acquired on </w:t>
              <w:br/>
              <w:t xml:space="preserve">Vesting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79" w:type="dxa"/>
            <w:gridSpan w:val="4"/>
            <w:tcBorders/>
            <w:shd w:fill="000000" w:val="clear"/>
            <w:vAlign w:val="center"/>
          </w:tcPr>
          <w:p>
            <w:pPr>
              <w:pStyle w:val="TableContents"/>
              <w:bidi w:val="0"/>
              <w:spacing w:before="0" w:after="0"/>
              <w:jc w:val="center"/>
              <w:rPr/>
            </w:pPr>
            <w:r>
              <w:rPr/>
              <w:t xml:space="preserve">Market Price </w:t>
              <w:br/>
              <w:t xml:space="preserve">at Vesting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10" w:type="dxa"/>
            <w:gridSpan w:val="4"/>
            <w:tcBorders/>
            <w:shd w:fill="000000" w:val="clear"/>
            <w:vAlign w:val="center"/>
          </w:tcPr>
          <w:p>
            <w:pPr>
              <w:pStyle w:val="TableContents"/>
              <w:bidi w:val="0"/>
              <w:spacing w:before="0" w:after="0"/>
              <w:jc w:val="center"/>
              <w:rPr/>
            </w:pPr>
            <w:r>
              <w:rPr/>
              <w:t xml:space="preserve">Value </w:t>
              <w:br/>
              <w:t xml:space="preserve">Realized </w:t>
              <w:br/>
              <w:t xml:space="preserve">on Vesting </w:t>
            </w:r>
          </w:p>
        </w:tc>
        <w:tc>
          <w:tcPr>
            <w:tcW w:w="154" w:type="dxa"/>
            <w:tcBorders/>
            <w:shd w:fill="000000" w:val="clear"/>
            <w:vAlign w:val="center"/>
          </w:tcPr>
          <w:p>
            <w:pPr>
              <w:pStyle w:val="TableContents"/>
              <w:bidi w:val="0"/>
              <w:spacing w:before="0" w:after="283"/>
              <w:jc w:val="left"/>
              <w:rPr/>
            </w:pPr>
            <w:r>
              <w:rPr/>
              <w:t>​</w:t>
            </w:r>
          </w:p>
        </w:tc>
      </w:tr>
      <w:tr>
        <w:trPr/>
        <w:tc>
          <w:tcPr>
            <w:tcW w:w="124"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36"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36" w:type="dxa"/>
            <w:vMerge w:val="restart"/>
            <w:tcBorders>
              <w:bottom w:val="single" w:sz="6" w:space="0" w:color="000000"/>
            </w:tcBorders>
            <w:tcMar>
              <w:bottom w:w="145" w:type="dxa"/>
            </w:tcMar>
            <w:vAlign w:val="center"/>
          </w:tcPr>
          <w:p>
            <w:pPr>
              <w:pStyle w:val="TableContents"/>
              <w:bidi w:val="0"/>
              <w:spacing w:before="0" w:after="283"/>
              <w:jc w:val="right"/>
              <w:rPr/>
            </w:pPr>
            <w:r>
              <w:rPr/>
              <w:t>​</w:t>
            </w:r>
          </w:p>
        </w:tc>
        <w:tc>
          <w:tcPr>
            <w:tcW w:w="1182" w:type="dxa"/>
            <w:vMerge w:val="restart"/>
            <w:tcBorders>
              <w:bottom w:val="single" w:sz="6" w:space="0" w:color="000000"/>
            </w:tcBorders>
            <w:tcMar>
              <w:bottom w:w="145" w:type="dxa"/>
            </w:tcMar>
            <w:vAlign w:val="center"/>
          </w:tcPr>
          <w:p>
            <w:pPr>
              <w:pStyle w:val="TableContents"/>
              <w:bidi w:val="0"/>
              <w:spacing w:before="0" w:after="283"/>
              <w:jc w:val="right"/>
              <w:rPr/>
            </w:pPr>
            <w:r>
              <w:rPr/>
              <w:t>03/27/21</w:t>
            </w:r>
          </w:p>
        </w:tc>
        <w:tc>
          <w:tcPr>
            <w:tcW w:w="136"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lineRule="atLeast" w:line="180" w:before="0" w:after="283"/>
              <w:jc w:val="right"/>
              <w:rPr/>
            </w:pPr>
            <w:r>
              <w:rPr/>
              <w:t>​</w:t>
            </w:r>
          </w:p>
        </w:tc>
        <w:tc>
          <w:tcPr>
            <w:tcW w:w="1186" w:type="dxa"/>
            <w:tcBorders>
              <w:bottom w:val="single" w:sz="6" w:space="0" w:color="000000"/>
            </w:tcBorders>
            <w:tcMar>
              <w:bottom w:w="145" w:type="dxa"/>
            </w:tcMar>
            <w:vAlign w:val="center"/>
          </w:tcPr>
          <w:p>
            <w:pPr>
              <w:pStyle w:val="TableContents"/>
              <w:bidi w:val="0"/>
              <w:spacing w:lineRule="atLeast" w:line="180" w:before="0" w:after="283"/>
              <w:jc w:val="right"/>
              <w:rPr/>
            </w:pPr>
            <w:r>
              <w:rPr/>
              <w:t>03/05/2023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1" w:type="dxa"/>
            <w:tcBorders>
              <w:bottom w:val="single" w:sz="6" w:space="0" w:color="000000"/>
            </w:tcBorders>
            <w:tcMar>
              <w:bottom w:w="28" w:type="dxa"/>
            </w:tcMar>
            <w:vAlign w:val="center"/>
          </w:tcPr>
          <w:p>
            <w:pPr>
              <w:pStyle w:val="TableContents"/>
              <w:bidi w:val="0"/>
              <w:spacing w:before="0" w:after="283"/>
              <w:jc w:val="left"/>
              <w:rPr/>
            </w:pPr>
            <w:r>
              <w:rPr/>
              <w:t>​</w:t>
            </w:r>
          </w:p>
        </w:tc>
        <w:tc>
          <w:tcPr>
            <w:tcW w:w="121" w:type="dxa"/>
            <w:tcBorders>
              <w:bottom w:val="single" w:sz="6" w:space="0" w:color="000000"/>
            </w:tcBorders>
            <w:tcMar>
              <w:bottom w:w="145" w:type="dxa"/>
            </w:tcMar>
            <w:vAlign w:val="center"/>
          </w:tcPr>
          <w:p>
            <w:pPr>
              <w:pStyle w:val="TableContents"/>
              <w:bidi w:val="0"/>
              <w:spacing w:lineRule="atLeast" w:line="180" w:before="0" w:after="283"/>
              <w:jc w:val="right"/>
              <w:rPr/>
            </w:pPr>
            <w:r>
              <w:rPr/>
              <w:t>​</w:t>
            </w:r>
          </w:p>
        </w:tc>
        <w:tc>
          <w:tcPr>
            <w:tcW w:w="986" w:type="dxa"/>
            <w:tcBorders>
              <w:bottom w:val="single" w:sz="6" w:space="0" w:color="000000"/>
            </w:tcBorders>
            <w:tcMar>
              <w:bottom w:w="145" w:type="dxa"/>
            </w:tcMar>
            <w:vAlign w:val="center"/>
          </w:tcPr>
          <w:p>
            <w:pPr>
              <w:pStyle w:val="TableContents"/>
              <w:bidi w:val="0"/>
              <w:spacing w:lineRule="atLeast" w:line="180" w:before="0" w:after="283"/>
              <w:jc w:val="right"/>
              <w:rPr/>
            </w:pPr>
            <w:r>
              <w:rPr/>
              <w:t>864,673</w:t>
            </w:r>
          </w:p>
        </w:tc>
        <w:tc>
          <w:tcPr>
            <w:tcW w:w="12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c>
          <w:tcPr>
            <w:tcW w:w="321" w:type="dxa"/>
            <w:tcBorders>
              <w:bottom w:val="single" w:sz="6" w:space="0" w:color="000000"/>
            </w:tcBorders>
            <w:tcMar>
              <w:bottom w:w="145" w:type="dxa"/>
            </w:tcMar>
            <w:vAlign w:val="center"/>
          </w:tcPr>
          <w:p>
            <w:pPr>
              <w:pStyle w:val="TableContents"/>
              <w:bidi w:val="0"/>
              <w:spacing w:lineRule="atLeast" w:line="180" w:before="0" w:after="283"/>
              <w:jc w:val="right"/>
              <w:rPr/>
            </w:pPr>
            <w:r>
              <w:rPr/>
              <w:t>$</w:t>
            </w:r>
          </w:p>
        </w:tc>
        <w:tc>
          <w:tcPr>
            <w:tcW w:w="748" w:type="dxa"/>
            <w:tcBorders>
              <w:bottom w:val="single" w:sz="6" w:space="0" w:color="000000"/>
            </w:tcBorders>
            <w:tcMar>
              <w:bottom w:w="145" w:type="dxa"/>
            </w:tcMar>
            <w:vAlign w:val="center"/>
          </w:tcPr>
          <w:p>
            <w:pPr>
              <w:pStyle w:val="TableContents"/>
              <w:bidi w:val="0"/>
              <w:spacing w:lineRule="atLeast" w:line="180" w:before="0" w:after="283"/>
              <w:jc w:val="right"/>
              <w:rPr/>
            </w:pPr>
            <w:r>
              <w:rPr/>
              <w:t>8.94</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lineRule="atLeast" w:line="180" w:before="0" w:after="283"/>
              <w:jc w:val="right"/>
              <w:rPr/>
            </w:pPr>
            <w:r>
              <w:rPr/>
              <w:t>$</w:t>
            </w:r>
          </w:p>
        </w:tc>
        <w:tc>
          <w:tcPr>
            <w:tcW w:w="1066" w:type="dxa"/>
            <w:tcBorders>
              <w:bottom w:val="single" w:sz="6" w:space="0" w:color="000000"/>
            </w:tcBorders>
            <w:tcMar>
              <w:bottom w:w="145" w:type="dxa"/>
            </w:tcMar>
            <w:vAlign w:val="center"/>
          </w:tcPr>
          <w:p>
            <w:pPr>
              <w:pStyle w:val="TableContents"/>
              <w:bidi w:val="0"/>
              <w:spacing w:lineRule="atLeast" w:line="180" w:before="0" w:after="283"/>
              <w:jc w:val="right"/>
              <w:rPr/>
            </w:pPr>
            <w:r>
              <w:rPr/>
              <w:t>7,730,176</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tcMar>
              <w:bottom w:w="28" w:type="dxa"/>
            </w:tcMar>
            <w:vAlign w:val="center"/>
          </w:tcPr>
          <w:p>
            <w:pPr>
              <w:pStyle w:val="Normal"/>
              <w:bidi w:val="0"/>
              <w:jc w:val="left"/>
              <w:rPr/>
            </w:pPr>
            <w:r>
              <w:rPr/>
            </w:r>
          </w:p>
        </w:tc>
        <w:tc>
          <w:tcPr>
            <w:tcW w:w="136" w:type="dxa"/>
            <w:vMerge w:val="continue"/>
            <w:tcBorders>
              <w:bottom w:val="single" w:sz="6" w:space="0" w:color="000000"/>
            </w:tcBorders>
            <w:tcMar>
              <w:bottom w:w="28" w:type="dxa"/>
            </w:tcMar>
            <w:vAlign w:val="center"/>
          </w:tcPr>
          <w:p>
            <w:pPr>
              <w:pStyle w:val="Normal"/>
              <w:bidi w:val="0"/>
              <w:jc w:val="left"/>
              <w:rPr/>
            </w:pPr>
            <w:r>
              <w:rPr/>
            </w:r>
          </w:p>
        </w:tc>
        <w:tc>
          <w:tcPr>
            <w:tcW w:w="136" w:type="dxa"/>
            <w:vMerge w:val="continue"/>
            <w:tcBorders>
              <w:bottom w:val="single" w:sz="6" w:space="0" w:color="000000"/>
            </w:tcBorders>
            <w:tcMar>
              <w:bottom w:w="145" w:type="dxa"/>
            </w:tcMar>
            <w:vAlign w:val="center"/>
          </w:tcPr>
          <w:p>
            <w:pPr>
              <w:pStyle w:val="Normal"/>
              <w:bidi w:val="0"/>
              <w:jc w:val="left"/>
              <w:rPr/>
            </w:pPr>
            <w:r>
              <w:rPr/>
            </w:r>
          </w:p>
        </w:tc>
        <w:tc>
          <w:tcPr>
            <w:tcW w:w="1182" w:type="dxa"/>
            <w:vMerge w:val="continue"/>
            <w:tcBorders>
              <w:bottom w:val="single" w:sz="6" w:space="0" w:color="000000"/>
            </w:tcBorders>
            <w:tcMar>
              <w:bottom w:w="145" w:type="dxa"/>
            </w:tcMar>
            <w:vAlign w:val="center"/>
          </w:tcPr>
          <w:p>
            <w:pPr>
              <w:pStyle w:val="Normal"/>
              <w:bidi w:val="0"/>
              <w:jc w:val="left"/>
              <w:rPr/>
            </w:pPr>
            <w:r>
              <w:rPr/>
            </w:r>
          </w:p>
        </w:tc>
        <w:tc>
          <w:tcPr>
            <w:tcW w:w="136"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shd w:fill="F7F7F7" w:val="clear"/>
            <w:tcMar>
              <w:bottom w:w="145" w:type="dxa"/>
            </w:tcMar>
            <w:vAlign w:val="center"/>
          </w:tcPr>
          <w:p>
            <w:pPr>
              <w:pStyle w:val="TableContents"/>
              <w:bidi w:val="0"/>
              <w:spacing w:before="0" w:after="283"/>
              <w:jc w:val="right"/>
              <w:rPr/>
            </w:pPr>
            <w:r>
              <w:rPr/>
              <w:t>06/05/2023</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2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21"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986" w:type="dxa"/>
            <w:tcBorders>
              <w:bottom w:val="single" w:sz="6" w:space="0" w:color="000000"/>
            </w:tcBorders>
            <w:shd w:fill="F7F7F7" w:val="clear"/>
            <w:tcMar>
              <w:bottom w:w="145" w:type="dxa"/>
            </w:tcMar>
            <w:vAlign w:val="center"/>
          </w:tcPr>
          <w:p>
            <w:pPr>
              <w:pStyle w:val="TableContents"/>
              <w:bidi w:val="0"/>
              <w:spacing w:before="0" w:after="283"/>
              <w:jc w:val="right"/>
              <w:rPr/>
            </w:pPr>
            <w:r>
              <w:rPr/>
              <w:t>864,670</w:t>
            </w:r>
          </w:p>
        </w:tc>
        <w:tc>
          <w:tcPr>
            <w:tcW w:w="12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321"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748" w:type="dxa"/>
            <w:tcBorders>
              <w:bottom w:val="single" w:sz="6" w:space="0" w:color="000000"/>
            </w:tcBorders>
            <w:shd w:fill="F7F7F7" w:val="clear"/>
            <w:tcMar>
              <w:bottom w:w="145" w:type="dxa"/>
            </w:tcMar>
            <w:vAlign w:val="center"/>
          </w:tcPr>
          <w:p>
            <w:pPr>
              <w:pStyle w:val="TableContents"/>
              <w:bidi w:val="0"/>
              <w:spacing w:before="0" w:after="283"/>
              <w:jc w:val="right"/>
              <w:rPr/>
            </w:pPr>
            <w:r>
              <w:rPr/>
              <w:t>6.60</w:t>
            </w:r>
          </w:p>
        </w:tc>
        <w:tc>
          <w:tcPr>
            <w:tcW w:w="15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066" w:type="dxa"/>
            <w:tcBorders>
              <w:bottom w:val="single" w:sz="6" w:space="0" w:color="000000"/>
            </w:tcBorders>
            <w:shd w:fill="F7F7F7" w:val="clear"/>
            <w:tcMar>
              <w:bottom w:w="145" w:type="dxa"/>
            </w:tcMar>
            <w:vAlign w:val="center"/>
          </w:tcPr>
          <w:p>
            <w:pPr>
              <w:pStyle w:val="TableContents"/>
              <w:bidi w:val="0"/>
              <w:spacing w:before="0" w:after="283"/>
              <w:jc w:val="right"/>
              <w:rPr/>
            </w:pPr>
            <w:r>
              <w:rPr/>
              <w:t>5,706,822</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tcMar>
              <w:bottom w:w="28" w:type="dxa"/>
            </w:tcMar>
            <w:vAlign w:val="center"/>
          </w:tcPr>
          <w:p>
            <w:pPr>
              <w:pStyle w:val="Normal"/>
              <w:bidi w:val="0"/>
              <w:jc w:val="left"/>
              <w:rPr/>
            </w:pPr>
            <w:r>
              <w:rPr/>
            </w:r>
          </w:p>
        </w:tc>
        <w:tc>
          <w:tcPr>
            <w:tcW w:w="136" w:type="dxa"/>
            <w:vMerge w:val="continue"/>
            <w:tcBorders>
              <w:bottom w:val="single" w:sz="6" w:space="0" w:color="000000"/>
            </w:tcBorders>
            <w:tcMar>
              <w:bottom w:w="28" w:type="dxa"/>
            </w:tcMar>
            <w:vAlign w:val="center"/>
          </w:tcPr>
          <w:p>
            <w:pPr>
              <w:pStyle w:val="Normal"/>
              <w:bidi w:val="0"/>
              <w:jc w:val="left"/>
              <w:rPr/>
            </w:pPr>
            <w:r>
              <w:rPr/>
            </w:r>
          </w:p>
        </w:tc>
        <w:tc>
          <w:tcPr>
            <w:tcW w:w="136" w:type="dxa"/>
            <w:vMerge w:val="continue"/>
            <w:tcBorders>
              <w:bottom w:val="single" w:sz="6" w:space="0" w:color="000000"/>
            </w:tcBorders>
            <w:tcMar>
              <w:bottom w:w="145" w:type="dxa"/>
            </w:tcMar>
            <w:vAlign w:val="center"/>
          </w:tcPr>
          <w:p>
            <w:pPr>
              <w:pStyle w:val="Normal"/>
              <w:bidi w:val="0"/>
              <w:jc w:val="left"/>
              <w:rPr/>
            </w:pPr>
            <w:r>
              <w:rPr/>
            </w:r>
          </w:p>
        </w:tc>
        <w:tc>
          <w:tcPr>
            <w:tcW w:w="1182" w:type="dxa"/>
            <w:vMerge w:val="continue"/>
            <w:tcBorders>
              <w:bottom w:val="single" w:sz="6" w:space="0" w:color="000000"/>
            </w:tcBorders>
            <w:tcMar>
              <w:bottom w:w="145" w:type="dxa"/>
            </w:tcMar>
            <w:vAlign w:val="center"/>
          </w:tcPr>
          <w:p>
            <w:pPr>
              <w:pStyle w:val="Normal"/>
              <w:bidi w:val="0"/>
              <w:jc w:val="left"/>
              <w:rPr/>
            </w:pPr>
            <w:r>
              <w:rPr/>
            </w:r>
          </w:p>
        </w:tc>
        <w:tc>
          <w:tcPr>
            <w:tcW w:w="136"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tcMar>
              <w:bottom w:w="145" w:type="dxa"/>
            </w:tcMar>
            <w:vAlign w:val="center"/>
          </w:tcPr>
          <w:p>
            <w:pPr>
              <w:pStyle w:val="TableContents"/>
              <w:bidi w:val="0"/>
              <w:spacing w:before="0" w:after="283"/>
              <w:jc w:val="right"/>
              <w:rPr/>
            </w:pPr>
            <w:r>
              <w:rPr/>
              <w:t>09/05/2023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1" w:type="dxa"/>
            <w:tcBorders>
              <w:bottom w:val="single" w:sz="6" w:space="0" w:color="000000"/>
            </w:tcBorders>
            <w:tcMar>
              <w:bottom w:w="28" w:type="dxa"/>
            </w:tcMar>
            <w:vAlign w:val="center"/>
          </w:tcPr>
          <w:p>
            <w:pPr>
              <w:pStyle w:val="TableContents"/>
              <w:bidi w:val="0"/>
              <w:spacing w:before="0" w:after="283"/>
              <w:jc w:val="left"/>
              <w:rPr/>
            </w:pPr>
            <w:r>
              <w:rPr/>
              <w:t>​</w:t>
            </w:r>
          </w:p>
        </w:tc>
        <w:tc>
          <w:tcPr>
            <w:tcW w:w="121" w:type="dxa"/>
            <w:tcBorders>
              <w:bottom w:val="single" w:sz="6" w:space="0" w:color="000000"/>
            </w:tcBorders>
            <w:tcMar>
              <w:bottom w:w="145" w:type="dxa"/>
            </w:tcMar>
            <w:vAlign w:val="center"/>
          </w:tcPr>
          <w:p>
            <w:pPr>
              <w:pStyle w:val="TableContents"/>
              <w:bidi w:val="0"/>
              <w:spacing w:before="0" w:after="283"/>
              <w:jc w:val="right"/>
              <w:rPr/>
            </w:pPr>
            <w:r>
              <w:rPr/>
              <w:t>​</w:t>
            </w:r>
          </w:p>
        </w:tc>
        <w:tc>
          <w:tcPr>
            <w:tcW w:w="986" w:type="dxa"/>
            <w:tcBorders>
              <w:bottom w:val="single" w:sz="6" w:space="0" w:color="000000"/>
            </w:tcBorders>
            <w:tcMar>
              <w:bottom w:w="145" w:type="dxa"/>
            </w:tcMar>
            <w:vAlign w:val="center"/>
          </w:tcPr>
          <w:p>
            <w:pPr>
              <w:pStyle w:val="TableContents"/>
              <w:bidi w:val="0"/>
              <w:spacing w:before="0" w:after="283"/>
              <w:jc w:val="right"/>
              <w:rPr/>
            </w:pPr>
            <w:r>
              <w:rPr/>
              <w:t>864,673</w:t>
            </w:r>
          </w:p>
        </w:tc>
        <w:tc>
          <w:tcPr>
            <w:tcW w:w="12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c>
          <w:tcPr>
            <w:tcW w:w="321" w:type="dxa"/>
            <w:tcBorders>
              <w:bottom w:val="single" w:sz="6" w:space="0" w:color="000000"/>
            </w:tcBorders>
            <w:tcMar>
              <w:bottom w:w="145" w:type="dxa"/>
            </w:tcMar>
            <w:vAlign w:val="center"/>
          </w:tcPr>
          <w:p>
            <w:pPr>
              <w:pStyle w:val="TableContents"/>
              <w:bidi w:val="0"/>
              <w:spacing w:before="0" w:after="283"/>
              <w:jc w:val="right"/>
              <w:rPr/>
            </w:pPr>
            <w:r>
              <w:rPr/>
              <w:t>$</w:t>
            </w:r>
          </w:p>
        </w:tc>
        <w:tc>
          <w:tcPr>
            <w:tcW w:w="748" w:type="dxa"/>
            <w:tcBorders>
              <w:bottom w:val="single" w:sz="6" w:space="0" w:color="000000"/>
            </w:tcBorders>
            <w:tcMar>
              <w:bottom w:w="145" w:type="dxa"/>
            </w:tcMar>
            <w:vAlign w:val="center"/>
          </w:tcPr>
          <w:p>
            <w:pPr>
              <w:pStyle w:val="TableContents"/>
              <w:bidi w:val="0"/>
              <w:spacing w:before="0" w:after="283"/>
              <w:jc w:val="right"/>
              <w:rPr/>
            </w:pPr>
            <w:r>
              <w:rPr/>
              <w:t>6.36</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1066" w:type="dxa"/>
            <w:tcBorders>
              <w:bottom w:val="single" w:sz="6" w:space="0" w:color="000000"/>
            </w:tcBorders>
            <w:tcMar>
              <w:bottom w:w="145" w:type="dxa"/>
            </w:tcMar>
            <w:vAlign w:val="center"/>
          </w:tcPr>
          <w:p>
            <w:pPr>
              <w:pStyle w:val="TableContents"/>
              <w:bidi w:val="0"/>
              <w:spacing w:before="0" w:after="283"/>
              <w:jc w:val="right"/>
              <w:rPr/>
            </w:pPr>
            <w:r>
              <w:rPr/>
              <w:t>5,499,320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tcMar>
              <w:bottom w:w="28" w:type="dxa"/>
            </w:tcMar>
            <w:vAlign w:val="center"/>
          </w:tcPr>
          <w:p>
            <w:pPr>
              <w:pStyle w:val="Normal"/>
              <w:bidi w:val="0"/>
              <w:jc w:val="left"/>
              <w:rPr/>
            </w:pPr>
            <w:r>
              <w:rPr/>
            </w:r>
          </w:p>
        </w:tc>
        <w:tc>
          <w:tcPr>
            <w:tcW w:w="136" w:type="dxa"/>
            <w:vMerge w:val="continue"/>
            <w:tcBorders>
              <w:bottom w:val="single" w:sz="6" w:space="0" w:color="000000"/>
            </w:tcBorders>
            <w:tcMar>
              <w:bottom w:w="28" w:type="dxa"/>
            </w:tcMar>
            <w:vAlign w:val="center"/>
          </w:tcPr>
          <w:p>
            <w:pPr>
              <w:pStyle w:val="Normal"/>
              <w:bidi w:val="0"/>
              <w:jc w:val="left"/>
              <w:rPr/>
            </w:pPr>
            <w:r>
              <w:rPr/>
            </w:r>
          </w:p>
        </w:tc>
        <w:tc>
          <w:tcPr>
            <w:tcW w:w="136" w:type="dxa"/>
            <w:vMerge w:val="continue"/>
            <w:tcBorders>
              <w:bottom w:val="single" w:sz="6" w:space="0" w:color="000000"/>
            </w:tcBorders>
            <w:tcMar>
              <w:bottom w:w="145" w:type="dxa"/>
            </w:tcMar>
            <w:vAlign w:val="center"/>
          </w:tcPr>
          <w:p>
            <w:pPr>
              <w:pStyle w:val="Normal"/>
              <w:bidi w:val="0"/>
              <w:jc w:val="left"/>
              <w:rPr/>
            </w:pPr>
            <w:r>
              <w:rPr/>
            </w:r>
          </w:p>
        </w:tc>
        <w:tc>
          <w:tcPr>
            <w:tcW w:w="1182" w:type="dxa"/>
            <w:vMerge w:val="continue"/>
            <w:tcBorders>
              <w:bottom w:val="single" w:sz="6" w:space="0" w:color="000000"/>
            </w:tcBorders>
            <w:tcMar>
              <w:bottom w:w="145" w:type="dxa"/>
            </w:tcMar>
            <w:vAlign w:val="center"/>
          </w:tcPr>
          <w:p>
            <w:pPr>
              <w:pStyle w:val="Normal"/>
              <w:bidi w:val="0"/>
              <w:jc w:val="left"/>
              <w:rPr/>
            </w:pPr>
            <w:r>
              <w:rPr/>
            </w:r>
          </w:p>
        </w:tc>
        <w:tc>
          <w:tcPr>
            <w:tcW w:w="136" w:type="dxa"/>
            <w:vMerge w:val="continue"/>
            <w:tcBorders>
              <w:bottom w:val="single" w:sz="6" w:space="0" w:color="000000"/>
            </w:tcBorders>
            <w:tcMar>
              <w:bottom w:w="28"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right"/>
              <w:rPr/>
            </w:pPr>
            <w:r>
              <w:rPr/>
              <w:t>​</w:t>
            </w:r>
          </w:p>
        </w:tc>
        <w:tc>
          <w:tcPr>
            <w:tcW w:w="1186" w:type="dxa"/>
            <w:tcBorders/>
            <w:shd w:fill="F7F7F7" w:val="clear"/>
            <w:vAlign w:val="center"/>
          </w:tcPr>
          <w:p>
            <w:pPr>
              <w:pStyle w:val="TableContents"/>
              <w:bidi w:val="0"/>
              <w:spacing w:before="0" w:after="283"/>
              <w:jc w:val="right"/>
              <w:rPr/>
            </w:pPr>
            <w:r>
              <w:rPr/>
              <w:t>12/05/2023</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21" w:type="dxa"/>
            <w:tcBorders/>
            <w:shd w:fill="F7F7F7" w:val="clear"/>
            <w:vAlign w:val="center"/>
          </w:tcPr>
          <w:p>
            <w:pPr>
              <w:pStyle w:val="TableContents"/>
              <w:bidi w:val="0"/>
              <w:spacing w:before="0" w:after="283"/>
              <w:jc w:val="left"/>
              <w:rPr/>
            </w:pPr>
            <w:r>
              <w:rPr/>
              <w:t>​</w:t>
            </w:r>
          </w:p>
        </w:tc>
        <w:tc>
          <w:tcPr>
            <w:tcW w:w="121" w:type="dxa"/>
            <w:tcBorders/>
            <w:shd w:fill="F7F7F7" w:val="clear"/>
            <w:vAlign w:val="center"/>
          </w:tcPr>
          <w:p>
            <w:pPr>
              <w:pStyle w:val="TableContents"/>
              <w:bidi w:val="0"/>
              <w:spacing w:before="0" w:after="283"/>
              <w:jc w:val="right"/>
              <w:rPr/>
            </w:pPr>
            <w:r>
              <w:rPr/>
              <w:t>​</w:t>
            </w:r>
          </w:p>
        </w:tc>
        <w:tc>
          <w:tcPr>
            <w:tcW w:w="986" w:type="dxa"/>
            <w:tcBorders/>
            <w:shd w:fill="F7F7F7" w:val="clear"/>
            <w:vAlign w:val="center"/>
          </w:tcPr>
          <w:p>
            <w:pPr>
              <w:pStyle w:val="TableContents"/>
              <w:bidi w:val="0"/>
              <w:spacing w:before="0" w:after="283"/>
              <w:jc w:val="right"/>
              <w:rPr/>
            </w:pPr>
            <w:r>
              <w:rPr/>
              <w:t>864,673</w:t>
            </w:r>
          </w:p>
        </w:tc>
        <w:tc>
          <w:tcPr>
            <w:tcW w:w="121"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55" w:type="dxa"/>
            <w:tcBorders/>
            <w:shd w:fill="F7F7F7" w:val="clear"/>
            <w:vAlign w:val="center"/>
          </w:tcPr>
          <w:p>
            <w:pPr>
              <w:pStyle w:val="TableContents"/>
              <w:bidi w:val="0"/>
              <w:spacing w:before="0" w:after="283"/>
              <w:jc w:val="left"/>
              <w:rPr/>
            </w:pPr>
            <w:r>
              <w:rPr/>
              <w:t>​</w:t>
            </w:r>
          </w:p>
        </w:tc>
        <w:tc>
          <w:tcPr>
            <w:tcW w:w="321" w:type="dxa"/>
            <w:tcBorders/>
            <w:shd w:fill="F7F7F7" w:val="clear"/>
            <w:vAlign w:val="center"/>
          </w:tcPr>
          <w:p>
            <w:pPr>
              <w:pStyle w:val="TableContents"/>
              <w:bidi w:val="0"/>
              <w:spacing w:before="0" w:after="283"/>
              <w:jc w:val="right"/>
              <w:rPr/>
            </w:pPr>
            <w:r>
              <w:rPr/>
              <w:t>$</w:t>
            </w:r>
          </w:p>
        </w:tc>
        <w:tc>
          <w:tcPr>
            <w:tcW w:w="748" w:type="dxa"/>
            <w:tcBorders/>
            <w:shd w:fill="F7F7F7" w:val="clear"/>
            <w:vAlign w:val="center"/>
          </w:tcPr>
          <w:p>
            <w:pPr>
              <w:pStyle w:val="TableContents"/>
              <w:bidi w:val="0"/>
              <w:spacing w:before="0" w:after="283"/>
              <w:jc w:val="right"/>
              <w:rPr/>
            </w:pPr>
            <w:r>
              <w:rPr/>
              <w:t>4.36</w:t>
            </w:r>
          </w:p>
        </w:tc>
        <w:tc>
          <w:tcPr>
            <w:tcW w:w="155"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226" w:type="dxa"/>
            <w:tcBorders/>
            <w:shd w:fill="F7F7F7" w:val="clear"/>
            <w:vAlign w:val="center"/>
          </w:tcPr>
          <w:p>
            <w:pPr>
              <w:pStyle w:val="TableContents"/>
              <w:bidi w:val="0"/>
              <w:spacing w:before="0" w:after="283"/>
              <w:jc w:val="right"/>
              <w:rPr/>
            </w:pPr>
            <w:r>
              <w:rPr/>
              <w:t>$</w:t>
            </w:r>
          </w:p>
        </w:tc>
        <w:tc>
          <w:tcPr>
            <w:tcW w:w="1066" w:type="dxa"/>
            <w:tcBorders/>
            <w:shd w:fill="F7F7F7" w:val="clear"/>
            <w:vAlign w:val="center"/>
          </w:tcPr>
          <w:p>
            <w:pPr>
              <w:pStyle w:val="TableContents"/>
              <w:bidi w:val="0"/>
              <w:spacing w:before="0" w:after="283"/>
              <w:jc w:val="right"/>
              <w:rPr/>
            </w:pPr>
            <w:r>
              <w:rPr/>
              <w:t>3,769,975</w:t>
            </w:r>
          </w:p>
        </w:tc>
        <w:tc>
          <w:tcPr>
            <w:tcW w:w="109" w:type="dxa"/>
            <w:tcBorders/>
            <w:shd w:fill="F7F7F7" w:val="clear"/>
            <w:vAlign w:val="center"/>
          </w:tcPr>
          <w:p>
            <w:pPr>
              <w:pStyle w:val="TableContents"/>
              <w:bidi w:val="0"/>
              <w:spacing w:before="0" w:after="283"/>
              <w:jc w:val="left"/>
              <w:rPr/>
            </w:pPr>
            <w:r>
              <w:rPr/>
              <w:t>​</w:t>
            </w:r>
          </w:p>
        </w:tc>
        <w:tc>
          <w:tcPr>
            <w:tcW w:w="154" w:type="dxa"/>
            <w:tcBorders/>
            <w:shd w:fill="F7F7F7" w:val="clear"/>
            <w:vAlign w:val="center"/>
          </w:tcPr>
          <w:p>
            <w:pPr>
              <w:pStyle w:val="TableContents"/>
              <w:bidi w:val="0"/>
              <w:spacing w:before="0" w:after="283"/>
              <w:jc w:val="left"/>
              <w:rPr/>
            </w:pPr>
            <w:r>
              <w:rPr/>
              <w:t>​</w:t>
            </w:r>
          </w:p>
        </w:tc>
      </w:tr>
    </w:tbl>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65</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42" w:before="840" w:after="283"/>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Computed as the aggregate dollar amount realized upon the vesting of RSUs granted to Mr. Dhingra, determined by multiplying the number of units vesting as of the applicable vesting date by the closing price of our Common Stock on the trading day prior to the applicable vesting date, as follows:</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0" distB="0" distL="0" distR="0" simplePos="0" locked="0" layoutInCell="1" allowOverlap="1" relativeHeight="244">
                <wp:simplePos x="0" y="0"/>
                <wp:positionH relativeFrom="column">
                  <wp:align>left</wp:align>
                </wp:positionH>
                <wp:positionV relativeFrom="line">
                  <wp:posOffset>635</wp:posOffset>
                </wp:positionV>
                <wp:extent cx="81915" cy="270510"/>
                <wp:effectExtent l="0" t="0" r="0" b="0"/>
                <wp:wrapSquare wrapText="right"/>
                <wp:docPr id="236" name="Frame173"/>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(3)</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(3)</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8309" w:type="dxa"/>
        <w:jc w:val="left"/>
        <w:tblInd w:w="720" w:type="dxa"/>
        <w:tblLayout w:type="fixed"/>
        <w:tblCellMar>
          <w:top w:w="0" w:type="dxa"/>
          <w:left w:w="0" w:type="dxa"/>
          <w:bottom w:w="0" w:type="dxa"/>
          <w:right w:w="0" w:type="dxa"/>
        </w:tblCellMar>
      </w:tblPr>
      <w:tblGrid>
        <w:gridCol w:w="124"/>
        <w:gridCol w:w="114"/>
        <w:gridCol w:w="114"/>
        <w:gridCol w:w="1247"/>
        <w:gridCol w:w="114"/>
        <w:gridCol w:w="109"/>
        <w:gridCol w:w="109"/>
        <w:gridCol w:w="109"/>
        <w:gridCol w:w="109"/>
        <w:gridCol w:w="1186"/>
        <w:gridCol w:w="109"/>
        <w:gridCol w:w="109"/>
        <w:gridCol w:w="109"/>
        <w:gridCol w:w="134"/>
        <w:gridCol w:w="134"/>
        <w:gridCol w:w="946"/>
        <w:gridCol w:w="134"/>
        <w:gridCol w:w="109"/>
        <w:gridCol w:w="109"/>
        <w:gridCol w:w="155"/>
        <w:gridCol w:w="321"/>
        <w:gridCol w:w="748"/>
        <w:gridCol w:w="155"/>
        <w:gridCol w:w="109"/>
        <w:gridCol w:w="109"/>
        <w:gridCol w:w="109"/>
        <w:gridCol w:w="226"/>
        <w:gridCol w:w="886"/>
        <w:gridCol w:w="109"/>
        <w:gridCol w:w="154"/>
      </w:tblGrid>
      <w:tr>
        <w:trPr/>
        <w:tc>
          <w:tcPr>
            <w:tcW w:w="124" w:type="dxa"/>
            <w:tcBorders/>
            <w:shd w:fill="000000" w:val="clear"/>
            <w:vAlign w:val="center"/>
          </w:tcPr>
          <w:p>
            <w:pPr>
              <w:pStyle w:val="TableContents"/>
              <w:bidi w:val="0"/>
              <w:spacing w:before="0" w:after="283"/>
              <w:jc w:val="left"/>
              <w:rPr/>
            </w:pPr>
            <w:r>
              <w:rPr/>
              <w:t>​</w:t>
            </w:r>
          </w:p>
        </w:tc>
        <w:tc>
          <w:tcPr>
            <w:tcW w:w="1589" w:type="dxa"/>
            <w:gridSpan w:val="4"/>
            <w:tcBorders/>
            <w:shd w:fill="000000" w:val="clear"/>
            <w:vAlign w:val="center"/>
          </w:tcPr>
          <w:p>
            <w:pPr>
              <w:pStyle w:val="TableContents"/>
              <w:bidi w:val="0"/>
              <w:spacing w:before="0" w:after="0"/>
              <w:jc w:val="left"/>
              <w:rPr/>
            </w:pPr>
            <w:r>
              <w:rPr/>
              <w:t xml:space="preserve">Date of Award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13" w:type="dxa"/>
            <w:gridSpan w:val="4"/>
            <w:tcBorders/>
            <w:shd w:fill="000000" w:val="clear"/>
            <w:vAlign w:val="center"/>
          </w:tcPr>
          <w:p>
            <w:pPr>
              <w:pStyle w:val="TableContents"/>
              <w:bidi w:val="0"/>
              <w:spacing w:before="0" w:after="0"/>
              <w:jc w:val="center"/>
              <w:rPr/>
            </w:pPr>
            <w:r>
              <w:rPr/>
              <w:t xml:space="preserve">Vesting Date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48" w:type="dxa"/>
            <w:gridSpan w:val="4"/>
            <w:tcBorders/>
            <w:shd w:fill="000000" w:val="clear"/>
            <w:vAlign w:val="center"/>
          </w:tcPr>
          <w:p>
            <w:pPr>
              <w:pStyle w:val="TableContents"/>
              <w:bidi w:val="0"/>
              <w:spacing w:before="0" w:after="0"/>
              <w:jc w:val="center"/>
              <w:rPr/>
            </w:pPr>
            <w:r>
              <w:rPr/>
              <w:t xml:space="preserve">Number of </w:t>
              <w:br/>
              <w:t xml:space="preserve">Shares </w:t>
              <w:br/>
              <w:t xml:space="preserve">Acquired on </w:t>
              <w:br/>
              <w:t xml:space="preserve">Vesting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79" w:type="dxa"/>
            <w:gridSpan w:val="4"/>
            <w:tcBorders/>
            <w:shd w:fill="000000" w:val="clear"/>
            <w:vAlign w:val="center"/>
          </w:tcPr>
          <w:p>
            <w:pPr>
              <w:pStyle w:val="TableContents"/>
              <w:bidi w:val="0"/>
              <w:spacing w:before="0" w:after="0"/>
              <w:jc w:val="center"/>
              <w:rPr/>
            </w:pPr>
            <w:r>
              <w:rPr/>
              <w:t xml:space="preserve">Market Price </w:t>
              <w:br/>
              <w:t xml:space="preserve">at Vesting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30" w:type="dxa"/>
            <w:gridSpan w:val="4"/>
            <w:tcBorders/>
            <w:shd w:fill="000000" w:val="clear"/>
            <w:vAlign w:val="center"/>
          </w:tcPr>
          <w:p>
            <w:pPr>
              <w:pStyle w:val="TableContents"/>
              <w:bidi w:val="0"/>
              <w:spacing w:before="0" w:after="0"/>
              <w:jc w:val="center"/>
              <w:rPr/>
            </w:pPr>
            <w:r>
              <w:rPr/>
              <w:t xml:space="preserve">Value </w:t>
              <w:br/>
              <w:t xml:space="preserve">Realized </w:t>
              <w:br/>
              <w:t xml:space="preserve">on Vesting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tcMar>
              <w:bottom w:w="145" w:type="dxa"/>
            </w:tcMar>
            <w:vAlign w:val="center"/>
          </w:tcPr>
          <w:p>
            <w:pPr>
              <w:pStyle w:val="TableContents"/>
              <w:bidi w:val="0"/>
              <w:spacing w:before="0" w:after="283"/>
              <w:jc w:val="right"/>
              <w:rPr/>
            </w:pPr>
            <w:r>
              <w:rPr/>
              <w:t>12/13/2021</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tcMar>
              <w:bottom w:w="145" w:type="dxa"/>
            </w:tcMar>
            <w:vAlign w:val="center"/>
          </w:tcPr>
          <w:p>
            <w:pPr>
              <w:pStyle w:val="TableContents"/>
              <w:bidi w:val="0"/>
              <w:spacing w:before="0" w:after="283"/>
              <w:jc w:val="right"/>
              <w:rPr/>
            </w:pPr>
            <w:r>
              <w:rPr/>
              <w:t>03/05/2023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tcMar>
              <w:bottom w:w="145" w:type="dxa"/>
            </w:tcMar>
            <w:vAlign w:val="center"/>
          </w:tcPr>
          <w:p>
            <w:pPr>
              <w:pStyle w:val="TableContents"/>
              <w:bidi w:val="0"/>
              <w:spacing w:before="0" w:after="283"/>
              <w:jc w:val="right"/>
              <w:rPr/>
            </w:pPr>
            <w:r>
              <w:rPr/>
              <w:t>​</w:t>
            </w:r>
          </w:p>
        </w:tc>
        <w:tc>
          <w:tcPr>
            <w:tcW w:w="946" w:type="dxa"/>
            <w:tcBorders>
              <w:bottom w:val="single" w:sz="6" w:space="0" w:color="000000"/>
            </w:tcBorders>
            <w:tcMar>
              <w:bottom w:w="145" w:type="dxa"/>
            </w:tcMar>
            <w:vAlign w:val="center"/>
          </w:tcPr>
          <w:p>
            <w:pPr>
              <w:pStyle w:val="TableContents"/>
              <w:bidi w:val="0"/>
              <w:spacing w:before="0" w:after="283"/>
              <w:jc w:val="right"/>
              <w:rPr/>
            </w:pPr>
            <w:r>
              <w:rPr/>
              <w:t>12,024</w:t>
            </w:r>
          </w:p>
        </w:tc>
        <w:tc>
          <w:tcPr>
            <w:tcW w:w="13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c>
          <w:tcPr>
            <w:tcW w:w="321" w:type="dxa"/>
            <w:tcBorders>
              <w:bottom w:val="single" w:sz="6" w:space="0" w:color="000000"/>
            </w:tcBorders>
            <w:tcMar>
              <w:bottom w:w="145" w:type="dxa"/>
            </w:tcMar>
            <w:vAlign w:val="center"/>
          </w:tcPr>
          <w:p>
            <w:pPr>
              <w:pStyle w:val="TableContents"/>
              <w:bidi w:val="0"/>
              <w:spacing w:before="0" w:after="283"/>
              <w:jc w:val="right"/>
              <w:rPr/>
            </w:pPr>
            <w:r>
              <w:rPr/>
              <w:t>$</w:t>
            </w:r>
          </w:p>
        </w:tc>
        <w:tc>
          <w:tcPr>
            <w:tcW w:w="748" w:type="dxa"/>
            <w:tcBorders>
              <w:bottom w:val="single" w:sz="6" w:space="0" w:color="000000"/>
            </w:tcBorders>
            <w:tcMar>
              <w:bottom w:w="145" w:type="dxa"/>
            </w:tcMar>
            <w:vAlign w:val="center"/>
          </w:tcPr>
          <w:p>
            <w:pPr>
              <w:pStyle w:val="TableContents"/>
              <w:bidi w:val="0"/>
              <w:spacing w:before="0" w:after="283"/>
              <w:jc w:val="right"/>
              <w:rPr/>
            </w:pPr>
            <w:r>
              <w:rPr/>
              <w:t>8.94</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tcMar>
              <w:bottom w:w="145" w:type="dxa"/>
            </w:tcMar>
            <w:vAlign w:val="center"/>
          </w:tcPr>
          <w:p>
            <w:pPr>
              <w:pStyle w:val="TableContents"/>
              <w:bidi w:val="0"/>
              <w:spacing w:before="0" w:after="283"/>
              <w:jc w:val="right"/>
              <w:rPr/>
            </w:pPr>
            <w:r>
              <w:rPr/>
              <w:t>107,494</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shd w:fill="F7F7F7" w:val="clear"/>
            <w:tcMar>
              <w:bottom w:w="145" w:type="dxa"/>
            </w:tcMar>
            <w:vAlign w:val="center"/>
          </w:tcPr>
          <w:p>
            <w:pPr>
              <w:pStyle w:val="TableContents"/>
              <w:bidi w:val="0"/>
              <w:spacing w:before="0" w:after="283"/>
              <w:jc w:val="right"/>
              <w:rPr/>
            </w:pPr>
            <w:r>
              <w:rPr/>
              <w:t>12/13/2021</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shd w:fill="F7F7F7" w:val="clear"/>
            <w:tcMar>
              <w:bottom w:w="145" w:type="dxa"/>
            </w:tcMar>
            <w:vAlign w:val="center"/>
          </w:tcPr>
          <w:p>
            <w:pPr>
              <w:pStyle w:val="TableContents"/>
              <w:bidi w:val="0"/>
              <w:spacing w:before="0" w:after="283"/>
              <w:jc w:val="right"/>
              <w:rPr/>
            </w:pPr>
            <w:r>
              <w:rPr/>
              <w:t>06/05/2023</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946" w:type="dxa"/>
            <w:tcBorders>
              <w:bottom w:val="single" w:sz="6" w:space="0" w:color="000000"/>
            </w:tcBorders>
            <w:shd w:fill="F7F7F7" w:val="clear"/>
            <w:tcMar>
              <w:bottom w:w="145" w:type="dxa"/>
            </w:tcMar>
            <w:vAlign w:val="center"/>
          </w:tcPr>
          <w:p>
            <w:pPr>
              <w:pStyle w:val="TableContents"/>
              <w:bidi w:val="0"/>
              <w:spacing w:before="0" w:after="283"/>
              <w:jc w:val="right"/>
              <w:rPr/>
            </w:pPr>
            <w:r>
              <w:rPr/>
              <w:t>3,006</w:t>
            </w:r>
          </w:p>
        </w:tc>
        <w:tc>
          <w:tcPr>
            <w:tcW w:w="13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321"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748" w:type="dxa"/>
            <w:tcBorders>
              <w:bottom w:val="single" w:sz="6" w:space="0" w:color="000000"/>
            </w:tcBorders>
            <w:shd w:fill="F7F7F7" w:val="clear"/>
            <w:tcMar>
              <w:bottom w:w="145" w:type="dxa"/>
            </w:tcMar>
            <w:vAlign w:val="center"/>
          </w:tcPr>
          <w:p>
            <w:pPr>
              <w:pStyle w:val="TableContents"/>
              <w:bidi w:val="0"/>
              <w:spacing w:before="0" w:after="283"/>
              <w:jc w:val="right"/>
              <w:rPr/>
            </w:pPr>
            <w:r>
              <w:rPr/>
              <w:t>6.60</w:t>
            </w:r>
          </w:p>
        </w:tc>
        <w:tc>
          <w:tcPr>
            <w:tcW w:w="15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shd w:fill="F7F7F7" w:val="clear"/>
            <w:tcMar>
              <w:bottom w:w="145" w:type="dxa"/>
            </w:tcMar>
            <w:vAlign w:val="center"/>
          </w:tcPr>
          <w:p>
            <w:pPr>
              <w:pStyle w:val="TableContents"/>
              <w:bidi w:val="0"/>
              <w:spacing w:before="0" w:after="283"/>
              <w:jc w:val="right"/>
              <w:rPr/>
            </w:pPr>
            <w:r>
              <w:rPr/>
              <w:t>19,839</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tcMar>
              <w:bottom w:w="145" w:type="dxa"/>
            </w:tcMar>
            <w:vAlign w:val="center"/>
          </w:tcPr>
          <w:p>
            <w:pPr>
              <w:pStyle w:val="TableContents"/>
              <w:bidi w:val="0"/>
              <w:spacing w:before="0" w:after="283"/>
              <w:jc w:val="right"/>
              <w:rPr/>
            </w:pPr>
            <w:r>
              <w:rPr/>
              <w:t>12/13/2021</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tcMar>
              <w:bottom w:w="145" w:type="dxa"/>
            </w:tcMar>
            <w:vAlign w:val="center"/>
          </w:tcPr>
          <w:p>
            <w:pPr>
              <w:pStyle w:val="TableContents"/>
              <w:bidi w:val="0"/>
              <w:spacing w:before="0" w:after="283"/>
              <w:jc w:val="right"/>
              <w:rPr/>
            </w:pPr>
            <w:r>
              <w:rPr/>
              <w:t>09/05/2023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tcMar>
              <w:bottom w:w="145" w:type="dxa"/>
            </w:tcMar>
            <w:vAlign w:val="center"/>
          </w:tcPr>
          <w:p>
            <w:pPr>
              <w:pStyle w:val="TableContents"/>
              <w:bidi w:val="0"/>
              <w:spacing w:before="0" w:after="283"/>
              <w:jc w:val="right"/>
              <w:rPr/>
            </w:pPr>
            <w:r>
              <w:rPr/>
              <w:t>​</w:t>
            </w:r>
          </w:p>
        </w:tc>
        <w:tc>
          <w:tcPr>
            <w:tcW w:w="946" w:type="dxa"/>
            <w:tcBorders>
              <w:bottom w:val="single" w:sz="6" w:space="0" w:color="000000"/>
            </w:tcBorders>
            <w:tcMar>
              <w:bottom w:w="145" w:type="dxa"/>
            </w:tcMar>
            <w:vAlign w:val="center"/>
          </w:tcPr>
          <w:p>
            <w:pPr>
              <w:pStyle w:val="TableContents"/>
              <w:bidi w:val="0"/>
              <w:spacing w:before="0" w:after="283"/>
              <w:jc w:val="right"/>
              <w:rPr/>
            </w:pPr>
            <w:r>
              <w:rPr/>
              <w:t>3,006</w:t>
            </w:r>
          </w:p>
        </w:tc>
        <w:tc>
          <w:tcPr>
            <w:tcW w:w="13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c>
          <w:tcPr>
            <w:tcW w:w="321" w:type="dxa"/>
            <w:tcBorders>
              <w:bottom w:val="single" w:sz="6" w:space="0" w:color="000000"/>
            </w:tcBorders>
            <w:tcMar>
              <w:bottom w:w="145" w:type="dxa"/>
            </w:tcMar>
            <w:vAlign w:val="center"/>
          </w:tcPr>
          <w:p>
            <w:pPr>
              <w:pStyle w:val="TableContents"/>
              <w:bidi w:val="0"/>
              <w:spacing w:before="0" w:after="283"/>
              <w:jc w:val="right"/>
              <w:rPr/>
            </w:pPr>
            <w:r>
              <w:rPr/>
              <w:t>$</w:t>
            </w:r>
          </w:p>
        </w:tc>
        <w:tc>
          <w:tcPr>
            <w:tcW w:w="748" w:type="dxa"/>
            <w:tcBorders>
              <w:bottom w:val="single" w:sz="6" w:space="0" w:color="000000"/>
            </w:tcBorders>
            <w:tcMar>
              <w:bottom w:w="145" w:type="dxa"/>
            </w:tcMar>
            <w:vAlign w:val="center"/>
          </w:tcPr>
          <w:p>
            <w:pPr>
              <w:pStyle w:val="TableContents"/>
              <w:bidi w:val="0"/>
              <w:spacing w:before="0" w:after="283"/>
              <w:jc w:val="right"/>
              <w:rPr/>
            </w:pPr>
            <w:r>
              <w:rPr/>
              <w:t>6.36</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tcMar>
              <w:bottom w:w="145" w:type="dxa"/>
            </w:tcMar>
            <w:vAlign w:val="center"/>
          </w:tcPr>
          <w:p>
            <w:pPr>
              <w:pStyle w:val="TableContents"/>
              <w:bidi w:val="0"/>
              <w:spacing w:before="0" w:after="283"/>
              <w:jc w:val="right"/>
              <w:rPr/>
            </w:pPr>
            <w:r>
              <w:rPr/>
              <w:t>19,118</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shd w:fill="F7F7F7" w:val="clear"/>
            <w:tcMar>
              <w:bottom w:w="145" w:type="dxa"/>
            </w:tcMar>
            <w:vAlign w:val="center"/>
          </w:tcPr>
          <w:p>
            <w:pPr>
              <w:pStyle w:val="TableContents"/>
              <w:bidi w:val="0"/>
              <w:spacing w:before="0" w:after="283"/>
              <w:jc w:val="right"/>
              <w:rPr/>
            </w:pPr>
            <w:r>
              <w:rPr/>
              <w:t>12/13/2021</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shd w:fill="F7F7F7" w:val="clear"/>
            <w:tcMar>
              <w:bottom w:w="145" w:type="dxa"/>
            </w:tcMar>
            <w:vAlign w:val="center"/>
          </w:tcPr>
          <w:p>
            <w:pPr>
              <w:pStyle w:val="TableContents"/>
              <w:bidi w:val="0"/>
              <w:spacing w:before="0" w:after="283"/>
              <w:jc w:val="right"/>
              <w:rPr/>
            </w:pPr>
            <w:r>
              <w:rPr/>
              <w:t>12/05/2023</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946" w:type="dxa"/>
            <w:tcBorders>
              <w:bottom w:val="single" w:sz="6" w:space="0" w:color="000000"/>
            </w:tcBorders>
            <w:shd w:fill="F7F7F7" w:val="clear"/>
            <w:tcMar>
              <w:bottom w:w="145" w:type="dxa"/>
            </w:tcMar>
            <w:vAlign w:val="center"/>
          </w:tcPr>
          <w:p>
            <w:pPr>
              <w:pStyle w:val="TableContents"/>
              <w:bidi w:val="0"/>
              <w:spacing w:before="0" w:after="283"/>
              <w:jc w:val="right"/>
              <w:rPr/>
            </w:pPr>
            <w:r>
              <w:rPr/>
              <w:t>3,006</w:t>
            </w:r>
          </w:p>
        </w:tc>
        <w:tc>
          <w:tcPr>
            <w:tcW w:w="13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321"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748" w:type="dxa"/>
            <w:tcBorders>
              <w:bottom w:val="single" w:sz="6" w:space="0" w:color="000000"/>
            </w:tcBorders>
            <w:shd w:fill="F7F7F7" w:val="clear"/>
            <w:tcMar>
              <w:bottom w:w="145" w:type="dxa"/>
            </w:tcMar>
            <w:vAlign w:val="center"/>
          </w:tcPr>
          <w:p>
            <w:pPr>
              <w:pStyle w:val="TableContents"/>
              <w:bidi w:val="0"/>
              <w:spacing w:before="0" w:after="283"/>
              <w:jc w:val="right"/>
              <w:rPr/>
            </w:pPr>
            <w:r>
              <w:rPr/>
              <w:t>4.36</w:t>
            </w:r>
          </w:p>
        </w:tc>
        <w:tc>
          <w:tcPr>
            <w:tcW w:w="15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shd w:fill="F7F7F7" w:val="clear"/>
            <w:tcMar>
              <w:bottom w:w="145" w:type="dxa"/>
            </w:tcMar>
            <w:vAlign w:val="center"/>
          </w:tcPr>
          <w:p>
            <w:pPr>
              <w:pStyle w:val="TableContents"/>
              <w:bidi w:val="0"/>
              <w:spacing w:before="0" w:after="283"/>
              <w:jc w:val="right"/>
              <w:rPr/>
            </w:pPr>
            <w:r>
              <w:rPr/>
              <w:t>13,106</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tcMar>
              <w:bottom w:w="145" w:type="dxa"/>
            </w:tcMar>
            <w:vAlign w:val="center"/>
          </w:tcPr>
          <w:p>
            <w:pPr>
              <w:pStyle w:val="TableContents"/>
              <w:bidi w:val="0"/>
              <w:spacing w:before="0" w:after="283"/>
              <w:jc w:val="right"/>
              <w:rPr/>
            </w:pPr>
            <w:r>
              <w:rPr/>
              <w:t>06/06/2022</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tcMar>
              <w:bottom w:w="145" w:type="dxa"/>
            </w:tcMar>
            <w:vAlign w:val="center"/>
          </w:tcPr>
          <w:p>
            <w:pPr>
              <w:pStyle w:val="TableContents"/>
              <w:bidi w:val="0"/>
              <w:spacing w:before="0" w:after="283"/>
              <w:jc w:val="right"/>
              <w:rPr/>
            </w:pPr>
            <w:r>
              <w:rPr/>
              <w:t>03/05/2023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tcMar>
              <w:bottom w:w="145" w:type="dxa"/>
            </w:tcMar>
            <w:vAlign w:val="center"/>
          </w:tcPr>
          <w:p>
            <w:pPr>
              <w:pStyle w:val="TableContents"/>
              <w:bidi w:val="0"/>
              <w:spacing w:before="0" w:after="283"/>
              <w:jc w:val="right"/>
              <w:rPr/>
            </w:pPr>
            <w:r>
              <w:rPr/>
              <w:t>​</w:t>
            </w:r>
          </w:p>
        </w:tc>
        <w:tc>
          <w:tcPr>
            <w:tcW w:w="946" w:type="dxa"/>
            <w:tcBorders>
              <w:bottom w:val="single" w:sz="6" w:space="0" w:color="000000"/>
            </w:tcBorders>
            <w:tcMar>
              <w:bottom w:w="145" w:type="dxa"/>
            </w:tcMar>
            <w:vAlign w:val="center"/>
          </w:tcPr>
          <w:p>
            <w:pPr>
              <w:pStyle w:val="TableContents"/>
              <w:bidi w:val="0"/>
              <w:spacing w:before="0" w:after="283"/>
              <w:jc w:val="right"/>
              <w:rPr/>
            </w:pPr>
            <w:r>
              <w:rPr/>
              <w:t>2,570</w:t>
            </w:r>
          </w:p>
        </w:tc>
        <w:tc>
          <w:tcPr>
            <w:tcW w:w="13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c>
          <w:tcPr>
            <w:tcW w:w="321" w:type="dxa"/>
            <w:tcBorders>
              <w:bottom w:val="single" w:sz="6" w:space="0" w:color="000000"/>
            </w:tcBorders>
            <w:tcMar>
              <w:bottom w:w="145" w:type="dxa"/>
            </w:tcMar>
            <w:vAlign w:val="center"/>
          </w:tcPr>
          <w:p>
            <w:pPr>
              <w:pStyle w:val="TableContents"/>
              <w:bidi w:val="0"/>
              <w:spacing w:before="0" w:after="283"/>
              <w:jc w:val="right"/>
              <w:rPr/>
            </w:pPr>
            <w:r>
              <w:rPr/>
              <w:t>$</w:t>
            </w:r>
          </w:p>
        </w:tc>
        <w:tc>
          <w:tcPr>
            <w:tcW w:w="748" w:type="dxa"/>
            <w:tcBorders>
              <w:bottom w:val="single" w:sz="6" w:space="0" w:color="000000"/>
            </w:tcBorders>
            <w:tcMar>
              <w:bottom w:w="145" w:type="dxa"/>
            </w:tcMar>
            <w:vAlign w:val="center"/>
          </w:tcPr>
          <w:p>
            <w:pPr>
              <w:pStyle w:val="TableContents"/>
              <w:bidi w:val="0"/>
              <w:spacing w:before="0" w:after="283"/>
              <w:jc w:val="right"/>
              <w:rPr/>
            </w:pPr>
            <w:r>
              <w:rPr/>
              <w:t>8.94</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tcMar>
              <w:bottom w:w="145" w:type="dxa"/>
            </w:tcMar>
            <w:vAlign w:val="center"/>
          </w:tcPr>
          <w:p>
            <w:pPr>
              <w:pStyle w:val="TableContents"/>
              <w:bidi w:val="0"/>
              <w:spacing w:before="0" w:after="283"/>
              <w:jc w:val="right"/>
              <w:rPr/>
            </w:pPr>
            <w:r>
              <w:rPr/>
              <w:t>22,975</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shd w:fill="F7F7F7" w:val="clear"/>
            <w:tcMar>
              <w:bottom w:w="145" w:type="dxa"/>
            </w:tcMar>
            <w:vAlign w:val="center"/>
          </w:tcPr>
          <w:p>
            <w:pPr>
              <w:pStyle w:val="TableContents"/>
              <w:bidi w:val="0"/>
              <w:spacing w:before="0" w:after="283"/>
              <w:jc w:val="right"/>
              <w:rPr/>
            </w:pPr>
            <w:r>
              <w:rPr/>
              <w:t>06/06/2022</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shd w:fill="F7F7F7" w:val="clear"/>
            <w:tcMar>
              <w:bottom w:w="145" w:type="dxa"/>
            </w:tcMar>
            <w:vAlign w:val="center"/>
          </w:tcPr>
          <w:p>
            <w:pPr>
              <w:pStyle w:val="TableContents"/>
              <w:bidi w:val="0"/>
              <w:spacing w:before="0" w:after="283"/>
              <w:jc w:val="right"/>
              <w:rPr/>
            </w:pPr>
            <w:r>
              <w:rPr/>
              <w:t>06/05/2023</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946" w:type="dxa"/>
            <w:tcBorders>
              <w:bottom w:val="single" w:sz="6" w:space="0" w:color="000000"/>
            </w:tcBorders>
            <w:shd w:fill="F7F7F7" w:val="clear"/>
            <w:tcMar>
              <w:bottom w:w="145" w:type="dxa"/>
            </w:tcMar>
            <w:vAlign w:val="center"/>
          </w:tcPr>
          <w:p>
            <w:pPr>
              <w:pStyle w:val="TableContents"/>
              <w:bidi w:val="0"/>
              <w:spacing w:before="0" w:after="283"/>
              <w:jc w:val="right"/>
              <w:rPr/>
            </w:pPr>
            <w:r>
              <w:rPr/>
              <w:t>2,570</w:t>
            </w:r>
          </w:p>
        </w:tc>
        <w:tc>
          <w:tcPr>
            <w:tcW w:w="13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321"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748" w:type="dxa"/>
            <w:tcBorders>
              <w:bottom w:val="single" w:sz="6" w:space="0" w:color="000000"/>
            </w:tcBorders>
            <w:shd w:fill="F7F7F7" w:val="clear"/>
            <w:tcMar>
              <w:bottom w:w="145" w:type="dxa"/>
            </w:tcMar>
            <w:vAlign w:val="center"/>
          </w:tcPr>
          <w:p>
            <w:pPr>
              <w:pStyle w:val="TableContents"/>
              <w:bidi w:val="0"/>
              <w:spacing w:before="0" w:after="283"/>
              <w:jc w:val="right"/>
              <w:rPr/>
            </w:pPr>
            <w:r>
              <w:rPr/>
              <w:t>6.60</w:t>
            </w:r>
          </w:p>
        </w:tc>
        <w:tc>
          <w:tcPr>
            <w:tcW w:w="15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shd w:fill="F7F7F7" w:val="clear"/>
            <w:tcMar>
              <w:bottom w:w="145" w:type="dxa"/>
            </w:tcMar>
            <w:vAlign w:val="center"/>
          </w:tcPr>
          <w:p>
            <w:pPr>
              <w:pStyle w:val="TableContents"/>
              <w:bidi w:val="0"/>
              <w:spacing w:before="0" w:after="283"/>
              <w:jc w:val="right"/>
              <w:rPr/>
            </w:pPr>
            <w:r>
              <w:rPr/>
              <w:t>16,962</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tcMar>
              <w:bottom w:w="145" w:type="dxa"/>
            </w:tcMar>
            <w:vAlign w:val="center"/>
          </w:tcPr>
          <w:p>
            <w:pPr>
              <w:pStyle w:val="TableContents"/>
              <w:bidi w:val="0"/>
              <w:spacing w:before="0" w:after="283"/>
              <w:jc w:val="right"/>
              <w:rPr/>
            </w:pPr>
            <w:r>
              <w:rPr/>
              <w:t>06/06/2022</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tcMar>
              <w:bottom w:w="145" w:type="dxa"/>
            </w:tcMar>
            <w:vAlign w:val="center"/>
          </w:tcPr>
          <w:p>
            <w:pPr>
              <w:pStyle w:val="TableContents"/>
              <w:bidi w:val="0"/>
              <w:spacing w:before="0" w:after="283"/>
              <w:jc w:val="right"/>
              <w:rPr/>
            </w:pPr>
            <w:r>
              <w:rPr/>
              <w:t>09/05/2023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tcMar>
              <w:bottom w:w="145" w:type="dxa"/>
            </w:tcMar>
            <w:vAlign w:val="center"/>
          </w:tcPr>
          <w:p>
            <w:pPr>
              <w:pStyle w:val="TableContents"/>
              <w:bidi w:val="0"/>
              <w:spacing w:before="0" w:after="283"/>
              <w:jc w:val="right"/>
              <w:rPr/>
            </w:pPr>
            <w:r>
              <w:rPr/>
              <w:t>​</w:t>
            </w:r>
          </w:p>
        </w:tc>
        <w:tc>
          <w:tcPr>
            <w:tcW w:w="946" w:type="dxa"/>
            <w:tcBorders>
              <w:bottom w:val="single" w:sz="6" w:space="0" w:color="000000"/>
            </w:tcBorders>
            <w:tcMar>
              <w:bottom w:w="145" w:type="dxa"/>
            </w:tcMar>
            <w:vAlign w:val="center"/>
          </w:tcPr>
          <w:p>
            <w:pPr>
              <w:pStyle w:val="TableContents"/>
              <w:bidi w:val="0"/>
              <w:spacing w:before="0" w:after="283"/>
              <w:jc w:val="right"/>
              <w:rPr/>
            </w:pPr>
            <w:r>
              <w:rPr/>
              <w:t>2,570</w:t>
            </w:r>
          </w:p>
        </w:tc>
        <w:tc>
          <w:tcPr>
            <w:tcW w:w="13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c>
          <w:tcPr>
            <w:tcW w:w="321" w:type="dxa"/>
            <w:tcBorders>
              <w:bottom w:val="single" w:sz="6" w:space="0" w:color="000000"/>
            </w:tcBorders>
            <w:tcMar>
              <w:bottom w:w="145" w:type="dxa"/>
            </w:tcMar>
            <w:vAlign w:val="center"/>
          </w:tcPr>
          <w:p>
            <w:pPr>
              <w:pStyle w:val="TableContents"/>
              <w:bidi w:val="0"/>
              <w:spacing w:before="0" w:after="283"/>
              <w:jc w:val="right"/>
              <w:rPr/>
            </w:pPr>
            <w:r>
              <w:rPr/>
              <w:t>$</w:t>
            </w:r>
          </w:p>
        </w:tc>
        <w:tc>
          <w:tcPr>
            <w:tcW w:w="748" w:type="dxa"/>
            <w:tcBorders>
              <w:bottom w:val="single" w:sz="6" w:space="0" w:color="000000"/>
            </w:tcBorders>
            <w:tcMar>
              <w:bottom w:w="145" w:type="dxa"/>
            </w:tcMar>
            <w:vAlign w:val="center"/>
          </w:tcPr>
          <w:p>
            <w:pPr>
              <w:pStyle w:val="TableContents"/>
              <w:bidi w:val="0"/>
              <w:spacing w:before="0" w:after="283"/>
              <w:jc w:val="right"/>
              <w:rPr/>
            </w:pPr>
            <w:r>
              <w:rPr/>
              <w:t>6.36</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tcMar>
              <w:bottom w:w="145" w:type="dxa"/>
            </w:tcMar>
            <w:vAlign w:val="center"/>
          </w:tcPr>
          <w:p>
            <w:pPr>
              <w:pStyle w:val="TableContents"/>
              <w:bidi w:val="0"/>
              <w:spacing w:before="0" w:after="283"/>
              <w:jc w:val="right"/>
              <w:rPr/>
            </w:pPr>
            <w:r>
              <w:rPr/>
              <w:t>16,345</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shd w:fill="F7F7F7" w:val="clear"/>
            <w:tcMar>
              <w:bottom w:w="145" w:type="dxa"/>
            </w:tcMar>
            <w:vAlign w:val="center"/>
          </w:tcPr>
          <w:p>
            <w:pPr>
              <w:pStyle w:val="TableContents"/>
              <w:bidi w:val="0"/>
              <w:spacing w:before="0" w:after="283"/>
              <w:jc w:val="right"/>
              <w:rPr/>
            </w:pPr>
            <w:r>
              <w:rPr/>
              <w:t>06/06/2022</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shd w:fill="F7F7F7" w:val="clear"/>
            <w:tcMar>
              <w:bottom w:w="145" w:type="dxa"/>
            </w:tcMar>
            <w:vAlign w:val="center"/>
          </w:tcPr>
          <w:p>
            <w:pPr>
              <w:pStyle w:val="TableContents"/>
              <w:bidi w:val="0"/>
              <w:spacing w:before="0" w:after="283"/>
              <w:jc w:val="right"/>
              <w:rPr/>
            </w:pPr>
            <w:r>
              <w:rPr/>
              <w:t>12/05/2023</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946" w:type="dxa"/>
            <w:tcBorders>
              <w:bottom w:val="single" w:sz="6" w:space="0" w:color="000000"/>
            </w:tcBorders>
            <w:shd w:fill="F7F7F7" w:val="clear"/>
            <w:tcMar>
              <w:bottom w:w="145" w:type="dxa"/>
            </w:tcMar>
            <w:vAlign w:val="center"/>
          </w:tcPr>
          <w:p>
            <w:pPr>
              <w:pStyle w:val="TableContents"/>
              <w:bidi w:val="0"/>
              <w:spacing w:before="0" w:after="283"/>
              <w:jc w:val="right"/>
              <w:rPr/>
            </w:pPr>
            <w:r>
              <w:rPr/>
              <w:t>2,570</w:t>
            </w:r>
          </w:p>
        </w:tc>
        <w:tc>
          <w:tcPr>
            <w:tcW w:w="13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321"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748" w:type="dxa"/>
            <w:tcBorders>
              <w:bottom w:val="single" w:sz="6" w:space="0" w:color="000000"/>
            </w:tcBorders>
            <w:shd w:fill="F7F7F7" w:val="clear"/>
            <w:tcMar>
              <w:bottom w:w="145" w:type="dxa"/>
            </w:tcMar>
            <w:vAlign w:val="center"/>
          </w:tcPr>
          <w:p>
            <w:pPr>
              <w:pStyle w:val="TableContents"/>
              <w:bidi w:val="0"/>
              <w:spacing w:before="0" w:after="283"/>
              <w:jc w:val="right"/>
              <w:rPr/>
            </w:pPr>
            <w:r>
              <w:rPr/>
              <w:t>4.36</w:t>
            </w:r>
          </w:p>
        </w:tc>
        <w:tc>
          <w:tcPr>
            <w:tcW w:w="15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shd w:fill="F7F7F7" w:val="clear"/>
            <w:tcMar>
              <w:bottom w:w="145" w:type="dxa"/>
            </w:tcMar>
            <w:vAlign w:val="center"/>
          </w:tcPr>
          <w:p>
            <w:pPr>
              <w:pStyle w:val="TableContents"/>
              <w:bidi w:val="0"/>
              <w:spacing w:before="0" w:after="283"/>
              <w:jc w:val="right"/>
              <w:rPr/>
            </w:pPr>
            <w:r>
              <w:rPr/>
              <w:t>11,205</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tcMar>
              <w:bottom w:w="145" w:type="dxa"/>
            </w:tcMar>
            <w:vAlign w:val="center"/>
          </w:tcPr>
          <w:p>
            <w:pPr>
              <w:pStyle w:val="TableContents"/>
              <w:bidi w:val="0"/>
              <w:spacing w:before="0" w:after="283"/>
              <w:jc w:val="right"/>
              <w:rPr/>
            </w:pPr>
            <w:r>
              <w:rPr/>
              <w:t>09/10/2023</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tcMar>
              <w:bottom w:w="145" w:type="dxa"/>
            </w:tcMar>
            <w:vAlign w:val="center"/>
          </w:tcPr>
          <w:p>
            <w:pPr>
              <w:pStyle w:val="TableContents"/>
              <w:bidi w:val="0"/>
              <w:spacing w:before="0" w:after="283"/>
              <w:jc w:val="right"/>
              <w:rPr/>
            </w:pPr>
            <w:r>
              <w:rPr/>
              <w:t>09/10/2023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tcMar>
              <w:bottom w:w="145" w:type="dxa"/>
            </w:tcMar>
            <w:vAlign w:val="center"/>
          </w:tcPr>
          <w:p>
            <w:pPr>
              <w:pStyle w:val="TableContents"/>
              <w:bidi w:val="0"/>
              <w:spacing w:before="0" w:after="283"/>
              <w:jc w:val="right"/>
              <w:rPr/>
            </w:pPr>
            <w:r>
              <w:rPr/>
              <w:t>​</w:t>
            </w:r>
          </w:p>
        </w:tc>
        <w:tc>
          <w:tcPr>
            <w:tcW w:w="946" w:type="dxa"/>
            <w:tcBorders>
              <w:bottom w:val="single" w:sz="6" w:space="0" w:color="000000"/>
            </w:tcBorders>
            <w:tcMar>
              <w:bottom w:w="145" w:type="dxa"/>
            </w:tcMar>
            <w:vAlign w:val="center"/>
          </w:tcPr>
          <w:p>
            <w:pPr>
              <w:pStyle w:val="TableContents"/>
              <w:bidi w:val="0"/>
              <w:spacing w:before="0" w:after="283"/>
              <w:jc w:val="right"/>
              <w:rPr/>
            </w:pPr>
            <w:r>
              <w:rPr/>
              <w:t>14,189</w:t>
            </w:r>
          </w:p>
        </w:tc>
        <w:tc>
          <w:tcPr>
            <w:tcW w:w="13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c>
          <w:tcPr>
            <w:tcW w:w="321" w:type="dxa"/>
            <w:tcBorders>
              <w:bottom w:val="single" w:sz="6" w:space="0" w:color="000000"/>
            </w:tcBorders>
            <w:tcMar>
              <w:bottom w:w="145" w:type="dxa"/>
            </w:tcMar>
            <w:vAlign w:val="center"/>
          </w:tcPr>
          <w:p>
            <w:pPr>
              <w:pStyle w:val="TableContents"/>
              <w:bidi w:val="0"/>
              <w:spacing w:before="0" w:after="283"/>
              <w:jc w:val="right"/>
              <w:rPr/>
            </w:pPr>
            <w:r>
              <w:rPr/>
              <w:t>$</w:t>
            </w:r>
          </w:p>
        </w:tc>
        <w:tc>
          <w:tcPr>
            <w:tcW w:w="748" w:type="dxa"/>
            <w:tcBorders>
              <w:bottom w:val="single" w:sz="6" w:space="0" w:color="000000"/>
            </w:tcBorders>
            <w:tcMar>
              <w:bottom w:w="145" w:type="dxa"/>
            </w:tcMar>
            <w:vAlign w:val="center"/>
          </w:tcPr>
          <w:p>
            <w:pPr>
              <w:pStyle w:val="TableContents"/>
              <w:bidi w:val="0"/>
              <w:spacing w:before="0" w:after="283"/>
              <w:jc w:val="right"/>
              <w:rPr/>
            </w:pPr>
            <w:r>
              <w:rPr/>
              <w:t>5.84</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tcMar>
              <w:bottom w:w="145" w:type="dxa"/>
            </w:tcMar>
            <w:vAlign w:val="center"/>
          </w:tcPr>
          <w:p>
            <w:pPr>
              <w:pStyle w:val="TableContents"/>
              <w:bidi w:val="0"/>
              <w:spacing w:before="0" w:after="283"/>
              <w:jc w:val="right"/>
              <w:rPr/>
            </w:pPr>
            <w:r>
              <w:rPr/>
              <w:t>82,863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shd w:fill="F7F7F7" w:val="clear"/>
            <w:tcMar>
              <w:bottom w:w="145" w:type="dxa"/>
            </w:tcMar>
            <w:vAlign w:val="center"/>
          </w:tcPr>
          <w:p>
            <w:pPr>
              <w:pStyle w:val="TableContents"/>
              <w:bidi w:val="0"/>
              <w:spacing w:before="0" w:after="283"/>
              <w:jc w:val="right"/>
              <w:rPr/>
            </w:pPr>
            <w:r>
              <w:rPr/>
              <w:t>09/10/2023</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shd w:fill="F7F7F7" w:val="clear"/>
            <w:tcMar>
              <w:bottom w:w="145" w:type="dxa"/>
            </w:tcMar>
            <w:vAlign w:val="center"/>
          </w:tcPr>
          <w:p>
            <w:pPr>
              <w:pStyle w:val="TableContents"/>
              <w:bidi w:val="0"/>
              <w:spacing w:before="0" w:after="283"/>
              <w:jc w:val="right"/>
              <w:rPr/>
            </w:pPr>
            <w:r>
              <w:rPr/>
              <w:t>12/05/2023</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946" w:type="dxa"/>
            <w:tcBorders>
              <w:bottom w:val="single" w:sz="6" w:space="0" w:color="000000"/>
            </w:tcBorders>
            <w:shd w:fill="F7F7F7" w:val="clear"/>
            <w:tcMar>
              <w:bottom w:w="145" w:type="dxa"/>
            </w:tcMar>
            <w:vAlign w:val="center"/>
          </w:tcPr>
          <w:p>
            <w:pPr>
              <w:pStyle w:val="TableContents"/>
              <w:bidi w:val="0"/>
              <w:spacing w:before="0" w:after="283"/>
              <w:jc w:val="right"/>
              <w:rPr/>
            </w:pPr>
            <w:r>
              <w:rPr/>
              <w:t>7,095</w:t>
            </w:r>
          </w:p>
        </w:tc>
        <w:tc>
          <w:tcPr>
            <w:tcW w:w="13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321"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748" w:type="dxa"/>
            <w:tcBorders>
              <w:bottom w:val="single" w:sz="6" w:space="0" w:color="000000"/>
            </w:tcBorders>
            <w:shd w:fill="F7F7F7" w:val="clear"/>
            <w:tcMar>
              <w:bottom w:w="145" w:type="dxa"/>
            </w:tcMar>
            <w:vAlign w:val="center"/>
          </w:tcPr>
          <w:p>
            <w:pPr>
              <w:pStyle w:val="TableContents"/>
              <w:bidi w:val="0"/>
              <w:spacing w:before="0" w:after="283"/>
              <w:jc w:val="right"/>
              <w:rPr/>
            </w:pPr>
            <w:r>
              <w:rPr/>
              <w:t>4.36</w:t>
            </w:r>
          </w:p>
        </w:tc>
        <w:tc>
          <w:tcPr>
            <w:tcW w:w="15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shd w:fill="F7F7F7" w:val="clear"/>
            <w:tcMar>
              <w:bottom w:w="145" w:type="dxa"/>
            </w:tcMar>
            <w:vAlign w:val="center"/>
          </w:tcPr>
          <w:p>
            <w:pPr>
              <w:pStyle w:val="TableContents"/>
              <w:bidi w:val="0"/>
              <w:spacing w:before="0" w:after="283"/>
              <w:jc w:val="right"/>
              <w:rPr/>
            </w:pPr>
            <w:r>
              <w:rPr/>
              <w:t>30,934</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280" w:after="0"/>
        <w:ind w:left="849" w:right="0" w:hanging="0"/>
        <w:jc w:val="left"/>
        <w:rPr>
          <w:rFonts w:ascii="Helvetica;Arial;sans-serif" w:hAnsi="Helvetica;Arial;sans-serif"/>
          <w:b w:val="false"/>
          <w:i w:val="false"/>
          <w:caps w:val="false"/>
          <w:smallCaps w:val="false"/>
          <w:color w:val="000000"/>
          <w:sz w:val="9"/>
        </w:rPr>
      </w:pPr>
      <w:r>
        <w:rPr>
          <w:rFonts w:ascii="Helvetica;Arial;sans-serif" w:hAnsi="Helvetica;Arial;sans-serif"/>
          <w:b w:val="false"/>
          <w:i w:val="false"/>
          <w:caps w:val="false"/>
          <w:smallCaps w:val="false"/>
          <w:color w:val="000000"/>
          <w:sz w:val="9"/>
        </w:rPr>
        <w:t>Computed as the aggregate dollar amount realized upon the vesting of RSUs granted to Mr. Bach, determined by multiplying the number of units vesting as of the applicable vesting date by the closing price of our Common Stock on the trading day prior to the applicable vesting date, as follows:​</w:t>
      </w:r>
      <w:r>
        <w:rPr>
          <w:rFonts w:ascii="Helvetica;Arial;sans-serif" w:hAnsi="Helvetica;Arial;sans-serif"/>
          <w:b w:val="false"/>
          <w:i w:val="false"/>
          <w:caps w:val="false"/>
          <w:smallCaps w:val="false"/>
          <w:color w:val="000000"/>
          <w:spacing w:val="2"/>
          <w:sz w:val="9"/>
        </w:rPr>
        <w:t xml:space="preserve"> </w:t>
      </w:r>
      <w:r>
        <mc:AlternateContent>
          <mc:Choice Requires="wps">
            <w:drawing>
              <wp:anchor behindDoc="0" distT="177800" distB="0" distL="0" distR="0" simplePos="0" locked="0" layoutInCell="1" allowOverlap="1" relativeHeight="245">
                <wp:simplePos x="0" y="0"/>
                <wp:positionH relativeFrom="column">
                  <wp:align>left</wp:align>
                </wp:positionH>
                <wp:positionV relativeFrom="line">
                  <wp:align>top</wp:align>
                </wp:positionV>
                <wp:extent cx="81915" cy="180340"/>
                <wp:effectExtent l="0" t="0" r="0" b="0"/>
                <wp:wrapSquare wrapText="right"/>
                <wp:docPr id="237" name="Frame174"/>
                <a:graphic xmlns:a="http://schemas.openxmlformats.org/drawingml/2006/main">
                  <a:graphicData uri="http://schemas.microsoft.com/office/word/2010/wordprocessingShape">
                    <wps:wsp>
                      <wps:cNvSpPr txBox="1"/>
                      <wps:spPr>
                        <a:xfrm>
                          <a:off x="0" y="0"/>
                          <a:ext cx="81915" cy="180340"/>
                        </a:xfrm>
                        <a:prstGeom prst="rect"/>
                        <a:solidFill>
                          <a:srgbClr val="FFFFFF"/>
                        </a:solidFill>
                      </wps:spPr>
                      <wps:txbx>
                        <w:txbxContent>
                          <w:p>
                            <w:pPr>
                              <w:pStyle w:val="TextBody"/>
                              <w:bidi w:val="0"/>
                              <w:spacing w:lineRule="atLeast" w:line="142" w:before="0" w:after="283"/>
                              <w:jc w:val="left"/>
                              <w:rPr>
                                <w:sz w:val="9"/>
                              </w:rPr>
                            </w:pPr>
                            <w:r>
                              <w:rPr>
                                <w:sz w:val="9"/>
                              </w:rPr>
                              <w:t xml:space="preserve">(4) </w:t>
                              <w:br/>
                            </w:r>
                          </w:p>
                        </w:txbxContent>
                      </wps:txbx>
                      <wps:bodyPr anchor="t" lIns="0" tIns="0" rIns="0" bIns="0">
                        <a:noAutofit/>
                      </wps:bodyPr>
                    </wps:wsp>
                  </a:graphicData>
                </a:graphic>
              </wp:anchor>
            </w:drawing>
          </mc:Choice>
          <mc:Fallback>
            <w:pict>
              <v:rect style="position:absolute;rotation:-0;width:6.45pt;height:14.2pt;mso-wrap-distance-left:0pt;mso-wrap-distance-right:0pt;mso-wrap-distance-top:14pt;mso-wrap-distance-bottom:0pt;margin-top:14pt;mso-position-vertical:top;mso-position-vertical-relative:text;margin-left:0pt;mso-position-horizontal:left;mso-position-horizontal-relative:text">
                <v:textbox>
                  <w:txbxContent>
                    <w:p>
                      <w:pPr>
                        <w:pStyle w:val="TextBody"/>
                        <w:bidi w:val="0"/>
                        <w:spacing w:lineRule="atLeast" w:line="142" w:before="0" w:after="283"/>
                        <w:jc w:val="left"/>
                        <w:rPr>
                          <w:sz w:val="9"/>
                        </w:rPr>
                      </w:pPr>
                      <w:r>
                        <w:rPr>
                          <w:sz w:val="9"/>
                        </w:rPr>
                        <w:t xml:space="preserve">(4)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7900" w:type="dxa"/>
        <w:jc w:val="left"/>
        <w:tblInd w:w="720" w:type="dxa"/>
        <w:tblLayout w:type="fixed"/>
        <w:tblCellMar>
          <w:top w:w="0" w:type="dxa"/>
          <w:left w:w="0" w:type="dxa"/>
          <w:bottom w:w="0" w:type="dxa"/>
          <w:right w:w="0" w:type="dxa"/>
        </w:tblCellMar>
      </w:tblPr>
      <w:tblGrid>
        <w:gridCol w:w="124"/>
        <w:gridCol w:w="114"/>
        <w:gridCol w:w="114"/>
        <w:gridCol w:w="1247"/>
        <w:gridCol w:w="114"/>
        <w:gridCol w:w="109"/>
        <w:gridCol w:w="109"/>
        <w:gridCol w:w="109"/>
        <w:gridCol w:w="109"/>
        <w:gridCol w:w="1186"/>
        <w:gridCol w:w="109"/>
        <w:gridCol w:w="109"/>
        <w:gridCol w:w="109"/>
        <w:gridCol w:w="134"/>
        <w:gridCol w:w="134"/>
        <w:gridCol w:w="946"/>
        <w:gridCol w:w="134"/>
        <w:gridCol w:w="109"/>
        <w:gridCol w:w="109"/>
        <w:gridCol w:w="109"/>
        <w:gridCol w:w="226"/>
        <w:gridCol w:w="526"/>
        <w:gridCol w:w="109"/>
        <w:gridCol w:w="109"/>
        <w:gridCol w:w="109"/>
        <w:gridCol w:w="109"/>
        <w:gridCol w:w="226"/>
        <w:gridCol w:w="886"/>
        <w:gridCol w:w="109"/>
        <w:gridCol w:w="154"/>
      </w:tblGrid>
      <w:tr>
        <w:trPr/>
        <w:tc>
          <w:tcPr>
            <w:tcW w:w="124" w:type="dxa"/>
            <w:tcBorders/>
            <w:shd w:fill="000000" w:val="clear"/>
            <w:vAlign w:val="center"/>
          </w:tcPr>
          <w:p>
            <w:pPr>
              <w:pStyle w:val="TableContents"/>
              <w:bidi w:val="0"/>
              <w:spacing w:before="0" w:after="283"/>
              <w:jc w:val="left"/>
              <w:rPr/>
            </w:pPr>
            <w:r>
              <w:rPr/>
              <w:t>​</w:t>
            </w:r>
          </w:p>
        </w:tc>
        <w:tc>
          <w:tcPr>
            <w:tcW w:w="1589" w:type="dxa"/>
            <w:gridSpan w:val="4"/>
            <w:tcBorders/>
            <w:shd w:fill="000000" w:val="clear"/>
            <w:vAlign w:val="center"/>
          </w:tcPr>
          <w:p>
            <w:pPr>
              <w:pStyle w:val="TableContents"/>
              <w:bidi w:val="0"/>
              <w:spacing w:before="0" w:after="0"/>
              <w:jc w:val="left"/>
              <w:rPr/>
            </w:pPr>
            <w:r>
              <w:rPr/>
              <w:t xml:space="preserve">Date of Award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13" w:type="dxa"/>
            <w:gridSpan w:val="4"/>
            <w:tcBorders/>
            <w:shd w:fill="000000" w:val="clear"/>
            <w:vAlign w:val="center"/>
          </w:tcPr>
          <w:p>
            <w:pPr>
              <w:pStyle w:val="TableContents"/>
              <w:bidi w:val="0"/>
              <w:spacing w:before="0" w:after="0"/>
              <w:jc w:val="center"/>
              <w:rPr/>
            </w:pPr>
            <w:r>
              <w:rPr/>
              <w:t xml:space="preserve">Vesting Date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48" w:type="dxa"/>
            <w:gridSpan w:val="4"/>
            <w:tcBorders/>
            <w:shd w:fill="000000" w:val="clear"/>
            <w:vAlign w:val="center"/>
          </w:tcPr>
          <w:p>
            <w:pPr>
              <w:pStyle w:val="TableContents"/>
              <w:bidi w:val="0"/>
              <w:spacing w:before="0" w:after="0"/>
              <w:jc w:val="center"/>
              <w:rPr/>
            </w:pPr>
            <w:r>
              <w:rPr/>
              <w:t xml:space="preserve">Number of </w:t>
              <w:br/>
              <w:t xml:space="preserve">Shares </w:t>
              <w:br/>
              <w:t xml:space="preserve">Acquired on </w:t>
              <w:br/>
              <w:t xml:space="preserve">Vesting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970" w:type="dxa"/>
            <w:gridSpan w:val="4"/>
            <w:tcBorders/>
            <w:shd w:fill="000000" w:val="clear"/>
            <w:vAlign w:val="center"/>
          </w:tcPr>
          <w:p>
            <w:pPr>
              <w:pStyle w:val="TableContents"/>
              <w:bidi w:val="0"/>
              <w:spacing w:before="0" w:after="0"/>
              <w:jc w:val="center"/>
              <w:rPr/>
            </w:pPr>
            <w:r>
              <w:rPr/>
              <w:t xml:space="preserve">Market </w:t>
              <w:br/>
              <w:t xml:space="preserve">Price at </w:t>
              <w:br/>
              <w:t xml:space="preserve">Vesting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30" w:type="dxa"/>
            <w:gridSpan w:val="4"/>
            <w:tcBorders/>
            <w:shd w:fill="000000" w:val="clear"/>
            <w:vAlign w:val="center"/>
          </w:tcPr>
          <w:p>
            <w:pPr>
              <w:pStyle w:val="TableContents"/>
              <w:bidi w:val="0"/>
              <w:spacing w:before="0" w:after="0"/>
              <w:jc w:val="center"/>
              <w:rPr/>
            </w:pPr>
            <w:r>
              <w:rPr/>
              <w:t xml:space="preserve">Value </w:t>
              <w:br/>
              <w:t xml:space="preserve">Realized </w:t>
              <w:br/>
              <w:t xml:space="preserve">on Vesting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tcMar>
              <w:bottom w:w="145" w:type="dxa"/>
            </w:tcMar>
            <w:vAlign w:val="center"/>
          </w:tcPr>
          <w:p>
            <w:pPr>
              <w:pStyle w:val="TableContents"/>
              <w:bidi w:val="0"/>
              <w:spacing w:before="0" w:after="283"/>
              <w:jc w:val="right"/>
              <w:rPr/>
            </w:pPr>
            <w:r>
              <w:rPr/>
              <w:t>02/22/2021</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tcMar>
              <w:bottom w:w="145" w:type="dxa"/>
            </w:tcMar>
            <w:vAlign w:val="center"/>
          </w:tcPr>
          <w:p>
            <w:pPr>
              <w:pStyle w:val="TableContents"/>
              <w:bidi w:val="0"/>
              <w:spacing w:before="0" w:after="283"/>
              <w:jc w:val="right"/>
              <w:rPr/>
            </w:pPr>
            <w:r>
              <w:rPr/>
              <w:t>03/05/2023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tcMar>
              <w:bottom w:w="145" w:type="dxa"/>
            </w:tcMar>
            <w:vAlign w:val="center"/>
          </w:tcPr>
          <w:p>
            <w:pPr>
              <w:pStyle w:val="TableContents"/>
              <w:bidi w:val="0"/>
              <w:spacing w:before="0" w:after="283"/>
              <w:jc w:val="right"/>
              <w:rPr/>
            </w:pPr>
            <w:r>
              <w:rPr/>
              <w:t>​</w:t>
            </w:r>
          </w:p>
        </w:tc>
        <w:tc>
          <w:tcPr>
            <w:tcW w:w="946" w:type="dxa"/>
            <w:tcBorders>
              <w:bottom w:val="single" w:sz="6" w:space="0" w:color="000000"/>
            </w:tcBorders>
            <w:tcMar>
              <w:bottom w:w="145" w:type="dxa"/>
            </w:tcMar>
            <w:vAlign w:val="center"/>
          </w:tcPr>
          <w:p>
            <w:pPr>
              <w:pStyle w:val="TableContents"/>
              <w:bidi w:val="0"/>
              <w:spacing w:before="0" w:after="283"/>
              <w:jc w:val="right"/>
              <w:rPr/>
            </w:pPr>
            <w:r>
              <w:rPr/>
              <w:t>41,313</w:t>
            </w:r>
          </w:p>
        </w:tc>
        <w:tc>
          <w:tcPr>
            <w:tcW w:w="13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526" w:type="dxa"/>
            <w:tcBorders>
              <w:bottom w:val="single" w:sz="6" w:space="0" w:color="000000"/>
            </w:tcBorders>
            <w:tcMar>
              <w:bottom w:w="145" w:type="dxa"/>
            </w:tcMar>
            <w:vAlign w:val="center"/>
          </w:tcPr>
          <w:p>
            <w:pPr>
              <w:pStyle w:val="TableContents"/>
              <w:bidi w:val="0"/>
              <w:spacing w:before="0" w:after="283"/>
              <w:jc w:val="right"/>
              <w:rPr/>
            </w:pPr>
            <w:r>
              <w:rPr/>
              <w:t>8.94</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tcMar>
              <w:bottom w:w="145" w:type="dxa"/>
            </w:tcMar>
            <w:vAlign w:val="center"/>
          </w:tcPr>
          <w:p>
            <w:pPr>
              <w:pStyle w:val="TableContents"/>
              <w:bidi w:val="0"/>
              <w:spacing w:before="0" w:after="283"/>
              <w:jc w:val="right"/>
              <w:rPr/>
            </w:pPr>
            <w:r>
              <w:rPr/>
              <w:t>369,338</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shd w:fill="F7F7F7" w:val="clear"/>
            <w:tcMar>
              <w:bottom w:w="145" w:type="dxa"/>
            </w:tcMar>
            <w:vAlign w:val="center"/>
          </w:tcPr>
          <w:p>
            <w:pPr>
              <w:pStyle w:val="TableContents"/>
              <w:bidi w:val="0"/>
              <w:spacing w:before="0" w:after="283"/>
              <w:jc w:val="right"/>
              <w:rPr/>
            </w:pPr>
            <w:r>
              <w:rPr/>
              <w:t>02/22/2021</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shd w:fill="F7F7F7" w:val="clear"/>
            <w:tcMar>
              <w:bottom w:w="145" w:type="dxa"/>
            </w:tcMar>
            <w:vAlign w:val="center"/>
          </w:tcPr>
          <w:p>
            <w:pPr>
              <w:pStyle w:val="TableContents"/>
              <w:bidi w:val="0"/>
              <w:spacing w:before="0" w:after="283"/>
              <w:jc w:val="right"/>
              <w:rPr/>
            </w:pPr>
            <w:r>
              <w:rPr/>
              <w:t>06/05/2023</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946" w:type="dxa"/>
            <w:tcBorders>
              <w:bottom w:val="single" w:sz="6" w:space="0" w:color="000000"/>
            </w:tcBorders>
            <w:shd w:fill="F7F7F7" w:val="clear"/>
            <w:tcMar>
              <w:bottom w:w="145" w:type="dxa"/>
            </w:tcMar>
            <w:vAlign w:val="center"/>
          </w:tcPr>
          <w:p>
            <w:pPr>
              <w:pStyle w:val="TableContents"/>
              <w:bidi w:val="0"/>
              <w:spacing w:before="0" w:after="283"/>
              <w:jc w:val="right"/>
              <w:rPr/>
            </w:pPr>
            <w:r>
              <w:rPr/>
              <w:t>41,312</w:t>
            </w:r>
          </w:p>
        </w:tc>
        <w:tc>
          <w:tcPr>
            <w:tcW w:w="13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526" w:type="dxa"/>
            <w:tcBorders>
              <w:bottom w:val="single" w:sz="6" w:space="0" w:color="000000"/>
            </w:tcBorders>
            <w:shd w:fill="F7F7F7" w:val="clear"/>
            <w:tcMar>
              <w:bottom w:w="145" w:type="dxa"/>
            </w:tcMar>
            <w:vAlign w:val="center"/>
          </w:tcPr>
          <w:p>
            <w:pPr>
              <w:pStyle w:val="TableContents"/>
              <w:bidi w:val="0"/>
              <w:spacing w:before="0" w:after="283"/>
              <w:jc w:val="right"/>
              <w:rPr/>
            </w:pPr>
            <w:r>
              <w:rPr/>
              <w:t>6.60</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shd w:fill="F7F7F7" w:val="clear"/>
            <w:tcMar>
              <w:bottom w:w="145" w:type="dxa"/>
            </w:tcMar>
            <w:vAlign w:val="center"/>
          </w:tcPr>
          <w:p>
            <w:pPr>
              <w:pStyle w:val="TableContents"/>
              <w:bidi w:val="0"/>
              <w:spacing w:before="0" w:after="283"/>
              <w:jc w:val="right"/>
              <w:rPr/>
            </w:pPr>
            <w:r>
              <w:rPr/>
              <w:t>272,659</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tcMar>
              <w:bottom w:w="145" w:type="dxa"/>
            </w:tcMar>
            <w:vAlign w:val="center"/>
          </w:tcPr>
          <w:p>
            <w:pPr>
              <w:pStyle w:val="TableContents"/>
              <w:bidi w:val="0"/>
              <w:spacing w:before="0" w:after="283"/>
              <w:jc w:val="right"/>
              <w:rPr/>
            </w:pPr>
            <w:r>
              <w:rPr/>
              <w:t>02/22/2021</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tcMar>
              <w:bottom w:w="145" w:type="dxa"/>
            </w:tcMar>
            <w:vAlign w:val="center"/>
          </w:tcPr>
          <w:p>
            <w:pPr>
              <w:pStyle w:val="TableContents"/>
              <w:bidi w:val="0"/>
              <w:spacing w:before="0" w:after="283"/>
              <w:jc w:val="right"/>
              <w:rPr/>
            </w:pPr>
            <w:r>
              <w:rPr/>
              <w:t>09/05/2023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tcMar>
              <w:bottom w:w="145" w:type="dxa"/>
            </w:tcMar>
            <w:vAlign w:val="center"/>
          </w:tcPr>
          <w:p>
            <w:pPr>
              <w:pStyle w:val="TableContents"/>
              <w:bidi w:val="0"/>
              <w:spacing w:before="0" w:after="283"/>
              <w:jc w:val="right"/>
              <w:rPr/>
            </w:pPr>
            <w:r>
              <w:rPr/>
              <w:t>​</w:t>
            </w:r>
          </w:p>
        </w:tc>
        <w:tc>
          <w:tcPr>
            <w:tcW w:w="946" w:type="dxa"/>
            <w:tcBorders>
              <w:bottom w:val="single" w:sz="6" w:space="0" w:color="000000"/>
            </w:tcBorders>
            <w:tcMar>
              <w:bottom w:w="145" w:type="dxa"/>
            </w:tcMar>
            <w:vAlign w:val="center"/>
          </w:tcPr>
          <w:p>
            <w:pPr>
              <w:pStyle w:val="TableContents"/>
              <w:bidi w:val="0"/>
              <w:spacing w:before="0" w:after="283"/>
              <w:jc w:val="right"/>
              <w:rPr/>
            </w:pPr>
            <w:r>
              <w:rPr/>
              <w:t>41,312</w:t>
            </w:r>
          </w:p>
        </w:tc>
        <w:tc>
          <w:tcPr>
            <w:tcW w:w="13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526" w:type="dxa"/>
            <w:tcBorders>
              <w:bottom w:val="single" w:sz="6" w:space="0" w:color="000000"/>
            </w:tcBorders>
            <w:tcMar>
              <w:bottom w:w="145" w:type="dxa"/>
            </w:tcMar>
            <w:vAlign w:val="center"/>
          </w:tcPr>
          <w:p>
            <w:pPr>
              <w:pStyle w:val="TableContents"/>
              <w:bidi w:val="0"/>
              <w:spacing w:before="0" w:after="283"/>
              <w:jc w:val="right"/>
              <w:rPr/>
            </w:pPr>
            <w:r>
              <w:rPr/>
              <w:t>6.36</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tcMar>
              <w:bottom w:w="145" w:type="dxa"/>
            </w:tcMar>
            <w:vAlign w:val="center"/>
          </w:tcPr>
          <w:p>
            <w:pPr>
              <w:pStyle w:val="TableContents"/>
              <w:bidi w:val="0"/>
              <w:spacing w:before="0" w:after="283"/>
              <w:jc w:val="right"/>
              <w:rPr/>
            </w:pPr>
            <w:r>
              <w:rPr/>
              <w:t>262,744</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shd w:fill="F7F7F7" w:val="clear"/>
            <w:tcMar>
              <w:bottom w:w="145" w:type="dxa"/>
            </w:tcMar>
            <w:vAlign w:val="center"/>
          </w:tcPr>
          <w:p>
            <w:pPr>
              <w:pStyle w:val="TableContents"/>
              <w:bidi w:val="0"/>
              <w:spacing w:before="0" w:after="283"/>
              <w:jc w:val="right"/>
              <w:rPr/>
            </w:pPr>
            <w:r>
              <w:rPr/>
              <w:t>02/22/2021</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shd w:fill="F7F7F7" w:val="clear"/>
            <w:tcMar>
              <w:bottom w:w="145" w:type="dxa"/>
            </w:tcMar>
            <w:vAlign w:val="center"/>
          </w:tcPr>
          <w:p>
            <w:pPr>
              <w:pStyle w:val="TableContents"/>
              <w:bidi w:val="0"/>
              <w:spacing w:before="0" w:after="283"/>
              <w:jc w:val="right"/>
              <w:rPr/>
            </w:pPr>
            <w:r>
              <w:rPr/>
              <w:t>12/05/2023</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946" w:type="dxa"/>
            <w:tcBorders>
              <w:bottom w:val="single" w:sz="6" w:space="0" w:color="000000"/>
            </w:tcBorders>
            <w:shd w:fill="F7F7F7" w:val="clear"/>
            <w:tcMar>
              <w:bottom w:w="145" w:type="dxa"/>
            </w:tcMar>
            <w:vAlign w:val="center"/>
          </w:tcPr>
          <w:p>
            <w:pPr>
              <w:pStyle w:val="TableContents"/>
              <w:bidi w:val="0"/>
              <w:spacing w:before="0" w:after="283"/>
              <w:jc w:val="right"/>
              <w:rPr/>
            </w:pPr>
            <w:r>
              <w:rPr/>
              <w:t>41,312</w:t>
            </w:r>
          </w:p>
        </w:tc>
        <w:tc>
          <w:tcPr>
            <w:tcW w:w="13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526" w:type="dxa"/>
            <w:tcBorders>
              <w:bottom w:val="single" w:sz="6" w:space="0" w:color="000000"/>
            </w:tcBorders>
            <w:shd w:fill="F7F7F7" w:val="clear"/>
            <w:tcMar>
              <w:bottom w:w="145" w:type="dxa"/>
            </w:tcMar>
            <w:vAlign w:val="center"/>
          </w:tcPr>
          <w:p>
            <w:pPr>
              <w:pStyle w:val="TableContents"/>
              <w:bidi w:val="0"/>
              <w:spacing w:before="0" w:after="283"/>
              <w:jc w:val="right"/>
              <w:rPr/>
            </w:pPr>
            <w:r>
              <w:rPr/>
              <w:t>4.36</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shd w:fill="F7F7F7" w:val="clear"/>
            <w:tcMar>
              <w:bottom w:w="145" w:type="dxa"/>
            </w:tcMar>
            <w:vAlign w:val="center"/>
          </w:tcPr>
          <w:p>
            <w:pPr>
              <w:pStyle w:val="TableContents"/>
              <w:bidi w:val="0"/>
              <w:spacing w:before="0" w:after="283"/>
              <w:jc w:val="right"/>
              <w:rPr/>
            </w:pPr>
            <w:r>
              <w:rPr/>
              <w:t>180,120</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tcMar>
              <w:bottom w:w="145" w:type="dxa"/>
            </w:tcMar>
            <w:vAlign w:val="center"/>
          </w:tcPr>
          <w:p>
            <w:pPr>
              <w:pStyle w:val="TableContents"/>
              <w:bidi w:val="0"/>
              <w:spacing w:before="0" w:after="283"/>
              <w:jc w:val="right"/>
              <w:rPr/>
            </w:pPr>
            <w:r>
              <w:rPr/>
              <w:t>06/06/2022</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tcMar>
              <w:bottom w:w="145" w:type="dxa"/>
            </w:tcMar>
            <w:vAlign w:val="center"/>
          </w:tcPr>
          <w:p>
            <w:pPr>
              <w:pStyle w:val="TableContents"/>
              <w:bidi w:val="0"/>
              <w:spacing w:before="0" w:after="283"/>
              <w:jc w:val="right"/>
              <w:rPr/>
            </w:pPr>
            <w:r>
              <w:rPr/>
              <w:t>03/05/2023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tcMar>
              <w:bottom w:w="145" w:type="dxa"/>
            </w:tcMar>
            <w:vAlign w:val="center"/>
          </w:tcPr>
          <w:p>
            <w:pPr>
              <w:pStyle w:val="TableContents"/>
              <w:bidi w:val="0"/>
              <w:spacing w:before="0" w:after="283"/>
              <w:jc w:val="right"/>
              <w:rPr/>
            </w:pPr>
            <w:r>
              <w:rPr/>
              <w:t>​</w:t>
            </w:r>
          </w:p>
        </w:tc>
        <w:tc>
          <w:tcPr>
            <w:tcW w:w="946" w:type="dxa"/>
            <w:tcBorders>
              <w:bottom w:val="single" w:sz="6" w:space="0" w:color="000000"/>
            </w:tcBorders>
            <w:tcMar>
              <w:bottom w:w="145" w:type="dxa"/>
            </w:tcMar>
            <w:vAlign w:val="center"/>
          </w:tcPr>
          <w:p>
            <w:pPr>
              <w:pStyle w:val="TableContents"/>
              <w:bidi w:val="0"/>
              <w:spacing w:before="0" w:after="283"/>
              <w:jc w:val="right"/>
              <w:rPr/>
            </w:pPr>
            <w:r>
              <w:rPr/>
              <w:t>17,133</w:t>
            </w:r>
          </w:p>
        </w:tc>
        <w:tc>
          <w:tcPr>
            <w:tcW w:w="13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526" w:type="dxa"/>
            <w:tcBorders>
              <w:bottom w:val="single" w:sz="6" w:space="0" w:color="000000"/>
            </w:tcBorders>
            <w:tcMar>
              <w:bottom w:w="145" w:type="dxa"/>
            </w:tcMar>
            <w:vAlign w:val="center"/>
          </w:tcPr>
          <w:p>
            <w:pPr>
              <w:pStyle w:val="TableContents"/>
              <w:bidi w:val="0"/>
              <w:spacing w:before="0" w:after="283"/>
              <w:jc w:val="right"/>
              <w:rPr/>
            </w:pPr>
            <w:r>
              <w:rPr/>
              <w:t>8.94</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tcMar>
              <w:bottom w:w="145" w:type="dxa"/>
            </w:tcMar>
            <w:vAlign w:val="center"/>
          </w:tcPr>
          <w:p>
            <w:pPr>
              <w:pStyle w:val="TableContents"/>
              <w:bidi w:val="0"/>
              <w:spacing w:before="0" w:after="283"/>
              <w:jc w:val="right"/>
              <w:rPr/>
            </w:pPr>
            <w:r>
              <w:rPr/>
              <w:t>153,169</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shd w:fill="F7F7F7" w:val="clear"/>
            <w:tcMar>
              <w:bottom w:w="145" w:type="dxa"/>
            </w:tcMar>
            <w:vAlign w:val="center"/>
          </w:tcPr>
          <w:p>
            <w:pPr>
              <w:pStyle w:val="TableContents"/>
              <w:bidi w:val="0"/>
              <w:spacing w:before="0" w:after="283"/>
              <w:jc w:val="right"/>
              <w:rPr/>
            </w:pPr>
            <w:r>
              <w:rPr/>
              <w:t>06/06/2022</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shd w:fill="F7F7F7" w:val="clear"/>
            <w:tcMar>
              <w:bottom w:w="145" w:type="dxa"/>
            </w:tcMar>
            <w:vAlign w:val="center"/>
          </w:tcPr>
          <w:p>
            <w:pPr>
              <w:pStyle w:val="TableContents"/>
              <w:bidi w:val="0"/>
              <w:spacing w:before="0" w:after="283"/>
              <w:jc w:val="right"/>
              <w:rPr/>
            </w:pPr>
            <w:r>
              <w:rPr/>
              <w:t>06/05/2023</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946" w:type="dxa"/>
            <w:tcBorders>
              <w:bottom w:val="single" w:sz="6" w:space="0" w:color="000000"/>
            </w:tcBorders>
            <w:shd w:fill="F7F7F7" w:val="clear"/>
            <w:tcMar>
              <w:bottom w:w="145" w:type="dxa"/>
            </w:tcMar>
            <w:vAlign w:val="center"/>
          </w:tcPr>
          <w:p>
            <w:pPr>
              <w:pStyle w:val="TableContents"/>
              <w:bidi w:val="0"/>
              <w:spacing w:before="0" w:after="283"/>
              <w:jc w:val="right"/>
              <w:rPr/>
            </w:pPr>
            <w:r>
              <w:rPr/>
              <w:t>17,133</w:t>
            </w:r>
          </w:p>
        </w:tc>
        <w:tc>
          <w:tcPr>
            <w:tcW w:w="13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526" w:type="dxa"/>
            <w:tcBorders>
              <w:bottom w:val="single" w:sz="6" w:space="0" w:color="000000"/>
            </w:tcBorders>
            <w:shd w:fill="F7F7F7" w:val="clear"/>
            <w:tcMar>
              <w:bottom w:w="145" w:type="dxa"/>
            </w:tcMar>
            <w:vAlign w:val="center"/>
          </w:tcPr>
          <w:p>
            <w:pPr>
              <w:pStyle w:val="TableContents"/>
              <w:bidi w:val="0"/>
              <w:spacing w:before="0" w:after="283"/>
              <w:jc w:val="right"/>
              <w:rPr/>
            </w:pPr>
            <w:r>
              <w:rPr/>
              <w:t>6.60</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shd w:fill="F7F7F7" w:val="clear"/>
            <w:tcMar>
              <w:bottom w:w="145" w:type="dxa"/>
            </w:tcMar>
            <w:vAlign w:val="center"/>
          </w:tcPr>
          <w:p>
            <w:pPr>
              <w:pStyle w:val="TableContents"/>
              <w:bidi w:val="0"/>
              <w:spacing w:before="0" w:after="283"/>
              <w:jc w:val="right"/>
              <w:rPr/>
            </w:pPr>
            <w:r>
              <w:rPr/>
              <w:t>113,077</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tcMar>
              <w:bottom w:w="145" w:type="dxa"/>
            </w:tcMar>
            <w:vAlign w:val="center"/>
          </w:tcPr>
          <w:p>
            <w:pPr>
              <w:pStyle w:val="TableContents"/>
              <w:bidi w:val="0"/>
              <w:spacing w:before="0" w:after="283"/>
              <w:jc w:val="right"/>
              <w:rPr/>
            </w:pPr>
            <w:r>
              <w:rPr/>
              <w:t>06/06/2022</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tcMar>
              <w:bottom w:w="145" w:type="dxa"/>
            </w:tcMar>
            <w:vAlign w:val="center"/>
          </w:tcPr>
          <w:p>
            <w:pPr>
              <w:pStyle w:val="TableContents"/>
              <w:bidi w:val="0"/>
              <w:spacing w:before="0" w:after="283"/>
              <w:jc w:val="right"/>
              <w:rPr/>
            </w:pPr>
            <w:r>
              <w:rPr/>
              <w:t>09/05/2023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tcMar>
              <w:bottom w:w="145" w:type="dxa"/>
            </w:tcMar>
            <w:vAlign w:val="center"/>
          </w:tcPr>
          <w:p>
            <w:pPr>
              <w:pStyle w:val="TableContents"/>
              <w:bidi w:val="0"/>
              <w:spacing w:before="0" w:after="283"/>
              <w:jc w:val="right"/>
              <w:rPr/>
            </w:pPr>
            <w:r>
              <w:rPr/>
              <w:t>​</w:t>
            </w:r>
          </w:p>
        </w:tc>
        <w:tc>
          <w:tcPr>
            <w:tcW w:w="946" w:type="dxa"/>
            <w:tcBorders>
              <w:bottom w:val="single" w:sz="6" w:space="0" w:color="000000"/>
            </w:tcBorders>
            <w:tcMar>
              <w:bottom w:w="145" w:type="dxa"/>
            </w:tcMar>
            <w:vAlign w:val="center"/>
          </w:tcPr>
          <w:p>
            <w:pPr>
              <w:pStyle w:val="TableContents"/>
              <w:bidi w:val="0"/>
              <w:spacing w:before="0" w:after="283"/>
              <w:jc w:val="right"/>
              <w:rPr/>
            </w:pPr>
            <w:r>
              <w:rPr/>
              <w:t>17,132</w:t>
            </w:r>
          </w:p>
        </w:tc>
        <w:tc>
          <w:tcPr>
            <w:tcW w:w="13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526" w:type="dxa"/>
            <w:tcBorders>
              <w:bottom w:val="single" w:sz="6" w:space="0" w:color="000000"/>
            </w:tcBorders>
            <w:tcMar>
              <w:bottom w:w="145" w:type="dxa"/>
            </w:tcMar>
            <w:vAlign w:val="center"/>
          </w:tcPr>
          <w:p>
            <w:pPr>
              <w:pStyle w:val="TableContents"/>
              <w:bidi w:val="0"/>
              <w:spacing w:before="0" w:after="283"/>
              <w:jc w:val="right"/>
              <w:rPr/>
            </w:pPr>
            <w:r>
              <w:rPr/>
              <w:t>6.36</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tcMar>
              <w:bottom w:w="145" w:type="dxa"/>
            </w:tcMar>
            <w:vAlign w:val="center"/>
          </w:tcPr>
          <w:p>
            <w:pPr>
              <w:pStyle w:val="TableContents"/>
              <w:bidi w:val="0"/>
              <w:spacing w:before="0" w:after="283"/>
              <w:jc w:val="right"/>
              <w:rPr/>
            </w:pPr>
            <w:r>
              <w:rPr/>
              <w:t>108,959</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shd w:fill="F7F7F7" w:val="clear"/>
            <w:tcMar>
              <w:bottom w:w="145" w:type="dxa"/>
            </w:tcMar>
            <w:vAlign w:val="center"/>
          </w:tcPr>
          <w:p>
            <w:pPr>
              <w:pStyle w:val="TableContents"/>
              <w:bidi w:val="0"/>
              <w:spacing w:before="0" w:after="283"/>
              <w:jc w:val="right"/>
              <w:rPr/>
            </w:pPr>
            <w:r>
              <w:rPr/>
              <w:t>06/06/2022</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shd w:fill="F7F7F7" w:val="clear"/>
            <w:tcMar>
              <w:bottom w:w="145" w:type="dxa"/>
            </w:tcMar>
            <w:vAlign w:val="center"/>
          </w:tcPr>
          <w:p>
            <w:pPr>
              <w:pStyle w:val="TableContents"/>
              <w:bidi w:val="0"/>
              <w:spacing w:before="0" w:after="283"/>
              <w:jc w:val="right"/>
              <w:rPr/>
            </w:pPr>
            <w:r>
              <w:rPr/>
              <w:t>12/05/2023</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946" w:type="dxa"/>
            <w:tcBorders>
              <w:bottom w:val="single" w:sz="6" w:space="0" w:color="000000"/>
            </w:tcBorders>
            <w:shd w:fill="F7F7F7" w:val="clear"/>
            <w:tcMar>
              <w:bottom w:w="145" w:type="dxa"/>
            </w:tcMar>
            <w:vAlign w:val="center"/>
          </w:tcPr>
          <w:p>
            <w:pPr>
              <w:pStyle w:val="TableContents"/>
              <w:bidi w:val="0"/>
              <w:spacing w:before="0" w:after="283"/>
              <w:jc w:val="right"/>
              <w:rPr/>
            </w:pPr>
            <w:r>
              <w:rPr/>
              <w:t>17,133</w:t>
            </w:r>
          </w:p>
        </w:tc>
        <w:tc>
          <w:tcPr>
            <w:tcW w:w="13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526" w:type="dxa"/>
            <w:tcBorders>
              <w:bottom w:val="single" w:sz="6" w:space="0" w:color="000000"/>
            </w:tcBorders>
            <w:shd w:fill="F7F7F7" w:val="clear"/>
            <w:tcMar>
              <w:bottom w:w="145" w:type="dxa"/>
            </w:tcMar>
            <w:vAlign w:val="center"/>
          </w:tcPr>
          <w:p>
            <w:pPr>
              <w:pStyle w:val="TableContents"/>
              <w:bidi w:val="0"/>
              <w:spacing w:before="0" w:after="283"/>
              <w:jc w:val="right"/>
              <w:rPr/>
            </w:pPr>
            <w:r>
              <w:rPr/>
              <w:t>4.36</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shd w:fill="F7F7F7" w:val="clear"/>
            <w:tcMar>
              <w:bottom w:w="145" w:type="dxa"/>
            </w:tcMar>
            <w:vAlign w:val="center"/>
          </w:tcPr>
          <w:p>
            <w:pPr>
              <w:pStyle w:val="TableContents"/>
              <w:bidi w:val="0"/>
              <w:spacing w:before="0" w:after="283"/>
              <w:jc w:val="right"/>
              <w:rPr/>
            </w:pPr>
            <w:r>
              <w:rPr/>
              <w:t>74,699</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tcMar>
              <w:bottom w:w="145" w:type="dxa"/>
            </w:tcMar>
            <w:vAlign w:val="center"/>
          </w:tcPr>
          <w:p>
            <w:pPr>
              <w:pStyle w:val="TableContents"/>
              <w:bidi w:val="0"/>
              <w:spacing w:before="0" w:after="283"/>
              <w:jc w:val="right"/>
              <w:rPr/>
            </w:pPr>
            <w:r>
              <w:rPr/>
              <w:t>09/10/2023</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tcMar>
              <w:bottom w:w="145" w:type="dxa"/>
            </w:tcMar>
            <w:vAlign w:val="center"/>
          </w:tcPr>
          <w:p>
            <w:pPr>
              <w:pStyle w:val="TableContents"/>
              <w:bidi w:val="0"/>
              <w:spacing w:before="0" w:after="283"/>
              <w:jc w:val="right"/>
              <w:rPr/>
            </w:pPr>
            <w:r>
              <w:rPr/>
              <w:t>09/10/2023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tcMar>
              <w:bottom w:w="145" w:type="dxa"/>
            </w:tcMar>
            <w:vAlign w:val="center"/>
          </w:tcPr>
          <w:p>
            <w:pPr>
              <w:pStyle w:val="TableContents"/>
              <w:bidi w:val="0"/>
              <w:spacing w:before="0" w:after="283"/>
              <w:jc w:val="right"/>
              <w:rPr/>
            </w:pPr>
            <w:r>
              <w:rPr/>
              <w:t>​</w:t>
            </w:r>
          </w:p>
        </w:tc>
        <w:tc>
          <w:tcPr>
            <w:tcW w:w="946" w:type="dxa"/>
            <w:tcBorders>
              <w:bottom w:val="single" w:sz="6" w:space="0" w:color="000000"/>
            </w:tcBorders>
            <w:tcMar>
              <w:bottom w:w="145" w:type="dxa"/>
            </w:tcMar>
            <w:vAlign w:val="center"/>
          </w:tcPr>
          <w:p>
            <w:pPr>
              <w:pStyle w:val="TableContents"/>
              <w:bidi w:val="0"/>
              <w:spacing w:before="0" w:after="283"/>
              <w:jc w:val="right"/>
              <w:rPr/>
            </w:pPr>
            <w:r>
              <w:rPr/>
              <w:t>51,082</w:t>
            </w:r>
          </w:p>
        </w:tc>
        <w:tc>
          <w:tcPr>
            <w:tcW w:w="13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526" w:type="dxa"/>
            <w:tcBorders>
              <w:bottom w:val="single" w:sz="6" w:space="0" w:color="000000"/>
            </w:tcBorders>
            <w:tcMar>
              <w:bottom w:w="145" w:type="dxa"/>
            </w:tcMar>
            <w:vAlign w:val="center"/>
          </w:tcPr>
          <w:p>
            <w:pPr>
              <w:pStyle w:val="TableContents"/>
              <w:bidi w:val="0"/>
              <w:spacing w:before="0" w:after="283"/>
              <w:jc w:val="right"/>
              <w:rPr/>
            </w:pPr>
            <w:r>
              <w:rPr/>
              <w:t>5.84</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tcMar>
              <w:bottom w:w="145" w:type="dxa"/>
            </w:tcMar>
            <w:vAlign w:val="center"/>
          </w:tcPr>
          <w:p>
            <w:pPr>
              <w:pStyle w:val="TableContents"/>
              <w:bidi w:val="0"/>
              <w:spacing w:before="0" w:after="283"/>
              <w:jc w:val="right"/>
              <w:rPr/>
            </w:pPr>
            <w:r>
              <w:rPr/>
              <w:t>298,318</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shd w:fill="F7F7F7" w:val="clear"/>
            <w:tcMar>
              <w:bottom w:w="145" w:type="dxa"/>
            </w:tcMar>
            <w:vAlign w:val="center"/>
          </w:tcPr>
          <w:p>
            <w:pPr>
              <w:pStyle w:val="TableContents"/>
              <w:bidi w:val="0"/>
              <w:spacing w:before="0" w:after="283"/>
              <w:jc w:val="right"/>
              <w:rPr/>
            </w:pPr>
            <w:r>
              <w:rPr/>
              <w:t>09/10/2023</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shd w:fill="F7F7F7" w:val="clear"/>
            <w:tcMar>
              <w:bottom w:w="145" w:type="dxa"/>
            </w:tcMar>
            <w:vAlign w:val="center"/>
          </w:tcPr>
          <w:p>
            <w:pPr>
              <w:pStyle w:val="TableContents"/>
              <w:bidi w:val="0"/>
              <w:spacing w:before="0" w:after="283"/>
              <w:jc w:val="right"/>
              <w:rPr/>
            </w:pPr>
            <w:r>
              <w:rPr/>
              <w:t>12/05/2023</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946" w:type="dxa"/>
            <w:tcBorders>
              <w:bottom w:val="single" w:sz="6" w:space="0" w:color="000000"/>
            </w:tcBorders>
            <w:shd w:fill="F7F7F7" w:val="clear"/>
            <w:tcMar>
              <w:bottom w:w="145" w:type="dxa"/>
            </w:tcMar>
            <w:vAlign w:val="center"/>
          </w:tcPr>
          <w:p>
            <w:pPr>
              <w:pStyle w:val="TableContents"/>
              <w:bidi w:val="0"/>
              <w:spacing w:before="0" w:after="283"/>
              <w:jc w:val="right"/>
              <w:rPr/>
            </w:pPr>
            <w:r>
              <w:rPr/>
              <w:t>25,542</w:t>
            </w:r>
          </w:p>
        </w:tc>
        <w:tc>
          <w:tcPr>
            <w:tcW w:w="13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526" w:type="dxa"/>
            <w:tcBorders>
              <w:bottom w:val="single" w:sz="6" w:space="0" w:color="000000"/>
            </w:tcBorders>
            <w:shd w:fill="F7F7F7" w:val="clear"/>
            <w:tcMar>
              <w:bottom w:w="145" w:type="dxa"/>
            </w:tcMar>
            <w:vAlign w:val="center"/>
          </w:tcPr>
          <w:p>
            <w:pPr>
              <w:pStyle w:val="TableContents"/>
              <w:bidi w:val="0"/>
              <w:spacing w:before="0" w:after="283"/>
              <w:jc w:val="right"/>
              <w:rPr/>
            </w:pPr>
            <w:r>
              <w:rPr/>
              <w:t>4.36</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shd w:fill="F7F7F7" w:val="clear"/>
            <w:tcMar>
              <w:bottom w:w="145" w:type="dxa"/>
            </w:tcMar>
            <w:vAlign w:val="center"/>
          </w:tcPr>
          <w:p>
            <w:pPr>
              <w:pStyle w:val="TableContents"/>
              <w:bidi w:val="0"/>
              <w:spacing w:before="0" w:after="283"/>
              <w:jc w:val="right"/>
              <w:rPr/>
            </w:pPr>
            <w:r>
              <w:rPr/>
              <w:t>111,363</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bl>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66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42" w:before="840" w:after="283"/>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Computed as the aggregate dollar amount realized upon the vesting of RSUs granted to Mr. Bell, determined by multiplying the number of units vesting as of the applicable vesting date by the closing price of our Common Stock on the trading day prior to the applicable vesting date, as follows:</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0" distB="0" distL="0" distR="0" simplePos="0" locked="0" layoutInCell="1" allowOverlap="1" relativeHeight="246">
                <wp:simplePos x="0" y="0"/>
                <wp:positionH relativeFrom="column">
                  <wp:align>left</wp:align>
                </wp:positionH>
                <wp:positionV relativeFrom="line">
                  <wp:posOffset>635</wp:posOffset>
                </wp:positionV>
                <wp:extent cx="81915" cy="270510"/>
                <wp:effectExtent l="0" t="0" r="0" b="0"/>
                <wp:wrapSquare wrapText="right"/>
                <wp:docPr id="238" name="Frame175"/>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(5)</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(5)</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7900" w:type="dxa"/>
        <w:jc w:val="left"/>
        <w:tblInd w:w="720" w:type="dxa"/>
        <w:tblLayout w:type="fixed"/>
        <w:tblCellMar>
          <w:top w:w="0" w:type="dxa"/>
          <w:left w:w="0" w:type="dxa"/>
          <w:bottom w:w="0" w:type="dxa"/>
          <w:right w:w="0" w:type="dxa"/>
        </w:tblCellMar>
      </w:tblPr>
      <w:tblGrid>
        <w:gridCol w:w="124"/>
        <w:gridCol w:w="114"/>
        <w:gridCol w:w="114"/>
        <w:gridCol w:w="1247"/>
        <w:gridCol w:w="114"/>
        <w:gridCol w:w="109"/>
        <w:gridCol w:w="109"/>
        <w:gridCol w:w="109"/>
        <w:gridCol w:w="109"/>
        <w:gridCol w:w="1186"/>
        <w:gridCol w:w="109"/>
        <w:gridCol w:w="109"/>
        <w:gridCol w:w="109"/>
        <w:gridCol w:w="134"/>
        <w:gridCol w:w="134"/>
        <w:gridCol w:w="946"/>
        <w:gridCol w:w="134"/>
        <w:gridCol w:w="109"/>
        <w:gridCol w:w="109"/>
        <w:gridCol w:w="109"/>
        <w:gridCol w:w="226"/>
        <w:gridCol w:w="526"/>
        <w:gridCol w:w="109"/>
        <w:gridCol w:w="109"/>
        <w:gridCol w:w="109"/>
        <w:gridCol w:w="109"/>
        <w:gridCol w:w="226"/>
        <w:gridCol w:w="886"/>
        <w:gridCol w:w="109"/>
        <w:gridCol w:w="154"/>
      </w:tblGrid>
      <w:tr>
        <w:trPr/>
        <w:tc>
          <w:tcPr>
            <w:tcW w:w="124" w:type="dxa"/>
            <w:tcBorders/>
            <w:shd w:fill="000000" w:val="clear"/>
            <w:vAlign w:val="center"/>
          </w:tcPr>
          <w:p>
            <w:pPr>
              <w:pStyle w:val="TableContents"/>
              <w:bidi w:val="0"/>
              <w:spacing w:before="0" w:after="283"/>
              <w:jc w:val="left"/>
              <w:rPr/>
            </w:pPr>
            <w:r>
              <w:rPr/>
              <w:t>​</w:t>
            </w:r>
          </w:p>
        </w:tc>
        <w:tc>
          <w:tcPr>
            <w:tcW w:w="1589" w:type="dxa"/>
            <w:gridSpan w:val="4"/>
            <w:tcBorders/>
            <w:shd w:fill="000000" w:val="clear"/>
            <w:vAlign w:val="center"/>
          </w:tcPr>
          <w:p>
            <w:pPr>
              <w:pStyle w:val="TableContents"/>
              <w:bidi w:val="0"/>
              <w:spacing w:before="0" w:after="0"/>
              <w:jc w:val="left"/>
              <w:rPr/>
            </w:pPr>
            <w:r>
              <w:rPr/>
              <w:t xml:space="preserve">Date of Award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13" w:type="dxa"/>
            <w:gridSpan w:val="4"/>
            <w:tcBorders/>
            <w:shd w:fill="000000" w:val="clear"/>
            <w:vAlign w:val="center"/>
          </w:tcPr>
          <w:p>
            <w:pPr>
              <w:pStyle w:val="TableContents"/>
              <w:bidi w:val="0"/>
              <w:spacing w:before="0" w:after="0"/>
              <w:jc w:val="center"/>
              <w:rPr/>
            </w:pPr>
            <w:r>
              <w:rPr/>
              <w:t xml:space="preserve">Vesting Date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48" w:type="dxa"/>
            <w:gridSpan w:val="4"/>
            <w:tcBorders/>
            <w:shd w:fill="000000" w:val="clear"/>
            <w:vAlign w:val="center"/>
          </w:tcPr>
          <w:p>
            <w:pPr>
              <w:pStyle w:val="TableContents"/>
              <w:bidi w:val="0"/>
              <w:spacing w:before="0" w:after="0"/>
              <w:jc w:val="center"/>
              <w:rPr/>
            </w:pPr>
            <w:r>
              <w:rPr/>
              <w:t xml:space="preserve">Number of </w:t>
              <w:br/>
              <w:t xml:space="preserve">Shares </w:t>
              <w:br/>
              <w:t xml:space="preserve">Acquired on </w:t>
              <w:br/>
              <w:t xml:space="preserve">Vesting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970" w:type="dxa"/>
            <w:gridSpan w:val="4"/>
            <w:tcBorders/>
            <w:shd w:fill="000000" w:val="clear"/>
            <w:vAlign w:val="center"/>
          </w:tcPr>
          <w:p>
            <w:pPr>
              <w:pStyle w:val="TableContents"/>
              <w:bidi w:val="0"/>
              <w:spacing w:before="0" w:after="0"/>
              <w:jc w:val="center"/>
              <w:rPr/>
            </w:pPr>
            <w:r>
              <w:rPr/>
              <w:t xml:space="preserve">Market </w:t>
              <w:br/>
              <w:t xml:space="preserve">Price at </w:t>
              <w:br/>
              <w:t xml:space="preserve">Vesting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30" w:type="dxa"/>
            <w:gridSpan w:val="4"/>
            <w:tcBorders/>
            <w:shd w:fill="000000" w:val="clear"/>
            <w:vAlign w:val="center"/>
          </w:tcPr>
          <w:p>
            <w:pPr>
              <w:pStyle w:val="TableContents"/>
              <w:bidi w:val="0"/>
              <w:spacing w:before="0" w:after="0"/>
              <w:jc w:val="center"/>
              <w:rPr/>
            </w:pPr>
            <w:r>
              <w:rPr/>
              <w:t xml:space="preserve">Value </w:t>
              <w:br/>
              <w:t xml:space="preserve">Realized </w:t>
              <w:br/>
              <w:t xml:space="preserve">on Vesting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tcMar>
              <w:bottom w:w="145" w:type="dxa"/>
            </w:tcMar>
            <w:vAlign w:val="center"/>
          </w:tcPr>
          <w:p>
            <w:pPr>
              <w:pStyle w:val="TableContents"/>
              <w:bidi w:val="0"/>
              <w:spacing w:before="0" w:after="283"/>
              <w:jc w:val="right"/>
              <w:rPr/>
            </w:pPr>
            <w:r>
              <w:rPr/>
              <w:t>03/31/2021</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tcMar>
              <w:bottom w:w="145" w:type="dxa"/>
            </w:tcMar>
            <w:vAlign w:val="center"/>
          </w:tcPr>
          <w:p>
            <w:pPr>
              <w:pStyle w:val="TableContents"/>
              <w:bidi w:val="0"/>
              <w:spacing w:before="0" w:after="283"/>
              <w:jc w:val="right"/>
              <w:rPr/>
            </w:pPr>
            <w:r>
              <w:rPr/>
              <w:t>03/05/2023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tcMar>
              <w:bottom w:w="145" w:type="dxa"/>
            </w:tcMar>
            <w:vAlign w:val="center"/>
          </w:tcPr>
          <w:p>
            <w:pPr>
              <w:pStyle w:val="TableContents"/>
              <w:bidi w:val="0"/>
              <w:spacing w:before="0" w:after="283"/>
              <w:jc w:val="right"/>
              <w:rPr/>
            </w:pPr>
            <w:r>
              <w:rPr/>
              <w:t>​</w:t>
            </w:r>
          </w:p>
        </w:tc>
        <w:tc>
          <w:tcPr>
            <w:tcW w:w="946" w:type="dxa"/>
            <w:tcBorders>
              <w:bottom w:val="single" w:sz="6" w:space="0" w:color="000000"/>
            </w:tcBorders>
            <w:tcMar>
              <w:bottom w:w="145" w:type="dxa"/>
            </w:tcMar>
            <w:vAlign w:val="center"/>
          </w:tcPr>
          <w:p>
            <w:pPr>
              <w:pStyle w:val="TableContents"/>
              <w:bidi w:val="0"/>
              <w:spacing w:before="0" w:after="283"/>
              <w:jc w:val="right"/>
              <w:rPr/>
            </w:pPr>
            <w:r>
              <w:rPr/>
              <w:t>82,625</w:t>
            </w:r>
          </w:p>
        </w:tc>
        <w:tc>
          <w:tcPr>
            <w:tcW w:w="13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526" w:type="dxa"/>
            <w:tcBorders>
              <w:bottom w:val="single" w:sz="6" w:space="0" w:color="000000"/>
            </w:tcBorders>
            <w:tcMar>
              <w:bottom w:w="145" w:type="dxa"/>
            </w:tcMar>
            <w:vAlign w:val="center"/>
          </w:tcPr>
          <w:p>
            <w:pPr>
              <w:pStyle w:val="TableContents"/>
              <w:bidi w:val="0"/>
              <w:spacing w:before="0" w:after="283"/>
              <w:jc w:val="right"/>
              <w:rPr/>
            </w:pPr>
            <w:r>
              <w:rPr/>
              <w:t>8.94</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tcMar>
              <w:bottom w:w="145" w:type="dxa"/>
            </w:tcMar>
            <w:vAlign w:val="center"/>
          </w:tcPr>
          <w:p>
            <w:pPr>
              <w:pStyle w:val="TableContents"/>
              <w:bidi w:val="0"/>
              <w:spacing w:before="0" w:after="283"/>
              <w:jc w:val="right"/>
              <w:rPr/>
            </w:pPr>
            <w:r>
              <w:rPr/>
              <w:t>738,667</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shd w:fill="F7F7F7" w:val="clear"/>
            <w:tcMar>
              <w:bottom w:w="145" w:type="dxa"/>
            </w:tcMar>
            <w:vAlign w:val="center"/>
          </w:tcPr>
          <w:p>
            <w:pPr>
              <w:pStyle w:val="TableContents"/>
              <w:bidi w:val="0"/>
              <w:spacing w:before="0" w:after="283"/>
              <w:jc w:val="right"/>
              <w:rPr/>
            </w:pPr>
            <w:r>
              <w:rPr/>
              <w:t>03/31/2021</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shd w:fill="F7F7F7" w:val="clear"/>
            <w:tcMar>
              <w:bottom w:w="145" w:type="dxa"/>
            </w:tcMar>
            <w:vAlign w:val="center"/>
          </w:tcPr>
          <w:p>
            <w:pPr>
              <w:pStyle w:val="TableContents"/>
              <w:bidi w:val="0"/>
              <w:spacing w:before="0" w:after="283"/>
              <w:jc w:val="right"/>
              <w:rPr/>
            </w:pPr>
            <w:r>
              <w:rPr/>
              <w:t>06/05/2023</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946" w:type="dxa"/>
            <w:tcBorders>
              <w:bottom w:val="single" w:sz="6" w:space="0" w:color="000000"/>
            </w:tcBorders>
            <w:shd w:fill="F7F7F7" w:val="clear"/>
            <w:tcMar>
              <w:bottom w:w="145" w:type="dxa"/>
            </w:tcMar>
            <w:vAlign w:val="center"/>
          </w:tcPr>
          <w:p>
            <w:pPr>
              <w:pStyle w:val="TableContents"/>
              <w:bidi w:val="0"/>
              <w:spacing w:before="0" w:after="283"/>
              <w:jc w:val="right"/>
              <w:rPr/>
            </w:pPr>
            <w:r>
              <w:rPr/>
              <w:t>82,625</w:t>
            </w:r>
          </w:p>
        </w:tc>
        <w:tc>
          <w:tcPr>
            <w:tcW w:w="13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526" w:type="dxa"/>
            <w:tcBorders>
              <w:bottom w:val="single" w:sz="6" w:space="0" w:color="000000"/>
            </w:tcBorders>
            <w:shd w:fill="F7F7F7" w:val="clear"/>
            <w:tcMar>
              <w:bottom w:w="145" w:type="dxa"/>
            </w:tcMar>
            <w:vAlign w:val="center"/>
          </w:tcPr>
          <w:p>
            <w:pPr>
              <w:pStyle w:val="TableContents"/>
              <w:bidi w:val="0"/>
              <w:spacing w:before="0" w:after="283"/>
              <w:jc w:val="right"/>
              <w:rPr/>
            </w:pPr>
            <w:r>
              <w:rPr/>
              <w:t>6.60</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shd w:fill="F7F7F7" w:val="clear"/>
            <w:tcMar>
              <w:bottom w:w="145" w:type="dxa"/>
            </w:tcMar>
            <w:vAlign w:val="center"/>
          </w:tcPr>
          <w:p>
            <w:pPr>
              <w:pStyle w:val="TableContents"/>
              <w:bidi w:val="0"/>
              <w:spacing w:before="0" w:after="283"/>
              <w:jc w:val="right"/>
              <w:rPr/>
            </w:pPr>
            <w:r>
              <w:rPr/>
              <w:t>545,325</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tcMar>
              <w:bottom w:w="145" w:type="dxa"/>
            </w:tcMar>
            <w:vAlign w:val="center"/>
          </w:tcPr>
          <w:p>
            <w:pPr>
              <w:pStyle w:val="TableContents"/>
              <w:bidi w:val="0"/>
              <w:spacing w:before="0" w:after="283"/>
              <w:jc w:val="right"/>
              <w:rPr/>
            </w:pPr>
            <w:r>
              <w:rPr/>
              <w:t>03/31/2021</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tcMar>
              <w:bottom w:w="145" w:type="dxa"/>
            </w:tcMar>
            <w:vAlign w:val="center"/>
          </w:tcPr>
          <w:p>
            <w:pPr>
              <w:pStyle w:val="TableContents"/>
              <w:bidi w:val="0"/>
              <w:spacing w:before="0" w:after="283"/>
              <w:jc w:val="right"/>
              <w:rPr/>
            </w:pPr>
            <w:r>
              <w:rPr/>
              <w:t>09/05/2023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tcMar>
              <w:bottom w:w="145" w:type="dxa"/>
            </w:tcMar>
            <w:vAlign w:val="center"/>
          </w:tcPr>
          <w:p>
            <w:pPr>
              <w:pStyle w:val="TableContents"/>
              <w:bidi w:val="0"/>
              <w:spacing w:before="0" w:after="283"/>
              <w:jc w:val="right"/>
              <w:rPr/>
            </w:pPr>
            <w:r>
              <w:rPr/>
              <w:t>​</w:t>
            </w:r>
          </w:p>
        </w:tc>
        <w:tc>
          <w:tcPr>
            <w:tcW w:w="946" w:type="dxa"/>
            <w:tcBorders>
              <w:bottom w:val="single" w:sz="6" w:space="0" w:color="000000"/>
            </w:tcBorders>
            <w:tcMar>
              <w:bottom w:w="145" w:type="dxa"/>
            </w:tcMar>
            <w:vAlign w:val="center"/>
          </w:tcPr>
          <w:p>
            <w:pPr>
              <w:pStyle w:val="TableContents"/>
              <w:bidi w:val="0"/>
              <w:spacing w:before="0" w:after="283"/>
              <w:jc w:val="right"/>
              <w:rPr/>
            </w:pPr>
            <w:r>
              <w:rPr/>
              <w:t>82,625</w:t>
            </w:r>
          </w:p>
        </w:tc>
        <w:tc>
          <w:tcPr>
            <w:tcW w:w="13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526" w:type="dxa"/>
            <w:tcBorders>
              <w:bottom w:val="single" w:sz="6" w:space="0" w:color="000000"/>
            </w:tcBorders>
            <w:tcMar>
              <w:bottom w:w="145" w:type="dxa"/>
            </w:tcMar>
            <w:vAlign w:val="center"/>
          </w:tcPr>
          <w:p>
            <w:pPr>
              <w:pStyle w:val="TableContents"/>
              <w:bidi w:val="0"/>
              <w:spacing w:before="0" w:after="283"/>
              <w:jc w:val="right"/>
              <w:rPr/>
            </w:pPr>
            <w:r>
              <w:rPr/>
              <w:t>6.36</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tcMar>
              <w:bottom w:w="145" w:type="dxa"/>
            </w:tcMar>
            <w:vAlign w:val="center"/>
          </w:tcPr>
          <w:p>
            <w:pPr>
              <w:pStyle w:val="TableContents"/>
              <w:bidi w:val="0"/>
              <w:spacing w:before="0" w:after="283"/>
              <w:jc w:val="right"/>
              <w:rPr/>
            </w:pPr>
            <w:r>
              <w:rPr/>
              <w:t>525,495</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shd w:fill="F7F7F7" w:val="clear"/>
            <w:tcMar>
              <w:bottom w:w="145" w:type="dxa"/>
            </w:tcMar>
            <w:vAlign w:val="center"/>
          </w:tcPr>
          <w:p>
            <w:pPr>
              <w:pStyle w:val="TableContents"/>
              <w:bidi w:val="0"/>
              <w:spacing w:before="0" w:after="283"/>
              <w:jc w:val="right"/>
              <w:rPr/>
            </w:pPr>
            <w:r>
              <w:rPr/>
              <w:t>03/31/2021</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shd w:fill="F7F7F7" w:val="clear"/>
            <w:tcMar>
              <w:bottom w:w="145" w:type="dxa"/>
            </w:tcMar>
            <w:vAlign w:val="center"/>
          </w:tcPr>
          <w:p>
            <w:pPr>
              <w:pStyle w:val="TableContents"/>
              <w:bidi w:val="0"/>
              <w:spacing w:before="0" w:after="283"/>
              <w:jc w:val="right"/>
              <w:rPr/>
            </w:pPr>
            <w:r>
              <w:rPr/>
              <w:t>12/05/2023</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946" w:type="dxa"/>
            <w:tcBorders>
              <w:bottom w:val="single" w:sz="6" w:space="0" w:color="000000"/>
            </w:tcBorders>
            <w:shd w:fill="F7F7F7" w:val="clear"/>
            <w:tcMar>
              <w:bottom w:w="145" w:type="dxa"/>
            </w:tcMar>
            <w:vAlign w:val="center"/>
          </w:tcPr>
          <w:p>
            <w:pPr>
              <w:pStyle w:val="TableContents"/>
              <w:bidi w:val="0"/>
              <w:spacing w:before="0" w:after="283"/>
              <w:jc w:val="right"/>
              <w:rPr/>
            </w:pPr>
            <w:r>
              <w:rPr/>
              <w:t>82,625</w:t>
            </w:r>
          </w:p>
        </w:tc>
        <w:tc>
          <w:tcPr>
            <w:tcW w:w="13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526" w:type="dxa"/>
            <w:tcBorders>
              <w:bottom w:val="single" w:sz="6" w:space="0" w:color="000000"/>
            </w:tcBorders>
            <w:shd w:fill="F7F7F7" w:val="clear"/>
            <w:tcMar>
              <w:bottom w:w="145" w:type="dxa"/>
            </w:tcMar>
            <w:vAlign w:val="center"/>
          </w:tcPr>
          <w:p>
            <w:pPr>
              <w:pStyle w:val="TableContents"/>
              <w:bidi w:val="0"/>
              <w:spacing w:before="0" w:after="283"/>
              <w:jc w:val="right"/>
              <w:rPr/>
            </w:pPr>
            <w:r>
              <w:rPr/>
              <w:t>4.36</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shd w:fill="F7F7F7" w:val="clear"/>
            <w:tcMar>
              <w:bottom w:w="145" w:type="dxa"/>
            </w:tcMar>
            <w:vAlign w:val="center"/>
          </w:tcPr>
          <w:p>
            <w:pPr>
              <w:pStyle w:val="TableContents"/>
              <w:bidi w:val="0"/>
              <w:spacing w:before="0" w:after="283"/>
              <w:jc w:val="right"/>
              <w:rPr/>
            </w:pPr>
            <w:r>
              <w:rPr/>
              <w:t>360,245</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tcMar>
              <w:bottom w:w="145" w:type="dxa"/>
            </w:tcMar>
            <w:vAlign w:val="center"/>
          </w:tcPr>
          <w:p>
            <w:pPr>
              <w:pStyle w:val="TableContents"/>
              <w:bidi w:val="0"/>
              <w:spacing w:before="0" w:after="283"/>
              <w:jc w:val="right"/>
              <w:rPr/>
            </w:pPr>
            <w:r>
              <w:rPr/>
              <w:t>06/06/2022</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tcMar>
              <w:bottom w:w="145" w:type="dxa"/>
            </w:tcMar>
            <w:vAlign w:val="center"/>
          </w:tcPr>
          <w:p>
            <w:pPr>
              <w:pStyle w:val="TableContents"/>
              <w:bidi w:val="0"/>
              <w:spacing w:before="0" w:after="283"/>
              <w:jc w:val="right"/>
              <w:rPr/>
            </w:pPr>
            <w:r>
              <w:rPr/>
              <w:t>03/05/2023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tcMar>
              <w:bottom w:w="145" w:type="dxa"/>
            </w:tcMar>
            <w:vAlign w:val="center"/>
          </w:tcPr>
          <w:p>
            <w:pPr>
              <w:pStyle w:val="TableContents"/>
              <w:bidi w:val="0"/>
              <w:spacing w:before="0" w:after="283"/>
              <w:jc w:val="right"/>
              <w:rPr/>
            </w:pPr>
            <w:r>
              <w:rPr/>
              <w:t>​</w:t>
            </w:r>
          </w:p>
        </w:tc>
        <w:tc>
          <w:tcPr>
            <w:tcW w:w="946" w:type="dxa"/>
            <w:tcBorders>
              <w:bottom w:val="single" w:sz="6" w:space="0" w:color="000000"/>
            </w:tcBorders>
            <w:tcMar>
              <w:bottom w:w="145" w:type="dxa"/>
            </w:tcMar>
            <w:vAlign w:val="center"/>
          </w:tcPr>
          <w:p>
            <w:pPr>
              <w:pStyle w:val="TableContents"/>
              <w:bidi w:val="0"/>
              <w:spacing w:before="0" w:after="283"/>
              <w:jc w:val="right"/>
              <w:rPr/>
            </w:pPr>
            <w:r>
              <w:rPr/>
              <w:t>17,133</w:t>
            </w:r>
          </w:p>
        </w:tc>
        <w:tc>
          <w:tcPr>
            <w:tcW w:w="13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526" w:type="dxa"/>
            <w:tcBorders>
              <w:bottom w:val="single" w:sz="6" w:space="0" w:color="000000"/>
            </w:tcBorders>
            <w:tcMar>
              <w:bottom w:w="145" w:type="dxa"/>
            </w:tcMar>
            <w:vAlign w:val="center"/>
          </w:tcPr>
          <w:p>
            <w:pPr>
              <w:pStyle w:val="TableContents"/>
              <w:bidi w:val="0"/>
              <w:spacing w:before="0" w:after="283"/>
              <w:jc w:val="right"/>
              <w:rPr/>
            </w:pPr>
            <w:r>
              <w:rPr/>
              <w:t>8.94</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tcMar>
              <w:bottom w:w="145" w:type="dxa"/>
            </w:tcMar>
            <w:vAlign w:val="center"/>
          </w:tcPr>
          <w:p>
            <w:pPr>
              <w:pStyle w:val="TableContents"/>
              <w:bidi w:val="0"/>
              <w:spacing w:before="0" w:after="283"/>
              <w:jc w:val="right"/>
              <w:rPr/>
            </w:pPr>
            <w:r>
              <w:rPr/>
              <w:t>153,169</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shd w:fill="F7F7F7" w:val="clear"/>
            <w:tcMar>
              <w:bottom w:w="145" w:type="dxa"/>
            </w:tcMar>
            <w:vAlign w:val="center"/>
          </w:tcPr>
          <w:p>
            <w:pPr>
              <w:pStyle w:val="TableContents"/>
              <w:bidi w:val="0"/>
              <w:spacing w:before="0" w:after="283"/>
              <w:jc w:val="right"/>
              <w:rPr/>
            </w:pPr>
            <w:r>
              <w:rPr/>
              <w:t>06/06/2022</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shd w:fill="F7F7F7" w:val="clear"/>
            <w:tcMar>
              <w:bottom w:w="145" w:type="dxa"/>
            </w:tcMar>
            <w:vAlign w:val="center"/>
          </w:tcPr>
          <w:p>
            <w:pPr>
              <w:pStyle w:val="TableContents"/>
              <w:bidi w:val="0"/>
              <w:spacing w:before="0" w:after="283"/>
              <w:jc w:val="right"/>
              <w:rPr/>
            </w:pPr>
            <w:r>
              <w:rPr/>
              <w:t>06/05/2023</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946" w:type="dxa"/>
            <w:tcBorders>
              <w:bottom w:val="single" w:sz="6" w:space="0" w:color="000000"/>
            </w:tcBorders>
            <w:shd w:fill="F7F7F7" w:val="clear"/>
            <w:tcMar>
              <w:bottom w:w="145" w:type="dxa"/>
            </w:tcMar>
            <w:vAlign w:val="center"/>
          </w:tcPr>
          <w:p>
            <w:pPr>
              <w:pStyle w:val="TableContents"/>
              <w:bidi w:val="0"/>
              <w:spacing w:before="0" w:after="283"/>
              <w:jc w:val="right"/>
              <w:rPr/>
            </w:pPr>
            <w:r>
              <w:rPr/>
              <w:t>17,133</w:t>
            </w:r>
          </w:p>
        </w:tc>
        <w:tc>
          <w:tcPr>
            <w:tcW w:w="13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526" w:type="dxa"/>
            <w:tcBorders>
              <w:bottom w:val="single" w:sz="6" w:space="0" w:color="000000"/>
            </w:tcBorders>
            <w:shd w:fill="F7F7F7" w:val="clear"/>
            <w:tcMar>
              <w:bottom w:w="145" w:type="dxa"/>
            </w:tcMar>
            <w:vAlign w:val="center"/>
          </w:tcPr>
          <w:p>
            <w:pPr>
              <w:pStyle w:val="TableContents"/>
              <w:bidi w:val="0"/>
              <w:spacing w:before="0" w:after="283"/>
              <w:jc w:val="right"/>
              <w:rPr/>
            </w:pPr>
            <w:r>
              <w:rPr/>
              <w:t>6.60</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shd w:fill="F7F7F7" w:val="clear"/>
            <w:tcMar>
              <w:bottom w:w="145" w:type="dxa"/>
            </w:tcMar>
            <w:vAlign w:val="center"/>
          </w:tcPr>
          <w:p>
            <w:pPr>
              <w:pStyle w:val="TableContents"/>
              <w:bidi w:val="0"/>
              <w:spacing w:before="0" w:after="283"/>
              <w:jc w:val="right"/>
              <w:rPr/>
            </w:pPr>
            <w:r>
              <w:rPr/>
              <w:t>113,077</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tcMar>
              <w:bottom w:w="145" w:type="dxa"/>
            </w:tcMar>
            <w:vAlign w:val="center"/>
          </w:tcPr>
          <w:p>
            <w:pPr>
              <w:pStyle w:val="TableContents"/>
              <w:bidi w:val="0"/>
              <w:spacing w:before="0" w:after="283"/>
              <w:jc w:val="right"/>
              <w:rPr/>
            </w:pPr>
            <w:r>
              <w:rPr/>
              <w:t>06/06/2022</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tcMar>
              <w:bottom w:w="145" w:type="dxa"/>
            </w:tcMar>
            <w:vAlign w:val="center"/>
          </w:tcPr>
          <w:p>
            <w:pPr>
              <w:pStyle w:val="TableContents"/>
              <w:bidi w:val="0"/>
              <w:spacing w:before="0" w:after="283"/>
              <w:jc w:val="right"/>
              <w:rPr/>
            </w:pPr>
            <w:r>
              <w:rPr/>
              <w:t>09/05/2023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tcMar>
              <w:bottom w:w="145" w:type="dxa"/>
            </w:tcMar>
            <w:vAlign w:val="center"/>
          </w:tcPr>
          <w:p>
            <w:pPr>
              <w:pStyle w:val="TableContents"/>
              <w:bidi w:val="0"/>
              <w:spacing w:before="0" w:after="283"/>
              <w:jc w:val="right"/>
              <w:rPr/>
            </w:pPr>
            <w:r>
              <w:rPr/>
              <w:t>​</w:t>
            </w:r>
          </w:p>
        </w:tc>
        <w:tc>
          <w:tcPr>
            <w:tcW w:w="946" w:type="dxa"/>
            <w:tcBorders>
              <w:bottom w:val="single" w:sz="6" w:space="0" w:color="000000"/>
            </w:tcBorders>
            <w:tcMar>
              <w:bottom w:w="145" w:type="dxa"/>
            </w:tcMar>
            <w:vAlign w:val="center"/>
          </w:tcPr>
          <w:p>
            <w:pPr>
              <w:pStyle w:val="TableContents"/>
              <w:bidi w:val="0"/>
              <w:spacing w:before="0" w:after="283"/>
              <w:jc w:val="right"/>
              <w:rPr/>
            </w:pPr>
            <w:r>
              <w:rPr/>
              <w:t>17,132</w:t>
            </w:r>
          </w:p>
        </w:tc>
        <w:tc>
          <w:tcPr>
            <w:tcW w:w="13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526" w:type="dxa"/>
            <w:tcBorders>
              <w:bottom w:val="single" w:sz="6" w:space="0" w:color="000000"/>
            </w:tcBorders>
            <w:tcMar>
              <w:bottom w:w="145" w:type="dxa"/>
            </w:tcMar>
            <w:vAlign w:val="center"/>
          </w:tcPr>
          <w:p>
            <w:pPr>
              <w:pStyle w:val="TableContents"/>
              <w:bidi w:val="0"/>
              <w:spacing w:before="0" w:after="283"/>
              <w:jc w:val="right"/>
              <w:rPr/>
            </w:pPr>
            <w:r>
              <w:rPr/>
              <w:t>6.36</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tcMar>
              <w:bottom w:w="145" w:type="dxa"/>
            </w:tcMar>
            <w:vAlign w:val="center"/>
          </w:tcPr>
          <w:p>
            <w:pPr>
              <w:pStyle w:val="TableContents"/>
              <w:bidi w:val="0"/>
              <w:spacing w:before="0" w:after="283"/>
              <w:jc w:val="right"/>
              <w:rPr/>
            </w:pPr>
            <w:r>
              <w:rPr/>
              <w:t>108,959</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shd w:fill="F7F7F7" w:val="clear"/>
            <w:tcMar>
              <w:bottom w:w="145" w:type="dxa"/>
            </w:tcMar>
            <w:vAlign w:val="center"/>
          </w:tcPr>
          <w:p>
            <w:pPr>
              <w:pStyle w:val="TableContents"/>
              <w:bidi w:val="0"/>
              <w:spacing w:before="0" w:after="283"/>
              <w:jc w:val="right"/>
              <w:rPr/>
            </w:pPr>
            <w:r>
              <w:rPr/>
              <w:t>06/06/2022</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shd w:fill="F7F7F7" w:val="clear"/>
            <w:tcMar>
              <w:bottom w:w="145" w:type="dxa"/>
            </w:tcMar>
            <w:vAlign w:val="center"/>
          </w:tcPr>
          <w:p>
            <w:pPr>
              <w:pStyle w:val="TableContents"/>
              <w:bidi w:val="0"/>
              <w:spacing w:before="0" w:after="283"/>
              <w:jc w:val="right"/>
              <w:rPr/>
            </w:pPr>
            <w:r>
              <w:rPr/>
              <w:t>12/05/2023</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946" w:type="dxa"/>
            <w:tcBorders>
              <w:bottom w:val="single" w:sz="6" w:space="0" w:color="000000"/>
            </w:tcBorders>
            <w:shd w:fill="F7F7F7" w:val="clear"/>
            <w:tcMar>
              <w:bottom w:w="145" w:type="dxa"/>
            </w:tcMar>
            <w:vAlign w:val="center"/>
          </w:tcPr>
          <w:p>
            <w:pPr>
              <w:pStyle w:val="TableContents"/>
              <w:bidi w:val="0"/>
              <w:spacing w:before="0" w:after="283"/>
              <w:jc w:val="right"/>
              <w:rPr/>
            </w:pPr>
            <w:r>
              <w:rPr/>
              <w:t>17,133</w:t>
            </w:r>
          </w:p>
        </w:tc>
        <w:tc>
          <w:tcPr>
            <w:tcW w:w="13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526" w:type="dxa"/>
            <w:tcBorders>
              <w:bottom w:val="single" w:sz="6" w:space="0" w:color="000000"/>
            </w:tcBorders>
            <w:shd w:fill="F7F7F7" w:val="clear"/>
            <w:tcMar>
              <w:bottom w:w="145" w:type="dxa"/>
            </w:tcMar>
            <w:vAlign w:val="center"/>
          </w:tcPr>
          <w:p>
            <w:pPr>
              <w:pStyle w:val="TableContents"/>
              <w:bidi w:val="0"/>
              <w:spacing w:before="0" w:after="283"/>
              <w:jc w:val="right"/>
              <w:rPr/>
            </w:pPr>
            <w:r>
              <w:rPr/>
              <w:t>4.36</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shd w:fill="F7F7F7" w:val="clear"/>
            <w:tcMar>
              <w:bottom w:w="145" w:type="dxa"/>
            </w:tcMar>
            <w:vAlign w:val="center"/>
          </w:tcPr>
          <w:p>
            <w:pPr>
              <w:pStyle w:val="TableContents"/>
              <w:bidi w:val="0"/>
              <w:spacing w:before="0" w:after="283"/>
              <w:jc w:val="right"/>
              <w:rPr/>
            </w:pPr>
            <w:r>
              <w:rPr/>
              <w:t>74,699</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tcMar>
              <w:bottom w:w="145" w:type="dxa"/>
            </w:tcMar>
            <w:vAlign w:val="center"/>
          </w:tcPr>
          <w:p>
            <w:pPr>
              <w:pStyle w:val="TableContents"/>
              <w:bidi w:val="0"/>
              <w:spacing w:before="0" w:after="283"/>
              <w:jc w:val="right"/>
              <w:rPr/>
            </w:pPr>
            <w:r>
              <w:rPr/>
              <w:t>09/10/2023</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tcMar>
              <w:bottom w:w="145" w:type="dxa"/>
            </w:tcMar>
            <w:vAlign w:val="center"/>
          </w:tcPr>
          <w:p>
            <w:pPr>
              <w:pStyle w:val="TableContents"/>
              <w:bidi w:val="0"/>
              <w:spacing w:before="0" w:after="283"/>
              <w:jc w:val="right"/>
              <w:rPr/>
            </w:pPr>
            <w:r>
              <w:rPr/>
              <w:t>09/10/2023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tcMar>
              <w:bottom w:w="145" w:type="dxa"/>
            </w:tcMar>
            <w:vAlign w:val="center"/>
          </w:tcPr>
          <w:p>
            <w:pPr>
              <w:pStyle w:val="TableContents"/>
              <w:bidi w:val="0"/>
              <w:spacing w:before="0" w:after="283"/>
              <w:jc w:val="right"/>
              <w:rPr/>
            </w:pPr>
            <w:r>
              <w:rPr/>
              <w:t>​</w:t>
            </w:r>
          </w:p>
        </w:tc>
        <w:tc>
          <w:tcPr>
            <w:tcW w:w="946" w:type="dxa"/>
            <w:tcBorders>
              <w:bottom w:val="single" w:sz="6" w:space="0" w:color="000000"/>
            </w:tcBorders>
            <w:tcMar>
              <w:bottom w:w="145" w:type="dxa"/>
            </w:tcMar>
            <w:vAlign w:val="center"/>
          </w:tcPr>
          <w:p>
            <w:pPr>
              <w:pStyle w:val="TableContents"/>
              <w:bidi w:val="0"/>
              <w:spacing w:before="0" w:after="283"/>
              <w:jc w:val="right"/>
              <w:rPr/>
            </w:pPr>
            <w:r>
              <w:rPr/>
              <w:t>51,082</w:t>
            </w:r>
          </w:p>
        </w:tc>
        <w:tc>
          <w:tcPr>
            <w:tcW w:w="13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526" w:type="dxa"/>
            <w:tcBorders>
              <w:bottom w:val="single" w:sz="6" w:space="0" w:color="000000"/>
            </w:tcBorders>
            <w:tcMar>
              <w:bottom w:w="145" w:type="dxa"/>
            </w:tcMar>
            <w:vAlign w:val="center"/>
          </w:tcPr>
          <w:p>
            <w:pPr>
              <w:pStyle w:val="TableContents"/>
              <w:bidi w:val="0"/>
              <w:spacing w:before="0" w:after="283"/>
              <w:jc w:val="right"/>
              <w:rPr/>
            </w:pPr>
            <w:r>
              <w:rPr/>
              <w:t>5.84</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tcMar>
              <w:bottom w:w="145" w:type="dxa"/>
            </w:tcMar>
            <w:vAlign w:val="center"/>
          </w:tcPr>
          <w:p>
            <w:pPr>
              <w:pStyle w:val="TableContents"/>
              <w:bidi w:val="0"/>
              <w:spacing w:before="0" w:after="283"/>
              <w:jc w:val="right"/>
              <w:rPr/>
            </w:pPr>
            <w:r>
              <w:rPr/>
              <w:t>298,318</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shd w:fill="F7F7F7" w:val="clear"/>
            <w:tcMar>
              <w:bottom w:w="145" w:type="dxa"/>
            </w:tcMar>
            <w:vAlign w:val="center"/>
          </w:tcPr>
          <w:p>
            <w:pPr>
              <w:pStyle w:val="TableContents"/>
              <w:bidi w:val="0"/>
              <w:spacing w:before="0" w:after="283"/>
              <w:jc w:val="right"/>
              <w:rPr/>
            </w:pPr>
            <w:r>
              <w:rPr/>
              <w:t>09/10/2023</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shd w:fill="F7F7F7" w:val="clear"/>
            <w:tcMar>
              <w:bottom w:w="145" w:type="dxa"/>
            </w:tcMar>
            <w:vAlign w:val="center"/>
          </w:tcPr>
          <w:p>
            <w:pPr>
              <w:pStyle w:val="TableContents"/>
              <w:bidi w:val="0"/>
              <w:spacing w:before="0" w:after="283"/>
              <w:jc w:val="right"/>
              <w:rPr/>
            </w:pPr>
            <w:r>
              <w:rPr/>
              <w:t>12/05/2023</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946" w:type="dxa"/>
            <w:tcBorders>
              <w:bottom w:val="single" w:sz="6" w:space="0" w:color="000000"/>
            </w:tcBorders>
            <w:shd w:fill="F7F7F7" w:val="clear"/>
            <w:tcMar>
              <w:bottom w:w="145" w:type="dxa"/>
            </w:tcMar>
            <w:vAlign w:val="center"/>
          </w:tcPr>
          <w:p>
            <w:pPr>
              <w:pStyle w:val="TableContents"/>
              <w:bidi w:val="0"/>
              <w:spacing w:before="0" w:after="283"/>
              <w:jc w:val="right"/>
              <w:rPr/>
            </w:pPr>
            <w:r>
              <w:rPr/>
              <w:t>25,542</w:t>
            </w:r>
          </w:p>
        </w:tc>
        <w:tc>
          <w:tcPr>
            <w:tcW w:w="13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526" w:type="dxa"/>
            <w:tcBorders>
              <w:bottom w:val="single" w:sz="6" w:space="0" w:color="000000"/>
            </w:tcBorders>
            <w:shd w:fill="F7F7F7" w:val="clear"/>
            <w:tcMar>
              <w:bottom w:w="145" w:type="dxa"/>
            </w:tcMar>
            <w:vAlign w:val="center"/>
          </w:tcPr>
          <w:p>
            <w:pPr>
              <w:pStyle w:val="TableContents"/>
              <w:bidi w:val="0"/>
              <w:spacing w:before="0" w:after="283"/>
              <w:jc w:val="right"/>
              <w:rPr/>
            </w:pPr>
            <w:r>
              <w:rPr/>
              <w:t>4.36</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shd w:fill="F7F7F7" w:val="clear"/>
            <w:tcMar>
              <w:bottom w:w="145" w:type="dxa"/>
            </w:tcMar>
            <w:vAlign w:val="center"/>
          </w:tcPr>
          <w:p>
            <w:pPr>
              <w:pStyle w:val="TableContents"/>
              <w:bidi w:val="0"/>
              <w:spacing w:before="0" w:after="283"/>
              <w:jc w:val="right"/>
              <w:rPr/>
            </w:pPr>
            <w:r>
              <w:rPr/>
              <w:t>111,363</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290" w:after="0"/>
        <w:ind w:left="849" w:right="0" w:hanging="0"/>
        <w:jc w:val="left"/>
        <w:rPr>
          <w:rFonts w:ascii="Helvetica;Arial;sans-serif" w:hAnsi="Helvetica;Arial;sans-serif"/>
          <w:b w:val="false"/>
          <w:i w:val="false"/>
          <w:caps w:val="false"/>
          <w:smallCaps w:val="false"/>
          <w:color w:val="000000"/>
          <w:sz w:val="9"/>
        </w:rPr>
      </w:pPr>
      <w:r>
        <w:rPr>
          <w:rFonts w:ascii="Helvetica;Arial;sans-serif" w:hAnsi="Helvetica;Arial;sans-serif"/>
          <w:b w:val="false"/>
          <w:i w:val="false"/>
          <w:caps w:val="false"/>
          <w:smallCaps w:val="false"/>
          <w:color w:val="000000"/>
          <w:sz w:val="9"/>
        </w:rPr>
        <w:t>Computed as the aggregate dollar amount realized upon the vesting of RSUs granted to Ms. House, determined by multiplying the number of units vesting as of the applicable vesting date by the closing price of our Common Stock on the trading day prior to the applicable vesting date, as follows:​</w:t>
      </w:r>
      <w:r>
        <w:rPr>
          <w:rFonts w:ascii="Helvetica;Arial;sans-serif" w:hAnsi="Helvetica;Arial;sans-serif"/>
          <w:b w:val="false"/>
          <w:i w:val="false"/>
          <w:caps w:val="false"/>
          <w:smallCaps w:val="false"/>
          <w:color w:val="000000"/>
          <w:spacing w:val="2"/>
          <w:sz w:val="9"/>
        </w:rPr>
        <w:t xml:space="preserve"> </w:t>
      </w:r>
      <w:r>
        <mc:AlternateContent>
          <mc:Choice Requires="wps">
            <w:drawing>
              <wp:anchor behindDoc="0" distT="184150" distB="0" distL="0" distR="0" simplePos="0" locked="0" layoutInCell="1" allowOverlap="1" relativeHeight="247">
                <wp:simplePos x="0" y="0"/>
                <wp:positionH relativeFrom="column">
                  <wp:align>left</wp:align>
                </wp:positionH>
                <wp:positionV relativeFrom="line">
                  <wp:align>top</wp:align>
                </wp:positionV>
                <wp:extent cx="81915" cy="180340"/>
                <wp:effectExtent l="0" t="0" r="0" b="0"/>
                <wp:wrapSquare wrapText="right"/>
                <wp:docPr id="239" name="Frame176"/>
                <a:graphic xmlns:a="http://schemas.openxmlformats.org/drawingml/2006/main">
                  <a:graphicData uri="http://schemas.microsoft.com/office/word/2010/wordprocessingShape">
                    <wps:wsp>
                      <wps:cNvSpPr txBox="1"/>
                      <wps:spPr>
                        <a:xfrm>
                          <a:off x="0" y="0"/>
                          <a:ext cx="81915" cy="180340"/>
                        </a:xfrm>
                        <a:prstGeom prst="rect"/>
                        <a:solidFill>
                          <a:srgbClr val="FFFFFF"/>
                        </a:solidFill>
                      </wps:spPr>
                      <wps:txbx>
                        <w:txbxContent>
                          <w:p>
                            <w:pPr>
                              <w:pStyle w:val="TextBody"/>
                              <w:bidi w:val="0"/>
                              <w:spacing w:lineRule="atLeast" w:line="142" w:before="0" w:after="283"/>
                              <w:jc w:val="left"/>
                              <w:rPr>
                                <w:sz w:val="9"/>
                              </w:rPr>
                            </w:pPr>
                            <w:r>
                              <w:rPr>
                                <w:sz w:val="9"/>
                              </w:rPr>
                              <w:t xml:space="preserve">(6) </w:t>
                              <w:br/>
                            </w:r>
                          </w:p>
                        </w:txbxContent>
                      </wps:txbx>
                      <wps:bodyPr anchor="t" lIns="0" tIns="0" rIns="0" bIns="0">
                        <a:noAutofit/>
                      </wps:bodyPr>
                    </wps:wsp>
                  </a:graphicData>
                </a:graphic>
              </wp:anchor>
            </w:drawing>
          </mc:Choice>
          <mc:Fallback>
            <w:pict>
              <v:rect style="position:absolute;rotation:-0;width:6.45pt;height:14.2pt;mso-wrap-distance-left:0pt;mso-wrap-distance-right:0pt;mso-wrap-distance-top:14.5pt;mso-wrap-distance-bottom:0pt;margin-top:14.5pt;mso-position-vertical:top;mso-position-vertical-relative:text;margin-left:0pt;mso-position-horizontal:left;mso-position-horizontal-relative:text">
                <v:textbox>
                  <w:txbxContent>
                    <w:p>
                      <w:pPr>
                        <w:pStyle w:val="TextBody"/>
                        <w:bidi w:val="0"/>
                        <w:spacing w:lineRule="atLeast" w:line="142" w:before="0" w:after="283"/>
                        <w:jc w:val="left"/>
                        <w:rPr>
                          <w:sz w:val="9"/>
                        </w:rPr>
                      </w:pPr>
                      <w:r>
                        <w:rPr>
                          <w:sz w:val="9"/>
                        </w:rPr>
                        <w:t xml:space="preserve">(6)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7901" w:type="dxa"/>
        <w:jc w:val="left"/>
        <w:tblInd w:w="720" w:type="dxa"/>
        <w:tblLayout w:type="fixed"/>
        <w:tblCellMar>
          <w:top w:w="0" w:type="dxa"/>
          <w:left w:w="0" w:type="dxa"/>
          <w:bottom w:w="0" w:type="dxa"/>
          <w:right w:w="0" w:type="dxa"/>
        </w:tblCellMar>
      </w:tblPr>
      <w:tblGrid>
        <w:gridCol w:w="124"/>
        <w:gridCol w:w="114"/>
        <w:gridCol w:w="114"/>
        <w:gridCol w:w="1247"/>
        <w:gridCol w:w="114"/>
        <w:gridCol w:w="109"/>
        <w:gridCol w:w="109"/>
        <w:gridCol w:w="109"/>
        <w:gridCol w:w="109"/>
        <w:gridCol w:w="1186"/>
        <w:gridCol w:w="109"/>
        <w:gridCol w:w="109"/>
        <w:gridCol w:w="109"/>
        <w:gridCol w:w="121"/>
        <w:gridCol w:w="121"/>
        <w:gridCol w:w="986"/>
        <w:gridCol w:w="121"/>
        <w:gridCol w:w="109"/>
        <w:gridCol w:w="109"/>
        <w:gridCol w:w="109"/>
        <w:gridCol w:w="226"/>
        <w:gridCol w:w="526"/>
        <w:gridCol w:w="109"/>
        <w:gridCol w:w="109"/>
        <w:gridCol w:w="109"/>
        <w:gridCol w:w="109"/>
        <w:gridCol w:w="226"/>
        <w:gridCol w:w="886"/>
        <w:gridCol w:w="109"/>
        <w:gridCol w:w="154"/>
      </w:tblGrid>
      <w:tr>
        <w:trPr/>
        <w:tc>
          <w:tcPr>
            <w:tcW w:w="124" w:type="dxa"/>
            <w:tcBorders/>
            <w:shd w:fill="000000" w:val="clear"/>
            <w:vAlign w:val="center"/>
          </w:tcPr>
          <w:p>
            <w:pPr>
              <w:pStyle w:val="TableContents"/>
              <w:bidi w:val="0"/>
              <w:spacing w:before="0" w:after="283"/>
              <w:jc w:val="left"/>
              <w:rPr/>
            </w:pPr>
            <w:r>
              <w:rPr/>
              <w:t>​</w:t>
            </w:r>
          </w:p>
        </w:tc>
        <w:tc>
          <w:tcPr>
            <w:tcW w:w="1589" w:type="dxa"/>
            <w:gridSpan w:val="4"/>
            <w:tcBorders/>
            <w:shd w:fill="000000" w:val="clear"/>
            <w:vAlign w:val="center"/>
          </w:tcPr>
          <w:p>
            <w:pPr>
              <w:pStyle w:val="TableContents"/>
              <w:bidi w:val="0"/>
              <w:spacing w:before="0" w:after="0"/>
              <w:jc w:val="left"/>
              <w:rPr/>
            </w:pPr>
            <w:r>
              <w:rPr/>
              <w:t xml:space="preserve">Date of Award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13" w:type="dxa"/>
            <w:gridSpan w:val="4"/>
            <w:tcBorders/>
            <w:shd w:fill="000000" w:val="clear"/>
            <w:vAlign w:val="center"/>
          </w:tcPr>
          <w:p>
            <w:pPr>
              <w:pStyle w:val="TableContents"/>
              <w:bidi w:val="0"/>
              <w:spacing w:before="0" w:after="0"/>
              <w:jc w:val="center"/>
              <w:rPr/>
            </w:pPr>
            <w:r>
              <w:rPr/>
              <w:t xml:space="preserve">Vesting Date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49" w:type="dxa"/>
            <w:gridSpan w:val="4"/>
            <w:tcBorders/>
            <w:shd w:fill="000000" w:val="clear"/>
            <w:vAlign w:val="center"/>
          </w:tcPr>
          <w:p>
            <w:pPr>
              <w:pStyle w:val="TableContents"/>
              <w:bidi w:val="0"/>
              <w:spacing w:before="0" w:after="0"/>
              <w:jc w:val="center"/>
              <w:rPr/>
            </w:pPr>
            <w:r>
              <w:rPr/>
              <w:t xml:space="preserve">Number of </w:t>
              <w:br/>
              <w:t xml:space="preserve">Shares </w:t>
              <w:br/>
              <w:t xml:space="preserve">Acquired on </w:t>
              <w:br/>
              <w:t xml:space="preserve">Vesting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970" w:type="dxa"/>
            <w:gridSpan w:val="4"/>
            <w:tcBorders/>
            <w:shd w:fill="000000" w:val="clear"/>
            <w:vAlign w:val="center"/>
          </w:tcPr>
          <w:p>
            <w:pPr>
              <w:pStyle w:val="TableContents"/>
              <w:bidi w:val="0"/>
              <w:spacing w:before="0" w:after="0"/>
              <w:jc w:val="center"/>
              <w:rPr/>
            </w:pPr>
            <w:r>
              <w:rPr/>
              <w:t xml:space="preserve">Market </w:t>
              <w:br/>
              <w:t xml:space="preserve">Price at </w:t>
              <w:br/>
              <w:t xml:space="preserve">Vesting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30" w:type="dxa"/>
            <w:gridSpan w:val="4"/>
            <w:tcBorders/>
            <w:shd w:fill="000000" w:val="clear"/>
            <w:vAlign w:val="center"/>
          </w:tcPr>
          <w:p>
            <w:pPr>
              <w:pStyle w:val="TableContents"/>
              <w:bidi w:val="0"/>
              <w:spacing w:before="0" w:after="0"/>
              <w:jc w:val="center"/>
              <w:rPr/>
            </w:pPr>
            <w:r>
              <w:rPr/>
              <w:t xml:space="preserve">Value </w:t>
              <w:br/>
              <w:t xml:space="preserve">Realized </w:t>
              <w:br/>
              <w:t xml:space="preserve">on Vesting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tcMar>
              <w:bottom w:w="145" w:type="dxa"/>
            </w:tcMar>
            <w:vAlign w:val="center"/>
          </w:tcPr>
          <w:p>
            <w:pPr>
              <w:pStyle w:val="TableContents"/>
              <w:bidi w:val="0"/>
              <w:spacing w:before="0" w:after="283"/>
              <w:jc w:val="right"/>
              <w:rPr/>
            </w:pPr>
            <w:r>
              <w:rPr/>
              <w:t>06/29/2021</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tcMar>
              <w:bottom w:w="145" w:type="dxa"/>
            </w:tcMar>
            <w:vAlign w:val="center"/>
          </w:tcPr>
          <w:p>
            <w:pPr>
              <w:pStyle w:val="TableContents"/>
              <w:bidi w:val="0"/>
              <w:spacing w:before="0" w:after="283"/>
              <w:jc w:val="right"/>
              <w:rPr/>
            </w:pPr>
            <w:r>
              <w:rPr/>
              <w:t>03/05/2023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1" w:type="dxa"/>
            <w:tcBorders>
              <w:bottom w:val="single" w:sz="6" w:space="0" w:color="000000"/>
            </w:tcBorders>
            <w:tcMar>
              <w:bottom w:w="28" w:type="dxa"/>
            </w:tcMar>
            <w:vAlign w:val="center"/>
          </w:tcPr>
          <w:p>
            <w:pPr>
              <w:pStyle w:val="TableContents"/>
              <w:bidi w:val="0"/>
              <w:spacing w:before="0" w:after="283"/>
              <w:jc w:val="left"/>
              <w:rPr/>
            </w:pPr>
            <w:r>
              <w:rPr/>
              <w:t>​</w:t>
            </w:r>
          </w:p>
        </w:tc>
        <w:tc>
          <w:tcPr>
            <w:tcW w:w="121" w:type="dxa"/>
            <w:tcBorders>
              <w:bottom w:val="single" w:sz="6" w:space="0" w:color="000000"/>
            </w:tcBorders>
            <w:tcMar>
              <w:bottom w:w="145" w:type="dxa"/>
            </w:tcMar>
            <w:vAlign w:val="center"/>
          </w:tcPr>
          <w:p>
            <w:pPr>
              <w:pStyle w:val="TableContents"/>
              <w:bidi w:val="0"/>
              <w:spacing w:before="0" w:after="283"/>
              <w:jc w:val="right"/>
              <w:rPr/>
            </w:pPr>
            <w:r>
              <w:rPr/>
              <w:t>​</w:t>
            </w:r>
          </w:p>
        </w:tc>
        <w:tc>
          <w:tcPr>
            <w:tcW w:w="986" w:type="dxa"/>
            <w:tcBorders>
              <w:bottom w:val="single" w:sz="6" w:space="0" w:color="000000"/>
            </w:tcBorders>
            <w:tcMar>
              <w:bottom w:w="145" w:type="dxa"/>
            </w:tcMar>
            <w:vAlign w:val="center"/>
          </w:tcPr>
          <w:p>
            <w:pPr>
              <w:pStyle w:val="TableContents"/>
              <w:bidi w:val="0"/>
              <w:spacing w:before="0" w:after="283"/>
              <w:jc w:val="right"/>
              <w:rPr/>
            </w:pPr>
            <w:r>
              <w:rPr/>
              <w:t>41,313</w:t>
            </w:r>
          </w:p>
        </w:tc>
        <w:tc>
          <w:tcPr>
            <w:tcW w:w="12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526" w:type="dxa"/>
            <w:tcBorders>
              <w:bottom w:val="single" w:sz="6" w:space="0" w:color="000000"/>
            </w:tcBorders>
            <w:tcMar>
              <w:bottom w:w="145" w:type="dxa"/>
            </w:tcMar>
            <w:vAlign w:val="center"/>
          </w:tcPr>
          <w:p>
            <w:pPr>
              <w:pStyle w:val="TableContents"/>
              <w:bidi w:val="0"/>
              <w:spacing w:before="0" w:after="283"/>
              <w:jc w:val="right"/>
              <w:rPr/>
            </w:pPr>
            <w:r>
              <w:rPr/>
              <w:t>8.94</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tcMar>
              <w:bottom w:w="145" w:type="dxa"/>
            </w:tcMar>
            <w:vAlign w:val="center"/>
          </w:tcPr>
          <w:p>
            <w:pPr>
              <w:pStyle w:val="TableContents"/>
              <w:bidi w:val="0"/>
              <w:spacing w:before="0" w:after="283"/>
              <w:jc w:val="right"/>
              <w:rPr/>
            </w:pPr>
            <w:r>
              <w:rPr/>
              <w:t>369,338</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shd w:fill="F7F7F7" w:val="clear"/>
            <w:tcMar>
              <w:bottom w:w="145" w:type="dxa"/>
            </w:tcMar>
            <w:vAlign w:val="center"/>
          </w:tcPr>
          <w:p>
            <w:pPr>
              <w:pStyle w:val="TableContents"/>
              <w:bidi w:val="0"/>
              <w:spacing w:before="0" w:after="283"/>
              <w:jc w:val="right"/>
              <w:rPr/>
            </w:pPr>
            <w:r>
              <w:rPr/>
              <w:t>06/29/2021</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shd w:fill="F7F7F7" w:val="clear"/>
            <w:tcMar>
              <w:bottom w:w="145" w:type="dxa"/>
            </w:tcMar>
            <w:vAlign w:val="center"/>
          </w:tcPr>
          <w:p>
            <w:pPr>
              <w:pStyle w:val="TableContents"/>
              <w:bidi w:val="0"/>
              <w:spacing w:before="0" w:after="283"/>
              <w:jc w:val="right"/>
              <w:rPr/>
            </w:pPr>
            <w:r>
              <w:rPr/>
              <w:t>06/05/2023</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2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21"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986" w:type="dxa"/>
            <w:tcBorders>
              <w:bottom w:val="single" w:sz="6" w:space="0" w:color="000000"/>
            </w:tcBorders>
            <w:shd w:fill="F7F7F7" w:val="clear"/>
            <w:tcMar>
              <w:bottom w:w="145" w:type="dxa"/>
            </w:tcMar>
            <w:vAlign w:val="center"/>
          </w:tcPr>
          <w:p>
            <w:pPr>
              <w:pStyle w:val="TableContents"/>
              <w:bidi w:val="0"/>
              <w:spacing w:before="0" w:after="283"/>
              <w:jc w:val="right"/>
              <w:rPr/>
            </w:pPr>
            <w:r>
              <w:rPr/>
              <w:t>41,313</w:t>
            </w:r>
          </w:p>
        </w:tc>
        <w:tc>
          <w:tcPr>
            <w:tcW w:w="12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526" w:type="dxa"/>
            <w:tcBorders>
              <w:bottom w:val="single" w:sz="6" w:space="0" w:color="000000"/>
            </w:tcBorders>
            <w:shd w:fill="F7F7F7" w:val="clear"/>
            <w:tcMar>
              <w:bottom w:w="145" w:type="dxa"/>
            </w:tcMar>
            <w:vAlign w:val="center"/>
          </w:tcPr>
          <w:p>
            <w:pPr>
              <w:pStyle w:val="TableContents"/>
              <w:bidi w:val="0"/>
              <w:spacing w:before="0" w:after="283"/>
              <w:jc w:val="right"/>
              <w:rPr/>
            </w:pPr>
            <w:r>
              <w:rPr/>
              <w:t>6.60</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shd w:fill="F7F7F7" w:val="clear"/>
            <w:tcMar>
              <w:bottom w:w="145" w:type="dxa"/>
            </w:tcMar>
            <w:vAlign w:val="center"/>
          </w:tcPr>
          <w:p>
            <w:pPr>
              <w:pStyle w:val="TableContents"/>
              <w:bidi w:val="0"/>
              <w:spacing w:before="0" w:after="283"/>
              <w:jc w:val="right"/>
              <w:rPr/>
            </w:pPr>
            <w:r>
              <w:rPr/>
              <w:t>272,665</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tcMar>
              <w:bottom w:w="145" w:type="dxa"/>
            </w:tcMar>
            <w:vAlign w:val="center"/>
          </w:tcPr>
          <w:p>
            <w:pPr>
              <w:pStyle w:val="TableContents"/>
              <w:bidi w:val="0"/>
              <w:spacing w:before="0" w:after="283"/>
              <w:jc w:val="right"/>
              <w:rPr/>
            </w:pPr>
            <w:r>
              <w:rPr/>
              <w:t>06/29/2021</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tcMar>
              <w:bottom w:w="145" w:type="dxa"/>
            </w:tcMar>
            <w:vAlign w:val="center"/>
          </w:tcPr>
          <w:p>
            <w:pPr>
              <w:pStyle w:val="TableContents"/>
              <w:bidi w:val="0"/>
              <w:spacing w:before="0" w:after="283"/>
              <w:jc w:val="right"/>
              <w:rPr/>
            </w:pPr>
            <w:r>
              <w:rPr/>
              <w:t>09/05/2023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1" w:type="dxa"/>
            <w:tcBorders>
              <w:bottom w:val="single" w:sz="6" w:space="0" w:color="000000"/>
            </w:tcBorders>
            <w:tcMar>
              <w:bottom w:w="28" w:type="dxa"/>
            </w:tcMar>
            <w:vAlign w:val="center"/>
          </w:tcPr>
          <w:p>
            <w:pPr>
              <w:pStyle w:val="TableContents"/>
              <w:bidi w:val="0"/>
              <w:spacing w:before="0" w:after="283"/>
              <w:jc w:val="left"/>
              <w:rPr/>
            </w:pPr>
            <w:r>
              <w:rPr/>
              <w:t>​</w:t>
            </w:r>
          </w:p>
        </w:tc>
        <w:tc>
          <w:tcPr>
            <w:tcW w:w="121" w:type="dxa"/>
            <w:tcBorders>
              <w:bottom w:val="single" w:sz="6" w:space="0" w:color="000000"/>
            </w:tcBorders>
            <w:tcMar>
              <w:bottom w:w="145" w:type="dxa"/>
            </w:tcMar>
            <w:vAlign w:val="center"/>
          </w:tcPr>
          <w:p>
            <w:pPr>
              <w:pStyle w:val="TableContents"/>
              <w:bidi w:val="0"/>
              <w:spacing w:before="0" w:after="283"/>
              <w:jc w:val="right"/>
              <w:rPr/>
            </w:pPr>
            <w:r>
              <w:rPr/>
              <w:t>​</w:t>
            </w:r>
          </w:p>
        </w:tc>
        <w:tc>
          <w:tcPr>
            <w:tcW w:w="986" w:type="dxa"/>
            <w:tcBorders>
              <w:bottom w:val="single" w:sz="6" w:space="0" w:color="000000"/>
            </w:tcBorders>
            <w:tcMar>
              <w:bottom w:w="145" w:type="dxa"/>
            </w:tcMar>
            <w:vAlign w:val="center"/>
          </w:tcPr>
          <w:p>
            <w:pPr>
              <w:pStyle w:val="TableContents"/>
              <w:bidi w:val="0"/>
              <w:spacing w:before="0" w:after="283"/>
              <w:jc w:val="right"/>
              <w:rPr/>
            </w:pPr>
            <w:r>
              <w:rPr/>
              <w:t>41,313</w:t>
            </w:r>
          </w:p>
        </w:tc>
        <w:tc>
          <w:tcPr>
            <w:tcW w:w="12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526" w:type="dxa"/>
            <w:tcBorders>
              <w:bottom w:val="single" w:sz="6" w:space="0" w:color="000000"/>
            </w:tcBorders>
            <w:tcMar>
              <w:bottom w:w="145" w:type="dxa"/>
            </w:tcMar>
            <w:vAlign w:val="center"/>
          </w:tcPr>
          <w:p>
            <w:pPr>
              <w:pStyle w:val="TableContents"/>
              <w:bidi w:val="0"/>
              <w:spacing w:before="0" w:after="283"/>
              <w:jc w:val="right"/>
              <w:rPr/>
            </w:pPr>
            <w:r>
              <w:rPr/>
              <w:t>6.36</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tcMar>
              <w:bottom w:w="145" w:type="dxa"/>
            </w:tcMar>
            <w:vAlign w:val="center"/>
          </w:tcPr>
          <w:p>
            <w:pPr>
              <w:pStyle w:val="TableContents"/>
              <w:bidi w:val="0"/>
              <w:spacing w:before="0" w:after="283"/>
              <w:jc w:val="right"/>
              <w:rPr/>
            </w:pPr>
            <w:r>
              <w:rPr/>
              <w:t>262,750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shd w:fill="F7F7F7" w:val="clear"/>
            <w:tcMar>
              <w:bottom w:w="145" w:type="dxa"/>
            </w:tcMar>
            <w:vAlign w:val="center"/>
          </w:tcPr>
          <w:p>
            <w:pPr>
              <w:pStyle w:val="TableContents"/>
              <w:bidi w:val="0"/>
              <w:spacing w:before="0" w:after="283"/>
              <w:jc w:val="right"/>
              <w:rPr/>
            </w:pPr>
            <w:r>
              <w:rPr/>
              <w:t>06/29/2021</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shd w:fill="F7F7F7" w:val="clear"/>
            <w:tcMar>
              <w:bottom w:w="145" w:type="dxa"/>
            </w:tcMar>
            <w:vAlign w:val="center"/>
          </w:tcPr>
          <w:p>
            <w:pPr>
              <w:pStyle w:val="TableContents"/>
              <w:bidi w:val="0"/>
              <w:spacing w:before="0" w:after="283"/>
              <w:jc w:val="right"/>
              <w:rPr/>
            </w:pPr>
            <w:r>
              <w:rPr/>
              <w:t>12/05/2023</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2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21"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986" w:type="dxa"/>
            <w:tcBorders>
              <w:bottom w:val="single" w:sz="6" w:space="0" w:color="000000"/>
            </w:tcBorders>
            <w:shd w:fill="F7F7F7" w:val="clear"/>
            <w:tcMar>
              <w:bottom w:w="145" w:type="dxa"/>
            </w:tcMar>
            <w:vAlign w:val="center"/>
          </w:tcPr>
          <w:p>
            <w:pPr>
              <w:pStyle w:val="TableContents"/>
              <w:bidi w:val="0"/>
              <w:spacing w:before="0" w:after="283"/>
              <w:jc w:val="right"/>
              <w:rPr/>
            </w:pPr>
            <w:r>
              <w:rPr/>
              <w:t>41,313</w:t>
            </w:r>
          </w:p>
        </w:tc>
        <w:tc>
          <w:tcPr>
            <w:tcW w:w="12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526" w:type="dxa"/>
            <w:tcBorders>
              <w:bottom w:val="single" w:sz="6" w:space="0" w:color="000000"/>
            </w:tcBorders>
            <w:shd w:fill="F7F7F7" w:val="clear"/>
            <w:tcMar>
              <w:bottom w:w="145" w:type="dxa"/>
            </w:tcMar>
            <w:vAlign w:val="center"/>
          </w:tcPr>
          <w:p>
            <w:pPr>
              <w:pStyle w:val="TableContents"/>
              <w:bidi w:val="0"/>
              <w:spacing w:before="0" w:after="283"/>
              <w:jc w:val="right"/>
              <w:rPr/>
            </w:pPr>
            <w:r>
              <w:rPr/>
              <w:t>4.36</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shd w:fill="F7F7F7" w:val="clear"/>
            <w:tcMar>
              <w:bottom w:w="145" w:type="dxa"/>
            </w:tcMar>
            <w:vAlign w:val="center"/>
          </w:tcPr>
          <w:p>
            <w:pPr>
              <w:pStyle w:val="TableContents"/>
              <w:bidi w:val="0"/>
              <w:spacing w:before="0" w:after="283"/>
              <w:jc w:val="right"/>
              <w:rPr/>
            </w:pPr>
            <w:r>
              <w:rPr/>
              <w:t>180,124</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tcMar>
              <w:bottom w:w="145" w:type="dxa"/>
            </w:tcMar>
            <w:vAlign w:val="center"/>
          </w:tcPr>
          <w:p>
            <w:pPr>
              <w:pStyle w:val="TableContents"/>
              <w:bidi w:val="0"/>
              <w:spacing w:before="0" w:after="283"/>
              <w:jc w:val="right"/>
              <w:rPr/>
            </w:pPr>
            <w:r>
              <w:rPr/>
              <w:t>06/29/2021</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tcMar>
              <w:bottom w:w="145" w:type="dxa"/>
            </w:tcMar>
            <w:vAlign w:val="center"/>
          </w:tcPr>
          <w:p>
            <w:pPr>
              <w:pStyle w:val="TableContents"/>
              <w:bidi w:val="0"/>
              <w:spacing w:before="0" w:after="283"/>
              <w:jc w:val="right"/>
              <w:rPr/>
            </w:pPr>
            <w:r>
              <w:rPr/>
              <w:t>12/31/2023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1" w:type="dxa"/>
            <w:tcBorders>
              <w:bottom w:val="single" w:sz="6" w:space="0" w:color="000000"/>
            </w:tcBorders>
            <w:tcMar>
              <w:bottom w:w="28" w:type="dxa"/>
            </w:tcMar>
            <w:vAlign w:val="center"/>
          </w:tcPr>
          <w:p>
            <w:pPr>
              <w:pStyle w:val="TableContents"/>
              <w:bidi w:val="0"/>
              <w:spacing w:before="0" w:after="283"/>
              <w:jc w:val="left"/>
              <w:rPr/>
            </w:pPr>
            <w:r>
              <w:rPr/>
              <w:t>​</w:t>
            </w:r>
          </w:p>
        </w:tc>
        <w:tc>
          <w:tcPr>
            <w:tcW w:w="121" w:type="dxa"/>
            <w:tcBorders>
              <w:bottom w:val="single" w:sz="6" w:space="0" w:color="000000"/>
            </w:tcBorders>
            <w:tcMar>
              <w:bottom w:w="145" w:type="dxa"/>
            </w:tcMar>
            <w:vAlign w:val="center"/>
          </w:tcPr>
          <w:p>
            <w:pPr>
              <w:pStyle w:val="TableContents"/>
              <w:bidi w:val="0"/>
              <w:spacing w:before="0" w:after="283"/>
              <w:jc w:val="right"/>
              <w:rPr/>
            </w:pPr>
            <w:r>
              <w:rPr/>
              <w:t>​</w:t>
            </w:r>
          </w:p>
        </w:tc>
        <w:tc>
          <w:tcPr>
            <w:tcW w:w="986" w:type="dxa"/>
            <w:tcBorders>
              <w:bottom w:val="single" w:sz="6" w:space="0" w:color="000000"/>
            </w:tcBorders>
            <w:tcMar>
              <w:bottom w:w="145" w:type="dxa"/>
            </w:tcMar>
            <w:vAlign w:val="center"/>
          </w:tcPr>
          <w:p>
            <w:pPr>
              <w:pStyle w:val="TableContents"/>
              <w:bidi w:val="0"/>
              <w:spacing w:before="0" w:after="283"/>
              <w:jc w:val="right"/>
              <w:rPr/>
            </w:pPr>
            <w:r>
              <w:rPr/>
              <w:t>183,137</w:t>
            </w:r>
          </w:p>
        </w:tc>
        <w:tc>
          <w:tcPr>
            <w:tcW w:w="12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526" w:type="dxa"/>
            <w:tcBorders>
              <w:bottom w:val="single" w:sz="6" w:space="0" w:color="000000"/>
            </w:tcBorders>
            <w:tcMar>
              <w:bottom w:w="145" w:type="dxa"/>
            </w:tcMar>
            <w:vAlign w:val="center"/>
          </w:tcPr>
          <w:p>
            <w:pPr>
              <w:pStyle w:val="TableContents"/>
              <w:bidi w:val="0"/>
              <w:spacing w:before="0" w:after="283"/>
              <w:jc w:val="right"/>
              <w:rPr/>
            </w:pPr>
            <w:r>
              <w:rPr/>
              <w:t>4.21</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tcMar>
              <w:bottom w:w="145" w:type="dxa"/>
            </w:tcMar>
            <w:vAlign w:val="center"/>
          </w:tcPr>
          <w:p>
            <w:pPr>
              <w:pStyle w:val="TableContents"/>
              <w:bidi w:val="0"/>
              <w:spacing w:before="0" w:after="283"/>
              <w:jc w:val="right"/>
              <w:rPr/>
            </w:pPr>
            <w:r>
              <w:rPr/>
              <w:t>771,006</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shd w:fill="F7F7F7" w:val="clear"/>
            <w:tcMar>
              <w:bottom w:w="145" w:type="dxa"/>
            </w:tcMar>
            <w:vAlign w:val="center"/>
          </w:tcPr>
          <w:p>
            <w:pPr>
              <w:pStyle w:val="TableContents"/>
              <w:bidi w:val="0"/>
              <w:spacing w:before="0" w:after="283"/>
              <w:jc w:val="right"/>
              <w:rPr/>
            </w:pPr>
            <w:r>
              <w:rPr/>
              <w:t>06/06/2022</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shd w:fill="F7F7F7" w:val="clear"/>
            <w:tcMar>
              <w:bottom w:w="145" w:type="dxa"/>
            </w:tcMar>
            <w:vAlign w:val="center"/>
          </w:tcPr>
          <w:p>
            <w:pPr>
              <w:pStyle w:val="TableContents"/>
              <w:bidi w:val="0"/>
              <w:spacing w:before="0" w:after="283"/>
              <w:jc w:val="right"/>
              <w:rPr/>
            </w:pPr>
            <w:r>
              <w:rPr/>
              <w:t>03/05/2023</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2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21"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986" w:type="dxa"/>
            <w:tcBorders>
              <w:bottom w:val="single" w:sz="6" w:space="0" w:color="000000"/>
            </w:tcBorders>
            <w:shd w:fill="F7F7F7" w:val="clear"/>
            <w:tcMar>
              <w:bottom w:w="145" w:type="dxa"/>
            </w:tcMar>
            <w:vAlign w:val="center"/>
          </w:tcPr>
          <w:p>
            <w:pPr>
              <w:pStyle w:val="TableContents"/>
              <w:bidi w:val="0"/>
              <w:spacing w:before="0" w:after="283"/>
              <w:jc w:val="right"/>
              <w:rPr/>
            </w:pPr>
            <w:r>
              <w:rPr/>
              <w:t>17,133</w:t>
            </w:r>
          </w:p>
        </w:tc>
        <w:tc>
          <w:tcPr>
            <w:tcW w:w="12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526" w:type="dxa"/>
            <w:tcBorders>
              <w:bottom w:val="single" w:sz="6" w:space="0" w:color="000000"/>
            </w:tcBorders>
            <w:shd w:fill="F7F7F7" w:val="clear"/>
            <w:tcMar>
              <w:bottom w:w="145" w:type="dxa"/>
            </w:tcMar>
            <w:vAlign w:val="center"/>
          </w:tcPr>
          <w:p>
            <w:pPr>
              <w:pStyle w:val="TableContents"/>
              <w:bidi w:val="0"/>
              <w:spacing w:before="0" w:after="283"/>
              <w:jc w:val="right"/>
              <w:rPr/>
            </w:pPr>
            <w:r>
              <w:rPr/>
              <w:t>8.94</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shd w:fill="F7F7F7" w:val="clear"/>
            <w:tcMar>
              <w:bottom w:w="145" w:type="dxa"/>
            </w:tcMar>
            <w:vAlign w:val="center"/>
          </w:tcPr>
          <w:p>
            <w:pPr>
              <w:pStyle w:val="TableContents"/>
              <w:bidi w:val="0"/>
              <w:spacing w:before="0" w:after="283"/>
              <w:jc w:val="right"/>
              <w:rPr/>
            </w:pPr>
            <w:r>
              <w:rPr/>
              <w:t>153,169</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tcMar>
              <w:bottom w:w="145" w:type="dxa"/>
            </w:tcMar>
            <w:vAlign w:val="center"/>
          </w:tcPr>
          <w:p>
            <w:pPr>
              <w:pStyle w:val="TableContents"/>
              <w:bidi w:val="0"/>
              <w:spacing w:before="0" w:after="283"/>
              <w:jc w:val="right"/>
              <w:rPr/>
            </w:pPr>
            <w:r>
              <w:rPr/>
              <w:t>06/06/2022</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tcMar>
              <w:bottom w:w="145" w:type="dxa"/>
            </w:tcMar>
            <w:vAlign w:val="center"/>
          </w:tcPr>
          <w:p>
            <w:pPr>
              <w:pStyle w:val="TableContents"/>
              <w:bidi w:val="0"/>
              <w:spacing w:before="0" w:after="283"/>
              <w:jc w:val="right"/>
              <w:rPr/>
            </w:pPr>
            <w:r>
              <w:rPr/>
              <w:t>06/05/2023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1" w:type="dxa"/>
            <w:tcBorders>
              <w:bottom w:val="single" w:sz="6" w:space="0" w:color="000000"/>
            </w:tcBorders>
            <w:tcMar>
              <w:bottom w:w="28" w:type="dxa"/>
            </w:tcMar>
            <w:vAlign w:val="center"/>
          </w:tcPr>
          <w:p>
            <w:pPr>
              <w:pStyle w:val="TableContents"/>
              <w:bidi w:val="0"/>
              <w:spacing w:before="0" w:after="283"/>
              <w:jc w:val="left"/>
              <w:rPr/>
            </w:pPr>
            <w:r>
              <w:rPr/>
              <w:t>​</w:t>
            </w:r>
          </w:p>
        </w:tc>
        <w:tc>
          <w:tcPr>
            <w:tcW w:w="121" w:type="dxa"/>
            <w:tcBorders>
              <w:bottom w:val="single" w:sz="6" w:space="0" w:color="000000"/>
            </w:tcBorders>
            <w:tcMar>
              <w:bottom w:w="145" w:type="dxa"/>
            </w:tcMar>
            <w:vAlign w:val="center"/>
          </w:tcPr>
          <w:p>
            <w:pPr>
              <w:pStyle w:val="TableContents"/>
              <w:bidi w:val="0"/>
              <w:spacing w:before="0" w:after="283"/>
              <w:jc w:val="right"/>
              <w:rPr/>
            </w:pPr>
            <w:r>
              <w:rPr/>
              <w:t>​</w:t>
            </w:r>
          </w:p>
        </w:tc>
        <w:tc>
          <w:tcPr>
            <w:tcW w:w="986" w:type="dxa"/>
            <w:tcBorders>
              <w:bottom w:val="single" w:sz="6" w:space="0" w:color="000000"/>
            </w:tcBorders>
            <w:tcMar>
              <w:bottom w:w="145" w:type="dxa"/>
            </w:tcMar>
            <w:vAlign w:val="center"/>
          </w:tcPr>
          <w:p>
            <w:pPr>
              <w:pStyle w:val="TableContents"/>
              <w:bidi w:val="0"/>
              <w:spacing w:before="0" w:after="283"/>
              <w:jc w:val="right"/>
              <w:rPr/>
            </w:pPr>
            <w:r>
              <w:rPr/>
              <w:t>17,133</w:t>
            </w:r>
          </w:p>
        </w:tc>
        <w:tc>
          <w:tcPr>
            <w:tcW w:w="12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526" w:type="dxa"/>
            <w:tcBorders>
              <w:bottom w:val="single" w:sz="6" w:space="0" w:color="000000"/>
            </w:tcBorders>
            <w:tcMar>
              <w:bottom w:w="145" w:type="dxa"/>
            </w:tcMar>
            <w:vAlign w:val="center"/>
          </w:tcPr>
          <w:p>
            <w:pPr>
              <w:pStyle w:val="TableContents"/>
              <w:bidi w:val="0"/>
              <w:spacing w:before="0" w:after="283"/>
              <w:jc w:val="right"/>
              <w:rPr/>
            </w:pPr>
            <w:r>
              <w:rPr/>
              <w:t>6.60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tcMar>
              <w:bottom w:w="145" w:type="dxa"/>
            </w:tcMar>
            <w:vAlign w:val="center"/>
          </w:tcPr>
          <w:p>
            <w:pPr>
              <w:pStyle w:val="TableContents"/>
              <w:bidi w:val="0"/>
              <w:spacing w:before="0" w:after="283"/>
              <w:jc w:val="right"/>
              <w:rPr/>
            </w:pPr>
            <w:r>
              <w:rPr/>
              <w:t>113,077</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shd w:fill="F7F7F7" w:val="clear"/>
            <w:tcMar>
              <w:bottom w:w="145" w:type="dxa"/>
            </w:tcMar>
            <w:vAlign w:val="center"/>
          </w:tcPr>
          <w:p>
            <w:pPr>
              <w:pStyle w:val="TableContents"/>
              <w:bidi w:val="0"/>
              <w:spacing w:before="0" w:after="283"/>
              <w:jc w:val="right"/>
              <w:rPr/>
            </w:pPr>
            <w:r>
              <w:rPr/>
              <w:t>06/06/2022</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shd w:fill="F7F7F7" w:val="clear"/>
            <w:tcMar>
              <w:bottom w:w="145" w:type="dxa"/>
            </w:tcMar>
            <w:vAlign w:val="center"/>
          </w:tcPr>
          <w:p>
            <w:pPr>
              <w:pStyle w:val="TableContents"/>
              <w:bidi w:val="0"/>
              <w:spacing w:before="0" w:after="283"/>
              <w:jc w:val="right"/>
              <w:rPr/>
            </w:pPr>
            <w:r>
              <w:rPr/>
              <w:t>09/05/2023</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2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21"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986" w:type="dxa"/>
            <w:tcBorders>
              <w:bottom w:val="single" w:sz="6" w:space="0" w:color="000000"/>
            </w:tcBorders>
            <w:shd w:fill="F7F7F7" w:val="clear"/>
            <w:tcMar>
              <w:bottom w:w="145" w:type="dxa"/>
            </w:tcMar>
            <w:vAlign w:val="center"/>
          </w:tcPr>
          <w:p>
            <w:pPr>
              <w:pStyle w:val="TableContents"/>
              <w:bidi w:val="0"/>
              <w:spacing w:before="0" w:after="283"/>
              <w:jc w:val="right"/>
              <w:rPr/>
            </w:pPr>
            <w:r>
              <w:rPr/>
              <w:t>17,132</w:t>
            </w:r>
          </w:p>
        </w:tc>
        <w:tc>
          <w:tcPr>
            <w:tcW w:w="12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526" w:type="dxa"/>
            <w:tcBorders>
              <w:bottom w:val="single" w:sz="6" w:space="0" w:color="000000"/>
            </w:tcBorders>
            <w:shd w:fill="F7F7F7" w:val="clear"/>
            <w:tcMar>
              <w:bottom w:w="145" w:type="dxa"/>
            </w:tcMar>
            <w:vAlign w:val="center"/>
          </w:tcPr>
          <w:p>
            <w:pPr>
              <w:pStyle w:val="TableContents"/>
              <w:bidi w:val="0"/>
              <w:spacing w:before="0" w:after="283"/>
              <w:jc w:val="right"/>
              <w:rPr/>
            </w:pPr>
            <w:r>
              <w:rPr/>
              <w:t>6.36</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shd w:fill="F7F7F7" w:val="clear"/>
            <w:tcMar>
              <w:bottom w:w="145" w:type="dxa"/>
            </w:tcMar>
            <w:vAlign w:val="center"/>
          </w:tcPr>
          <w:p>
            <w:pPr>
              <w:pStyle w:val="TableContents"/>
              <w:bidi w:val="0"/>
              <w:spacing w:before="0" w:after="283"/>
              <w:jc w:val="right"/>
              <w:rPr/>
            </w:pPr>
            <w:r>
              <w:rPr/>
              <w:t>108,959</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tcMar>
              <w:bottom w:w="145" w:type="dxa"/>
            </w:tcMar>
            <w:vAlign w:val="center"/>
          </w:tcPr>
          <w:p>
            <w:pPr>
              <w:pStyle w:val="TableContents"/>
              <w:bidi w:val="0"/>
              <w:spacing w:before="0" w:after="283"/>
              <w:jc w:val="right"/>
              <w:rPr/>
            </w:pPr>
            <w:r>
              <w:rPr/>
              <w:t>06/06/2022</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tcMar>
              <w:bottom w:w="145" w:type="dxa"/>
            </w:tcMar>
            <w:vAlign w:val="center"/>
          </w:tcPr>
          <w:p>
            <w:pPr>
              <w:pStyle w:val="TableContents"/>
              <w:bidi w:val="0"/>
              <w:spacing w:before="0" w:after="283"/>
              <w:jc w:val="right"/>
              <w:rPr/>
            </w:pPr>
            <w:r>
              <w:rPr/>
              <w:t>12/05/2023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1" w:type="dxa"/>
            <w:tcBorders>
              <w:bottom w:val="single" w:sz="6" w:space="0" w:color="000000"/>
            </w:tcBorders>
            <w:tcMar>
              <w:bottom w:w="28" w:type="dxa"/>
            </w:tcMar>
            <w:vAlign w:val="center"/>
          </w:tcPr>
          <w:p>
            <w:pPr>
              <w:pStyle w:val="TableContents"/>
              <w:bidi w:val="0"/>
              <w:spacing w:before="0" w:after="283"/>
              <w:jc w:val="left"/>
              <w:rPr/>
            </w:pPr>
            <w:r>
              <w:rPr/>
              <w:t>​</w:t>
            </w:r>
          </w:p>
        </w:tc>
        <w:tc>
          <w:tcPr>
            <w:tcW w:w="121" w:type="dxa"/>
            <w:tcBorders>
              <w:bottom w:val="single" w:sz="6" w:space="0" w:color="000000"/>
            </w:tcBorders>
            <w:tcMar>
              <w:bottom w:w="145" w:type="dxa"/>
            </w:tcMar>
            <w:vAlign w:val="center"/>
          </w:tcPr>
          <w:p>
            <w:pPr>
              <w:pStyle w:val="TableContents"/>
              <w:bidi w:val="0"/>
              <w:spacing w:before="0" w:after="283"/>
              <w:jc w:val="right"/>
              <w:rPr/>
            </w:pPr>
            <w:r>
              <w:rPr/>
              <w:t>​</w:t>
            </w:r>
          </w:p>
        </w:tc>
        <w:tc>
          <w:tcPr>
            <w:tcW w:w="986" w:type="dxa"/>
            <w:tcBorders>
              <w:bottom w:val="single" w:sz="6" w:space="0" w:color="000000"/>
            </w:tcBorders>
            <w:tcMar>
              <w:bottom w:w="145" w:type="dxa"/>
            </w:tcMar>
            <w:vAlign w:val="center"/>
          </w:tcPr>
          <w:p>
            <w:pPr>
              <w:pStyle w:val="TableContents"/>
              <w:bidi w:val="0"/>
              <w:spacing w:before="0" w:after="283"/>
              <w:jc w:val="right"/>
              <w:rPr/>
            </w:pPr>
            <w:r>
              <w:rPr/>
              <w:t>17,133</w:t>
            </w:r>
          </w:p>
        </w:tc>
        <w:tc>
          <w:tcPr>
            <w:tcW w:w="12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526" w:type="dxa"/>
            <w:tcBorders>
              <w:bottom w:val="single" w:sz="6" w:space="0" w:color="000000"/>
            </w:tcBorders>
            <w:tcMar>
              <w:bottom w:w="145" w:type="dxa"/>
            </w:tcMar>
            <w:vAlign w:val="center"/>
          </w:tcPr>
          <w:p>
            <w:pPr>
              <w:pStyle w:val="TableContents"/>
              <w:bidi w:val="0"/>
              <w:spacing w:before="0" w:after="283"/>
              <w:jc w:val="right"/>
              <w:rPr/>
            </w:pPr>
            <w:r>
              <w:rPr/>
              <w:t>4.36</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tcMar>
              <w:bottom w:w="145" w:type="dxa"/>
            </w:tcMar>
            <w:vAlign w:val="center"/>
          </w:tcPr>
          <w:p>
            <w:pPr>
              <w:pStyle w:val="TableContents"/>
              <w:bidi w:val="0"/>
              <w:spacing w:before="0" w:after="283"/>
              <w:jc w:val="right"/>
              <w:rPr/>
            </w:pPr>
            <w:r>
              <w:rPr/>
              <w:t>74,699</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shd w:fill="F7F7F7" w:val="clear"/>
            <w:tcMar>
              <w:bottom w:w="145" w:type="dxa"/>
            </w:tcMar>
            <w:vAlign w:val="center"/>
          </w:tcPr>
          <w:p>
            <w:pPr>
              <w:pStyle w:val="TableContents"/>
              <w:bidi w:val="0"/>
              <w:spacing w:before="0" w:after="283"/>
              <w:jc w:val="right"/>
              <w:rPr/>
            </w:pPr>
            <w:r>
              <w:rPr/>
              <w:t>09/10/2023</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shd w:fill="F7F7F7" w:val="clear"/>
            <w:tcMar>
              <w:bottom w:w="145" w:type="dxa"/>
            </w:tcMar>
            <w:vAlign w:val="center"/>
          </w:tcPr>
          <w:p>
            <w:pPr>
              <w:pStyle w:val="TableContents"/>
              <w:bidi w:val="0"/>
              <w:spacing w:before="0" w:after="283"/>
              <w:jc w:val="right"/>
              <w:rPr/>
            </w:pPr>
            <w:r>
              <w:rPr/>
              <w:t>09/10/2023</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2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21"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986" w:type="dxa"/>
            <w:tcBorders>
              <w:bottom w:val="single" w:sz="6" w:space="0" w:color="000000"/>
            </w:tcBorders>
            <w:shd w:fill="F7F7F7" w:val="clear"/>
            <w:tcMar>
              <w:bottom w:w="145" w:type="dxa"/>
            </w:tcMar>
            <w:vAlign w:val="center"/>
          </w:tcPr>
          <w:p>
            <w:pPr>
              <w:pStyle w:val="TableContents"/>
              <w:bidi w:val="0"/>
              <w:spacing w:before="0" w:after="283"/>
              <w:jc w:val="right"/>
              <w:rPr/>
            </w:pPr>
            <w:r>
              <w:rPr/>
              <w:t>51,082</w:t>
            </w:r>
          </w:p>
        </w:tc>
        <w:tc>
          <w:tcPr>
            <w:tcW w:w="12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526" w:type="dxa"/>
            <w:tcBorders>
              <w:bottom w:val="single" w:sz="6" w:space="0" w:color="000000"/>
            </w:tcBorders>
            <w:shd w:fill="F7F7F7" w:val="clear"/>
            <w:tcMar>
              <w:bottom w:w="145" w:type="dxa"/>
            </w:tcMar>
            <w:vAlign w:val="center"/>
          </w:tcPr>
          <w:p>
            <w:pPr>
              <w:pStyle w:val="TableContents"/>
              <w:bidi w:val="0"/>
              <w:spacing w:before="0" w:after="283"/>
              <w:jc w:val="right"/>
              <w:rPr/>
            </w:pPr>
            <w:r>
              <w:rPr/>
              <w:t>5.84</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shd w:fill="F7F7F7" w:val="clear"/>
            <w:tcMar>
              <w:bottom w:w="145" w:type="dxa"/>
            </w:tcMar>
            <w:vAlign w:val="center"/>
          </w:tcPr>
          <w:p>
            <w:pPr>
              <w:pStyle w:val="TableContents"/>
              <w:bidi w:val="0"/>
              <w:spacing w:before="0" w:after="283"/>
              <w:jc w:val="right"/>
              <w:rPr/>
            </w:pPr>
            <w:r>
              <w:rPr/>
              <w:t>298,318</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tcMar>
              <w:bottom w:w="145" w:type="dxa"/>
            </w:tcMar>
            <w:vAlign w:val="center"/>
          </w:tcPr>
          <w:p>
            <w:pPr>
              <w:pStyle w:val="TableContents"/>
              <w:bidi w:val="0"/>
              <w:spacing w:before="0" w:after="283"/>
              <w:jc w:val="right"/>
              <w:rPr/>
            </w:pPr>
            <w:r>
              <w:rPr/>
              <w:t>09/10/2023</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tcMar>
              <w:bottom w:w="145" w:type="dxa"/>
            </w:tcMar>
            <w:vAlign w:val="center"/>
          </w:tcPr>
          <w:p>
            <w:pPr>
              <w:pStyle w:val="TableContents"/>
              <w:bidi w:val="0"/>
              <w:spacing w:before="0" w:after="283"/>
              <w:jc w:val="right"/>
              <w:rPr/>
            </w:pPr>
            <w:r>
              <w:rPr/>
              <w:t>12/05/2023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1" w:type="dxa"/>
            <w:tcBorders>
              <w:bottom w:val="single" w:sz="6" w:space="0" w:color="000000"/>
            </w:tcBorders>
            <w:tcMar>
              <w:bottom w:w="28" w:type="dxa"/>
            </w:tcMar>
            <w:vAlign w:val="center"/>
          </w:tcPr>
          <w:p>
            <w:pPr>
              <w:pStyle w:val="TableContents"/>
              <w:bidi w:val="0"/>
              <w:spacing w:before="0" w:after="283"/>
              <w:jc w:val="left"/>
              <w:rPr/>
            </w:pPr>
            <w:r>
              <w:rPr/>
              <w:t>​</w:t>
            </w:r>
          </w:p>
        </w:tc>
        <w:tc>
          <w:tcPr>
            <w:tcW w:w="121" w:type="dxa"/>
            <w:tcBorders>
              <w:bottom w:val="single" w:sz="6" w:space="0" w:color="000000"/>
            </w:tcBorders>
            <w:tcMar>
              <w:bottom w:w="145" w:type="dxa"/>
            </w:tcMar>
            <w:vAlign w:val="center"/>
          </w:tcPr>
          <w:p>
            <w:pPr>
              <w:pStyle w:val="TableContents"/>
              <w:bidi w:val="0"/>
              <w:spacing w:before="0" w:after="283"/>
              <w:jc w:val="right"/>
              <w:rPr/>
            </w:pPr>
            <w:r>
              <w:rPr/>
              <w:t>​</w:t>
            </w:r>
          </w:p>
        </w:tc>
        <w:tc>
          <w:tcPr>
            <w:tcW w:w="986" w:type="dxa"/>
            <w:tcBorders>
              <w:bottom w:val="single" w:sz="6" w:space="0" w:color="000000"/>
            </w:tcBorders>
            <w:tcMar>
              <w:bottom w:w="145" w:type="dxa"/>
            </w:tcMar>
            <w:vAlign w:val="center"/>
          </w:tcPr>
          <w:p>
            <w:pPr>
              <w:pStyle w:val="TableContents"/>
              <w:bidi w:val="0"/>
              <w:spacing w:before="0" w:after="283"/>
              <w:jc w:val="right"/>
              <w:rPr/>
            </w:pPr>
            <w:r>
              <w:rPr/>
              <w:t>25,542</w:t>
            </w:r>
          </w:p>
        </w:tc>
        <w:tc>
          <w:tcPr>
            <w:tcW w:w="12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526" w:type="dxa"/>
            <w:tcBorders>
              <w:bottom w:val="single" w:sz="6" w:space="0" w:color="000000"/>
            </w:tcBorders>
            <w:tcMar>
              <w:bottom w:w="145" w:type="dxa"/>
            </w:tcMar>
            <w:vAlign w:val="center"/>
          </w:tcPr>
          <w:p>
            <w:pPr>
              <w:pStyle w:val="TableContents"/>
              <w:bidi w:val="0"/>
              <w:spacing w:before="0" w:after="283"/>
              <w:jc w:val="right"/>
              <w:rPr/>
            </w:pPr>
            <w:r>
              <w:rPr/>
              <w:t>4.36</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tcMar>
              <w:bottom w:w="145" w:type="dxa"/>
            </w:tcMar>
            <w:vAlign w:val="center"/>
          </w:tcPr>
          <w:p>
            <w:pPr>
              <w:pStyle w:val="TableContents"/>
              <w:bidi w:val="0"/>
              <w:spacing w:before="0" w:after="283"/>
              <w:jc w:val="right"/>
              <w:rPr/>
            </w:pPr>
            <w:r>
              <w:rPr/>
              <w:t>111,363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247" w:type="dxa"/>
            <w:tcBorders>
              <w:bottom w:val="single" w:sz="6" w:space="0" w:color="000000"/>
            </w:tcBorders>
            <w:shd w:fill="F7F7F7" w:val="clear"/>
            <w:tcMar>
              <w:bottom w:w="145" w:type="dxa"/>
            </w:tcMar>
            <w:vAlign w:val="center"/>
          </w:tcPr>
          <w:p>
            <w:pPr>
              <w:pStyle w:val="TableContents"/>
              <w:bidi w:val="0"/>
              <w:spacing w:before="0" w:after="283"/>
              <w:jc w:val="right"/>
              <w:rPr/>
            </w:pPr>
            <w:r>
              <w:rPr/>
              <w:t>09/10/2023</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shd w:fill="F7F7F7" w:val="clear"/>
            <w:tcMar>
              <w:bottom w:w="145" w:type="dxa"/>
            </w:tcMar>
            <w:vAlign w:val="center"/>
          </w:tcPr>
          <w:p>
            <w:pPr>
              <w:pStyle w:val="TableContents"/>
              <w:bidi w:val="0"/>
              <w:spacing w:before="0" w:after="283"/>
              <w:jc w:val="right"/>
              <w:rPr/>
            </w:pPr>
            <w:r>
              <w:rPr/>
              <w:t>12/31/2023</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2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21"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986" w:type="dxa"/>
            <w:tcBorders>
              <w:bottom w:val="single" w:sz="6" w:space="0" w:color="000000"/>
            </w:tcBorders>
            <w:shd w:fill="F7F7F7" w:val="clear"/>
            <w:tcMar>
              <w:bottom w:w="145" w:type="dxa"/>
            </w:tcMar>
            <w:vAlign w:val="center"/>
          </w:tcPr>
          <w:p>
            <w:pPr>
              <w:pStyle w:val="TableContents"/>
              <w:bidi w:val="0"/>
              <w:spacing w:before="0" w:after="283"/>
              <w:jc w:val="right"/>
              <w:rPr/>
            </w:pPr>
            <w:r>
              <w:rPr/>
              <w:t>136,221</w:t>
            </w:r>
          </w:p>
        </w:tc>
        <w:tc>
          <w:tcPr>
            <w:tcW w:w="12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526" w:type="dxa"/>
            <w:tcBorders>
              <w:bottom w:val="single" w:sz="6" w:space="0" w:color="000000"/>
            </w:tcBorders>
            <w:shd w:fill="F7F7F7" w:val="clear"/>
            <w:tcMar>
              <w:bottom w:w="145" w:type="dxa"/>
            </w:tcMar>
            <w:vAlign w:val="center"/>
          </w:tcPr>
          <w:p>
            <w:pPr>
              <w:pStyle w:val="TableContents"/>
              <w:bidi w:val="0"/>
              <w:spacing w:before="0" w:after="283"/>
              <w:jc w:val="right"/>
              <w:rPr/>
            </w:pPr>
            <w:r>
              <w:rPr/>
              <w:t>4.21</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shd w:fill="F7F7F7" w:val="clear"/>
            <w:tcMar>
              <w:bottom w:w="145" w:type="dxa"/>
            </w:tcMar>
            <w:vAlign w:val="center"/>
          </w:tcPr>
          <w:p>
            <w:pPr>
              <w:pStyle w:val="TableContents"/>
              <w:bidi w:val="0"/>
              <w:spacing w:before="0" w:after="283"/>
              <w:jc w:val="right"/>
              <w:rPr/>
            </w:pPr>
            <w:r>
              <w:rPr/>
              <w:t>573,490</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bl>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67</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PPUT"/>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283"/>
        <w:ind w:left="720" w:right="0" w:hanging="0"/>
        <w:jc w:val="left"/>
        <w:rPr>
          <w:rFonts w:ascii="Times New Roman;Garamond;serif" w:hAnsi="Times New Roman;Garamond;serif"/>
          <w:b/>
          <w:i w:val="false"/>
          <w:caps w:val="false"/>
          <w:smallCaps w:val="false"/>
          <w:color w:val="000000"/>
          <w:sz w:val="40"/>
        </w:rPr>
      </w:pPr>
      <w:r>
        <w:rPr>
          <w:rFonts w:ascii="Times New Roman;Garamond;serif" w:hAnsi="Times New Roman;Garamond;serif"/>
          <w:b/>
          <w:i w:val="false"/>
          <w:caps w:val="false"/>
          <w:smallCaps w:val="false"/>
          <w:color w:val="000000"/>
          <w:sz w:val="40"/>
        </w:rPr>
        <w:t>Potential Payments Upon Termination or Change in Control</w:t>
      </w:r>
      <w:r>
        <w:rPr>
          <w:rFonts w:ascii="Times New Roman;Garamond;serif" w:hAnsi="Times New Roman;Garamond;serif"/>
          <w:b/>
          <w:i w:val="false"/>
          <w:caps w:val="false"/>
          <w:smallCaps w:val="false"/>
          <w:color w:val="000000"/>
          <w:spacing w:val="8"/>
          <w:sz w:val="40"/>
        </w:rPr>
        <w:t xml:space="preserve"> </w:t>
      </w:r>
    </w:p>
    <w:p>
      <w:pPr>
        <w:pStyle w:val="TextBody"/>
        <w:bidi w:val="0"/>
        <w:spacing w:lineRule="atLeast" w:line="230" w:before="40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table below sets forth the payments and benefits that each NEO would have been entitled to receive upon a qualifying termination of employment with the Company with or without the occurrence of a change in control, assuming the relevant termination event (or termination and change in control events) occurred on December 31, 2023. With respect to Ms. House, see “</w:t>
      </w:r>
      <w:r>
        <w:rPr>
          <w:rFonts w:ascii="Helvetica;Arial;sans-serif" w:hAnsi="Helvetica;Arial;sans-serif"/>
          <w:b w:val="false"/>
          <w:i/>
          <w:caps w:val="false"/>
          <w:smallCaps w:val="false"/>
          <w:color w:val="000000"/>
          <w:sz w:val="18"/>
        </w:rPr>
        <w:t>Termination and Change in Control Agreements — House Separation Agreement.”</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1327"/>
        <w:gridCol w:w="109"/>
        <w:gridCol w:w="109"/>
        <w:gridCol w:w="2059"/>
        <w:gridCol w:w="109"/>
        <w:gridCol w:w="109"/>
        <w:gridCol w:w="116"/>
        <w:gridCol w:w="241"/>
        <w:gridCol w:w="1226"/>
        <w:gridCol w:w="116"/>
        <w:gridCol w:w="109"/>
        <w:gridCol w:w="109"/>
        <w:gridCol w:w="110"/>
        <w:gridCol w:w="229"/>
        <w:gridCol w:w="1286"/>
        <w:gridCol w:w="110"/>
        <w:gridCol w:w="109"/>
        <w:gridCol w:w="109"/>
        <w:gridCol w:w="109"/>
        <w:gridCol w:w="226"/>
        <w:gridCol w:w="1066"/>
        <w:gridCol w:w="109"/>
        <w:gridCol w:w="159"/>
      </w:tblGrid>
      <w:tr>
        <w:trPr/>
        <w:tc>
          <w:tcPr>
            <w:tcW w:w="124" w:type="dxa"/>
            <w:tcBorders/>
            <w:shd w:fill="000000" w:val="clear"/>
            <w:vAlign w:val="center"/>
          </w:tcPr>
          <w:p>
            <w:pPr>
              <w:pStyle w:val="TableContents"/>
              <w:bidi w:val="0"/>
              <w:spacing w:before="0" w:after="283"/>
              <w:jc w:val="left"/>
              <w:rPr/>
            </w:pPr>
            <w:r>
              <w:rPr/>
              <w:t>​</w:t>
            </w:r>
          </w:p>
        </w:tc>
        <w:tc>
          <w:tcPr>
            <w:tcW w:w="1327" w:type="dxa"/>
            <w:tcBorders/>
            <w:shd w:fill="000000" w:val="clear"/>
            <w:vAlign w:val="center"/>
          </w:tcPr>
          <w:p>
            <w:pPr>
              <w:pStyle w:val="TableContents"/>
              <w:bidi w:val="0"/>
              <w:spacing w:before="0" w:after="0"/>
              <w:jc w:val="left"/>
              <w:rPr/>
            </w:pPr>
            <w:r>
              <w:rPr/>
              <w:t xml:space="preserve">Name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059" w:type="dxa"/>
            <w:tcBorders/>
            <w:shd w:fill="000000" w:val="clear"/>
            <w:vAlign w:val="center"/>
          </w:tcPr>
          <w:p>
            <w:pPr>
              <w:pStyle w:val="TableContents"/>
              <w:bidi w:val="0"/>
              <w:spacing w:before="0" w:after="0"/>
              <w:jc w:val="left"/>
              <w:rPr/>
            </w:pPr>
            <w:r>
              <w:rPr/>
              <w:t xml:space="preserve">Benefit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699" w:type="dxa"/>
            <w:gridSpan w:val="4"/>
            <w:tcBorders/>
            <w:shd w:fill="000000" w:val="clear"/>
            <w:vAlign w:val="center"/>
          </w:tcPr>
          <w:p>
            <w:pPr>
              <w:pStyle w:val="TableContents"/>
              <w:bidi w:val="0"/>
              <w:spacing w:before="0" w:after="0"/>
              <w:jc w:val="center"/>
              <w:rPr/>
            </w:pPr>
            <w:r>
              <w:rPr/>
              <w:t xml:space="preserve">Termination </w:t>
              <w:br/>
              <w:t xml:space="preserve">Without Cause or </w:t>
              <w:br/>
              <w:t xml:space="preserve">Resignation for </w:t>
              <w:br/>
              <w:t xml:space="preserve">Good Reason Other </w:t>
              <w:br/>
              <w:t xml:space="preserve">than Change in </w:t>
              <w:br/>
              <w:t xml:space="preserve">Control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735" w:type="dxa"/>
            <w:gridSpan w:val="4"/>
            <w:tcBorders/>
            <w:shd w:fill="000000" w:val="clear"/>
            <w:vAlign w:val="center"/>
          </w:tcPr>
          <w:p>
            <w:pPr>
              <w:pStyle w:val="TableContents"/>
              <w:bidi w:val="0"/>
              <w:spacing w:before="0" w:after="0"/>
              <w:jc w:val="center"/>
              <w:rPr/>
            </w:pPr>
            <w:r>
              <w:rPr/>
              <w:t xml:space="preserve">Termination </w:t>
              <w:br/>
              <w:t xml:space="preserve">Without Cause or </w:t>
              <w:br/>
              <w:t xml:space="preserve">Resignation for </w:t>
              <w:br/>
              <w:t xml:space="preserve">Good Reason in </w:t>
              <w:br/>
              <w:t xml:space="preserve">Connection with a </w:t>
              <w:br/>
              <w:t xml:space="preserve">Change in Control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10" w:type="dxa"/>
            <w:gridSpan w:val="4"/>
            <w:tcBorders/>
            <w:shd w:fill="000000" w:val="clear"/>
            <w:vAlign w:val="center"/>
          </w:tcPr>
          <w:p>
            <w:pPr>
              <w:pStyle w:val="TableContents"/>
              <w:bidi w:val="0"/>
              <w:spacing w:lineRule="atLeast" w:line="142" w:before="0" w:after="0"/>
              <w:jc w:val="center"/>
              <w:rPr/>
            </w:pPr>
            <w:r>
              <w:rPr/>
              <w:t>Death or</w:t>
              <w:br/>
              <w:t>Disability</w:t>
            </w:r>
            <w:r>
              <w:rPr>
                <w:sz w:val="9"/>
              </w:rPr>
              <w:t>(1)</w:t>
            </w:r>
            <w:r>
              <w:rPr/>
              <w:t xml:space="preserve"> </w:t>
            </w:r>
          </w:p>
        </w:tc>
        <w:tc>
          <w:tcPr>
            <w:tcW w:w="159" w:type="dxa"/>
            <w:tcBorders/>
            <w:shd w:fill="000000" w:val="clear"/>
            <w:vAlign w:val="center"/>
          </w:tcPr>
          <w:p>
            <w:pPr>
              <w:pStyle w:val="TableContents"/>
              <w:bidi w:val="0"/>
              <w:spacing w:before="0" w:after="283"/>
              <w:jc w:val="left"/>
              <w:rPr/>
            </w:pPr>
            <w:r>
              <w:rPr/>
              <w:t>​</w:t>
            </w:r>
          </w:p>
        </w:tc>
      </w:tr>
      <w:tr>
        <w:trPr/>
        <w:tc>
          <w:tcPr>
            <w:tcW w:w="124"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327" w:type="dxa"/>
            <w:vMerge w:val="restart"/>
            <w:tcBorders>
              <w:bottom w:val="single" w:sz="6" w:space="0" w:color="000000"/>
            </w:tcBorders>
            <w:tcMar>
              <w:bottom w:w="75" w:type="dxa"/>
            </w:tcMar>
            <w:vAlign w:val="center"/>
          </w:tcPr>
          <w:p>
            <w:pPr>
              <w:pStyle w:val="TableContents"/>
              <w:bidi w:val="0"/>
              <w:spacing w:lineRule="atLeast" w:line="180" w:before="0" w:after="0"/>
              <w:jc w:val="left"/>
              <w:rPr/>
            </w:pPr>
            <w:r>
              <w:rPr/>
              <w:t xml:space="preserve">Peter Rawlinson </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59" w:type="dxa"/>
            <w:tcBorders/>
            <w:vAlign w:val="center"/>
          </w:tcPr>
          <w:p>
            <w:pPr>
              <w:pStyle w:val="TableContents"/>
              <w:bidi w:val="0"/>
              <w:spacing w:lineRule="atLeast" w:line="180" w:before="0" w:after="0"/>
              <w:jc w:val="left"/>
              <w:rPr/>
            </w:pPr>
            <w:r>
              <w:rPr/>
              <w:t xml:space="preserve">Cash severance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241" w:type="dxa"/>
            <w:tcBorders/>
            <w:vAlign w:val="center"/>
          </w:tcPr>
          <w:p>
            <w:pPr>
              <w:pStyle w:val="TableContents"/>
              <w:bidi w:val="0"/>
              <w:spacing w:lineRule="atLeast" w:line="180" w:before="0" w:after="283"/>
              <w:jc w:val="right"/>
              <w:rPr/>
            </w:pPr>
            <w:r>
              <w:rPr/>
              <w:t>​</w:t>
            </w:r>
          </w:p>
        </w:tc>
        <w:tc>
          <w:tcPr>
            <w:tcW w:w="1226" w:type="dxa"/>
            <w:tcBorders/>
            <w:vAlign w:val="center"/>
          </w:tcPr>
          <w:p>
            <w:pPr>
              <w:pStyle w:val="TableContents"/>
              <w:bidi w:val="0"/>
              <w:spacing w:lineRule="atLeast" w:line="180" w:before="0" w:after="283"/>
              <w:jc w:val="right"/>
              <w:rPr/>
            </w:pPr>
            <w:r>
              <w:rPr/>
              <w:t>625,000</w:t>
            </w:r>
            <w:r>
              <w:rPr>
                <w:sz w:val="10"/>
              </w:rPr>
              <w:t>(2)</w:t>
            </w:r>
            <w:r>
              <w:rPr/>
              <w:t xml:space="preserve"> </w:t>
            </w:r>
          </w:p>
        </w:tc>
        <w:tc>
          <w:tcPr>
            <w:tcW w:w="1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left"/>
              <w:rPr/>
            </w:pPr>
            <w:r>
              <w:rPr/>
              <w:t>​</w:t>
            </w:r>
          </w:p>
        </w:tc>
        <w:tc>
          <w:tcPr>
            <w:tcW w:w="229" w:type="dxa"/>
            <w:tcBorders/>
            <w:vAlign w:val="center"/>
          </w:tcPr>
          <w:p>
            <w:pPr>
              <w:pStyle w:val="TableContents"/>
              <w:bidi w:val="0"/>
              <w:spacing w:lineRule="atLeast" w:line="180" w:before="0" w:after="283"/>
              <w:jc w:val="right"/>
              <w:rPr/>
            </w:pPr>
            <w:r>
              <w:rPr/>
              <w:t>​</w:t>
            </w:r>
          </w:p>
        </w:tc>
        <w:tc>
          <w:tcPr>
            <w:tcW w:w="1286" w:type="dxa"/>
            <w:tcBorders/>
            <w:vAlign w:val="center"/>
          </w:tcPr>
          <w:p>
            <w:pPr>
              <w:pStyle w:val="TableContents"/>
              <w:bidi w:val="0"/>
              <w:spacing w:lineRule="atLeast" w:line="180" w:before="0" w:after="283"/>
              <w:jc w:val="right"/>
              <w:rPr/>
            </w:pPr>
            <w:r>
              <w:rPr/>
              <w:t>1,875,000</w:t>
            </w:r>
            <w:r>
              <w:rPr>
                <w:sz w:val="10"/>
              </w:rPr>
              <w:t>(2)</w:t>
            </w:r>
            <w:r>
              <w:rPr/>
              <w:t xml:space="preserve"> </w:t>
            </w:r>
          </w:p>
        </w:tc>
        <w:tc>
          <w:tcPr>
            <w:tcW w:w="11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80" w:before="0" w:after="283"/>
              <w:jc w:val="right"/>
              <w:rPr/>
            </w:pPr>
            <w:r>
              <w:rPr/>
              <w:t>​</w:t>
            </w:r>
          </w:p>
        </w:tc>
        <w:tc>
          <w:tcPr>
            <w:tcW w:w="1066" w:type="dxa"/>
            <w:tcBorders/>
            <w:vAlign w:val="center"/>
          </w:tcPr>
          <w:p>
            <w:pPr>
              <w:pStyle w:val="TableContents"/>
              <w:bidi w:val="0"/>
              <w:spacing w:lineRule="atLeast" w:line="180" w:before="0" w:after="283"/>
              <w:jc w:val="right"/>
              <w:rPr/>
            </w:pPr>
            <w:r>
              <w:rPr/>
              <w:t>—</w:t>
            </w:r>
          </w:p>
        </w:tc>
        <w:tc>
          <w:tcPr>
            <w:tcW w:w="109"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vMerge w:val="continue"/>
            <w:tcBorders>
              <w:bottom w:val="single" w:sz="6" w:space="0" w:color="000000"/>
            </w:tcBorders>
            <w:tcMar>
              <w:bottom w:w="28" w:type="dxa"/>
            </w:tcMar>
            <w:vAlign w:val="center"/>
          </w:tcPr>
          <w:p>
            <w:pPr>
              <w:pStyle w:val="Normal"/>
              <w:bidi w:val="0"/>
              <w:jc w:val="left"/>
              <w:rPr/>
            </w:pPr>
            <w:r>
              <w:rPr/>
            </w:r>
          </w:p>
        </w:tc>
        <w:tc>
          <w:tcPr>
            <w:tcW w:w="1327" w:type="dxa"/>
            <w:vMerge w:val="continue"/>
            <w:tcBorders>
              <w:bottom w:val="single" w:sz="6" w:space="0" w:color="000000"/>
            </w:tcBorders>
            <w:tcMar>
              <w:bottom w:w="75"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059" w:type="dxa"/>
            <w:tcBorders/>
            <w:vAlign w:val="center"/>
          </w:tcPr>
          <w:p>
            <w:pPr>
              <w:pStyle w:val="TableContents"/>
              <w:bidi w:val="0"/>
              <w:spacing w:before="0" w:after="0"/>
              <w:jc w:val="left"/>
              <w:rPr/>
            </w:pPr>
            <w:r>
              <w:rPr/>
              <w:t xml:space="preserve">Accelerated Vesting of Equity Awards*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241" w:type="dxa"/>
            <w:tcBorders/>
            <w:vAlign w:val="center"/>
          </w:tcPr>
          <w:p>
            <w:pPr>
              <w:pStyle w:val="TableContents"/>
              <w:bidi w:val="0"/>
              <w:spacing w:before="0" w:after="283"/>
              <w:jc w:val="right"/>
              <w:rPr/>
            </w:pPr>
            <w:r>
              <w:rPr/>
              <w:t>​</w:t>
            </w:r>
          </w:p>
        </w:tc>
        <w:tc>
          <w:tcPr>
            <w:tcW w:w="1226" w:type="dxa"/>
            <w:tcBorders/>
            <w:vAlign w:val="center"/>
          </w:tcPr>
          <w:p>
            <w:pPr>
              <w:pStyle w:val="TableContents"/>
              <w:bidi w:val="0"/>
              <w:spacing w:before="0" w:after="283"/>
              <w:jc w:val="right"/>
              <w:rPr/>
            </w:pPr>
            <w:r>
              <w:rPr/>
              <w:t>—</w:t>
            </w:r>
            <w:r>
              <w:rPr>
                <w:sz w:val="10"/>
              </w:rPr>
              <w:t>(3)</w:t>
            </w:r>
            <w:r>
              <w:rPr/>
              <w:t xml:space="preserve"> </w:t>
            </w:r>
          </w:p>
        </w:tc>
        <w:tc>
          <w:tcPr>
            <w:tcW w:w="1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left"/>
              <w:rPr/>
            </w:pPr>
            <w:r>
              <w:rPr/>
              <w:t>​</w:t>
            </w:r>
          </w:p>
        </w:tc>
        <w:tc>
          <w:tcPr>
            <w:tcW w:w="229" w:type="dxa"/>
            <w:tcBorders/>
            <w:vAlign w:val="center"/>
          </w:tcPr>
          <w:p>
            <w:pPr>
              <w:pStyle w:val="TableContents"/>
              <w:bidi w:val="0"/>
              <w:spacing w:before="0" w:after="283"/>
              <w:jc w:val="right"/>
              <w:rPr/>
            </w:pPr>
            <w:r>
              <w:rPr/>
              <w:t>​</w:t>
            </w:r>
          </w:p>
        </w:tc>
        <w:tc>
          <w:tcPr>
            <w:tcW w:w="1286" w:type="dxa"/>
            <w:tcBorders/>
            <w:vAlign w:val="center"/>
          </w:tcPr>
          <w:p>
            <w:pPr>
              <w:pStyle w:val="TableContents"/>
              <w:bidi w:val="0"/>
              <w:spacing w:before="0" w:after="283"/>
              <w:jc w:val="right"/>
              <w:rPr/>
            </w:pPr>
            <w:r>
              <w:rPr/>
              <w:t>25,481,867</w:t>
            </w:r>
            <w:r>
              <w:rPr>
                <w:sz w:val="10"/>
              </w:rPr>
              <w:t>(3)</w:t>
            </w:r>
            <w:r>
              <w:rPr/>
              <w:t xml:space="preserve"> </w:t>
            </w:r>
          </w:p>
        </w:tc>
        <w:tc>
          <w:tcPr>
            <w:tcW w:w="11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vMerge w:val="continue"/>
            <w:tcBorders>
              <w:bottom w:val="single" w:sz="6" w:space="0" w:color="000000"/>
            </w:tcBorders>
            <w:tcMar>
              <w:bottom w:w="28" w:type="dxa"/>
            </w:tcMar>
            <w:vAlign w:val="center"/>
          </w:tcPr>
          <w:p>
            <w:pPr>
              <w:pStyle w:val="Normal"/>
              <w:bidi w:val="0"/>
              <w:jc w:val="left"/>
              <w:rPr/>
            </w:pPr>
            <w:r>
              <w:rPr/>
            </w:r>
          </w:p>
        </w:tc>
        <w:tc>
          <w:tcPr>
            <w:tcW w:w="1327" w:type="dxa"/>
            <w:vMerge w:val="continue"/>
            <w:tcBorders>
              <w:bottom w:val="single" w:sz="6" w:space="0" w:color="000000"/>
            </w:tcBorders>
            <w:tcMar>
              <w:bottom w:w="75"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059" w:type="dxa"/>
            <w:tcBorders/>
            <w:vAlign w:val="center"/>
          </w:tcPr>
          <w:p>
            <w:pPr>
              <w:pStyle w:val="TableContents"/>
              <w:bidi w:val="0"/>
              <w:spacing w:before="0" w:after="283"/>
              <w:jc w:val="left"/>
              <w:rPr/>
            </w:pPr>
            <w:r>
              <w:rPr/>
              <w:t xml:space="preserve">Health Benefits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241" w:type="dxa"/>
            <w:tcBorders/>
            <w:vAlign w:val="center"/>
          </w:tcPr>
          <w:p>
            <w:pPr>
              <w:pStyle w:val="TableContents"/>
              <w:bidi w:val="0"/>
              <w:spacing w:before="0" w:after="283"/>
              <w:jc w:val="right"/>
              <w:rPr/>
            </w:pPr>
            <w:r>
              <w:rPr/>
              <w:t>​</w:t>
            </w:r>
          </w:p>
        </w:tc>
        <w:tc>
          <w:tcPr>
            <w:tcW w:w="1226" w:type="dxa"/>
            <w:tcBorders/>
            <w:vAlign w:val="center"/>
          </w:tcPr>
          <w:p>
            <w:pPr>
              <w:pStyle w:val="TableContents"/>
              <w:bidi w:val="0"/>
              <w:spacing w:before="0" w:after="283"/>
              <w:jc w:val="right"/>
              <w:rPr/>
            </w:pPr>
            <w:r>
              <w:rPr/>
              <w:t>10,315</w:t>
            </w:r>
            <w:r>
              <w:rPr>
                <w:sz w:val="10"/>
              </w:rPr>
              <w:t>(5)</w:t>
            </w:r>
            <w:r>
              <w:rPr/>
              <w:t xml:space="preserve"> </w:t>
            </w:r>
          </w:p>
        </w:tc>
        <w:tc>
          <w:tcPr>
            <w:tcW w:w="1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left"/>
              <w:rPr/>
            </w:pPr>
            <w:r>
              <w:rPr/>
              <w:t>​</w:t>
            </w:r>
          </w:p>
        </w:tc>
        <w:tc>
          <w:tcPr>
            <w:tcW w:w="229" w:type="dxa"/>
            <w:tcBorders/>
            <w:vAlign w:val="center"/>
          </w:tcPr>
          <w:p>
            <w:pPr>
              <w:pStyle w:val="TableContents"/>
              <w:bidi w:val="0"/>
              <w:spacing w:before="0" w:after="283"/>
              <w:jc w:val="right"/>
              <w:rPr/>
            </w:pPr>
            <w:r>
              <w:rPr/>
              <w:t>​</w:t>
            </w:r>
          </w:p>
        </w:tc>
        <w:tc>
          <w:tcPr>
            <w:tcW w:w="1286" w:type="dxa"/>
            <w:tcBorders/>
            <w:vAlign w:val="center"/>
          </w:tcPr>
          <w:p>
            <w:pPr>
              <w:pStyle w:val="TableContents"/>
              <w:bidi w:val="0"/>
              <w:spacing w:before="0" w:after="283"/>
              <w:jc w:val="right"/>
              <w:rPr/>
            </w:pPr>
            <w:r>
              <w:rPr/>
              <w:t>15,472</w:t>
            </w:r>
            <w:r>
              <w:rPr>
                <w:sz w:val="10"/>
              </w:rPr>
              <w:t>(5)</w:t>
            </w:r>
            <w:r>
              <w:rPr/>
              <w:t xml:space="preserve"> </w:t>
            </w:r>
          </w:p>
        </w:tc>
        <w:tc>
          <w:tcPr>
            <w:tcW w:w="11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vMerge w:val="continue"/>
            <w:tcBorders>
              <w:bottom w:val="single" w:sz="6" w:space="0" w:color="000000"/>
            </w:tcBorders>
            <w:tcMar>
              <w:bottom w:w="28" w:type="dxa"/>
            </w:tcMar>
            <w:vAlign w:val="center"/>
          </w:tcPr>
          <w:p>
            <w:pPr>
              <w:pStyle w:val="Normal"/>
              <w:bidi w:val="0"/>
              <w:jc w:val="left"/>
              <w:rPr/>
            </w:pPr>
            <w:r>
              <w:rPr/>
            </w:r>
          </w:p>
        </w:tc>
        <w:tc>
          <w:tcPr>
            <w:tcW w:w="1327" w:type="dxa"/>
            <w:vMerge w:val="continue"/>
            <w:tcBorders>
              <w:bottom w:val="single" w:sz="6" w:space="0" w:color="000000"/>
            </w:tcBorders>
            <w:tcMar>
              <w:bottom w:w="75"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059" w:type="dxa"/>
            <w:tcBorders>
              <w:bottom w:val="single" w:sz="6" w:space="0" w:color="000000"/>
            </w:tcBorders>
            <w:tcMar>
              <w:bottom w:w="75" w:type="dxa"/>
            </w:tcMar>
            <w:vAlign w:val="center"/>
          </w:tcPr>
          <w:p>
            <w:pPr>
              <w:pStyle w:val="TableContents"/>
              <w:bidi w:val="0"/>
              <w:spacing w:before="0" w:after="283"/>
              <w:jc w:val="left"/>
              <w:rPr/>
            </w:pPr>
            <w:r>
              <w:rPr/>
              <w:t xml:space="preserve">Total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6" w:type="dxa"/>
            <w:tcBorders>
              <w:bottom w:val="single" w:sz="6" w:space="0" w:color="000000"/>
            </w:tcBorders>
            <w:tcMar>
              <w:bottom w:w="28" w:type="dxa"/>
            </w:tcMar>
            <w:vAlign w:val="center"/>
          </w:tcPr>
          <w:p>
            <w:pPr>
              <w:pStyle w:val="TableContents"/>
              <w:bidi w:val="0"/>
              <w:spacing w:before="0" w:after="283"/>
              <w:jc w:val="left"/>
              <w:rPr/>
            </w:pPr>
            <w:r>
              <w:rPr/>
              <w:t>​</w:t>
            </w:r>
          </w:p>
        </w:tc>
        <w:tc>
          <w:tcPr>
            <w:tcW w:w="241" w:type="dxa"/>
            <w:tcBorders>
              <w:bottom w:val="single" w:sz="6" w:space="0" w:color="000000"/>
            </w:tcBorders>
            <w:tcMar>
              <w:bottom w:w="75" w:type="dxa"/>
            </w:tcMar>
            <w:vAlign w:val="center"/>
          </w:tcPr>
          <w:p>
            <w:pPr>
              <w:pStyle w:val="TableContents"/>
              <w:bidi w:val="0"/>
              <w:spacing w:before="0" w:after="283"/>
              <w:jc w:val="right"/>
              <w:rPr/>
            </w:pPr>
            <w:r>
              <w:rPr/>
              <w:t>$</w:t>
            </w:r>
          </w:p>
        </w:tc>
        <w:tc>
          <w:tcPr>
            <w:tcW w:w="1226" w:type="dxa"/>
            <w:tcBorders>
              <w:bottom w:val="single" w:sz="6" w:space="0" w:color="000000"/>
            </w:tcBorders>
            <w:tcMar>
              <w:bottom w:w="75" w:type="dxa"/>
            </w:tcMar>
            <w:vAlign w:val="center"/>
          </w:tcPr>
          <w:p>
            <w:pPr>
              <w:pStyle w:val="TableContents"/>
              <w:bidi w:val="0"/>
              <w:spacing w:before="0" w:after="283"/>
              <w:jc w:val="right"/>
              <w:rPr/>
            </w:pPr>
            <w:r>
              <w:rPr/>
              <w:t xml:space="preserve">635,315 </w:t>
            </w:r>
          </w:p>
        </w:tc>
        <w:tc>
          <w:tcPr>
            <w:tcW w:w="116"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tcMar>
              <w:bottom w:w="28" w:type="dxa"/>
            </w:tcMar>
            <w:vAlign w:val="center"/>
          </w:tcPr>
          <w:p>
            <w:pPr>
              <w:pStyle w:val="TableContents"/>
              <w:bidi w:val="0"/>
              <w:spacing w:before="0" w:after="283"/>
              <w:jc w:val="left"/>
              <w:rPr/>
            </w:pPr>
            <w:r>
              <w:rPr/>
              <w:t>​</w:t>
            </w:r>
          </w:p>
        </w:tc>
        <w:tc>
          <w:tcPr>
            <w:tcW w:w="229" w:type="dxa"/>
            <w:tcBorders>
              <w:bottom w:val="single" w:sz="6" w:space="0" w:color="000000"/>
            </w:tcBorders>
            <w:tcMar>
              <w:bottom w:w="75" w:type="dxa"/>
            </w:tcMar>
            <w:vAlign w:val="center"/>
          </w:tcPr>
          <w:p>
            <w:pPr>
              <w:pStyle w:val="TableContents"/>
              <w:bidi w:val="0"/>
              <w:spacing w:before="0" w:after="283"/>
              <w:jc w:val="right"/>
              <w:rPr/>
            </w:pPr>
            <w:r>
              <w:rPr/>
              <w:t>$</w:t>
            </w:r>
          </w:p>
        </w:tc>
        <w:tc>
          <w:tcPr>
            <w:tcW w:w="1286" w:type="dxa"/>
            <w:tcBorders>
              <w:bottom w:val="single" w:sz="6" w:space="0" w:color="000000"/>
            </w:tcBorders>
            <w:tcMar>
              <w:bottom w:w="75" w:type="dxa"/>
            </w:tcMar>
            <w:vAlign w:val="center"/>
          </w:tcPr>
          <w:p>
            <w:pPr>
              <w:pStyle w:val="TableContents"/>
              <w:bidi w:val="0"/>
              <w:spacing w:before="0" w:after="283"/>
              <w:jc w:val="right"/>
              <w:rPr/>
            </w:pPr>
            <w:r>
              <w:rPr/>
              <w:t xml:space="preserve">26,434,839 </w:t>
            </w:r>
          </w:p>
        </w:tc>
        <w:tc>
          <w:tcPr>
            <w:tcW w:w="110"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75" w:type="dxa"/>
            </w:tcMar>
            <w:vAlign w:val="center"/>
          </w:tcPr>
          <w:p>
            <w:pPr>
              <w:pStyle w:val="TableContents"/>
              <w:bidi w:val="0"/>
              <w:spacing w:before="0" w:after="283"/>
              <w:jc w:val="right"/>
              <w:rPr/>
            </w:pPr>
            <w:r>
              <w:rPr/>
              <w:t>$</w:t>
            </w:r>
          </w:p>
        </w:tc>
        <w:tc>
          <w:tcPr>
            <w:tcW w:w="1066" w:type="dxa"/>
            <w:tcBorders>
              <w:bottom w:val="single" w:sz="6" w:space="0" w:color="000000"/>
            </w:tcBorders>
            <w:tcMar>
              <w:bottom w:w="75"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9"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27" w:type="dxa"/>
            <w:vMerge w:val="restart"/>
            <w:tcBorders>
              <w:bottom w:val="single" w:sz="6" w:space="0" w:color="000000"/>
            </w:tcBorders>
            <w:shd w:fill="F7F7F7" w:val="clear"/>
            <w:tcMar>
              <w:bottom w:w="75" w:type="dxa"/>
            </w:tcMar>
            <w:vAlign w:val="center"/>
          </w:tcPr>
          <w:p>
            <w:pPr>
              <w:pStyle w:val="TableContents"/>
              <w:bidi w:val="0"/>
              <w:spacing w:lineRule="atLeast" w:line="180" w:before="0" w:after="0"/>
              <w:jc w:val="left"/>
              <w:rPr/>
            </w:pPr>
            <w:r>
              <w:rPr/>
              <w:t xml:space="preserve">Gagan Dhingra </w:t>
            </w:r>
          </w:p>
        </w:tc>
        <w:tc>
          <w:tcPr>
            <w:tcW w:w="109" w:type="dxa"/>
            <w:vMerge w:val="restart"/>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2059" w:type="dxa"/>
            <w:tcBorders/>
            <w:shd w:fill="F7F7F7" w:val="clear"/>
            <w:vAlign w:val="center"/>
          </w:tcPr>
          <w:p>
            <w:pPr>
              <w:pStyle w:val="TableContents"/>
              <w:bidi w:val="0"/>
              <w:spacing w:lineRule="atLeast" w:line="180" w:before="0" w:after="0"/>
              <w:jc w:val="left"/>
              <w:rPr/>
            </w:pPr>
            <w:r>
              <w:rPr/>
              <w:t xml:space="preserve">Cash Severance </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16" w:type="dxa"/>
            <w:tcBorders/>
            <w:shd w:fill="F7F7F7" w:val="clear"/>
            <w:vAlign w:val="center"/>
          </w:tcPr>
          <w:p>
            <w:pPr>
              <w:pStyle w:val="TableContents"/>
              <w:bidi w:val="0"/>
              <w:spacing w:before="0" w:after="283"/>
              <w:jc w:val="left"/>
              <w:rPr/>
            </w:pPr>
            <w:r>
              <w:rPr/>
              <w:t>​</w:t>
            </w:r>
          </w:p>
        </w:tc>
        <w:tc>
          <w:tcPr>
            <w:tcW w:w="241" w:type="dxa"/>
            <w:tcBorders/>
            <w:shd w:fill="F7F7F7" w:val="clear"/>
            <w:vAlign w:val="center"/>
          </w:tcPr>
          <w:p>
            <w:pPr>
              <w:pStyle w:val="TableContents"/>
              <w:bidi w:val="0"/>
              <w:spacing w:lineRule="atLeast" w:line="180" w:before="0" w:after="283"/>
              <w:jc w:val="right"/>
              <w:rPr/>
            </w:pPr>
            <w:r>
              <w:rPr/>
              <w:t>​</w:t>
            </w:r>
          </w:p>
        </w:tc>
        <w:tc>
          <w:tcPr>
            <w:tcW w:w="1226" w:type="dxa"/>
            <w:tcBorders/>
            <w:shd w:fill="F7F7F7" w:val="clear"/>
            <w:vAlign w:val="center"/>
          </w:tcPr>
          <w:p>
            <w:pPr>
              <w:pStyle w:val="TableContents"/>
              <w:bidi w:val="0"/>
              <w:spacing w:lineRule="atLeast" w:line="180" w:before="0" w:after="283"/>
              <w:jc w:val="right"/>
              <w:rPr/>
            </w:pPr>
            <w:r>
              <w:rPr/>
              <w:t>191,000</w:t>
            </w:r>
            <w:r>
              <w:rPr>
                <w:sz w:val="10"/>
              </w:rPr>
              <w:t>(2)</w:t>
            </w:r>
            <w:r>
              <w:rPr/>
              <w:t xml:space="preserve"> </w:t>
            </w:r>
          </w:p>
        </w:tc>
        <w:tc>
          <w:tcPr>
            <w:tcW w:w="116"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10" w:type="dxa"/>
            <w:tcBorders/>
            <w:shd w:fill="F7F7F7" w:val="clear"/>
            <w:vAlign w:val="center"/>
          </w:tcPr>
          <w:p>
            <w:pPr>
              <w:pStyle w:val="TableContents"/>
              <w:bidi w:val="0"/>
              <w:spacing w:before="0" w:after="283"/>
              <w:jc w:val="left"/>
              <w:rPr/>
            </w:pPr>
            <w:r>
              <w:rPr/>
              <w:t>​</w:t>
            </w:r>
          </w:p>
        </w:tc>
        <w:tc>
          <w:tcPr>
            <w:tcW w:w="229" w:type="dxa"/>
            <w:tcBorders/>
            <w:shd w:fill="F7F7F7" w:val="clear"/>
            <w:vAlign w:val="center"/>
          </w:tcPr>
          <w:p>
            <w:pPr>
              <w:pStyle w:val="TableContents"/>
              <w:bidi w:val="0"/>
              <w:spacing w:lineRule="atLeast" w:line="180" w:before="0" w:after="283"/>
              <w:jc w:val="right"/>
              <w:rPr/>
            </w:pPr>
            <w:r>
              <w:rPr/>
              <w:t>​</w:t>
            </w:r>
          </w:p>
        </w:tc>
        <w:tc>
          <w:tcPr>
            <w:tcW w:w="1286" w:type="dxa"/>
            <w:tcBorders/>
            <w:shd w:fill="F7F7F7" w:val="clear"/>
            <w:vAlign w:val="center"/>
          </w:tcPr>
          <w:p>
            <w:pPr>
              <w:pStyle w:val="TableContents"/>
              <w:bidi w:val="0"/>
              <w:spacing w:lineRule="atLeast" w:line="180" w:before="0" w:after="283"/>
              <w:jc w:val="right"/>
              <w:rPr/>
            </w:pPr>
            <w:r>
              <w:rPr/>
              <w:t>429,750</w:t>
            </w:r>
            <w:r>
              <w:rPr>
                <w:sz w:val="10"/>
              </w:rPr>
              <w:t>(2)</w:t>
            </w:r>
            <w:r>
              <w:rPr/>
              <w:t xml:space="preserve"> </w:t>
            </w:r>
          </w:p>
        </w:tc>
        <w:tc>
          <w:tcPr>
            <w:tcW w:w="110"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226" w:type="dxa"/>
            <w:tcBorders/>
            <w:shd w:fill="F7F7F7" w:val="clear"/>
            <w:vAlign w:val="center"/>
          </w:tcPr>
          <w:p>
            <w:pPr>
              <w:pStyle w:val="TableContents"/>
              <w:bidi w:val="0"/>
              <w:spacing w:lineRule="atLeast" w:line="180" w:before="0" w:after="283"/>
              <w:jc w:val="right"/>
              <w:rPr/>
            </w:pPr>
            <w:r>
              <w:rPr/>
              <w:t>​</w:t>
            </w:r>
          </w:p>
        </w:tc>
        <w:tc>
          <w:tcPr>
            <w:tcW w:w="1066" w:type="dxa"/>
            <w:tcBorders/>
            <w:shd w:fill="F7F7F7" w:val="clear"/>
            <w:vAlign w:val="center"/>
          </w:tcPr>
          <w:p>
            <w:pPr>
              <w:pStyle w:val="TableContents"/>
              <w:bidi w:val="0"/>
              <w:spacing w:lineRule="atLeast" w:line="180" w:before="0" w:after="283"/>
              <w:jc w:val="right"/>
              <w:rPr/>
            </w:pPr>
            <w:r>
              <w:rPr/>
              <w:t>—</w:t>
            </w:r>
          </w:p>
        </w:tc>
        <w:tc>
          <w:tcPr>
            <w:tcW w:w="109" w:type="dxa"/>
            <w:tcBorders/>
            <w:shd w:fill="F7F7F7" w:val="clear"/>
            <w:vAlign w:val="center"/>
          </w:tcPr>
          <w:p>
            <w:pPr>
              <w:pStyle w:val="TableContents"/>
              <w:bidi w:val="0"/>
              <w:spacing w:before="0" w:after="283"/>
              <w:jc w:val="left"/>
              <w:rPr/>
            </w:pPr>
            <w:r>
              <w:rPr/>
              <w:t>​</w:t>
            </w:r>
          </w:p>
        </w:tc>
        <w:tc>
          <w:tcPr>
            <w:tcW w:w="159" w:type="dxa"/>
            <w:tcBorders/>
            <w:shd w:fill="F7F7F7" w:val="cle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shd w:fill="F7F7F7" w:val="clear"/>
            <w:tcMar>
              <w:bottom w:w="28" w:type="dxa"/>
            </w:tcMar>
            <w:vAlign w:val="center"/>
          </w:tcPr>
          <w:p>
            <w:pPr>
              <w:pStyle w:val="Normal"/>
              <w:bidi w:val="0"/>
              <w:jc w:val="left"/>
              <w:rPr/>
            </w:pPr>
            <w:r>
              <w:rPr/>
            </w:r>
          </w:p>
        </w:tc>
        <w:tc>
          <w:tcPr>
            <w:tcW w:w="1327" w:type="dxa"/>
            <w:vMerge w:val="continue"/>
            <w:tcBorders>
              <w:bottom w:val="single" w:sz="6" w:space="0" w:color="000000"/>
            </w:tcBorders>
            <w:shd w:fill="F7F7F7" w:val="clear"/>
            <w:tcMar>
              <w:bottom w:w="75" w:type="dxa"/>
            </w:tcMar>
            <w:vAlign w:val="center"/>
          </w:tcPr>
          <w:p>
            <w:pPr>
              <w:pStyle w:val="Normal"/>
              <w:bidi w:val="0"/>
              <w:jc w:val="left"/>
              <w:rPr/>
            </w:pPr>
            <w:r>
              <w:rPr/>
            </w:r>
          </w:p>
        </w:tc>
        <w:tc>
          <w:tcPr>
            <w:tcW w:w="109" w:type="dxa"/>
            <w:vMerge w:val="continue"/>
            <w:tcBorders>
              <w:bottom w:val="single" w:sz="6" w:space="0" w:color="000000"/>
            </w:tcBorders>
            <w:shd w:fill="F7F7F7" w:val="clear"/>
            <w:tcMar>
              <w:bottom w:w="28" w:type="dxa"/>
            </w:tcMar>
            <w:vAlign w:val="center"/>
          </w:tcPr>
          <w:p>
            <w:pPr>
              <w:pStyle w:val="Normal"/>
              <w:bidi w:val="0"/>
              <w:jc w:val="left"/>
              <w:rPr/>
            </w:pPr>
            <w:r>
              <w:rPr/>
            </w:r>
          </w:p>
        </w:tc>
        <w:tc>
          <w:tcPr>
            <w:tcW w:w="109" w:type="dxa"/>
            <w:tcBorders/>
            <w:shd w:fill="F7F7F7" w:val="clear"/>
            <w:vAlign w:val="center"/>
          </w:tcPr>
          <w:p>
            <w:pPr>
              <w:pStyle w:val="TableContents"/>
              <w:bidi w:val="0"/>
              <w:spacing w:before="0" w:after="283"/>
              <w:jc w:val="left"/>
              <w:rPr/>
            </w:pPr>
            <w:r>
              <w:rPr/>
              <w:t>​</w:t>
            </w:r>
          </w:p>
        </w:tc>
        <w:tc>
          <w:tcPr>
            <w:tcW w:w="2059" w:type="dxa"/>
            <w:tcBorders/>
            <w:shd w:fill="F7F7F7" w:val="clear"/>
            <w:vAlign w:val="center"/>
          </w:tcPr>
          <w:p>
            <w:pPr>
              <w:pStyle w:val="TableContents"/>
              <w:bidi w:val="0"/>
              <w:spacing w:before="0" w:after="0"/>
              <w:jc w:val="left"/>
              <w:rPr/>
            </w:pPr>
            <w:r>
              <w:rPr/>
              <w:t xml:space="preserve">Accelerated Vesting of Equity Awards* </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16" w:type="dxa"/>
            <w:tcBorders/>
            <w:shd w:fill="F7F7F7" w:val="clear"/>
            <w:vAlign w:val="center"/>
          </w:tcPr>
          <w:p>
            <w:pPr>
              <w:pStyle w:val="TableContents"/>
              <w:bidi w:val="0"/>
              <w:spacing w:before="0" w:after="283"/>
              <w:jc w:val="left"/>
              <w:rPr/>
            </w:pPr>
            <w:r>
              <w:rPr/>
              <w:t>​</w:t>
            </w:r>
          </w:p>
        </w:tc>
        <w:tc>
          <w:tcPr>
            <w:tcW w:w="241" w:type="dxa"/>
            <w:tcBorders/>
            <w:shd w:fill="F7F7F7" w:val="clear"/>
            <w:vAlign w:val="center"/>
          </w:tcPr>
          <w:p>
            <w:pPr>
              <w:pStyle w:val="TableContents"/>
              <w:bidi w:val="0"/>
              <w:spacing w:before="0" w:after="283"/>
              <w:jc w:val="right"/>
              <w:rPr/>
            </w:pPr>
            <w:r>
              <w:rPr/>
              <w:t>​</w:t>
            </w:r>
          </w:p>
        </w:tc>
        <w:tc>
          <w:tcPr>
            <w:tcW w:w="1226" w:type="dxa"/>
            <w:tcBorders/>
            <w:shd w:fill="F7F7F7" w:val="clear"/>
            <w:vAlign w:val="center"/>
          </w:tcPr>
          <w:p>
            <w:pPr>
              <w:pStyle w:val="TableContents"/>
              <w:bidi w:val="0"/>
              <w:spacing w:before="0" w:after="283"/>
              <w:jc w:val="right"/>
              <w:rPr/>
            </w:pPr>
            <w:r>
              <w:rPr/>
              <w:t>—</w:t>
            </w:r>
            <w:r>
              <w:rPr>
                <w:sz w:val="10"/>
              </w:rPr>
              <w:t>(4)</w:t>
            </w:r>
            <w:r>
              <w:rPr/>
              <w:t xml:space="preserve"> </w:t>
            </w:r>
          </w:p>
        </w:tc>
        <w:tc>
          <w:tcPr>
            <w:tcW w:w="116"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10" w:type="dxa"/>
            <w:tcBorders/>
            <w:shd w:fill="F7F7F7" w:val="clear"/>
            <w:vAlign w:val="center"/>
          </w:tcPr>
          <w:p>
            <w:pPr>
              <w:pStyle w:val="TableContents"/>
              <w:bidi w:val="0"/>
              <w:spacing w:before="0" w:after="283"/>
              <w:jc w:val="left"/>
              <w:rPr/>
            </w:pPr>
            <w:r>
              <w:rPr/>
              <w:t>​</w:t>
            </w:r>
          </w:p>
        </w:tc>
        <w:tc>
          <w:tcPr>
            <w:tcW w:w="229" w:type="dxa"/>
            <w:tcBorders/>
            <w:shd w:fill="F7F7F7" w:val="clear"/>
            <w:vAlign w:val="center"/>
          </w:tcPr>
          <w:p>
            <w:pPr>
              <w:pStyle w:val="TableContents"/>
              <w:bidi w:val="0"/>
              <w:spacing w:before="0" w:after="283"/>
              <w:jc w:val="right"/>
              <w:rPr/>
            </w:pPr>
            <w:r>
              <w:rPr/>
              <w:t>​</w:t>
            </w:r>
          </w:p>
        </w:tc>
        <w:tc>
          <w:tcPr>
            <w:tcW w:w="1286" w:type="dxa"/>
            <w:tcBorders/>
            <w:shd w:fill="F7F7F7" w:val="clear"/>
            <w:vAlign w:val="center"/>
          </w:tcPr>
          <w:p>
            <w:pPr>
              <w:pStyle w:val="TableContents"/>
              <w:bidi w:val="0"/>
              <w:spacing w:before="0" w:after="283"/>
              <w:jc w:val="right"/>
              <w:rPr/>
            </w:pPr>
            <w:r>
              <w:rPr/>
              <w:t>2,049,500</w:t>
            </w:r>
            <w:r>
              <w:rPr>
                <w:sz w:val="10"/>
              </w:rPr>
              <w:t>(5)</w:t>
            </w:r>
            <w:r>
              <w:rPr/>
              <w:t xml:space="preserve"> </w:t>
            </w:r>
          </w:p>
        </w:tc>
        <w:tc>
          <w:tcPr>
            <w:tcW w:w="110"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226" w:type="dxa"/>
            <w:tcBorders/>
            <w:shd w:fill="F7F7F7" w:val="clear"/>
            <w:vAlign w:val="center"/>
          </w:tcPr>
          <w:p>
            <w:pPr>
              <w:pStyle w:val="TableContents"/>
              <w:bidi w:val="0"/>
              <w:spacing w:before="0" w:after="283"/>
              <w:jc w:val="right"/>
              <w:rPr/>
            </w:pPr>
            <w:r>
              <w:rPr/>
              <w:t>​</w:t>
            </w:r>
          </w:p>
        </w:tc>
        <w:tc>
          <w:tcPr>
            <w:tcW w:w="1066" w:type="dxa"/>
            <w:tcBorders/>
            <w:shd w:fill="F7F7F7" w:val="clear"/>
            <w:vAlign w:val="center"/>
          </w:tcPr>
          <w:p>
            <w:pPr>
              <w:pStyle w:val="TableContents"/>
              <w:bidi w:val="0"/>
              <w:spacing w:before="0" w:after="283"/>
              <w:jc w:val="right"/>
              <w:rPr/>
            </w:pPr>
            <w:r>
              <w:rPr/>
              <w:t>2,049,500</w:t>
            </w:r>
          </w:p>
        </w:tc>
        <w:tc>
          <w:tcPr>
            <w:tcW w:w="109" w:type="dxa"/>
            <w:tcBorders/>
            <w:shd w:fill="F7F7F7" w:val="clear"/>
            <w:vAlign w:val="center"/>
          </w:tcPr>
          <w:p>
            <w:pPr>
              <w:pStyle w:val="TableContents"/>
              <w:bidi w:val="0"/>
              <w:spacing w:before="0" w:after="283"/>
              <w:jc w:val="left"/>
              <w:rPr/>
            </w:pPr>
            <w:r>
              <w:rPr/>
              <w:t>​</w:t>
            </w:r>
          </w:p>
        </w:tc>
        <w:tc>
          <w:tcPr>
            <w:tcW w:w="159" w:type="dxa"/>
            <w:tcBorders/>
            <w:shd w:fill="F7F7F7" w:val="cle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shd w:fill="F7F7F7" w:val="clear"/>
            <w:tcMar>
              <w:bottom w:w="28" w:type="dxa"/>
            </w:tcMar>
            <w:vAlign w:val="center"/>
          </w:tcPr>
          <w:p>
            <w:pPr>
              <w:pStyle w:val="Normal"/>
              <w:bidi w:val="0"/>
              <w:jc w:val="left"/>
              <w:rPr/>
            </w:pPr>
            <w:r>
              <w:rPr/>
            </w:r>
          </w:p>
        </w:tc>
        <w:tc>
          <w:tcPr>
            <w:tcW w:w="1327" w:type="dxa"/>
            <w:vMerge w:val="continue"/>
            <w:tcBorders>
              <w:bottom w:val="single" w:sz="6" w:space="0" w:color="000000"/>
            </w:tcBorders>
            <w:shd w:fill="F7F7F7" w:val="clear"/>
            <w:tcMar>
              <w:bottom w:w="75" w:type="dxa"/>
            </w:tcMar>
            <w:vAlign w:val="center"/>
          </w:tcPr>
          <w:p>
            <w:pPr>
              <w:pStyle w:val="Normal"/>
              <w:bidi w:val="0"/>
              <w:jc w:val="left"/>
              <w:rPr/>
            </w:pPr>
            <w:r>
              <w:rPr/>
            </w:r>
          </w:p>
        </w:tc>
        <w:tc>
          <w:tcPr>
            <w:tcW w:w="109" w:type="dxa"/>
            <w:vMerge w:val="continue"/>
            <w:tcBorders>
              <w:bottom w:val="single" w:sz="6" w:space="0" w:color="000000"/>
            </w:tcBorders>
            <w:shd w:fill="F7F7F7" w:val="clear"/>
            <w:tcMar>
              <w:bottom w:w="28" w:type="dxa"/>
            </w:tcMar>
            <w:vAlign w:val="center"/>
          </w:tcPr>
          <w:p>
            <w:pPr>
              <w:pStyle w:val="Normal"/>
              <w:bidi w:val="0"/>
              <w:jc w:val="left"/>
              <w:rPr/>
            </w:pPr>
            <w:r>
              <w:rPr/>
            </w:r>
          </w:p>
        </w:tc>
        <w:tc>
          <w:tcPr>
            <w:tcW w:w="109" w:type="dxa"/>
            <w:tcBorders/>
            <w:shd w:fill="F7F7F7" w:val="clear"/>
            <w:vAlign w:val="center"/>
          </w:tcPr>
          <w:p>
            <w:pPr>
              <w:pStyle w:val="TableContents"/>
              <w:bidi w:val="0"/>
              <w:spacing w:before="0" w:after="283"/>
              <w:jc w:val="left"/>
              <w:rPr/>
            </w:pPr>
            <w:r>
              <w:rPr/>
              <w:t>​</w:t>
            </w:r>
          </w:p>
        </w:tc>
        <w:tc>
          <w:tcPr>
            <w:tcW w:w="2059" w:type="dxa"/>
            <w:tcBorders/>
            <w:shd w:fill="F7F7F7" w:val="clear"/>
            <w:vAlign w:val="center"/>
          </w:tcPr>
          <w:p>
            <w:pPr>
              <w:pStyle w:val="TableContents"/>
              <w:bidi w:val="0"/>
              <w:spacing w:before="0" w:after="283"/>
              <w:jc w:val="left"/>
              <w:rPr/>
            </w:pPr>
            <w:r>
              <w:rPr/>
              <w:t xml:space="preserve">Health Benefits </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16" w:type="dxa"/>
            <w:tcBorders/>
            <w:shd w:fill="F7F7F7" w:val="clear"/>
            <w:vAlign w:val="center"/>
          </w:tcPr>
          <w:p>
            <w:pPr>
              <w:pStyle w:val="TableContents"/>
              <w:bidi w:val="0"/>
              <w:spacing w:before="0" w:after="283"/>
              <w:jc w:val="left"/>
              <w:rPr/>
            </w:pPr>
            <w:r>
              <w:rPr/>
              <w:t>​</w:t>
            </w:r>
          </w:p>
        </w:tc>
        <w:tc>
          <w:tcPr>
            <w:tcW w:w="241" w:type="dxa"/>
            <w:tcBorders/>
            <w:shd w:fill="F7F7F7" w:val="clear"/>
            <w:vAlign w:val="center"/>
          </w:tcPr>
          <w:p>
            <w:pPr>
              <w:pStyle w:val="TableContents"/>
              <w:bidi w:val="0"/>
              <w:spacing w:before="0" w:after="283"/>
              <w:jc w:val="right"/>
              <w:rPr/>
            </w:pPr>
            <w:r>
              <w:rPr/>
              <w:t>​</w:t>
            </w:r>
          </w:p>
        </w:tc>
        <w:tc>
          <w:tcPr>
            <w:tcW w:w="1226" w:type="dxa"/>
            <w:tcBorders/>
            <w:shd w:fill="F7F7F7" w:val="clear"/>
            <w:vAlign w:val="center"/>
          </w:tcPr>
          <w:p>
            <w:pPr>
              <w:pStyle w:val="TableContents"/>
              <w:bidi w:val="0"/>
              <w:spacing w:before="0" w:after="283"/>
              <w:jc w:val="right"/>
              <w:rPr/>
            </w:pPr>
            <w:r>
              <w:rPr/>
              <w:t>12,318</w:t>
            </w:r>
            <w:r>
              <w:rPr>
                <w:sz w:val="10"/>
              </w:rPr>
              <w:t>(6)</w:t>
            </w:r>
            <w:r>
              <w:rPr/>
              <w:t xml:space="preserve"> </w:t>
            </w:r>
          </w:p>
        </w:tc>
        <w:tc>
          <w:tcPr>
            <w:tcW w:w="116"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10" w:type="dxa"/>
            <w:tcBorders/>
            <w:shd w:fill="F7F7F7" w:val="clear"/>
            <w:vAlign w:val="center"/>
          </w:tcPr>
          <w:p>
            <w:pPr>
              <w:pStyle w:val="TableContents"/>
              <w:bidi w:val="0"/>
              <w:spacing w:before="0" w:after="283"/>
              <w:jc w:val="left"/>
              <w:rPr/>
            </w:pPr>
            <w:r>
              <w:rPr/>
              <w:t>​</w:t>
            </w:r>
          </w:p>
        </w:tc>
        <w:tc>
          <w:tcPr>
            <w:tcW w:w="229" w:type="dxa"/>
            <w:tcBorders/>
            <w:shd w:fill="F7F7F7" w:val="clear"/>
            <w:vAlign w:val="center"/>
          </w:tcPr>
          <w:p>
            <w:pPr>
              <w:pStyle w:val="TableContents"/>
              <w:bidi w:val="0"/>
              <w:spacing w:before="0" w:after="283"/>
              <w:jc w:val="right"/>
              <w:rPr/>
            </w:pPr>
            <w:r>
              <w:rPr/>
              <w:t>​</w:t>
            </w:r>
          </w:p>
        </w:tc>
        <w:tc>
          <w:tcPr>
            <w:tcW w:w="1286" w:type="dxa"/>
            <w:tcBorders/>
            <w:shd w:fill="F7F7F7" w:val="clear"/>
            <w:vAlign w:val="center"/>
          </w:tcPr>
          <w:p>
            <w:pPr>
              <w:pStyle w:val="TableContents"/>
              <w:bidi w:val="0"/>
              <w:spacing w:before="0" w:after="283"/>
              <w:jc w:val="right"/>
              <w:rPr/>
            </w:pPr>
            <w:r>
              <w:rPr/>
              <w:t>18,477</w:t>
            </w:r>
            <w:r>
              <w:rPr>
                <w:sz w:val="10"/>
              </w:rPr>
              <w:t>(6)</w:t>
            </w:r>
            <w:r>
              <w:rPr/>
              <w:t xml:space="preserve"> </w:t>
            </w:r>
          </w:p>
        </w:tc>
        <w:tc>
          <w:tcPr>
            <w:tcW w:w="110"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226" w:type="dxa"/>
            <w:tcBorders/>
            <w:shd w:fill="F7F7F7" w:val="clear"/>
            <w:vAlign w:val="center"/>
          </w:tcPr>
          <w:p>
            <w:pPr>
              <w:pStyle w:val="TableContents"/>
              <w:bidi w:val="0"/>
              <w:spacing w:before="0" w:after="283"/>
              <w:jc w:val="right"/>
              <w:rPr/>
            </w:pPr>
            <w:r>
              <w:rPr/>
              <w:t>​</w:t>
            </w:r>
          </w:p>
        </w:tc>
        <w:tc>
          <w:tcPr>
            <w:tcW w:w="1066" w:type="dxa"/>
            <w:tcBorders/>
            <w:shd w:fill="F7F7F7" w:val="clear"/>
            <w:vAlign w:val="center"/>
          </w:tcPr>
          <w:p>
            <w:pPr>
              <w:pStyle w:val="TableContents"/>
              <w:bidi w:val="0"/>
              <w:spacing w:before="0" w:after="283"/>
              <w:jc w:val="right"/>
              <w:rPr/>
            </w:pPr>
            <w:r>
              <w:rPr/>
              <w:t>—</w:t>
            </w:r>
          </w:p>
        </w:tc>
        <w:tc>
          <w:tcPr>
            <w:tcW w:w="109" w:type="dxa"/>
            <w:tcBorders/>
            <w:shd w:fill="F7F7F7" w:val="clear"/>
            <w:vAlign w:val="center"/>
          </w:tcPr>
          <w:p>
            <w:pPr>
              <w:pStyle w:val="TableContents"/>
              <w:bidi w:val="0"/>
              <w:spacing w:before="0" w:after="283"/>
              <w:jc w:val="left"/>
              <w:rPr/>
            </w:pPr>
            <w:r>
              <w:rPr/>
              <w:t>​</w:t>
            </w:r>
          </w:p>
        </w:tc>
        <w:tc>
          <w:tcPr>
            <w:tcW w:w="159" w:type="dxa"/>
            <w:tcBorders/>
            <w:shd w:fill="F7F7F7" w:val="cle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shd w:fill="F7F7F7" w:val="clear"/>
            <w:tcMar>
              <w:bottom w:w="28" w:type="dxa"/>
            </w:tcMar>
            <w:vAlign w:val="center"/>
          </w:tcPr>
          <w:p>
            <w:pPr>
              <w:pStyle w:val="Normal"/>
              <w:bidi w:val="0"/>
              <w:jc w:val="left"/>
              <w:rPr/>
            </w:pPr>
            <w:r>
              <w:rPr/>
            </w:r>
          </w:p>
        </w:tc>
        <w:tc>
          <w:tcPr>
            <w:tcW w:w="1327" w:type="dxa"/>
            <w:vMerge w:val="continue"/>
            <w:tcBorders>
              <w:bottom w:val="single" w:sz="6" w:space="0" w:color="000000"/>
            </w:tcBorders>
            <w:shd w:fill="F7F7F7" w:val="clear"/>
            <w:tcMar>
              <w:bottom w:w="75" w:type="dxa"/>
            </w:tcMar>
            <w:vAlign w:val="center"/>
          </w:tcPr>
          <w:p>
            <w:pPr>
              <w:pStyle w:val="Normal"/>
              <w:bidi w:val="0"/>
              <w:jc w:val="left"/>
              <w:rPr/>
            </w:pPr>
            <w:r>
              <w:rPr/>
            </w:r>
          </w:p>
        </w:tc>
        <w:tc>
          <w:tcPr>
            <w:tcW w:w="109" w:type="dxa"/>
            <w:vMerge w:val="continue"/>
            <w:tcBorders>
              <w:bottom w:val="single" w:sz="6" w:space="0" w:color="000000"/>
            </w:tcBorders>
            <w:shd w:fill="F7F7F7" w:val="clear"/>
            <w:tcMar>
              <w:bottom w:w="28" w:type="dxa"/>
            </w:tcMar>
            <w:vAlign w:val="center"/>
          </w:tcPr>
          <w:p>
            <w:pPr>
              <w:pStyle w:val="Normal"/>
              <w:bidi w:val="0"/>
              <w:jc w:val="left"/>
              <w:rPr/>
            </w:pPr>
            <w:r>
              <w:rPr/>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059" w:type="dxa"/>
            <w:tcBorders>
              <w:bottom w:val="single" w:sz="6" w:space="0" w:color="000000"/>
            </w:tcBorders>
            <w:shd w:fill="F7F7F7" w:val="clear"/>
            <w:tcMar>
              <w:bottom w:w="75" w:type="dxa"/>
            </w:tcMar>
            <w:vAlign w:val="center"/>
          </w:tcPr>
          <w:p>
            <w:pPr>
              <w:pStyle w:val="TableContents"/>
              <w:bidi w:val="0"/>
              <w:spacing w:before="0" w:after="283"/>
              <w:jc w:val="left"/>
              <w:rPr/>
            </w:pPr>
            <w:r>
              <w:rPr/>
              <w:t xml:space="preserve">Total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41" w:type="dxa"/>
            <w:tcBorders>
              <w:bottom w:val="single" w:sz="6" w:space="0" w:color="000000"/>
            </w:tcBorders>
            <w:shd w:fill="F7F7F7" w:val="clear"/>
            <w:tcMar>
              <w:bottom w:w="75" w:type="dxa"/>
            </w:tcMar>
            <w:vAlign w:val="center"/>
          </w:tcPr>
          <w:p>
            <w:pPr>
              <w:pStyle w:val="TableContents"/>
              <w:bidi w:val="0"/>
              <w:spacing w:before="0" w:after="283"/>
              <w:jc w:val="right"/>
              <w:rPr/>
            </w:pPr>
            <w:r>
              <w:rPr/>
              <w:t>$</w:t>
            </w:r>
          </w:p>
        </w:tc>
        <w:tc>
          <w:tcPr>
            <w:tcW w:w="1226" w:type="dxa"/>
            <w:tcBorders>
              <w:bottom w:val="single" w:sz="6" w:space="0" w:color="000000"/>
            </w:tcBorders>
            <w:shd w:fill="F7F7F7" w:val="clear"/>
            <w:tcMar>
              <w:bottom w:w="75" w:type="dxa"/>
            </w:tcMar>
            <w:vAlign w:val="center"/>
          </w:tcPr>
          <w:p>
            <w:pPr>
              <w:pStyle w:val="TableContents"/>
              <w:bidi w:val="0"/>
              <w:spacing w:before="0" w:after="283"/>
              <w:jc w:val="right"/>
              <w:rPr/>
            </w:pPr>
            <w:r>
              <w:rPr/>
              <w:t>203,318</w:t>
            </w:r>
          </w:p>
        </w:tc>
        <w:tc>
          <w:tcPr>
            <w:tcW w:w="11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9" w:type="dxa"/>
            <w:tcBorders>
              <w:bottom w:val="single" w:sz="6" w:space="0" w:color="000000"/>
            </w:tcBorders>
            <w:shd w:fill="F7F7F7" w:val="clear"/>
            <w:tcMar>
              <w:bottom w:w="75" w:type="dxa"/>
            </w:tcMar>
            <w:vAlign w:val="center"/>
          </w:tcPr>
          <w:p>
            <w:pPr>
              <w:pStyle w:val="TableContents"/>
              <w:bidi w:val="0"/>
              <w:spacing w:before="0" w:after="283"/>
              <w:jc w:val="right"/>
              <w:rPr/>
            </w:pPr>
            <w:r>
              <w:rPr/>
              <w:t>$</w:t>
            </w:r>
          </w:p>
        </w:tc>
        <w:tc>
          <w:tcPr>
            <w:tcW w:w="1286" w:type="dxa"/>
            <w:tcBorders>
              <w:bottom w:val="single" w:sz="6" w:space="0" w:color="000000"/>
            </w:tcBorders>
            <w:shd w:fill="F7F7F7" w:val="clear"/>
            <w:tcMar>
              <w:bottom w:w="75" w:type="dxa"/>
            </w:tcMar>
            <w:vAlign w:val="center"/>
          </w:tcPr>
          <w:p>
            <w:pPr>
              <w:pStyle w:val="TableContents"/>
              <w:bidi w:val="0"/>
              <w:spacing w:before="0" w:after="283"/>
              <w:jc w:val="right"/>
              <w:rPr/>
            </w:pPr>
            <w:r>
              <w:rPr/>
              <w:t xml:space="preserve">2,497,727 </w:t>
            </w:r>
          </w:p>
        </w:tc>
        <w:tc>
          <w:tcPr>
            <w:tcW w:w="110"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75" w:type="dxa"/>
            </w:tcMar>
            <w:vAlign w:val="center"/>
          </w:tcPr>
          <w:p>
            <w:pPr>
              <w:pStyle w:val="TableContents"/>
              <w:bidi w:val="0"/>
              <w:spacing w:before="0" w:after="283"/>
              <w:jc w:val="right"/>
              <w:rPr/>
            </w:pPr>
            <w:r>
              <w:rPr/>
              <w:t>$</w:t>
            </w:r>
          </w:p>
        </w:tc>
        <w:tc>
          <w:tcPr>
            <w:tcW w:w="1066" w:type="dxa"/>
            <w:tcBorders>
              <w:bottom w:val="single" w:sz="6" w:space="0" w:color="000000"/>
            </w:tcBorders>
            <w:shd w:fill="F7F7F7" w:val="clear"/>
            <w:tcMar>
              <w:bottom w:w="75" w:type="dxa"/>
            </w:tcMar>
            <w:vAlign w:val="center"/>
          </w:tcPr>
          <w:p>
            <w:pPr>
              <w:pStyle w:val="TableContents"/>
              <w:bidi w:val="0"/>
              <w:spacing w:before="0" w:after="283"/>
              <w:jc w:val="right"/>
              <w:rPr/>
            </w:pPr>
            <w:r>
              <w:rPr/>
              <w:t>2,049,500</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327" w:type="dxa"/>
            <w:vMerge w:val="restart"/>
            <w:tcBorders>
              <w:bottom w:val="single" w:sz="6" w:space="0" w:color="000000"/>
            </w:tcBorders>
            <w:tcMar>
              <w:bottom w:w="75" w:type="dxa"/>
            </w:tcMar>
            <w:vAlign w:val="center"/>
          </w:tcPr>
          <w:p>
            <w:pPr>
              <w:pStyle w:val="TableContents"/>
              <w:bidi w:val="0"/>
              <w:spacing w:lineRule="atLeast" w:line="180" w:before="0" w:after="0"/>
              <w:jc w:val="left"/>
              <w:rPr/>
            </w:pPr>
            <w:r>
              <w:rPr/>
              <w:t xml:space="preserve">Marc Winterhoff </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59" w:type="dxa"/>
            <w:tcBorders/>
            <w:vAlign w:val="center"/>
          </w:tcPr>
          <w:p>
            <w:pPr>
              <w:pStyle w:val="TableContents"/>
              <w:bidi w:val="0"/>
              <w:spacing w:lineRule="atLeast" w:line="180" w:before="0" w:after="0"/>
              <w:jc w:val="left"/>
              <w:rPr/>
            </w:pPr>
            <w:r>
              <w:rPr/>
              <w:t xml:space="preserve">Cash Severance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241" w:type="dxa"/>
            <w:tcBorders/>
            <w:vAlign w:val="center"/>
          </w:tcPr>
          <w:p>
            <w:pPr>
              <w:pStyle w:val="TableContents"/>
              <w:bidi w:val="0"/>
              <w:spacing w:lineRule="atLeast" w:line="180" w:before="0" w:after="283"/>
              <w:jc w:val="right"/>
              <w:rPr/>
            </w:pPr>
            <w:r>
              <w:rPr/>
              <w:t>​</w:t>
            </w:r>
          </w:p>
        </w:tc>
        <w:tc>
          <w:tcPr>
            <w:tcW w:w="1226" w:type="dxa"/>
            <w:tcBorders/>
            <w:vAlign w:val="center"/>
          </w:tcPr>
          <w:p>
            <w:pPr>
              <w:pStyle w:val="TableContents"/>
              <w:bidi w:val="0"/>
              <w:spacing w:lineRule="atLeast" w:line="180" w:before="0" w:after="283"/>
              <w:jc w:val="right"/>
              <w:rPr/>
            </w:pPr>
            <w:r>
              <w:rPr/>
              <w:t>446,250</w:t>
            </w:r>
            <w:r>
              <w:rPr>
                <w:sz w:val="10"/>
              </w:rPr>
              <w:t>(2)</w:t>
            </w:r>
            <w:r>
              <w:rPr/>
              <w:t xml:space="preserve"> </w:t>
            </w:r>
          </w:p>
        </w:tc>
        <w:tc>
          <w:tcPr>
            <w:tcW w:w="1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left"/>
              <w:rPr/>
            </w:pPr>
            <w:r>
              <w:rPr/>
              <w:t>​</w:t>
            </w:r>
          </w:p>
        </w:tc>
        <w:tc>
          <w:tcPr>
            <w:tcW w:w="229" w:type="dxa"/>
            <w:tcBorders/>
            <w:vAlign w:val="center"/>
          </w:tcPr>
          <w:p>
            <w:pPr>
              <w:pStyle w:val="TableContents"/>
              <w:bidi w:val="0"/>
              <w:spacing w:lineRule="atLeast" w:line="180" w:before="0" w:after="283"/>
              <w:jc w:val="right"/>
              <w:rPr/>
            </w:pPr>
            <w:r>
              <w:rPr/>
              <w:t>​</w:t>
            </w:r>
          </w:p>
        </w:tc>
        <w:tc>
          <w:tcPr>
            <w:tcW w:w="1286" w:type="dxa"/>
            <w:tcBorders/>
            <w:vAlign w:val="center"/>
          </w:tcPr>
          <w:p>
            <w:pPr>
              <w:pStyle w:val="TableContents"/>
              <w:bidi w:val="0"/>
              <w:spacing w:lineRule="atLeast" w:line="180" w:before="0" w:after="283"/>
              <w:jc w:val="right"/>
              <w:rPr/>
            </w:pPr>
            <w:r>
              <w:rPr/>
              <w:t>595,000</w:t>
            </w:r>
            <w:r>
              <w:rPr>
                <w:sz w:val="10"/>
              </w:rPr>
              <w:t>(2)</w:t>
            </w:r>
            <w:r>
              <w:rPr/>
              <w:t xml:space="preserve"> </w:t>
            </w:r>
          </w:p>
        </w:tc>
        <w:tc>
          <w:tcPr>
            <w:tcW w:w="11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80" w:before="0" w:after="283"/>
              <w:jc w:val="right"/>
              <w:rPr/>
            </w:pPr>
            <w:r>
              <w:rPr/>
              <w:t>​</w:t>
            </w:r>
          </w:p>
        </w:tc>
        <w:tc>
          <w:tcPr>
            <w:tcW w:w="1066" w:type="dxa"/>
            <w:tcBorders/>
            <w:vAlign w:val="center"/>
          </w:tcPr>
          <w:p>
            <w:pPr>
              <w:pStyle w:val="TableContents"/>
              <w:bidi w:val="0"/>
              <w:spacing w:lineRule="atLeast" w:line="180" w:before="0" w:after="283"/>
              <w:jc w:val="right"/>
              <w:rPr/>
            </w:pPr>
            <w:r>
              <w:rPr/>
              <w:t>—</w:t>
            </w:r>
          </w:p>
        </w:tc>
        <w:tc>
          <w:tcPr>
            <w:tcW w:w="109"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vMerge w:val="continue"/>
            <w:tcBorders>
              <w:bottom w:val="single" w:sz="6" w:space="0" w:color="000000"/>
            </w:tcBorders>
            <w:tcMar>
              <w:bottom w:w="28" w:type="dxa"/>
            </w:tcMar>
            <w:vAlign w:val="center"/>
          </w:tcPr>
          <w:p>
            <w:pPr>
              <w:pStyle w:val="Normal"/>
              <w:bidi w:val="0"/>
              <w:jc w:val="left"/>
              <w:rPr/>
            </w:pPr>
            <w:r>
              <w:rPr/>
            </w:r>
          </w:p>
        </w:tc>
        <w:tc>
          <w:tcPr>
            <w:tcW w:w="1327" w:type="dxa"/>
            <w:vMerge w:val="continue"/>
            <w:tcBorders>
              <w:bottom w:val="single" w:sz="6" w:space="0" w:color="000000"/>
            </w:tcBorders>
            <w:tcMar>
              <w:bottom w:w="75"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059" w:type="dxa"/>
            <w:tcBorders/>
            <w:vAlign w:val="center"/>
          </w:tcPr>
          <w:p>
            <w:pPr>
              <w:pStyle w:val="TableContents"/>
              <w:bidi w:val="0"/>
              <w:spacing w:before="0" w:after="0"/>
              <w:jc w:val="left"/>
              <w:rPr/>
            </w:pPr>
            <w:r>
              <w:rPr/>
              <w:t xml:space="preserve">Accelerated Vesting of Equity Awards*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241" w:type="dxa"/>
            <w:tcBorders/>
            <w:vAlign w:val="center"/>
          </w:tcPr>
          <w:p>
            <w:pPr>
              <w:pStyle w:val="TableContents"/>
              <w:bidi w:val="0"/>
              <w:spacing w:before="0" w:after="283"/>
              <w:jc w:val="right"/>
              <w:rPr/>
            </w:pPr>
            <w:r>
              <w:rPr/>
              <w:t>​</w:t>
            </w:r>
          </w:p>
        </w:tc>
        <w:tc>
          <w:tcPr>
            <w:tcW w:w="1226" w:type="dxa"/>
            <w:tcBorders/>
            <w:vAlign w:val="center"/>
          </w:tcPr>
          <w:p>
            <w:pPr>
              <w:pStyle w:val="TableContents"/>
              <w:bidi w:val="0"/>
              <w:spacing w:before="0" w:after="283"/>
              <w:jc w:val="right"/>
              <w:rPr/>
            </w:pPr>
            <w:r>
              <w:rPr/>
              <w:t>9,005,565</w:t>
            </w:r>
            <w:r>
              <w:rPr>
                <w:sz w:val="10"/>
              </w:rPr>
              <w:t>(4)</w:t>
            </w:r>
            <w:r>
              <w:rPr/>
              <w:t xml:space="preserve"> </w:t>
            </w:r>
          </w:p>
        </w:tc>
        <w:tc>
          <w:tcPr>
            <w:tcW w:w="1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left"/>
              <w:rPr/>
            </w:pPr>
            <w:r>
              <w:rPr/>
              <w:t>​</w:t>
            </w:r>
          </w:p>
        </w:tc>
        <w:tc>
          <w:tcPr>
            <w:tcW w:w="229" w:type="dxa"/>
            <w:tcBorders/>
            <w:vAlign w:val="center"/>
          </w:tcPr>
          <w:p>
            <w:pPr>
              <w:pStyle w:val="TableContents"/>
              <w:bidi w:val="0"/>
              <w:spacing w:before="0" w:after="283"/>
              <w:jc w:val="right"/>
              <w:rPr/>
            </w:pPr>
            <w:r>
              <w:rPr/>
              <w:t>​</w:t>
            </w:r>
          </w:p>
        </w:tc>
        <w:tc>
          <w:tcPr>
            <w:tcW w:w="1286" w:type="dxa"/>
            <w:tcBorders/>
            <w:vAlign w:val="center"/>
          </w:tcPr>
          <w:p>
            <w:pPr>
              <w:pStyle w:val="TableContents"/>
              <w:bidi w:val="0"/>
              <w:spacing w:before="0" w:after="283"/>
              <w:jc w:val="right"/>
              <w:rPr/>
            </w:pPr>
            <w:r>
              <w:rPr/>
              <w:t>9,005,565</w:t>
            </w:r>
            <w:r>
              <w:rPr>
                <w:sz w:val="10"/>
              </w:rPr>
              <w:t>(5)</w:t>
            </w:r>
          </w:p>
        </w:tc>
        <w:tc>
          <w:tcPr>
            <w:tcW w:w="11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9,005,565</w:t>
            </w:r>
          </w:p>
        </w:tc>
        <w:tc>
          <w:tcPr>
            <w:tcW w:w="109"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vMerge w:val="continue"/>
            <w:tcBorders>
              <w:bottom w:val="single" w:sz="6" w:space="0" w:color="000000"/>
            </w:tcBorders>
            <w:tcMar>
              <w:bottom w:w="28" w:type="dxa"/>
            </w:tcMar>
            <w:vAlign w:val="center"/>
          </w:tcPr>
          <w:p>
            <w:pPr>
              <w:pStyle w:val="Normal"/>
              <w:bidi w:val="0"/>
              <w:jc w:val="left"/>
              <w:rPr/>
            </w:pPr>
            <w:r>
              <w:rPr/>
            </w:r>
          </w:p>
        </w:tc>
        <w:tc>
          <w:tcPr>
            <w:tcW w:w="1327" w:type="dxa"/>
            <w:vMerge w:val="continue"/>
            <w:tcBorders>
              <w:bottom w:val="single" w:sz="6" w:space="0" w:color="000000"/>
            </w:tcBorders>
            <w:tcMar>
              <w:bottom w:w="75"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059" w:type="dxa"/>
            <w:tcBorders/>
            <w:vAlign w:val="center"/>
          </w:tcPr>
          <w:p>
            <w:pPr>
              <w:pStyle w:val="TableContents"/>
              <w:bidi w:val="0"/>
              <w:spacing w:before="0" w:after="283"/>
              <w:jc w:val="left"/>
              <w:rPr/>
            </w:pPr>
            <w:r>
              <w:rPr/>
              <w:t xml:space="preserve">Health Benefits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241" w:type="dxa"/>
            <w:tcBorders/>
            <w:vAlign w:val="center"/>
          </w:tcPr>
          <w:p>
            <w:pPr>
              <w:pStyle w:val="TableContents"/>
              <w:bidi w:val="0"/>
              <w:spacing w:before="0" w:after="283"/>
              <w:jc w:val="right"/>
              <w:rPr/>
            </w:pPr>
            <w:r>
              <w:rPr/>
              <w:t>​</w:t>
            </w:r>
          </w:p>
        </w:tc>
        <w:tc>
          <w:tcPr>
            <w:tcW w:w="1226" w:type="dxa"/>
            <w:tcBorders/>
            <w:vAlign w:val="center"/>
          </w:tcPr>
          <w:p>
            <w:pPr>
              <w:pStyle w:val="TableContents"/>
              <w:bidi w:val="0"/>
              <w:spacing w:before="0" w:after="283"/>
              <w:jc w:val="right"/>
              <w:rPr/>
            </w:pPr>
            <w:r>
              <w:rPr/>
              <w:t>18,477</w:t>
            </w:r>
            <w:r>
              <w:rPr>
                <w:sz w:val="10"/>
              </w:rPr>
              <w:t>(6)</w:t>
            </w:r>
            <w:r>
              <w:rPr/>
              <w:t xml:space="preserve"> </w:t>
            </w:r>
          </w:p>
        </w:tc>
        <w:tc>
          <w:tcPr>
            <w:tcW w:w="1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left"/>
              <w:rPr/>
            </w:pPr>
            <w:r>
              <w:rPr/>
              <w:t>​</w:t>
            </w:r>
          </w:p>
        </w:tc>
        <w:tc>
          <w:tcPr>
            <w:tcW w:w="229" w:type="dxa"/>
            <w:tcBorders/>
            <w:vAlign w:val="center"/>
          </w:tcPr>
          <w:p>
            <w:pPr>
              <w:pStyle w:val="TableContents"/>
              <w:bidi w:val="0"/>
              <w:spacing w:before="0" w:after="283"/>
              <w:jc w:val="right"/>
              <w:rPr/>
            </w:pPr>
            <w:r>
              <w:rPr/>
              <w:t>​</w:t>
            </w:r>
          </w:p>
        </w:tc>
        <w:tc>
          <w:tcPr>
            <w:tcW w:w="1286" w:type="dxa"/>
            <w:tcBorders/>
            <w:vAlign w:val="center"/>
          </w:tcPr>
          <w:p>
            <w:pPr>
              <w:pStyle w:val="TableContents"/>
              <w:bidi w:val="0"/>
              <w:spacing w:before="0" w:after="283"/>
              <w:jc w:val="right"/>
              <w:rPr/>
            </w:pPr>
            <w:r>
              <w:rPr/>
              <w:t>24,636</w:t>
            </w:r>
            <w:r>
              <w:rPr>
                <w:sz w:val="10"/>
              </w:rPr>
              <w:t>(6)</w:t>
            </w:r>
            <w:r>
              <w:rPr/>
              <w:t xml:space="preserve"> </w:t>
            </w:r>
          </w:p>
        </w:tc>
        <w:tc>
          <w:tcPr>
            <w:tcW w:w="11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vMerge w:val="continue"/>
            <w:tcBorders>
              <w:bottom w:val="single" w:sz="6" w:space="0" w:color="000000"/>
            </w:tcBorders>
            <w:tcMar>
              <w:bottom w:w="28" w:type="dxa"/>
            </w:tcMar>
            <w:vAlign w:val="center"/>
          </w:tcPr>
          <w:p>
            <w:pPr>
              <w:pStyle w:val="Normal"/>
              <w:bidi w:val="0"/>
              <w:jc w:val="left"/>
              <w:rPr/>
            </w:pPr>
            <w:r>
              <w:rPr/>
            </w:r>
          </w:p>
        </w:tc>
        <w:tc>
          <w:tcPr>
            <w:tcW w:w="1327" w:type="dxa"/>
            <w:vMerge w:val="continue"/>
            <w:tcBorders>
              <w:bottom w:val="single" w:sz="6" w:space="0" w:color="000000"/>
            </w:tcBorders>
            <w:tcMar>
              <w:bottom w:w="75"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059" w:type="dxa"/>
            <w:tcBorders>
              <w:bottom w:val="single" w:sz="6" w:space="0" w:color="000000"/>
            </w:tcBorders>
            <w:tcMar>
              <w:bottom w:w="75" w:type="dxa"/>
            </w:tcMar>
            <w:vAlign w:val="center"/>
          </w:tcPr>
          <w:p>
            <w:pPr>
              <w:pStyle w:val="TableContents"/>
              <w:bidi w:val="0"/>
              <w:spacing w:before="0" w:after="283"/>
              <w:jc w:val="left"/>
              <w:rPr/>
            </w:pPr>
            <w:r>
              <w:rPr/>
              <w:t xml:space="preserve">Total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6" w:type="dxa"/>
            <w:tcBorders>
              <w:bottom w:val="single" w:sz="6" w:space="0" w:color="000000"/>
            </w:tcBorders>
            <w:tcMar>
              <w:bottom w:w="28" w:type="dxa"/>
            </w:tcMar>
            <w:vAlign w:val="center"/>
          </w:tcPr>
          <w:p>
            <w:pPr>
              <w:pStyle w:val="TableContents"/>
              <w:bidi w:val="0"/>
              <w:spacing w:before="0" w:after="283"/>
              <w:jc w:val="left"/>
              <w:rPr/>
            </w:pPr>
            <w:r>
              <w:rPr/>
              <w:t>​</w:t>
            </w:r>
          </w:p>
        </w:tc>
        <w:tc>
          <w:tcPr>
            <w:tcW w:w="241" w:type="dxa"/>
            <w:tcBorders>
              <w:bottom w:val="single" w:sz="6" w:space="0" w:color="000000"/>
            </w:tcBorders>
            <w:tcMar>
              <w:bottom w:w="75" w:type="dxa"/>
            </w:tcMar>
            <w:vAlign w:val="center"/>
          </w:tcPr>
          <w:p>
            <w:pPr>
              <w:pStyle w:val="TableContents"/>
              <w:bidi w:val="0"/>
              <w:spacing w:before="0" w:after="283"/>
              <w:jc w:val="right"/>
              <w:rPr/>
            </w:pPr>
            <w:r>
              <w:rPr/>
              <w:t>$</w:t>
            </w:r>
          </w:p>
        </w:tc>
        <w:tc>
          <w:tcPr>
            <w:tcW w:w="1226" w:type="dxa"/>
            <w:tcBorders>
              <w:bottom w:val="single" w:sz="6" w:space="0" w:color="000000"/>
            </w:tcBorders>
            <w:tcMar>
              <w:bottom w:w="75" w:type="dxa"/>
            </w:tcMar>
            <w:vAlign w:val="center"/>
          </w:tcPr>
          <w:p>
            <w:pPr>
              <w:pStyle w:val="TableContents"/>
              <w:bidi w:val="0"/>
              <w:spacing w:before="0" w:after="283"/>
              <w:jc w:val="right"/>
              <w:rPr/>
            </w:pPr>
            <w:r>
              <w:rPr/>
              <w:t xml:space="preserve">9,470,292 </w:t>
            </w:r>
          </w:p>
        </w:tc>
        <w:tc>
          <w:tcPr>
            <w:tcW w:w="116"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tcMar>
              <w:bottom w:w="28" w:type="dxa"/>
            </w:tcMar>
            <w:vAlign w:val="center"/>
          </w:tcPr>
          <w:p>
            <w:pPr>
              <w:pStyle w:val="TableContents"/>
              <w:bidi w:val="0"/>
              <w:spacing w:before="0" w:after="283"/>
              <w:jc w:val="left"/>
              <w:rPr/>
            </w:pPr>
            <w:r>
              <w:rPr/>
              <w:t>​</w:t>
            </w:r>
          </w:p>
        </w:tc>
        <w:tc>
          <w:tcPr>
            <w:tcW w:w="229" w:type="dxa"/>
            <w:tcBorders>
              <w:bottom w:val="single" w:sz="6" w:space="0" w:color="000000"/>
            </w:tcBorders>
            <w:tcMar>
              <w:bottom w:w="75" w:type="dxa"/>
            </w:tcMar>
            <w:vAlign w:val="center"/>
          </w:tcPr>
          <w:p>
            <w:pPr>
              <w:pStyle w:val="TableContents"/>
              <w:bidi w:val="0"/>
              <w:spacing w:before="0" w:after="283"/>
              <w:jc w:val="right"/>
              <w:rPr/>
            </w:pPr>
            <w:r>
              <w:rPr/>
              <w:t>$</w:t>
            </w:r>
          </w:p>
        </w:tc>
        <w:tc>
          <w:tcPr>
            <w:tcW w:w="1286" w:type="dxa"/>
            <w:tcBorders>
              <w:bottom w:val="single" w:sz="6" w:space="0" w:color="000000"/>
            </w:tcBorders>
            <w:tcMar>
              <w:bottom w:w="75" w:type="dxa"/>
            </w:tcMar>
            <w:vAlign w:val="center"/>
          </w:tcPr>
          <w:p>
            <w:pPr>
              <w:pStyle w:val="TableContents"/>
              <w:bidi w:val="0"/>
              <w:spacing w:before="0" w:after="283"/>
              <w:jc w:val="right"/>
              <w:rPr/>
            </w:pPr>
            <w:r>
              <w:rPr/>
              <w:t xml:space="preserve">9,625,201 </w:t>
            </w:r>
          </w:p>
        </w:tc>
        <w:tc>
          <w:tcPr>
            <w:tcW w:w="110"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tcMar>
              <w:bottom w:w="75" w:type="dxa"/>
            </w:tcMar>
            <w:vAlign w:val="center"/>
          </w:tcPr>
          <w:p>
            <w:pPr>
              <w:pStyle w:val="TableContents"/>
              <w:bidi w:val="0"/>
              <w:spacing w:before="0" w:after="283"/>
              <w:jc w:val="right"/>
              <w:rPr/>
            </w:pPr>
            <w:r>
              <w:rPr/>
              <w:t>$</w:t>
            </w:r>
          </w:p>
        </w:tc>
        <w:tc>
          <w:tcPr>
            <w:tcW w:w="1066" w:type="dxa"/>
            <w:tcBorders>
              <w:bottom w:val="single" w:sz="6" w:space="0" w:color="000000"/>
            </w:tcBorders>
            <w:tcMar>
              <w:bottom w:w="75" w:type="dxa"/>
            </w:tcMar>
            <w:vAlign w:val="center"/>
          </w:tcPr>
          <w:p>
            <w:pPr>
              <w:pStyle w:val="TableContents"/>
              <w:bidi w:val="0"/>
              <w:spacing w:before="0" w:after="283"/>
              <w:jc w:val="right"/>
              <w:rPr/>
            </w:pPr>
            <w:r>
              <w:rPr/>
              <w:t>9,005,565</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9"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27" w:type="dxa"/>
            <w:vMerge w:val="restart"/>
            <w:tcBorders>
              <w:bottom w:val="single" w:sz="6" w:space="0" w:color="000000"/>
            </w:tcBorders>
            <w:shd w:fill="F7F7F7" w:val="clear"/>
            <w:tcMar>
              <w:bottom w:w="75" w:type="dxa"/>
            </w:tcMar>
            <w:vAlign w:val="center"/>
          </w:tcPr>
          <w:p>
            <w:pPr>
              <w:pStyle w:val="TableContents"/>
              <w:bidi w:val="0"/>
              <w:spacing w:lineRule="atLeast" w:line="180" w:before="0" w:after="0"/>
              <w:jc w:val="left"/>
              <w:rPr/>
            </w:pPr>
            <w:r>
              <w:rPr/>
              <w:t xml:space="preserve">Eric Bach </w:t>
            </w:r>
          </w:p>
        </w:tc>
        <w:tc>
          <w:tcPr>
            <w:tcW w:w="109" w:type="dxa"/>
            <w:vMerge w:val="restart"/>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2059" w:type="dxa"/>
            <w:tcBorders/>
            <w:shd w:fill="F7F7F7" w:val="clear"/>
            <w:vAlign w:val="center"/>
          </w:tcPr>
          <w:p>
            <w:pPr>
              <w:pStyle w:val="TableContents"/>
              <w:bidi w:val="0"/>
              <w:spacing w:lineRule="atLeast" w:line="180" w:before="0" w:after="0"/>
              <w:jc w:val="left"/>
              <w:rPr/>
            </w:pPr>
            <w:r>
              <w:rPr/>
              <w:t xml:space="preserve">Cash Severance </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16" w:type="dxa"/>
            <w:tcBorders/>
            <w:shd w:fill="F7F7F7" w:val="clear"/>
            <w:vAlign w:val="center"/>
          </w:tcPr>
          <w:p>
            <w:pPr>
              <w:pStyle w:val="TableContents"/>
              <w:bidi w:val="0"/>
              <w:spacing w:before="0" w:after="283"/>
              <w:jc w:val="left"/>
              <w:rPr/>
            </w:pPr>
            <w:r>
              <w:rPr/>
              <w:t>​</w:t>
            </w:r>
          </w:p>
        </w:tc>
        <w:tc>
          <w:tcPr>
            <w:tcW w:w="241" w:type="dxa"/>
            <w:tcBorders/>
            <w:shd w:fill="F7F7F7" w:val="clear"/>
            <w:vAlign w:val="center"/>
          </w:tcPr>
          <w:p>
            <w:pPr>
              <w:pStyle w:val="TableContents"/>
              <w:bidi w:val="0"/>
              <w:spacing w:lineRule="atLeast" w:line="180" w:before="0" w:after="283"/>
              <w:jc w:val="right"/>
              <w:rPr/>
            </w:pPr>
            <w:r>
              <w:rPr/>
              <w:t>​</w:t>
            </w:r>
          </w:p>
        </w:tc>
        <w:tc>
          <w:tcPr>
            <w:tcW w:w="1226" w:type="dxa"/>
            <w:tcBorders/>
            <w:shd w:fill="F7F7F7" w:val="clear"/>
            <w:vAlign w:val="center"/>
          </w:tcPr>
          <w:p>
            <w:pPr>
              <w:pStyle w:val="TableContents"/>
              <w:bidi w:val="0"/>
              <w:spacing w:lineRule="atLeast" w:line="180" w:before="0" w:after="283"/>
              <w:jc w:val="right"/>
              <w:rPr/>
            </w:pPr>
            <w:r>
              <w:rPr/>
              <w:t>420,000</w:t>
            </w:r>
            <w:r>
              <w:rPr>
                <w:sz w:val="10"/>
              </w:rPr>
              <w:t>(2)</w:t>
            </w:r>
            <w:r>
              <w:rPr/>
              <w:t xml:space="preserve"> </w:t>
            </w:r>
          </w:p>
        </w:tc>
        <w:tc>
          <w:tcPr>
            <w:tcW w:w="116"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10" w:type="dxa"/>
            <w:tcBorders/>
            <w:shd w:fill="F7F7F7" w:val="clear"/>
            <w:vAlign w:val="center"/>
          </w:tcPr>
          <w:p>
            <w:pPr>
              <w:pStyle w:val="TableContents"/>
              <w:bidi w:val="0"/>
              <w:spacing w:before="0" w:after="283"/>
              <w:jc w:val="left"/>
              <w:rPr/>
            </w:pPr>
            <w:r>
              <w:rPr/>
              <w:t>​</w:t>
            </w:r>
          </w:p>
        </w:tc>
        <w:tc>
          <w:tcPr>
            <w:tcW w:w="229" w:type="dxa"/>
            <w:tcBorders/>
            <w:shd w:fill="F7F7F7" w:val="clear"/>
            <w:vAlign w:val="center"/>
          </w:tcPr>
          <w:p>
            <w:pPr>
              <w:pStyle w:val="TableContents"/>
              <w:bidi w:val="0"/>
              <w:spacing w:lineRule="atLeast" w:line="180" w:before="0" w:after="283"/>
              <w:jc w:val="right"/>
              <w:rPr/>
            </w:pPr>
            <w:r>
              <w:rPr/>
              <w:t>​</w:t>
            </w:r>
          </w:p>
        </w:tc>
        <w:tc>
          <w:tcPr>
            <w:tcW w:w="1286" w:type="dxa"/>
            <w:tcBorders/>
            <w:shd w:fill="F7F7F7" w:val="clear"/>
            <w:vAlign w:val="center"/>
          </w:tcPr>
          <w:p>
            <w:pPr>
              <w:pStyle w:val="TableContents"/>
              <w:bidi w:val="0"/>
              <w:spacing w:lineRule="atLeast" w:line="180" w:before="0" w:after="283"/>
              <w:jc w:val="right"/>
              <w:rPr/>
            </w:pPr>
            <w:r>
              <w:rPr/>
              <w:t>980,000</w:t>
            </w:r>
            <w:r>
              <w:rPr>
                <w:sz w:val="10"/>
              </w:rPr>
              <w:t>(2)</w:t>
            </w:r>
            <w:r>
              <w:rPr/>
              <w:t xml:space="preserve"> </w:t>
            </w:r>
          </w:p>
        </w:tc>
        <w:tc>
          <w:tcPr>
            <w:tcW w:w="110"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226" w:type="dxa"/>
            <w:tcBorders/>
            <w:shd w:fill="F7F7F7" w:val="clear"/>
            <w:vAlign w:val="center"/>
          </w:tcPr>
          <w:p>
            <w:pPr>
              <w:pStyle w:val="TableContents"/>
              <w:bidi w:val="0"/>
              <w:spacing w:lineRule="atLeast" w:line="180" w:before="0" w:after="283"/>
              <w:jc w:val="right"/>
              <w:rPr/>
            </w:pPr>
            <w:r>
              <w:rPr/>
              <w:t>​</w:t>
            </w:r>
          </w:p>
        </w:tc>
        <w:tc>
          <w:tcPr>
            <w:tcW w:w="1066" w:type="dxa"/>
            <w:tcBorders/>
            <w:shd w:fill="F7F7F7" w:val="clear"/>
            <w:vAlign w:val="center"/>
          </w:tcPr>
          <w:p>
            <w:pPr>
              <w:pStyle w:val="TableContents"/>
              <w:bidi w:val="0"/>
              <w:spacing w:lineRule="atLeast" w:line="180" w:before="0" w:after="283"/>
              <w:jc w:val="right"/>
              <w:rPr/>
            </w:pPr>
            <w:r>
              <w:rPr/>
              <w:t>—</w:t>
            </w:r>
          </w:p>
        </w:tc>
        <w:tc>
          <w:tcPr>
            <w:tcW w:w="109" w:type="dxa"/>
            <w:tcBorders/>
            <w:shd w:fill="F7F7F7" w:val="clear"/>
            <w:vAlign w:val="center"/>
          </w:tcPr>
          <w:p>
            <w:pPr>
              <w:pStyle w:val="TableContents"/>
              <w:bidi w:val="0"/>
              <w:spacing w:before="0" w:after="283"/>
              <w:jc w:val="left"/>
              <w:rPr/>
            </w:pPr>
            <w:r>
              <w:rPr/>
              <w:t>​</w:t>
            </w:r>
          </w:p>
        </w:tc>
        <w:tc>
          <w:tcPr>
            <w:tcW w:w="159" w:type="dxa"/>
            <w:tcBorders/>
            <w:shd w:fill="F7F7F7" w:val="cle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shd w:fill="F7F7F7" w:val="clear"/>
            <w:tcMar>
              <w:bottom w:w="28" w:type="dxa"/>
            </w:tcMar>
            <w:vAlign w:val="center"/>
          </w:tcPr>
          <w:p>
            <w:pPr>
              <w:pStyle w:val="Normal"/>
              <w:bidi w:val="0"/>
              <w:jc w:val="left"/>
              <w:rPr/>
            </w:pPr>
            <w:r>
              <w:rPr/>
            </w:r>
          </w:p>
        </w:tc>
        <w:tc>
          <w:tcPr>
            <w:tcW w:w="1327" w:type="dxa"/>
            <w:vMerge w:val="continue"/>
            <w:tcBorders>
              <w:bottom w:val="single" w:sz="6" w:space="0" w:color="000000"/>
            </w:tcBorders>
            <w:shd w:fill="F7F7F7" w:val="clear"/>
            <w:tcMar>
              <w:bottom w:w="75" w:type="dxa"/>
            </w:tcMar>
            <w:vAlign w:val="center"/>
          </w:tcPr>
          <w:p>
            <w:pPr>
              <w:pStyle w:val="Normal"/>
              <w:bidi w:val="0"/>
              <w:jc w:val="left"/>
              <w:rPr/>
            </w:pPr>
            <w:r>
              <w:rPr/>
            </w:r>
          </w:p>
        </w:tc>
        <w:tc>
          <w:tcPr>
            <w:tcW w:w="109" w:type="dxa"/>
            <w:vMerge w:val="continue"/>
            <w:tcBorders>
              <w:bottom w:val="single" w:sz="6" w:space="0" w:color="000000"/>
            </w:tcBorders>
            <w:shd w:fill="F7F7F7" w:val="clear"/>
            <w:tcMar>
              <w:bottom w:w="28" w:type="dxa"/>
            </w:tcMar>
            <w:vAlign w:val="center"/>
          </w:tcPr>
          <w:p>
            <w:pPr>
              <w:pStyle w:val="Normal"/>
              <w:bidi w:val="0"/>
              <w:jc w:val="left"/>
              <w:rPr/>
            </w:pPr>
            <w:r>
              <w:rPr/>
            </w:r>
          </w:p>
        </w:tc>
        <w:tc>
          <w:tcPr>
            <w:tcW w:w="109" w:type="dxa"/>
            <w:tcBorders/>
            <w:shd w:fill="F7F7F7" w:val="clear"/>
            <w:vAlign w:val="center"/>
          </w:tcPr>
          <w:p>
            <w:pPr>
              <w:pStyle w:val="TableContents"/>
              <w:bidi w:val="0"/>
              <w:spacing w:before="0" w:after="283"/>
              <w:jc w:val="left"/>
              <w:rPr/>
            </w:pPr>
            <w:r>
              <w:rPr/>
              <w:t>​</w:t>
            </w:r>
          </w:p>
        </w:tc>
        <w:tc>
          <w:tcPr>
            <w:tcW w:w="2059" w:type="dxa"/>
            <w:tcBorders/>
            <w:shd w:fill="F7F7F7" w:val="clear"/>
            <w:vAlign w:val="center"/>
          </w:tcPr>
          <w:p>
            <w:pPr>
              <w:pStyle w:val="TableContents"/>
              <w:bidi w:val="0"/>
              <w:spacing w:before="0" w:after="0"/>
              <w:jc w:val="left"/>
              <w:rPr/>
            </w:pPr>
            <w:r>
              <w:rPr/>
              <w:t xml:space="preserve">Accelerated Vesting of Equity Awards* </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16" w:type="dxa"/>
            <w:tcBorders/>
            <w:shd w:fill="F7F7F7" w:val="clear"/>
            <w:vAlign w:val="center"/>
          </w:tcPr>
          <w:p>
            <w:pPr>
              <w:pStyle w:val="TableContents"/>
              <w:bidi w:val="0"/>
              <w:spacing w:before="0" w:after="283"/>
              <w:jc w:val="left"/>
              <w:rPr/>
            </w:pPr>
            <w:r>
              <w:rPr/>
              <w:t>​</w:t>
            </w:r>
          </w:p>
        </w:tc>
        <w:tc>
          <w:tcPr>
            <w:tcW w:w="241" w:type="dxa"/>
            <w:tcBorders/>
            <w:shd w:fill="F7F7F7" w:val="clear"/>
            <w:vAlign w:val="center"/>
          </w:tcPr>
          <w:p>
            <w:pPr>
              <w:pStyle w:val="TableContents"/>
              <w:bidi w:val="0"/>
              <w:spacing w:before="0" w:after="283"/>
              <w:jc w:val="right"/>
              <w:rPr/>
            </w:pPr>
            <w:r>
              <w:rPr/>
              <w:t>​</w:t>
            </w:r>
          </w:p>
        </w:tc>
        <w:tc>
          <w:tcPr>
            <w:tcW w:w="1226" w:type="dxa"/>
            <w:tcBorders/>
            <w:shd w:fill="F7F7F7" w:val="clear"/>
            <w:vAlign w:val="center"/>
          </w:tcPr>
          <w:p>
            <w:pPr>
              <w:pStyle w:val="TableContents"/>
              <w:bidi w:val="0"/>
              <w:spacing w:before="0" w:after="283"/>
              <w:jc w:val="right"/>
              <w:rPr/>
            </w:pPr>
            <w:r>
              <w:rPr/>
              <w:t>750,991</w:t>
            </w:r>
            <w:r>
              <w:rPr>
                <w:sz w:val="10"/>
              </w:rPr>
              <w:t>(4)</w:t>
            </w:r>
            <w:r>
              <w:rPr/>
              <w:t xml:space="preserve"> </w:t>
            </w:r>
          </w:p>
        </w:tc>
        <w:tc>
          <w:tcPr>
            <w:tcW w:w="116"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10" w:type="dxa"/>
            <w:tcBorders/>
            <w:shd w:fill="F7F7F7" w:val="clear"/>
            <w:vAlign w:val="center"/>
          </w:tcPr>
          <w:p>
            <w:pPr>
              <w:pStyle w:val="TableContents"/>
              <w:bidi w:val="0"/>
              <w:spacing w:before="0" w:after="283"/>
              <w:jc w:val="left"/>
              <w:rPr/>
            </w:pPr>
            <w:r>
              <w:rPr/>
              <w:t>​</w:t>
            </w:r>
          </w:p>
        </w:tc>
        <w:tc>
          <w:tcPr>
            <w:tcW w:w="229" w:type="dxa"/>
            <w:tcBorders/>
            <w:shd w:fill="F7F7F7" w:val="clear"/>
            <w:vAlign w:val="center"/>
          </w:tcPr>
          <w:p>
            <w:pPr>
              <w:pStyle w:val="TableContents"/>
              <w:bidi w:val="0"/>
              <w:spacing w:before="0" w:after="283"/>
              <w:jc w:val="right"/>
              <w:rPr/>
            </w:pPr>
            <w:r>
              <w:rPr/>
              <w:t>​</w:t>
            </w:r>
          </w:p>
        </w:tc>
        <w:tc>
          <w:tcPr>
            <w:tcW w:w="1286" w:type="dxa"/>
            <w:tcBorders/>
            <w:shd w:fill="F7F7F7" w:val="clear"/>
            <w:vAlign w:val="center"/>
          </w:tcPr>
          <w:p>
            <w:pPr>
              <w:pStyle w:val="TableContents"/>
              <w:bidi w:val="0"/>
              <w:spacing w:before="0" w:after="283"/>
              <w:jc w:val="right"/>
              <w:rPr/>
            </w:pPr>
            <w:r>
              <w:rPr/>
              <w:t>6,989,966</w:t>
            </w:r>
            <w:r>
              <w:rPr>
                <w:sz w:val="10"/>
              </w:rPr>
              <w:t>(5)</w:t>
            </w:r>
          </w:p>
        </w:tc>
        <w:tc>
          <w:tcPr>
            <w:tcW w:w="110"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226" w:type="dxa"/>
            <w:tcBorders/>
            <w:shd w:fill="F7F7F7" w:val="clear"/>
            <w:vAlign w:val="center"/>
          </w:tcPr>
          <w:p>
            <w:pPr>
              <w:pStyle w:val="TableContents"/>
              <w:bidi w:val="0"/>
              <w:spacing w:before="0" w:after="283"/>
              <w:jc w:val="right"/>
              <w:rPr/>
            </w:pPr>
            <w:r>
              <w:rPr/>
              <w:t>​</w:t>
            </w:r>
          </w:p>
        </w:tc>
        <w:tc>
          <w:tcPr>
            <w:tcW w:w="1066" w:type="dxa"/>
            <w:tcBorders/>
            <w:shd w:fill="F7F7F7" w:val="clear"/>
            <w:vAlign w:val="center"/>
          </w:tcPr>
          <w:p>
            <w:pPr>
              <w:pStyle w:val="TableContents"/>
              <w:bidi w:val="0"/>
              <w:spacing w:before="0" w:after="283"/>
              <w:jc w:val="right"/>
              <w:rPr/>
            </w:pPr>
            <w:r>
              <w:rPr/>
              <w:t>6,989,966</w:t>
            </w:r>
          </w:p>
        </w:tc>
        <w:tc>
          <w:tcPr>
            <w:tcW w:w="109" w:type="dxa"/>
            <w:tcBorders/>
            <w:shd w:fill="F7F7F7" w:val="clear"/>
            <w:vAlign w:val="center"/>
          </w:tcPr>
          <w:p>
            <w:pPr>
              <w:pStyle w:val="TableContents"/>
              <w:bidi w:val="0"/>
              <w:spacing w:before="0" w:after="283"/>
              <w:jc w:val="left"/>
              <w:rPr/>
            </w:pPr>
            <w:r>
              <w:rPr/>
              <w:t>​</w:t>
            </w:r>
          </w:p>
        </w:tc>
        <w:tc>
          <w:tcPr>
            <w:tcW w:w="159" w:type="dxa"/>
            <w:tcBorders/>
            <w:shd w:fill="F7F7F7" w:val="cle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shd w:fill="F7F7F7" w:val="clear"/>
            <w:tcMar>
              <w:bottom w:w="28" w:type="dxa"/>
            </w:tcMar>
            <w:vAlign w:val="center"/>
          </w:tcPr>
          <w:p>
            <w:pPr>
              <w:pStyle w:val="Normal"/>
              <w:bidi w:val="0"/>
              <w:jc w:val="left"/>
              <w:rPr/>
            </w:pPr>
            <w:r>
              <w:rPr/>
            </w:r>
          </w:p>
        </w:tc>
        <w:tc>
          <w:tcPr>
            <w:tcW w:w="1327" w:type="dxa"/>
            <w:vMerge w:val="continue"/>
            <w:tcBorders>
              <w:bottom w:val="single" w:sz="6" w:space="0" w:color="000000"/>
            </w:tcBorders>
            <w:shd w:fill="F7F7F7" w:val="clear"/>
            <w:tcMar>
              <w:bottom w:w="75" w:type="dxa"/>
            </w:tcMar>
            <w:vAlign w:val="center"/>
          </w:tcPr>
          <w:p>
            <w:pPr>
              <w:pStyle w:val="Normal"/>
              <w:bidi w:val="0"/>
              <w:jc w:val="left"/>
              <w:rPr/>
            </w:pPr>
            <w:r>
              <w:rPr/>
            </w:r>
          </w:p>
        </w:tc>
        <w:tc>
          <w:tcPr>
            <w:tcW w:w="109" w:type="dxa"/>
            <w:vMerge w:val="continue"/>
            <w:tcBorders>
              <w:bottom w:val="single" w:sz="6" w:space="0" w:color="000000"/>
            </w:tcBorders>
            <w:shd w:fill="F7F7F7" w:val="clear"/>
            <w:tcMar>
              <w:bottom w:w="28" w:type="dxa"/>
            </w:tcMar>
            <w:vAlign w:val="center"/>
          </w:tcPr>
          <w:p>
            <w:pPr>
              <w:pStyle w:val="Normal"/>
              <w:bidi w:val="0"/>
              <w:jc w:val="left"/>
              <w:rPr/>
            </w:pPr>
            <w:r>
              <w:rPr/>
            </w:r>
          </w:p>
        </w:tc>
        <w:tc>
          <w:tcPr>
            <w:tcW w:w="109" w:type="dxa"/>
            <w:tcBorders/>
            <w:shd w:fill="F7F7F7" w:val="clear"/>
            <w:vAlign w:val="center"/>
          </w:tcPr>
          <w:p>
            <w:pPr>
              <w:pStyle w:val="TableContents"/>
              <w:bidi w:val="0"/>
              <w:spacing w:before="0" w:after="283"/>
              <w:jc w:val="left"/>
              <w:rPr/>
            </w:pPr>
            <w:r>
              <w:rPr/>
              <w:t>​</w:t>
            </w:r>
          </w:p>
        </w:tc>
        <w:tc>
          <w:tcPr>
            <w:tcW w:w="2059" w:type="dxa"/>
            <w:tcBorders/>
            <w:shd w:fill="F7F7F7" w:val="clear"/>
            <w:vAlign w:val="center"/>
          </w:tcPr>
          <w:p>
            <w:pPr>
              <w:pStyle w:val="TableContents"/>
              <w:bidi w:val="0"/>
              <w:spacing w:before="0" w:after="283"/>
              <w:jc w:val="left"/>
              <w:rPr/>
            </w:pPr>
            <w:r>
              <w:rPr/>
              <w:t xml:space="preserve">Health Benefits </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16" w:type="dxa"/>
            <w:tcBorders/>
            <w:shd w:fill="F7F7F7" w:val="clear"/>
            <w:vAlign w:val="center"/>
          </w:tcPr>
          <w:p>
            <w:pPr>
              <w:pStyle w:val="TableContents"/>
              <w:bidi w:val="0"/>
              <w:spacing w:before="0" w:after="283"/>
              <w:jc w:val="left"/>
              <w:rPr/>
            </w:pPr>
            <w:r>
              <w:rPr/>
              <w:t>​</w:t>
            </w:r>
          </w:p>
        </w:tc>
        <w:tc>
          <w:tcPr>
            <w:tcW w:w="241" w:type="dxa"/>
            <w:tcBorders/>
            <w:shd w:fill="F7F7F7" w:val="clear"/>
            <w:vAlign w:val="center"/>
          </w:tcPr>
          <w:p>
            <w:pPr>
              <w:pStyle w:val="TableContents"/>
              <w:bidi w:val="0"/>
              <w:spacing w:before="0" w:after="283"/>
              <w:jc w:val="right"/>
              <w:rPr/>
            </w:pPr>
            <w:r>
              <w:rPr/>
              <w:t>​</w:t>
            </w:r>
          </w:p>
        </w:tc>
        <w:tc>
          <w:tcPr>
            <w:tcW w:w="1226" w:type="dxa"/>
            <w:tcBorders/>
            <w:shd w:fill="F7F7F7" w:val="clear"/>
            <w:vAlign w:val="center"/>
          </w:tcPr>
          <w:p>
            <w:pPr>
              <w:pStyle w:val="TableContents"/>
              <w:bidi w:val="0"/>
              <w:spacing w:before="0" w:after="283"/>
              <w:jc w:val="right"/>
              <w:rPr/>
            </w:pPr>
            <w:r>
              <w:rPr/>
              <w:t>18,477</w:t>
            </w:r>
            <w:r>
              <w:rPr>
                <w:sz w:val="10"/>
              </w:rPr>
              <w:t>(6)</w:t>
            </w:r>
            <w:r>
              <w:rPr/>
              <w:t xml:space="preserve"> </w:t>
            </w:r>
          </w:p>
        </w:tc>
        <w:tc>
          <w:tcPr>
            <w:tcW w:w="116"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10" w:type="dxa"/>
            <w:tcBorders/>
            <w:shd w:fill="F7F7F7" w:val="clear"/>
            <w:vAlign w:val="center"/>
          </w:tcPr>
          <w:p>
            <w:pPr>
              <w:pStyle w:val="TableContents"/>
              <w:bidi w:val="0"/>
              <w:spacing w:before="0" w:after="283"/>
              <w:jc w:val="left"/>
              <w:rPr/>
            </w:pPr>
            <w:r>
              <w:rPr/>
              <w:t>​</w:t>
            </w:r>
          </w:p>
        </w:tc>
        <w:tc>
          <w:tcPr>
            <w:tcW w:w="229" w:type="dxa"/>
            <w:tcBorders/>
            <w:shd w:fill="F7F7F7" w:val="clear"/>
            <w:vAlign w:val="center"/>
          </w:tcPr>
          <w:p>
            <w:pPr>
              <w:pStyle w:val="TableContents"/>
              <w:bidi w:val="0"/>
              <w:spacing w:before="0" w:after="283"/>
              <w:jc w:val="right"/>
              <w:rPr/>
            </w:pPr>
            <w:r>
              <w:rPr/>
              <w:t>​</w:t>
            </w:r>
          </w:p>
        </w:tc>
        <w:tc>
          <w:tcPr>
            <w:tcW w:w="1286" w:type="dxa"/>
            <w:tcBorders/>
            <w:shd w:fill="F7F7F7" w:val="clear"/>
            <w:vAlign w:val="center"/>
          </w:tcPr>
          <w:p>
            <w:pPr>
              <w:pStyle w:val="TableContents"/>
              <w:bidi w:val="0"/>
              <w:spacing w:before="0" w:after="283"/>
              <w:jc w:val="right"/>
              <w:rPr/>
            </w:pPr>
            <w:r>
              <w:rPr/>
              <w:t>24,636</w:t>
            </w:r>
            <w:r>
              <w:rPr>
                <w:sz w:val="10"/>
              </w:rPr>
              <w:t>(6)</w:t>
            </w:r>
            <w:r>
              <w:rPr/>
              <w:t xml:space="preserve"> </w:t>
            </w:r>
          </w:p>
        </w:tc>
        <w:tc>
          <w:tcPr>
            <w:tcW w:w="110"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109" w:type="dxa"/>
            <w:tcBorders/>
            <w:shd w:fill="F7F7F7" w:val="clear"/>
            <w:vAlign w:val="center"/>
          </w:tcPr>
          <w:p>
            <w:pPr>
              <w:pStyle w:val="TableContents"/>
              <w:bidi w:val="0"/>
              <w:spacing w:before="0" w:after="283"/>
              <w:jc w:val="left"/>
              <w:rPr/>
            </w:pPr>
            <w:r>
              <w:rPr/>
              <w:t>​</w:t>
            </w:r>
          </w:p>
        </w:tc>
        <w:tc>
          <w:tcPr>
            <w:tcW w:w="226" w:type="dxa"/>
            <w:tcBorders/>
            <w:shd w:fill="F7F7F7" w:val="clear"/>
            <w:vAlign w:val="center"/>
          </w:tcPr>
          <w:p>
            <w:pPr>
              <w:pStyle w:val="TableContents"/>
              <w:bidi w:val="0"/>
              <w:spacing w:before="0" w:after="283"/>
              <w:jc w:val="right"/>
              <w:rPr/>
            </w:pPr>
            <w:r>
              <w:rPr/>
              <w:t>​</w:t>
            </w:r>
          </w:p>
        </w:tc>
        <w:tc>
          <w:tcPr>
            <w:tcW w:w="1066" w:type="dxa"/>
            <w:tcBorders/>
            <w:shd w:fill="F7F7F7" w:val="clear"/>
            <w:vAlign w:val="center"/>
          </w:tcPr>
          <w:p>
            <w:pPr>
              <w:pStyle w:val="TableContents"/>
              <w:bidi w:val="0"/>
              <w:spacing w:before="0" w:after="283"/>
              <w:jc w:val="right"/>
              <w:rPr/>
            </w:pPr>
            <w:r>
              <w:rPr/>
              <w:t>—</w:t>
            </w:r>
          </w:p>
        </w:tc>
        <w:tc>
          <w:tcPr>
            <w:tcW w:w="109" w:type="dxa"/>
            <w:tcBorders/>
            <w:shd w:fill="F7F7F7" w:val="clear"/>
            <w:vAlign w:val="center"/>
          </w:tcPr>
          <w:p>
            <w:pPr>
              <w:pStyle w:val="TableContents"/>
              <w:bidi w:val="0"/>
              <w:spacing w:before="0" w:after="283"/>
              <w:jc w:val="left"/>
              <w:rPr/>
            </w:pPr>
            <w:r>
              <w:rPr/>
              <w:t>​</w:t>
            </w:r>
          </w:p>
        </w:tc>
        <w:tc>
          <w:tcPr>
            <w:tcW w:w="159" w:type="dxa"/>
            <w:tcBorders/>
            <w:shd w:fill="F7F7F7" w:val="cle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shd w:fill="F7F7F7" w:val="clear"/>
            <w:tcMar>
              <w:bottom w:w="28" w:type="dxa"/>
            </w:tcMar>
            <w:vAlign w:val="center"/>
          </w:tcPr>
          <w:p>
            <w:pPr>
              <w:pStyle w:val="Normal"/>
              <w:bidi w:val="0"/>
              <w:jc w:val="left"/>
              <w:rPr/>
            </w:pPr>
            <w:r>
              <w:rPr/>
            </w:r>
          </w:p>
        </w:tc>
        <w:tc>
          <w:tcPr>
            <w:tcW w:w="1327" w:type="dxa"/>
            <w:vMerge w:val="continue"/>
            <w:tcBorders>
              <w:bottom w:val="single" w:sz="6" w:space="0" w:color="000000"/>
            </w:tcBorders>
            <w:shd w:fill="F7F7F7" w:val="clear"/>
            <w:tcMar>
              <w:bottom w:w="75" w:type="dxa"/>
            </w:tcMar>
            <w:vAlign w:val="center"/>
          </w:tcPr>
          <w:p>
            <w:pPr>
              <w:pStyle w:val="Normal"/>
              <w:bidi w:val="0"/>
              <w:jc w:val="left"/>
              <w:rPr/>
            </w:pPr>
            <w:r>
              <w:rPr/>
            </w:r>
          </w:p>
        </w:tc>
        <w:tc>
          <w:tcPr>
            <w:tcW w:w="109" w:type="dxa"/>
            <w:vMerge w:val="continue"/>
            <w:tcBorders>
              <w:bottom w:val="single" w:sz="6" w:space="0" w:color="000000"/>
            </w:tcBorders>
            <w:shd w:fill="F7F7F7" w:val="clear"/>
            <w:tcMar>
              <w:bottom w:w="28" w:type="dxa"/>
            </w:tcMar>
            <w:vAlign w:val="center"/>
          </w:tcPr>
          <w:p>
            <w:pPr>
              <w:pStyle w:val="Normal"/>
              <w:bidi w:val="0"/>
              <w:jc w:val="left"/>
              <w:rPr/>
            </w:pPr>
            <w:r>
              <w:rPr/>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059" w:type="dxa"/>
            <w:tcBorders>
              <w:bottom w:val="single" w:sz="6" w:space="0" w:color="000000"/>
            </w:tcBorders>
            <w:shd w:fill="F7F7F7" w:val="clear"/>
            <w:tcMar>
              <w:bottom w:w="75" w:type="dxa"/>
            </w:tcMar>
            <w:vAlign w:val="center"/>
          </w:tcPr>
          <w:p>
            <w:pPr>
              <w:pStyle w:val="TableContents"/>
              <w:bidi w:val="0"/>
              <w:spacing w:before="0" w:after="283"/>
              <w:jc w:val="left"/>
              <w:rPr/>
            </w:pPr>
            <w:r>
              <w:rPr/>
              <w:t xml:space="preserve">Total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41" w:type="dxa"/>
            <w:tcBorders>
              <w:bottom w:val="single" w:sz="6" w:space="0" w:color="000000"/>
            </w:tcBorders>
            <w:shd w:fill="F7F7F7" w:val="clear"/>
            <w:tcMar>
              <w:bottom w:w="75" w:type="dxa"/>
            </w:tcMar>
            <w:vAlign w:val="center"/>
          </w:tcPr>
          <w:p>
            <w:pPr>
              <w:pStyle w:val="TableContents"/>
              <w:bidi w:val="0"/>
              <w:spacing w:before="0" w:after="283"/>
              <w:jc w:val="right"/>
              <w:rPr/>
            </w:pPr>
            <w:r>
              <w:rPr/>
              <w:t>$</w:t>
            </w:r>
          </w:p>
        </w:tc>
        <w:tc>
          <w:tcPr>
            <w:tcW w:w="1226" w:type="dxa"/>
            <w:tcBorders>
              <w:bottom w:val="single" w:sz="6" w:space="0" w:color="000000"/>
            </w:tcBorders>
            <w:shd w:fill="F7F7F7" w:val="clear"/>
            <w:tcMar>
              <w:bottom w:w="75" w:type="dxa"/>
            </w:tcMar>
            <w:vAlign w:val="center"/>
          </w:tcPr>
          <w:p>
            <w:pPr>
              <w:pStyle w:val="TableContents"/>
              <w:bidi w:val="0"/>
              <w:spacing w:before="0" w:after="283"/>
              <w:jc w:val="right"/>
              <w:rPr/>
            </w:pPr>
            <w:r>
              <w:rPr/>
              <w:t>1,189,468</w:t>
            </w:r>
          </w:p>
        </w:tc>
        <w:tc>
          <w:tcPr>
            <w:tcW w:w="11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9" w:type="dxa"/>
            <w:tcBorders>
              <w:bottom w:val="single" w:sz="6" w:space="0" w:color="000000"/>
            </w:tcBorders>
            <w:shd w:fill="F7F7F7" w:val="clear"/>
            <w:tcMar>
              <w:bottom w:w="75" w:type="dxa"/>
            </w:tcMar>
            <w:vAlign w:val="center"/>
          </w:tcPr>
          <w:p>
            <w:pPr>
              <w:pStyle w:val="TableContents"/>
              <w:bidi w:val="0"/>
              <w:spacing w:before="0" w:after="283"/>
              <w:jc w:val="right"/>
              <w:rPr/>
            </w:pPr>
            <w:r>
              <w:rPr/>
              <w:t>$</w:t>
            </w:r>
          </w:p>
        </w:tc>
        <w:tc>
          <w:tcPr>
            <w:tcW w:w="1286" w:type="dxa"/>
            <w:tcBorders>
              <w:bottom w:val="single" w:sz="6" w:space="0" w:color="000000"/>
            </w:tcBorders>
            <w:shd w:fill="F7F7F7" w:val="clear"/>
            <w:tcMar>
              <w:bottom w:w="75" w:type="dxa"/>
            </w:tcMar>
            <w:vAlign w:val="center"/>
          </w:tcPr>
          <w:p>
            <w:pPr>
              <w:pStyle w:val="TableContents"/>
              <w:bidi w:val="0"/>
              <w:spacing w:before="0" w:after="283"/>
              <w:jc w:val="right"/>
              <w:rPr/>
            </w:pPr>
            <w:r>
              <w:rPr/>
              <w:t>7,994,602</w:t>
            </w:r>
          </w:p>
        </w:tc>
        <w:tc>
          <w:tcPr>
            <w:tcW w:w="110"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F7F7F7" w:val="clear"/>
            <w:tcMar>
              <w:bottom w:w="75" w:type="dxa"/>
            </w:tcMar>
            <w:vAlign w:val="center"/>
          </w:tcPr>
          <w:p>
            <w:pPr>
              <w:pStyle w:val="TableContents"/>
              <w:bidi w:val="0"/>
              <w:spacing w:before="0" w:after="283"/>
              <w:jc w:val="right"/>
              <w:rPr/>
            </w:pPr>
            <w:r>
              <w:rPr/>
              <w:t>$</w:t>
            </w:r>
          </w:p>
        </w:tc>
        <w:tc>
          <w:tcPr>
            <w:tcW w:w="1066" w:type="dxa"/>
            <w:tcBorders>
              <w:bottom w:val="single" w:sz="6" w:space="0" w:color="000000"/>
            </w:tcBorders>
            <w:shd w:fill="F7F7F7" w:val="clear"/>
            <w:tcMar>
              <w:bottom w:w="75" w:type="dxa"/>
            </w:tcMar>
            <w:vAlign w:val="center"/>
          </w:tcPr>
          <w:p>
            <w:pPr>
              <w:pStyle w:val="TableContents"/>
              <w:bidi w:val="0"/>
              <w:spacing w:before="0" w:after="283"/>
              <w:jc w:val="right"/>
              <w:rPr/>
            </w:pPr>
            <w:r>
              <w:rPr/>
              <w:t>6,989,966</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327" w:type="dxa"/>
            <w:vMerge w:val="restart"/>
            <w:tcBorders>
              <w:bottom w:val="single" w:sz="6" w:space="0" w:color="000000"/>
            </w:tcBorders>
            <w:tcMar>
              <w:bottom w:w="75" w:type="dxa"/>
            </w:tcMar>
            <w:vAlign w:val="center"/>
          </w:tcPr>
          <w:p>
            <w:pPr>
              <w:pStyle w:val="TableContents"/>
              <w:bidi w:val="0"/>
              <w:spacing w:lineRule="atLeast" w:line="180" w:before="0" w:after="0"/>
              <w:jc w:val="left"/>
              <w:rPr/>
            </w:pPr>
            <w:r>
              <w:rPr/>
              <w:t xml:space="preserve">Michael Bell </w:t>
            </w:r>
          </w:p>
        </w:tc>
        <w:tc>
          <w:tcPr>
            <w:tcW w:w="109" w:type="dxa"/>
            <w:vMerge w:val="restart"/>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59" w:type="dxa"/>
            <w:tcBorders/>
            <w:vAlign w:val="center"/>
          </w:tcPr>
          <w:p>
            <w:pPr>
              <w:pStyle w:val="TableContents"/>
              <w:bidi w:val="0"/>
              <w:spacing w:lineRule="atLeast" w:line="180" w:before="0" w:after="0"/>
              <w:jc w:val="left"/>
              <w:rPr/>
            </w:pPr>
            <w:r>
              <w:rPr/>
              <w:t xml:space="preserve">Cash Severance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241" w:type="dxa"/>
            <w:tcBorders/>
            <w:vAlign w:val="center"/>
          </w:tcPr>
          <w:p>
            <w:pPr>
              <w:pStyle w:val="TableContents"/>
              <w:bidi w:val="0"/>
              <w:spacing w:lineRule="atLeast" w:line="180" w:before="0" w:after="283"/>
              <w:jc w:val="right"/>
              <w:rPr/>
            </w:pPr>
            <w:r>
              <w:rPr/>
              <w:t>​</w:t>
            </w:r>
          </w:p>
        </w:tc>
        <w:tc>
          <w:tcPr>
            <w:tcW w:w="1226" w:type="dxa"/>
            <w:tcBorders/>
            <w:vAlign w:val="center"/>
          </w:tcPr>
          <w:p>
            <w:pPr>
              <w:pStyle w:val="TableContents"/>
              <w:bidi w:val="0"/>
              <w:spacing w:lineRule="atLeast" w:line="180" w:before="0" w:after="283"/>
              <w:jc w:val="right"/>
              <w:rPr/>
            </w:pPr>
            <w:r>
              <w:rPr/>
              <w:t>393,750</w:t>
            </w:r>
            <w:r>
              <w:rPr>
                <w:sz w:val="10"/>
              </w:rPr>
              <w:t>(2)</w:t>
            </w:r>
            <w:r>
              <w:rPr/>
              <w:t xml:space="preserve"> </w:t>
            </w:r>
          </w:p>
        </w:tc>
        <w:tc>
          <w:tcPr>
            <w:tcW w:w="1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left"/>
              <w:rPr/>
            </w:pPr>
            <w:r>
              <w:rPr/>
              <w:t>​</w:t>
            </w:r>
          </w:p>
        </w:tc>
        <w:tc>
          <w:tcPr>
            <w:tcW w:w="229" w:type="dxa"/>
            <w:tcBorders/>
            <w:vAlign w:val="center"/>
          </w:tcPr>
          <w:p>
            <w:pPr>
              <w:pStyle w:val="TableContents"/>
              <w:bidi w:val="0"/>
              <w:spacing w:lineRule="atLeast" w:line="180" w:before="0" w:after="283"/>
              <w:jc w:val="right"/>
              <w:rPr/>
            </w:pPr>
            <w:r>
              <w:rPr/>
              <w:t>​</w:t>
            </w:r>
          </w:p>
        </w:tc>
        <w:tc>
          <w:tcPr>
            <w:tcW w:w="1286" w:type="dxa"/>
            <w:tcBorders/>
            <w:vAlign w:val="center"/>
          </w:tcPr>
          <w:p>
            <w:pPr>
              <w:pStyle w:val="TableContents"/>
              <w:bidi w:val="0"/>
              <w:spacing w:lineRule="atLeast" w:line="180" w:before="0" w:after="283"/>
              <w:jc w:val="right"/>
              <w:rPr/>
            </w:pPr>
            <w:r>
              <w:rPr/>
              <w:t>918,750</w:t>
            </w:r>
            <w:r>
              <w:rPr>
                <w:sz w:val="10"/>
              </w:rPr>
              <w:t>(2)</w:t>
            </w:r>
            <w:r>
              <w:rPr/>
              <w:t xml:space="preserve"> </w:t>
            </w:r>
          </w:p>
        </w:tc>
        <w:tc>
          <w:tcPr>
            <w:tcW w:w="11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180" w:before="0" w:after="283"/>
              <w:jc w:val="right"/>
              <w:rPr/>
            </w:pPr>
            <w:r>
              <w:rPr/>
              <w:t>​</w:t>
            </w:r>
          </w:p>
        </w:tc>
        <w:tc>
          <w:tcPr>
            <w:tcW w:w="1066" w:type="dxa"/>
            <w:tcBorders/>
            <w:vAlign w:val="center"/>
          </w:tcPr>
          <w:p>
            <w:pPr>
              <w:pStyle w:val="TableContents"/>
              <w:bidi w:val="0"/>
              <w:spacing w:lineRule="atLeast" w:line="180" w:before="0" w:after="283"/>
              <w:jc w:val="right"/>
              <w:rPr/>
            </w:pPr>
            <w:r>
              <w:rPr/>
              <w:t>—</w:t>
            </w:r>
          </w:p>
        </w:tc>
        <w:tc>
          <w:tcPr>
            <w:tcW w:w="109"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vMerge w:val="continue"/>
            <w:tcBorders>
              <w:bottom w:val="single" w:sz="6" w:space="0" w:color="000000"/>
            </w:tcBorders>
            <w:tcMar>
              <w:bottom w:w="28" w:type="dxa"/>
            </w:tcMar>
            <w:vAlign w:val="center"/>
          </w:tcPr>
          <w:p>
            <w:pPr>
              <w:pStyle w:val="Normal"/>
              <w:bidi w:val="0"/>
              <w:jc w:val="left"/>
              <w:rPr/>
            </w:pPr>
            <w:r>
              <w:rPr/>
            </w:r>
          </w:p>
        </w:tc>
        <w:tc>
          <w:tcPr>
            <w:tcW w:w="1327" w:type="dxa"/>
            <w:vMerge w:val="continue"/>
            <w:tcBorders>
              <w:bottom w:val="single" w:sz="6" w:space="0" w:color="000000"/>
            </w:tcBorders>
            <w:tcMar>
              <w:bottom w:w="75"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059" w:type="dxa"/>
            <w:tcBorders/>
            <w:vAlign w:val="center"/>
          </w:tcPr>
          <w:p>
            <w:pPr>
              <w:pStyle w:val="TableContents"/>
              <w:bidi w:val="0"/>
              <w:spacing w:before="0" w:after="0"/>
              <w:jc w:val="left"/>
              <w:rPr/>
            </w:pPr>
            <w:r>
              <w:rPr/>
              <w:t xml:space="preserve">Accelerated Vesting of Equity Awards*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241" w:type="dxa"/>
            <w:tcBorders/>
            <w:vAlign w:val="center"/>
          </w:tcPr>
          <w:p>
            <w:pPr>
              <w:pStyle w:val="TableContents"/>
              <w:bidi w:val="0"/>
              <w:spacing w:before="0" w:after="283"/>
              <w:jc w:val="right"/>
              <w:rPr/>
            </w:pPr>
            <w:r>
              <w:rPr/>
              <w:t>​</w:t>
            </w:r>
          </w:p>
        </w:tc>
        <w:tc>
          <w:tcPr>
            <w:tcW w:w="1226" w:type="dxa"/>
            <w:tcBorders/>
            <w:vAlign w:val="center"/>
          </w:tcPr>
          <w:p>
            <w:pPr>
              <w:pStyle w:val="TableContents"/>
              <w:bidi w:val="0"/>
              <w:spacing w:before="0" w:after="283"/>
              <w:jc w:val="right"/>
              <w:rPr/>
            </w:pPr>
            <w:r>
              <w:rPr/>
              <w:t>417,422</w:t>
            </w:r>
            <w:r>
              <w:rPr>
                <w:sz w:val="10"/>
              </w:rPr>
              <w:t>(4)</w:t>
            </w:r>
            <w:r>
              <w:rPr/>
              <w:t xml:space="preserve"> </w:t>
            </w:r>
          </w:p>
        </w:tc>
        <w:tc>
          <w:tcPr>
            <w:tcW w:w="1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left"/>
              <w:rPr/>
            </w:pPr>
            <w:r>
              <w:rPr/>
              <w:t>​</w:t>
            </w:r>
          </w:p>
        </w:tc>
        <w:tc>
          <w:tcPr>
            <w:tcW w:w="229" w:type="dxa"/>
            <w:tcBorders/>
            <w:vAlign w:val="center"/>
          </w:tcPr>
          <w:p>
            <w:pPr>
              <w:pStyle w:val="TableContents"/>
              <w:bidi w:val="0"/>
              <w:spacing w:before="0" w:after="283"/>
              <w:jc w:val="right"/>
              <w:rPr/>
            </w:pPr>
            <w:r>
              <w:rPr/>
              <w:t>​</w:t>
            </w:r>
          </w:p>
        </w:tc>
        <w:tc>
          <w:tcPr>
            <w:tcW w:w="1286" w:type="dxa"/>
            <w:tcBorders/>
            <w:vAlign w:val="center"/>
          </w:tcPr>
          <w:p>
            <w:pPr>
              <w:pStyle w:val="TableContents"/>
              <w:bidi w:val="0"/>
              <w:spacing w:before="0" w:after="283"/>
              <w:jc w:val="right"/>
              <w:rPr/>
            </w:pPr>
            <w:r>
              <w:rPr/>
              <w:t>6,531,541</w:t>
            </w:r>
            <w:r>
              <w:rPr>
                <w:sz w:val="10"/>
              </w:rPr>
              <w:t>(5)</w:t>
            </w:r>
            <w:r>
              <w:rPr/>
              <w:t xml:space="preserve"> </w:t>
            </w:r>
          </w:p>
        </w:tc>
        <w:tc>
          <w:tcPr>
            <w:tcW w:w="11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6,531,541</w:t>
            </w:r>
          </w:p>
        </w:tc>
        <w:tc>
          <w:tcPr>
            <w:tcW w:w="109"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vMerge w:val="continue"/>
            <w:tcBorders>
              <w:bottom w:val="single" w:sz="6" w:space="0" w:color="000000"/>
            </w:tcBorders>
            <w:tcMar>
              <w:bottom w:w="28" w:type="dxa"/>
            </w:tcMar>
            <w:vAlign w:val="center"/>
          </w:tcPr>
          <w:p>
            <w:pPr>
              <w:pStyle w:val="Normal"/>
              <w:bidi w:val="0"/>
              <w:jc w:val="left"/>
              <w:rPr/>
            </w:pPr>
            <w:r>
              <w:rPr/>
            </w:r>
          </w:p>
        </w:tc>
        <w:tc>
          <w:tcPr>
            <w:tcW w:w="1327" w:type="dxa"/>
            <w:vMerge w:val="continue"/>
            <w:tcBorders>
              <w:bottom w:val="single" w:sz="6" w:space="0" w:color="000000"/>
            </w:tcBorders>
            <w:tcMar>
              <w:bottom w:w="75"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059" w:type="dxa"/>
            <w:tcBorders/>
            <w:vAlign w:val="center"/>
          </w:tcPr>
          <w:p>
            <w:pPr>
              <w:pStyle w:val="TableContents"/>
              <w:bidi w:val="0"/>
              <w:spacing w:before="0" w:after="283"/>
              <w:jc w:val="left"/>
              <w:rPr/>
            </w:pPr>
            <w:r>
              <w:rPr/>
              <w:t xml:space="preserve">Health Benefits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241" w:type="dxa"/>
            <w:tcBorders/>
            <w:vAlign w:val="center"/>
          </w:tcPr>
          <w:p>
            <w:pPr>
              <w:pStyle w:val="TableContents"/>
              <w:bidi w:val="0"/>
              <w:spacing w:before="0" w:after="283"/>
              <w:jc w:val="right"/>
              <w:rPr/>
            </w:pPr>
            <w:r>
              <w:rPr/>
              <w:t>​</w:t>
            </w:r>
          </w:p>
        </w:tc>
        <w:tc>
          <w:tcPr>
            <w:tcW w:w="1226" w:type="dxa"/>
            <w:tcBorders/>
            <w:vAlign w:val="center"/>
          </w:tcPr>
          <w:p>
            <w:pPr>
              <w:pStyle w:val="TableContents"/>
              <w:bidi w:val="0"/>
              <w:spacing w:before="0" w:after="283"/>
              <w:jc w:val="right"/>
              <w:rPr/>
            </w:pPr>
            <w:r>
              <w:rPr/>
              <w:t>23,450</w:t>
            </w:r>
            <w:r>
              <w:rPr>
                <w:sz w:val="10"/>
              </w:rPr>
              <w:t>(6)</w:t>
            </w:r>
            <w:r>
              <w:rPr/>
              <w:t xml:space="preserve"> </w:t>
            </w:r>
          </w:p>
        </w:tc>
        <w:tc>
          <w:tcPr>
            <w:tcW w:w="1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left"/>
              <w:rPr/>
            </w:pPr>
            <w:r>
              <w:rPr/>
              <w:t>​</w:t>
            </w:r>
          </w:p>
        </w:tc>
        <w:tc>
          <w:tcPr>
            <w:tcW w:w="229" w:type="dxa"/>
            <w:tcBorders/>
            <w:vAlign w:val="center"/>
          </w:tcPr>
          <w:p>
            <w:pPr>
              <w:pStyle w:val="TableContents"/>
              <w:bidi w:val="0"/>
              <w:spacing w:before="0" w:after="283"/>
              <w:jc w:val="right"/>
              <w:rPr/>
            </w:pPr>
            <w:r>
              <w:rPr/>
              <w:t>​</w:t>
            </w:r>
          </w:p>
        </w:tc>
        <w:tc>
          <w:tcPr>
            <w:tcW w:w="1286" w:type="dxa"/>
            <w:tcBorders/>
            <w:vAlign w:val="center"/>
          </w:tcPr>
          <w:p>
            <w:pPr>
              <w:pStyle w:val="TableContents"/>
              <w:bidi w:val="0"/>
              <w:spacing w:before="0" w:after="283"/>
              <w:jc w:val="right"/>
              <w:rPr/>
            </w:pPr>
            <w:r>
              <w:rPr/>
              <w:t>31,267</w:t>
            </w:r>
            <w:r>
              <w:rPr>
                <w:sz w:val="10"/>
              </w:rPr>
              <w:t>(6)</w:t>
            </w:r>
            <w:r>
              <w:rPr/>
              <w:t xml:space="preserve"> </w:t>
            </w:r>
          </w:p>
        </w:tc>
        <w:tc>
          <w:tcPr>
            <w:tcW w:w="11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vMerge w:val="continue"/>
            <w:tcBorders>
              <w:bottom w:val="single" w:sz="6" w:space="0" w:color="000000"/>
            </w:tcBorders>
            <w:tcMar>
              <w:bottom w:w="28" w:type="dxa"/>
            </w:tcMar>
            <w:vAlign w:val="center"/>
          </w:tcPr>
          <w:p>
            <w:pPr>
              <w:pStyle w:val="Normal"/>
              <w:bidi w:val="0"/>
              <w:jc w:val="left"/>
              <w:rPr/>
            </w:pPr>
            <w:r>
              <w:rPr/>
            </w:r>
          </w:p>
        </w:tc>
        <w:tc>
          <w:tcPr>
            <w:tcW w:w="1327" w:type="dxa"/>
            <w:vMerge w:val="continue"/>
            <w:tcBorders>
              <w:bottom w:val="single" w:sz="6" w:space="0" w:color="000000"/>
            </w:tcBorders>
            <w:tcMar>
              <w:bottom w:w="75" w:type="dxa"/>
            </w:tcMar>
            <w:vAlign w:val="center"/>
          </w:tcPr>
          <w:p>
            <w:pPr>
              <w:pStyle w:val="Normal"/>
              <w:bidi w:val="0"/>
              <w:jc w:val="left"/>
              <w:rPr/>
            </w:pPr>
            <w:r>
              <w:rPr/>
            </w:r>
          </w:p>
        </w:tc>
        <w:tc>
          <w:tcPr>
            <w:tcW w:w="109" w:type="dxa"/>
            <w:vMerge w:val="continue"/>
            <w:tcBorders>
              <w:bottom w:val="single" w:sz="6" w:space="0" w:color="000000"/>
            </w:tcBorders>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059" w:type="dxa"/>
            <w:tcBorders/>
            <w:vAlign w:val="center"/>
          </w:tcPr>
          <w:p>
            <w:pPr>
              <w:pStyle w:val="TableContents"/>
              <w:bidi w:val="0"/>
              <w:spacing w:before="0" w:after="283"/>
              <w:jc w:val="left"/>
              <w:rPr/>
            </w:pPr>
            <w:r>
              <w:rPr/>
              <w:t xml:space="preserve">Total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241" w:type="dxa"/>
            <w:tcBorders/>
            <w:vAlign w:val="center"/>
          </w:tcPr>
          <w:p>
            <w:pPr>
              <w:pStyle w:val="TableContents"/>
              <w:bidi w:val="0"/>
              <w:spacing w:before="0" w:after="283"/>
              <w:jc w:val="right"/>
              <w:rPr/>
            </w:pPr>
            <w:r>
              <w:rPr/>
              <w:t>$</w:t>
            </w:r>
          </w:p>
        </w:tc>
        <w:tc>
          <w:tcPr>
            <w:tcW w:w="1226" w:type="dxa"/>
            <w:tcBorders/>
            <w:vAlign w:val="center"/>
          </w:tcPr>
          <w:p>
            <w:pPr>
              <w:pStyle w:val="TableContents"/>
              <w:bidi w:val="0"/>
              <w:spacing w:before="0" w:after="283"/>
              <w:jc w:val="right"/>
              <w:rPr/>
            </w:pPr>
            <w:r>
              <w:rPr/>
              <w:t>834,622</w:t>
            </w:r>
          </w:p>
        </w:tc>
        <w:tc>
          <w:tcPr>
            <w:tcW w:w="1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left"/>
              <w:rPr/>
            </w:pPr>
            <w:r>
              <w:rPr/>
              <w:t>​</w:t>
            </w:r>
          </w:p>
        </w:tc>
        <w:tc>
          <w:tcPr>
            <w:tcW w:w="229" w:type="dxa"/>
            <w:tcBorders/>
            <w:vAlign w:val="center"/>
          </w:tcPr>
          <w:p>
            <w:pPr>
              <w:pStyle w:val="TableContents"/>
              <w:bidi w:val="0"/>
              <w:spacing w:before="0" w:after="283"/>
              <w:jc w:val="right"/>
              <w:rPr/>
            </w:pPr>
            <w:r>
              <w:rPr/>
              <w:t>$</w:t>
            </w:r>
          </w:p>
        </w:tc>
        <w:tc>
          <w:tcPr>
            <w:tcW w:w="1286" w:type="dxa"/>
            <w:tcBorders/>
            <w:vAlign w:val="center"/>
          </w:tcPr>
          <w:p>
            <w:pPr>
              <w:pStyle w:val="TableContents"/>
              <w:bidi w:val="0"/>
              <w:spacing w:before="0" w:after="283"/>
              <w:jc w:val="right"/>
              <w:rPr/>
            </w:pPr>
            <w:r>
              <w:rPr/>
              <w:t xml:space="preserve">7,481,558 </w:t>
            </w:r>
          </w:p>
        </w:tc>
        <w:tc>
          <w:tcPr>
            <w:tcW w:w="11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6,531,541</w:t>
            </w:r>
          </w:p>
        </w:tc>
        <w:tc>
          <w:tcPr>
            <w:tcW w:w="109"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40" w:after="0"/>
        <w:ind w:left="77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Equity awards are valued at $4.21 per share, the closing price of a share of our Common Stock on December 29, 2023, the last trading day of fiscal year 2023.</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215900" distB="0" distL="0" distR="0" simplePos="0" locked="0" layoutInCell="1" allowOverlap="1" relativeHeight="248">
                <wp:simplePos x="0" y="0"/>
                <wp:positionH relativeFrom="column">
                  <wp:align>left</wp:align>
                </wp:positionH>
                <wp:positionV relativeFrom="line">
                  <wp:align>top</wp:align>
                </wp:positionV>
                <wp:extent cx="37465" cy="270510"/>
                <wp:effectExtent l="0" t="0" r="0" b="0"/>
                <wp:wrapSquare wrapText="right"/>
                <wp:docPr id="240" name="Frame177"/>
                <a:graphic xmlns:a="http://schemas.openxmlformats.org/drawingml/2006/main">
                  <a:graphicData uri="http://schemas.microsoft.com/office/word/2010/wordprocessingShape">
                    <wps:wsp>
                      <wps:cNvSpPr txBox="1"/>
                      <wps:spPr>
                        <a:xfrm>
                          <a:off x="0" y="0"/>
                          <a:ext cx="37465" cy="270510"/>
                        </a:xfrm>
                        <a:prstGeom prst="rect"/>
                        <a:solidFill>
                          <a:srgbClr val="FFFFFF"/>
                        </a:solidFill>
                      </wps:spPr>
                      <wps:txbx>
                        <w:txbxContent>
                          <w:p>
                            <w:pPr>
                              <w:pStyle w:val="TextBody"/>
                              <w:bidi w:val="0"/>
                              <w:spacing w:lineRule="atLeast" w:line="142" w:before="0" w:after="283"/>
                              <w:jc w:val="left"/>
                              <w:rPr>
                                <w:sz w:val="12"/>
                              </w:rPr>
                            </w:pPr>
                            <w:r>
                              <w:rPr>
                                <w:sz w:val="12"/>
                              </w:rPr>
                              <w:t>*</w:t>
                              <w:br/>
                            </w:r>
                          </w:p>
                        </w:txbxContent>
                      </wps:txbx>
                      <wps:bodyPr anchor="t" lIns="0" tIns="0" rIns="0" bIns="0">
                        <a:noAutofit/>
                      </wps:bodyPr>
                    </wps:wsp>
                  </a:graphicData>
                </a:graphic>
              </wp:anchor>
            </w:drawing>
          </mc:Choice>
          <mc:Fallback>
            <w:pict>
              <v:rect style="position:absolute;rotation:-0;width:2.95pt;height:21.3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12"/>
                        </w:rPr>
                        <w:t>*</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08"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Death or Disability Accelerated Vesting. Under the Acceleration Policy, except in the case of the CEO Time-Based RSUs and CEO Performance RSUs, upon the death or disability of a NEO on December 31, 2023, all of such NEO’s outstanding equity awards would have vested. Assumes the Company, in its discretion, would accelerate vesting on Mr. Winterhoff’s promised, but not yet granted, PSUs valued at $6,000,000.</w:t>
      </w:r>
      <w:r>
        <mc:AlternateContent>
          <mc:Choice Requires="wps">
            <w:drawing>
              <wp:anchor behindDoc="0" distT="68580" distB="0" distL="0" distR="0" simplePos="0" locked="0" layoutInCell="1" allowOverlap="1" relativeHeight="249">
                <wp:simplePos x="0" y="0"/>
                <wp:positionH relativeFrom="column">
                  <wp:align>left</wp:align>
                </wp:positionH>
                <wp:positionV relativeFrom="line">
                  <wp:align>top</wp:align>
                </wp:positionV>
                <wp:extent cx="81915" cy="270510"/>
                <wp:effectExtent l="0" t="0" r="0" b="0"/>
                <wp:wrapSquare wrapText="right"/>
                <wp:docPr id="241" name="Frame178"/>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(1)</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5.4pt;mso-wrap-distance-bottom:0pt;margin-top:5.4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08"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Cash Severance. Under the Executive Severance Plan, the amount includes (i) for a qualifying non-Change in Control Termination, base salary continuation for the number of months set forth in the NEO’s participation agreement (12 months for Mr. Rawlinson, six months for Mr. Dhingra, and nine months for Messrs. Winterhoff, Bach, and Bell); and (ii) for a qualifying Change in Control Termination, a lump-sum payment equal to the sum of the NEO’s annual base salary and target annual cash incentive divided by 12, and multiplied by the number of months set forth in the NEO’s participation agreement (18 months for Mr. Rawlinson, nine months for Mr. Dhingra, and 12 months for Messrs. Winterhoff, Bach, and Bell). Pursuant to the terms of Mr. Winterhoff’s offer letter, he is eligible to receive a prorated bonus upon a qualified non-Change in Control Termination. Since Mr. Winterhoff commenced services with us on December 4, 2023, he was not eligible to participate in the 2023 annual cash incentive program. As such, no bonus is included within his severance amounts.</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8580" distB="0" distL="0" distR="0" simplePos="0" locked="0" layoutInCell="1" allowOverlap="1" relativeHeight="250">
                <wp:simplePos x="0" y="0"/>
                <wp:positionH relativeFrom="column">
                  <wp:align>left</wp:align>
                </wp:positionH>
                <wp:positionV relativeFrom="line">
                  <wp:align>top</wp:align>
                </wp:positionV>
                <wp:extent cx="81915" cy="270510"/>
                <wp:effectExtent l="0" t="0" r="0" b="0"/>
                <wp:wrapSquare wrapText="right"/>
                <wp:docPr id="242" name="Frame179"/>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(2)</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5.4pt;mso-wrap-distance-bottom:0pt;margin-top:5.4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(2)</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08"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2021 CEO Grant. Upon a termination for any reason that is not in connection with a change in control, the unvested CEO Time-Based RSUs would be forfeited; and forfeiture is assumed for the unvested CEO Performance RSUs, which would remain outstanding for six months following such termination and may vest to the extent that the applicable six-month market capitalization threshold has been satisfied. For a Change in Control Termination, the amount includes the unvested CEO Time-Based RSUs as of December 31, 2023 valued at $4.21 per share. The CEO Performance RSUs would vest to the extent the change in control value (the product of the number of shares outstanding as of such date and the per share price received in the change in control) equaled or exceeded the six-month market capitalization threshold applicable to such tranche. Assuming a per share price in such a hypothetical change in control on December 31, 2023 equal to $4.21, the outstanding CEO Performance RSUs would not have vested and would have been forfeited upon such change in control. Refer to “Compensation Discussion and Analysis – 2021 CEO Grant” for additional information regarding the CEO Time-Based RSUs and CEO Performance RSUs. No value is attributable to the outstanding stock options, which were fully vested prior to December 31, 2023.</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8580" distB="0" distL="0" distR="0" simplePos="0" locked="0" layoutInCell="1" allowOverlap="1" relativeHeight="251">
                <wp:simplePos x="0" y="0"/>
                <wp:positionH relativeFrom="column">
                  <wp:align>left</wp:align>
                </wp:positionH>
                <wp:positionV relativeFrom="line">
                  <wp:align>top</wp:align>
                </wp:positionV>
                <wp:extent cx="81915" cy="270510"/>
                <wp:effectExtent l="0" t="0" r="0" b="0"/>
                <wp:wrapSquare wrapText="right"/>
                <wp:docPr id="243" name="Frame180"/>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(3)</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5.4pt;mso-wrap-distance-bottom:0pt;margin-top:5.4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(3)</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 xml:space="preserve">Qualified Non-Change in Control Termination. In general, under the Executive Severance Plan, unvested equity awards are forfeited upon the NEO’s termination for any reason that is not in connection with a change in control. However, vesting for equity awards granted prior to the July 23, 2021 effective date of the Executive Severance Plan (the “Effective Date”) accelerate by a percentage equal to 25% plus 5% for each year of service, up to a maximum of 50% (the “Applicable Percentage”). Mr. Bach’s unvested equity awards granted prior to the Effective Date </w:t>
      </w:r>
      <w:r>
        <mc:AlternateContent>
          <mc:Choice Requires="wps">
            <w:drawing>
              <wp:anchor behindDoc="0" distT="69850" distB="0" distL="0" distR="0" simplePos="0" locked="0" layoutInCell="1" allowOverlap="1" relativeHeight="252">
                <wp:simplePos x="0" y="0"/>
                <wp:positionH relativeFrom="column">
                  <wp:align>left</wp:align>
                </wp:positionH>
                <wp:positionV relativeFrom="line">
                  <wp:align>top</wp:align>
                </wp:positionV>
                <wp:extent cx="81915" cy="270510"/>
                <wp:effectExtent l="0" t="0" r="0" b="0"/>
                <wp:wrapSquare wrapText="right"/>
                <wp:docPr id="244" name="Frame181"/>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(4)</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(4)</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68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42" w:before="840" w:after="283"/>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include 206,560 RSUs and 192,793 options with an exercise price of  $0.93 per share, the value of a share is $4.21, and his Applicable Percentage is 50%. Mr. Bell’s unvested equity awards granted prior to the Effective Date include 247,875 RSUs, the value of a share is $4.21, and his Applicable Percentage is 40%. Messrs. Gagan and Winterhoff do not have any equity awards that were granted prior to the Effective Date. Pursuant to Mr. Winterhoff’s offer letter, his unvested equity awards in the form of 713,911 RSUs and 713,910 Premium-Priced Options with an exercise price of  $5.25 fully accelerate upon his qualifying termination. The amount for Mr. Winterhoff includes the unvested RSUs valued at $4.21 per share; and unvested stock options valued by multiplying (i) the difference between (a) $4.21 and (b) $5.25, the exercise price per share for each option by (but not below zero) by (ii) the number of unvested shares subject to the option. Mr. Winterhoff’s amount also includes the $6,000,000 in promised, but not yet granted, PSUs.</w:t>
      </w:r>
      <w:r>
        <w:rPr>
          <w:rFonts w:ascii="Helvetica;Arial;sans-serif" w:hAnsi="Helvetica;Arial;sans-serif"/>
          <w:b w:val="false"/>
          <w:i w:val="false"/>
          <w:caps w:val="false"/>
          <w:smallCaps w:val="false"/>
          <w:color w:val="000000"/>
          <w:spacing w:val="2"/>
          <w:sz w:val="12"/>
        </w:rPr>
        <w:t xml:space="preserve"> </w:t>
      </w:r>
    </w:p>
    <w:p>
      <w:pPr>
        <w:pStyle w:val="TextBody"/>
        <w:bidi w:val="0"/>
        <w:spacing w:lineRule="atLeast" w:line="142" w:before="11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Qualified Change in Control Termination. Amount includes the value of unvested options computed by multiplying (i) the difference between (a) $4.21 and (b) the exercise price per share for each option (but not below zero) by (ii) the number of unvested shares subject to the option. Amount also includes unvested RSUs and PSUs valued at $4.21 per share based on target performance with respect to PSUs. For Mr. Winterhoff, the amount also includes the promised, but not yet granted PSUs valued at $6,000,000.</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53">
                <wp:simplePos x="0" y="0"/>
                <wp:positionH relativeFrom="column">
                  <wp:align>left</wp:align>
                </wp:positionH>
                <wp:positionV relativeFrom="line">
                  <wp:align>top</wp:align>
                </wp:positionV>
                <wp:extent cx="81915" cy="525780"/>
                <wp:effectExtent l="0" t="0" r="0" b="0"/>
                <wp:wrapSquare wrapText="right"/>
                <wp:docPr id="245" name="Frame182"/>
                <a:graphic xmlns:a="http://schemas.openxmlformats.org/drawingml/2006/main">
                  <a:graphicData uri="http://schemas.microsoft.com/office/word/2010/wordprocessingShape">
                    <wps:wsp>
                      <wps:cNvSpPr txBox="1"/>
                      <wps:spPr>
                        <a:xfrm>
                          <a:off x="0" y="0"/>
                          <a:ext cx="81915" cy="525780"/>
                        </a:xfrm>
                        <a:prstGeom prst="rect"/>
                        <a:solidFill>
                          <a:srgbClr val="FFFFFF"/>
                        </a:solidFill>
                      </wps:spPr>
                      <wps:txbx>
                        <w:txbxContent>
                          <w:p>
                            <w:pPr>
                              <w:pStyle w:val="TextBody"/>
                              <w:bidi w:val="0"/>
                              <w:spacing w:lineRule="atLeast" w:line="142" w:before="0" w:after="283"/>
                              <w:jc w:val="left"/>
                              <w:rPr/>
                            </w:pPr>
                            <w:r>
                              <w:rPr>
                                <w:sz w:val="9"/>
                              </w:rPr>
                              <w:t>(5)</w:t>
                            </w:r>
                            <w:r>
                              <w:rPr/>
                              <w:t xml:space="preserve"> </w:t>
                              <w:br/>
                            </w:r>
                          </w:p>
                        </w:txbxContent>
                      </wps:txbx>
                      <wps:bodyPr anchor="t" lIns="0" tIns="0" rIns="0" bIns="0">
                        <a:noAutofit/>
                      </wps:bodyPr>
                    </wps:wsp>
                  </a:graphicData>
                </a:graphic>
              </wp:anchor>
            </w:drawing>
          </mc:Choice>
          <mc:Fallback>
            <w:pict>
              <v:rect style="position:absolute;rotation:-0;width:6.45pt;height:41.4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pPr>
                      <w:r>
                        <w:rPr>
                          <w:sz w:val="9"/>
                        </w:rPr>
                        <w:t>(5)</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 xml:space="preserve">COBRA. Amount includes Company-paid COBRA premiums for medical, dental, and vision coverage continuation for the number of months set for the NEO’s participation agreement. For a qualifying non-Change in Control Termination: 12 months for Mr. Rawlinson, six months for Mr. Dhingra, and nine months for Messrs. Winterhoff, Bach, and Bell. For a qualifying Change in Control Termination: 18 months for Mr. Rawlinson, nine months for Mr. Dhingra, and 12 months for Messrs. Winterhoff, Bach, and Bell. In addition to the amount shown, the NEO would be entitled to receive a gross-up for applicable taxes on the Company-paid COBRA premiums. </w:t>
      </w:r>
      <w:r>
        <mc:AlternateContent>
          <mc:Choice Requires="wps">
            <w:drawing>
              <wp:anchor behindDoc="0" distT="69850" distB="0" distL="0" distR="0" simplePos="0" locked="0" layoutInCell="1" allowOverlap="1" relativeHeight="254">
                <wp:simplePos x="0" y="0"/>
                <wp:positionH relativeFrom="column">
                  <wp:align>left</wp:align>
                </wp:positionH>
                <wp:positionV relativeFrom="line">
                  <wp:align>top</wp:align>
                </wp:positionV>
                <wp:extent cx="81915" cy="525780"/>
                <wp:effectExtent l="0" t="0" r="0" b="0"/>
                <wp:wrapSquare wrapText="right"/>
                <wp:docPr id="246" name="Frame183"/>
                <a:graphic xmlns:a="http://schemas.openxmlformats.org/drawingml/2006/main">
                  <a:graphicData uri="http://schemas.microsoft.com/office/word/2010/wordprocessingShape">
                    <wps:wsp>
                      <wps:cNvSpPr txBox="1"/>
                      <wps:spPr>
                        <a:xfrm>
                          <a:off x="0" y="0"/>
                          <a:ext cx="81915" cy="525780"/>
                        </a:xfrm>
                        <a:prstGeom prst="rect"/>
                        <a:solidFill>
                          <a:srgbClr val="FFFFFF"/>
                        </a:solidFill>
                      </wps:spPr>
                      <wps:txbx>
                        <w:txbxContent>
                          <w:p>
                            <w:pPr>
                              <w:pStyle w:val="TextBody"/>
                              <w:bidi w:val="0"/>
                              <w:spacing w:lineRule="atLeast" w:line="142" w:before="0" w:after="283"/>
                              <w:jc w:val="left"/>
                              <w:rPr/>
                            </w:pPr>
                            <w:r>
                              <w:rPr>
                                <w:sz w:val="9"/>
                              </w:rPr>
                              <w:t>(6)</w:t>
                            </w:r>
                            <w:r>
                              <w:rPr/>
                              <w:t xml:space="preserve"> </w:t>
                              <w:br/>
                            </w:r>
                          </w:p>
                        </w:txbxContent>
                      </wps:txbx>
                      <wps:bodyPr anchor="t" lIns="0" tIns="0" rIns="0" bIns="0">
                        <a:noAutofit/>
                      </wps:bodyPr>
                    </wps:wsp>
                  </a:graphicData>
                </a:graphic>
              </wp:anchor>
            </w:drawing>
          </mc:Choice>
          <mc:Fallback>
            <w:pict>
              <v:rect style="position:absolute;rotation:-0;width:6.45pt;height:41.4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pPr>
                      <w:r>
                        <w:rPr>
                          <w:sz w:val="9"/>
                        </w:rPr>
                        <w:t>(6)</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69</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DICO"/>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283"/>
        <w:ind w:left="720" w:right="0" w:hanging="0"/>
        <w:jc w:val="left"/>
        <w:rPr>
          <w:rFonts w:ascii="Times New Roman;Garamond;serif" w:hAnsi="Times New Roman;Garamond;serif"/>
          <w:b/>
          <w:i w:val="false"/>
          <w:caps w:val="false"/>
          <w:smallCaps w:val="false"/>
          <w:color w:val="000000"/>
          <w:sz w:val="40"/>
        </w:rPr>
      </w:pPr>
      <w:r>
        <w:rPr>
          <w:rFonts w:ascii="Times New Roman;Garamond;serif" w:hAnsi="Times New Roman;Garamond;serif"/>
          <w:b/>
          <w:i w:val="false"/>
          <w:caps w:val="false"/>
          <w:smallCaps w:val="false"/>
          <w:color w:val="000000"/>
          <w:sz w:val="40"/>
        </w:rPr>
        <w:t>Director Compensation</w:t>
      </w:r>
      <w:r>
        <w:rPr>
          <w:rFonts w:ascii="Times New Roman;Garamond;serif" w:hAnsi="Times New Roman;Garamond;serif"/>
          <w:b/>
          <w:i w:val="false"/>
          <w:caps w:val="false"/>
          <w:smallCaps w:val="false"/>
          <w:color w:val="000000"/>
          <w:spacing w:val="8"/>
          <w:sz w:val="40"/>
        </w:rPr>
        <w:t xml:space="preserve"> </w:t>
      </w:r>
    </w:p>
    <w:p>
      <w:pPr>
        <w:pStyle w:val="TextBody"/>
        <w:bidi w:val="0"/>
        <w:spacing w:lineRule="atLeast" w:line="230" w:before="40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Currently, our director compensation program permits our non-employee directors to receive the following annual retainers and annual equity compensation grants: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146"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i w:val="false"/>
          <w:caps w:val="false"/>
          <w:smallCaps w:val="false"/>
          <w:color w:val="000000"/>
          <w:sz w:val="18"/>
        </w:rPr>
        <w:t>Board Member:</w:t>
      </w:r>
      <w:r>
        <w:rPr>
          <w:rFonts w:ascii="Helvetica;Arial;sans-serif" w:hAnsi="Helvetica;Arial;sans-serif"/>
          <w:b w:val="false"/>
          <w:i w:val="false"/>
          <w:caps w:val="false"/>
          <w:smallCaps w:val="false"/>
          <w:color w:val="000000"/>
          <w:sz w:val="18"/>
        </w:rPr>
        <w:t xml:space="preserve"> $280,000, of which $30,000 is an annual cash retainer paid in quarterly installments and $250,000 of which is an annual equity retainer in the form of RSUs vesting in full on the earlier of one year following grant and the date of the next annual meeting following the grant, subject to the director’s continued service as of the applicable vesting date. For new directors, the initial equity retainer is $375,000 (instead of  $250,000) in RSUs which vest in three equal installments on the first, second, and third anniversary of the director’s service commencement date.</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2710" distB="0" distL="0" distR="0" simplePos="0" locked="0" layoutInCell="1" allowOverlap="1" relativeHeight="255">
                <wp:simplePos x="0" y="0"/>
                <wp:positionH relativeFrom="column">
                  <wp:align>left</wp:align>
                </wp:positionH>
                <wp:positionV relativeFrom="line">
                  <wp:align>top</wp:align>
                </wp:positionV>
                <wp:extent cx="114300" cy="502920"/>
                <wp:effectExtent l="0" t="0" r="0" b="0"/>
                <wp:wrapSquare wrapText="right"/>
                <wp:docPr id="247" name="Frame184"/>
                <a:graphic xmlns:a="http://schemas.openxmlformats.org/drawingml/2006/main">
                  <a:graphicData uri="http://schemas.microsoft.com/office/word/2010/wordprocessingShape">
                    <wps:wsp>
                      <wps:cNvSpPr txBox="1"/>
                      <wps:spPr>
                        <a:xfrm>
                          <a:off x="0" y="0"/>
                          <a:ext cx="114300" cy="50292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39.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sz w:val="18"/>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i w:val="false"/>
          <w:caps w:val="false"/>
          <w:smallCaps w:val="false"/>
          <w:color w:val="000000"/>
          <w:sz w:val="18"/>
        </w:rPr>
        <w:t>Independent Chairman:</w:t>
      </w:r>
      <w:r>
        <w:rPr>
          <w:rFonts w:ascii="Helvetica;Arial;sans-serif" w:hAnsi="Helvetica;Arial;sans-serif"/>
          <w:b w:val="false"/>
          <w:i w:val="false"/>
          <w:caps w:val="false"/>
          <w:smallCaps w:val="false"/>
          <w:color w:val="000000"/>
          <w:sz w:val="18"/>
        </w:rPr>
        <w:t xml:space="preserve"> An additional $30,000 is paid for service as an independent Chairman of the Board, as an annual cash retainer.</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80010" distB="0" distL="0" distR="0" simplePos="0" locked="0" layoutInCell="1" allowOverlap="1" relativeHeight="256">
                <wp:simplePos x="0" y="0"/>
                <wp:positionH relativeFrom="column">
                  <wp:align>left</wp:align>
                </wp:positionH>
                <wp:positionV relativeFrom="line">
                  <wp:align>top</wp:align>
                </wp:positionV>
                <wp:extent cx="114300" cy="502920"/>
                <wp:effectExtent l="0" t="0" r="0" b="0"/>
                <wp:wrapSquare wrapText="right"/>
                <wp:docPr id="248" name="Frame185"/>
                <a:graphic xmlns:a="http://schemas.openxmlformats.org/drawingml/2006/main">
                  <a:graphicData uri="http://schemas.microsoft.com/office/word/2010/wordprocessingShape">
                    <wps:wsp>
                      <wps:cNvSpPr txBox="1"/>
                      <wps:spPr>
                        <a:xfrm>
                          <a:off x="0" y="0"/>
                          <a:ext cx="114300" cy="50292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39.6pt;mso-wrap-distance-left:0pt;mso-wrap-distance-right:0pt;mso-wrap-distance-top:6.3pt;mso-wrap-distance-bottom:0pt;margin-top:6.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sz w:val="18"/>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i w:val="false"/>
          <w:caps w:val="false"/>
          <w:smallCaps w:val="false"/>
          <w:color w:val="000000"/>
          <w:sz w:val="18"/>
        </w:rPr>
        <w:t>Committee Chairs:</w:t>
      </w:r>
      <w:r>
        <w:rPr>
          <w:rFonts w:ascii="Helvetica;Arial;sans-serif" w:hAnsi="Helvetica;Arial;sans-serif"/>
          <w:b w:val="false"/>
          <w:i w:val="false"/>
          <w:caps w:val="false"/>
          <w:smallCaps w:val="false"/>
          <w:color w:val="000000"/>
          <w:sz w:val="18"/>
        </w:rPr>
        <w:t xml:space="preserve"> Chairs of the audit, compensation and human capital, nominating and corporate governance, and executive committees receive an additional $20,000, $15,000, $8,000, and $20,000, respectively, as an annual cash retainer.</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80010" distB="0" distL="0" distR="0" simplePos="0" locked="0" layoutInCell="1" allowOverlap="1" relativeHeight="257">
                <wp:simplePos x="0" y="0"/>
                <wp:positionH relativeFrom="column">
                  <wp:align>left</wp:align>
                </wp:positionH>
                <wp:positionV relativeFrom="line">
                  <wp:align>top</wp:align>
                </wp:positionV>
                <wp:extent cx="114300" cy="502920"/>
                <wp:effectExtent l="0" t="0" r="0" b="0"/>
                <wp:wrapSquare wrapText="right"/>
                <wp:docPr id="249" name="Frame186"/>
                <a:graphic xmlns:a="http://schemas.openxmlformats.org/drawingml/2006/main">
                  <a:graphicData uri="http://schemas.microsoft.com/office/word/2010/wordprocessingShape">
                    <wps:wsp>
                      <wps:cNvSpPr txBox="1"/>
                      <wps:spPr>
                        <a:xfrm>
                          <a:off x="0" y="0"/>
                          <a:ext cx="114300" cy="50292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39.6pt;mso-wrap-distance-left:0pt;mso-wrap-distance-right:0pt;mso-wrap-distance-top:6.3pt;mso-wrap-distance-bottom:0pt;margin-top:6.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sz w:val="18"/>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i w:val="false"/>
          <w:caps w:val="false"/>
          <w:smallCaps w:val="false"/>
          <w:color w:val="000000"/>
          <w:sz w:val="18"/>
        </w:rPr>
        <w:t>Committee Members:</w:t>
      </w:r>
      <w:r>
        <w:rPr>
          <w:rFonts w:ascii="Helvetica;Arial;sans-serif" w:hAnsi="Helvetica;Arial;sans-serif"/>
          <w:b w:val="false"/>
          <w:i w:val="false"/>
          <w:caps w:val="false"/>
          <w:smallCaps w:val="false"/>
          <w:color w:val="000000"/>
          <w:sz w:val="18"/>
        </w:rPr>
        <w:t xml:space="preserve"> Members of the audit, compensation and human capital, nominating and corporate governance, and executive committees receive an additional $10,000, $7,500, $4,000, and $10,000, respectively, as an annual cash retainer.</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80010" distB="0" distL="0" distR="0" simplePos="0" locked="0" layoutInCell="1" allowOverlap="1" relativeHeight="258">
                <wp:simplePos x="0" y="0"/>
                <wp:positionH relativeFrom="column">
                  <wp:align>left</wp:align>
                </wp:positionH>
                <wp:positionV relativeFrom="line">
                  <wp:align>top</wp:align>
                </wp:positionV>
                <wp:extent cx="114300" cy="502920"/>
                <wp:effectExtent l="0" t="0" r="0" b="0"/>
                <wp:wrapSquare wrapText="right"/>
                <wp:docPr id="250" name="Frame187"/>
                <a:graphic xmlns:a="http://schemas.openxmlformats.org/drawingml/2006/main">
                  <a:graphicData uri="http://schemas.microsoft.com/office/word/2010/wordprocessingShape">
                    <wps:wsp>
                      <wps:cNvSpPr txBox="1"/>
                      <wps:spPr>
                        <a:xfrm>
                          <a:off x="0" y="0"/>
                          <a:ext cx="114300" cy="50292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39.6pt;mso-wrap-distance-left:0pt;mso-wrap-distance-right:0pt;mso-wrap-distance-top:6.3pt;mso-wrap-distance-bottom:0pt;margin-top:6.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sz w:val="18"/>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3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We also reimburse all of our directors for (i) up to $10,000 annually for director educational programs and (ii) their reasonable travel and other expenses incurred in attending meetings of the Board or committees and training and educational conferences.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Pursuant to our Second Amended and Restated 2021 Stock Incentive Plan, we permit directors to elect to defer settlement (beyond vesting) of annual RSUs granted following the conclusion of each regular annual meeting of stockholders, commencing with the 2022 annual meeting of stockholders. Such an election generally only applies to annual RSU awards granted after the year the election is made and will continue to apply to future annual RSU awards unless the director revokes the election with respect to annual RSU awards granted after the year of revocation. Deferred RSUs, together with any additional RSUs credited by reason of a dividend paid by us, are settled upon the earlier of  (i) termination of service and (ii) a change in control.</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12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following table reflects information with respect to the compensation of all non-employee directors of the Company for 2023. For 2023 (i.e., prior to the above-referenced increases), the annual equity retainer was $180,000 and the initial equity retainer for new directors was $270,000.</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1827"/>
        <w:gridCol w:w="109"/>
        <w:gridCol w:w="109"/>
        <w:gridCol w:w="114"/>
        <w:gridCol w:w="114"/>
        <w:gridCol w:w="804"/>
        <w:gridCol w:w="114"/>
        <w:gridCol w:w="109"/>
        <w:gridCol w:w="109"/>
        <w:gridCol w:w="111"/>
        <w:gridCol w:w="111"/>
        <w:gridCol w:w="910"/>
        <w:gridCol w:w="111"/>
        <w:gridCol w:w="109"/>
        <w:gridCol w:w="109"/>
        <w:gridCol w:w="151"/>
        <w:gridCol w:w="151"/>
        <w:gridCol w:w="483"/>
        <w:gridCol w:w="153"/>
        <w:gridCol w:w="109"/>
        <w:gridCol w:w="109"/>
        <w:gridCol w:w="146"/>
        <w:gridCol w:w="146"/>
        <w:gridCol w:w="1034"/>
        <w:gridCol w:w="149"/>
        <w:gridCol w:w="109"/>
        <w:gridCol w:w="109"/>
        <w:gridCol w:w="132"/>
        <w:gridCol w:w="132"/>
        <w:gridCol w:w="1078"/>
        <w:gridCol w:w="133"/>
        <w:gridCol w:w="167"/>
      </w:tblGrid>
      <w:tr>
        <w:trPr/>
        <w:tc>
          <w:tcPr>
            <w:tcW w:w="124" w:type="dxa"/>
            <w:tcBorders/>
            <w:shd w:fill="000000" w:val="clear"/>
            <w:vAlign w:val="center"/>
          </w:tcPr>
          <w:p>
            <w:pPr>
              <w:pStyle w:val="TableContents"/>
              <w:bidi w:val="0"/>
              <w:spacing w:before="0" w:after="283"/>
              <w:jc w:val="left"/>
              <w:rPr/>
            </w:pPr>
            <w:r>
              <w:rPr/>
              <w:t>​</w:t>
            </w:r>
          </w:p>
        </w:tc>
        <w:tc>
          <w:tcPr>
            <w:tcW w:w="1827" w:type="dxa"/>
            <w:tcBorders/>
            <w:shd w:fill="000000" w:val="clear"/>
            <w:vAlign w:val="center"/>
          </w:tcPr>
          <w:p>
            <w:pPr>
              <w:pStyle w:val="TableContents"/>
              <w:bidi w:val="0"/>
              <w:spacing w:before="0" w:after="0"/>
              <w:jc w:val="left"/>
              <w:rPr/>
            </w:pPr>
            <w:r>
              <w:rPr/>
              <w:t xml:space="preserve">Name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146" w:type="dxa"/>
            <w:gridSpan w:val="4"/>
            <w:tcBorders/>
            <w:shd w:fill="000000" w:val="clear"/>
            <w:vAlign w:val="center"/>
          </w:tcPr>
          <w:p>
            <w:pPr>
              <w:pStyle w:val="TableContents"/>
              <w:bidi w:val="0"/>
              <w:spacing w:before="0" w:after="0"/>
              <w:jc w:val="center"/>
              <w:rPr/>
            </w:pPr>
            <w:r>
              <w:rPr/>
              <w:t xml:space="preserve">Fees Earned or </w:t>
              <w:br/>
              <w:t xml:space="preserve">Paid in Cash </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43" w:type="dxa"/>
            <w:gridSpan w:val="4"/>
            <w:tcBorders/>
            <w:shd w:fill="000000" w:val="clear"/>
            <w:vAlign w:val="center"/>
          </w:tcPr>
          <w:p>
            <w:pPr>
              <w:pStyle w:val="TableContents"/>
              <w:bidi w:val="0"/>
              <w:spacing w:lineRule="atLeast" w:line="142" w:before="0" w:after="0"/>
              <w:jc w:val="center"/>
              <w:rPr/>
            </w:pPr>
            <w:r>
              <w:rPr/>
              <w:t xml:space="preserve">Stock Awards </w:t>
              <w:br/>
              <w:t>($)</w:t>
            </w:r>
            <w:r>
              <w:rPr>
                <w:sz w:val="9"/>
              </w:rPr>
              <w:t>(1)</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938" w:type="dxa"/>
            <w:gridSpan w:val="4"/>
            <w:tcBorders/>
            <w:shd w:fill="000000" w:val="clear"/>
            <w:vAlign w:val="center"/>
          </w:tcPr>
          <w:p>
            <w:pPr>
              <w:pStyle w:val="TableContents"/>
              <w:bidi w:val="0"/>
              <w:spacing w:before="0" w:after="0"/>
              <w:jc w:val="center"/>
              <w:rPr/>
            </w:pPr>
            <w:r>
              <w:rPr/>
              <w:t xml:space="preserve">Option Awards </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75" w:type="dxa"/>
            <w:gridSpan w:val="4"/>
            <w:tcBorders/>
            <w:shd w:fill="000000" w:val="clear"/>
            <w:vAlign w:val="center"/>
          </w:tcPr>
          <w:p>
            <w:pPr>
              <w:pStyle w:val="TableContents"/>
              <w:bidi w:val="0"/>
              <w:spacing w:lineRule="atLeast" w:line="142" w:before="0" w:after="0"/>
              <w:jc w:val="center"/>
              <w:rPr/>
            </w:pPr>
            <w:r>
              <w:rPr/>
              <w:t xml:space="preserve">All Other </w:t>
              <w:br/>
              <w:t xml:space="preserve">Compensation </w:t>
              <w:br/>
              <w:t>($)</w:t>
            </w:r>
            <w:r>
              <w:rPr>
                <w:sz w:val="9"/>
              </w:rPr>
              <w:t>(2)</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475" w:type="dxa"/>
            <w:gridSpan w:val="4"/>
            <w:tcBorders/>
            <w:shd w:fill="000000" w:val="clear"/>
            <w:vAlign w:val="center"/>
          </w:tcPr>
          <w:p>
            <w:pPr>
              <w:pStyle w:val="TableContents"/>
              <w:bidi w:val="0"/>
              <w:spacing w:before="0" w:after="0"/>
              <w:jc w:val="center"/>
              <w:rPr/>
            </w:pPr>
            <w:r>
              <w:rPr/>
              <w:t xml:space="preserve">Total </w:t>
              <w:br/>
              <w:t xml:space="preserve">Compensation </w:t>
              <w:br/>
              <w:t xml:space="preserve">($) </w:t>
            </w:r>
          </w:p>
        </w:tc>
        <w:tc>
          <w:tcPr>
            <w:tcW w:w="167"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827" w:type="dxa"/>
            <w:tcBorders>
              <w:bottom w:val="single" w:sz="6" w:space="0" w:color="000000"/>
            </w:tcBorders>
            <w:tcMar>
              <w:bottom w:w="145" w:type="dxa"/>
            </w:tcMar>
            <w:vAlign w:val="center"/>
          </w:tcPr>
          <w:p>
            <w:pPr>
              <w:pStyle w:val="TableContents"/>
              <w:bidi w:val="0"/>
              <w:spacing w:before="0" w:after="283"/>
              <w:jc w:val="left"/>
              <w:rPr/>
            </w:pPr>
            <w:r>
              <w:rPr/>
              <w:t xml:space="preserve">Turqi Alnowaiser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145" w:type="dxa"/>
            </w:tcMar>
            <w:vAlign w:val="center"/>
          </w:tcPr>
          <w:p>
            <w:pPr>
              <w:pStyle w:val="TableContents"/>
              <w:bidi w:val="0"/>
              <w:spacing w:before="0" w:after="283"/>
              <w:jc w:val="right"/>
              <w:rPr/>
            </w:pPr>
            <w:r>
              <w:rPr/>
              <w:t>​</w:t>
            </w:r>
          </w:p>
        </w:tc>
        <w:tc>
          <w:tcPr>
            <w:tcW w:w="804" w:type="dxa"/>
            <w:tcBorders>
              <w:bottom w:val="single" w:sz="6" w:space="0" w:color="000000"/>
            </w:tcBorders>
            <w:tcMar>
              <w:bottom w:w="145" w:type="dxa"/>
            </w:tcMar>
            <w:vAlign w:val="center"/>
          </w:tcPr>
          <w:p>
            <w:pPr>
              <w:pStyle w:val="TableContents"/>
              <w:bidi w:val="0"/>
              <w:spacing w:before="0" w:after="283"/>
              <w:jc w:val="right"/>
              <w:rPr/>
            </w:pPr>
            <w:r>
              <w:rPr/>
              <w:t>75,473</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1" w:type="dxa"/>
            <w:tcBorders>
              <w:bottom w:val="single" w:sz="6" w:space="0" w:color="000000"/>
            </w:tcBorders>
            <w:tcMar>
              <w:bottom w:w="28" w:type="dxa"/>
            </w:tcMar>
            <w:vAlign w:val="center"/>
          </w:tcPr>
          <w:p>
            <w:pPr>
              <w:pStyle w:val="TableContents"/>
              <w:bidi w:val="0"/>
              <w:spacing w:before="0" w:after="283"/>
              <w:jc w:val="left"/>
              <w:rPr/>
            </w:pPr>
            <w:r>
              <w:rPr/>
              <w:t>​</w:t>
            </w:r>
          </w:p>
        </w:tc>
        <w:tc>
          <w:tcPr>
            <w:tcW w:w="111" w:type="dxa"/>
            <w:tcBorders>
              <w:bottom w:val="single" w:sz="6" w:space="0" w:color="000000"/>
            </w:tcBorders>
            <w:tcMar>
              <w:bottom w:w="145" w:type="dxa"/>
            </w:tcMar>
            <w:vAlign w:val="center"/>
          </w:tcPr>
          <w:p>
            <w:pPr>
              <w:pStyle w:val="TableContents"/>
              <w:bidi w:val="0"/>
              <w:spacing w:before="0" w:after="283"/>
              <w:jc w:val="right"/>
              <w:rPr/>
            </w:pPr>
            <w:r>
              <w:rPr/>
              <w:t>​</w:t>
            </w:r>
          </w:p>
        </w:tc>
        <w:tc>
          <w:tcPr>
            <w:tcW w:w="910" w:type="dxa"/>
            <w:tcBorders>
              <w:bottom w:val="single" w:sz="6" w:space="0" w:color="000000"/>
            </w:tcBorders>
            <w:tcMar>
              <w:bottom w:w="145" w:type="dxa"/>
            </w:tcMar>
            <w:vAlign w:val="center"/>
          </w:tcPr>
          <w:p>
            <w:pPr>
              <w:pStyle w:val="TableContents"/>
              <w:bidi w:val="0"/>
              <w:spacing w:before="0" w:after="283"/>
              <w:jc w:val="right"/>
              <w:rPr/>
            </w:pPr>
            <w:r>
              <w:rPr/>
              <w:t>225,806</w:t>
            </w:r>
          </w:p>
        </w:tc>
        <w:tc>
          <w:tcPr>
            <w:tcW w:w="11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1" w:type="dxa"/>
            <w:tcBorders>
              <w:bottom w:val="single" w:sz="6" w:space="0" w:color="000000"/>
            </w:tcBorders>
            <w:tcMar>
              <w:bottom w:w="28" w:type="dxa"/>
            </w:tcMar>
            <w:vAlign w:val="center"/>
          </w:tcPr>
          <w:p>
            <w:pPr>
              <w:pStyle w:val="TableContents"/>
              <w:bidi w:val="0"/>
              <w:spacing w:before="0" w:after="283"/>
              <w:jc w:val="left"/>
              <w:rPr/>
            </w:pPr>
            <w:r>
              <w:rPr/>
              <w:t>​</w:t>
            </w:r>
          </w:p>
        </w:tc>
        <w:tc>
          <w:tcPr>
            <w:tcW w:w="151" w:type="dxa"/>
            <w:tcBorders>
              <w:bottom w:val="single" w:sz="6" w:space="0" w:color="000000"/>
            </w:tcBorders>
            <w:tcMar>
              <w:bottom w:w="145" w:type="dxa"/>
            </w:tcMar>
            <w:vAlign w:val="center"/>
          </w:tcPr>
          <w:p>
            <w:pPr>
              <w:pStyle w:val="TableContents"/>
              <w:bidi w:val="0"/>
              <w:spacing w:before="0" w:after="283"/>
              <w:jc w:val="right"/>
              <w:rPr/>
            </w:pPr>
            <w:r>
              <w:rPr/>
              <w:t>​</w:t>
            </w:r>
          </w:p>
        </w:tc>
        <w:tc>
          <w:tcPr>
            <w:tcW w:w="483" w:type="dxa"/>
            <w:tcBorders>
              <w:bottom w:val="single" w:sz="6" w:space="0" w:color="000000"/>
            </w:tcBorders>
            <w:tcMar>
              <w:bottom w:w="145" w:type="dxa"/>
            </w:tcMar>
            <w:vAlign w:val="center"/>
          </w:tcPr>
          <w:p>
            <w:pPr>
              <w:pStyle w:val="TableContents"/>
              <w:bidi w:val="0"/>
              <w:spacing w:before="0" w:after="283"/>
              <w:jc w:val="right"/>
              <w:rPr/>
            </w:pPr>
            <w:r>
              <w:rPr/>
              <w:t>—</w:t>
            </w:r>
          </w:p>
        </w:tc>
        <w:tc>
          <w:tcPr>
            <w:tcW w:w="153"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6" w:type="dxa"/>
            <w:tcBorders>
              <w:bottom w:val="single" w:sz="6" w:space="0" w:color="000000"/>
            </w:tcBorders>
            <w:tcMar>
              <w:bottom w:w="28" w:type="dxa"/>
            </w:tcMar>
            <w:vAlign w:val="center"/>
          </w:tcPr>
          <w:p>
            <w:pPr>
              <w:pStyle w:val="TableContents"/>
              <w:bidi w:val="0"/>
              <w:spacing w:before="0" w:after="283"/>
              <w:jc w:val="left"/>
              <w:rPr/>
            </w:pPr>
            <w:r>
              <w:rPr/>
              <w:t>​</w:t>
            </w:r>
          </w:p>
        </w:tc>
        <w:tc>
          <w:tcPr>
            <w:tcW w:w="146" w:type="dxa"/>
            <w:tcBorders>
              <w:bottom w:val="single" w:sz="6" w:space="0" w:color="000000"/>
            </w:tcBorders>
            <w:tcMar>
              <w:bottom w:w="145" w:type="dxa"/>
            </w:tcMar>
            <w:vAlign w:val="center"/>
          </w:tcPr>
          <w:p>
            <w:pPr>
              <w:pStyle w:val="TableContents"/>
              <w:bidi w:val="0"/>
              <w:spacing w:before="0" w:after="283"/>
              <w:jc w:val="right"/>
              <w:rPr/>
            </w:pPr>
            <w:r>
              <w:rPr/>
              <w:t>​</w:t>
            </w:r>
          </w:p>
        </w:tc>
        <w:tc>
          <w:tcPr>
            <w:tcW w:w="1034" w:type="dxa"/>
            <w:tcBorders>
              <w:bottom w:val="single" w:sz="6" w:space="0" w:color="000000"/>
            </w:tcBorders>
            <w:tcMar>
              <w:bottom w:w="145" w:type="dxa"/>
            </w:tcMar>
            <w:vAlign w:val="center"/>
          </w:tcPr>
          <w:p>
            <w:pPr>
              <w:pStyle w:val="TableContents"/>
              <w:bidi w:val="0"/>
              <w:spacing w:before="0" w:after="283"/>
              <w:jc w:val="right"/>
              <w:rPr/>
            </w:pPr>
            <w:r>
              <w:rPr/>
              <w:t>—</w:t>
            </w:r>
          </w:p>
        </w:tc>
        <w:tc>
          <w:tcPr>
            <w:tcW w:w="14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 w:type="dxa"/>
            <w:tcBorders>
              <w:bottom w:val="single" w:sz="6" w:space="0" w:color="000000"/>
            </w:tcBorders>
            <w:tcMar>
              <w:bottom w:w="28" w:type="dxa"/>
            </w:tcMar>
            <w:vAlign w:val="center"/>
          </w:tcPr>
          <w:p>
            <w:pPr>
              <w:pStyle w:val="TableContents"/>
              <w:bidi w:val="0"/>
              <w:spacing w:before="0" w:after="283"/>
              <w:jc w:val="left"/>
              <w:rPr/>
            </w:pPr>
            <w:r>
              <w:rPr/>
              <w:t>​</w:t>
            </w:r>
          </w:p>
        </w:tc>
        <w:tc>
          <w:tcPr>
            <w:tcW w:w="132" w:type="dxa"/>
            <w:tcBorders>
              <w:bottom w:val="single" w:sz="6" w:space="0" w:color="000000"/>
            </w:tcBorders>
            <w:tcMar>
              <w:bottom w:w="145" w:type="dxa"/>
            </w:tcMar>
            <w:vAlign w:val="center"/>
          </w:tcPr>
          <w:p>
            <w:pPr>
              <w:pStyle w:val="TableContents"/>
              <w:bidi w:val="0"/>
              <w:spacing w:before="0" w:after="283"/>
              <w:jc w:val="right"/>
              <w:rPr/>
            </w:pPr>
            <w:r>
              <w:rPr/>
              <w:t>​</w:t>
            </w:r>
          </w:p>
        </w:tc>
        <w:tc>
          <w:tcPr>
            <w:tcW w:w="1078" w:type="dxa"/>
            <w:tcBorders>
              <w:bottom w:val="single" w:sz="6" w:space="0" w:color="000000"/>
            </w:tcBorders>
            <w:tcMar>
              <w:bottom w:w="145" w:type="dxa"/>
            </w:tcMar>
            <w:vAlign w:val="center"/>
          </w:tcPr>
          <w:p>
            <w:pPr>
              <w:pStyle w:val="TableContents"/>
              <w:bidi w:val="0"/>
              <w:spacing w:before="0" w:after="283"/>
              <w:jc w:val="right"/>
              <w:rPr/>
            </w:pPr>
            <w:r>
              <w:rPr/>
              <w:t>301,279</w:t>
            </w:r>
          </w:p>
        </w:tc>
        <w:tc>
          <w:tcPr>
            <w:tcW w:w="133" w:type="dxa"/>
            <w:tcBorders>
              <w:bottom w:val="single" w:sz="6" w:space="0" w:color="000000"/>
            </w:tcBorders>
            <w:tcMar>
              <w:bottom w:w="28" w:type="dxa"/>
            </w:tcMar>
            <w:vAlign w:val="center"/>
          </w:tcPr>
          <w:p>
            <w:pPr>
              <w:pStyle w:val="TableContents"/>
              <w:bidi w:val="0"/>
              <w:spacing w:before="0" w:after="283"/>
              <w:jc w:val="left"/>
              <w:rPr/>
            </w:pPr>
            <w:r>
              <w:rPr/>
              <w:t>​</w:t>
            </w:r>
          </w:p>
        </w:tc>
        <w:tc>
          <w:tcPr>
            <w:tcW w:w="167"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827" w:type="dxa"/>
            <w:tcBorders>
              <w:bottom w:val="single" w:sz="6" w:space="0" w:color="000000"/>
            </w:tcBorders>
            <w:shd w:fill="F7F7F7" w:val="clear"/>
            <w:tcMar>
              <w:bottom w:w="145" w:type="dxa"/>
            </w:tcMar>
            <w:vAlign w:val="center"/>
          </w:tcPr>
          <w:p>
            <w:pPr>
              <w:pStyle w:val="TableContents"/>
              <w:bidi w:val="0"/>
              <w:spacing w:before="0" w:after="283"/>
              <w:jc w:val="left"/>
              <w:rPr/>
            </w:pPr>
            <w:r>
              <w:rPr/>
              <w:t>Glenn R. August</w:t>
            </w:r>
            <w:r>
              <w:rPr>
                <w:sz w:val="10"/>
              </w:rPr>
              <w:t>(3)</w:t>
            </w: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804" w:type="dxa"/>
            <w:tcBorders>
              <w:bottom w:val="single" w:sz="6" w:space="0" w:color="000000"/>
            </w:tcBorders>
            <w:shd w:fill="F7F7F7" w:val="clear"/>
            <w:tcMar>
              <w:bottom w:w="145" w:type="dxa"/>
            </w:tcMar>
            <w:vAlign w:val="center"/>
          </w:tcPr>
          <w:p>
            <w:pPr>
              <w:pStyle w:val="TableContents"/>
              <w:bidi w:val="0"/>
              <w:spacing w:before="0" w:after="283"/>
              <w:jc w:val="right"/>
              <w:rPr/>
            </w:pPr>
            <w:r>
              <w:rPr/>
              <w:t>44,000</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1"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910" w:type="dxa"/>
            <w:tcBorders>
              <w:bottom w:val="single" w:sz="6" w:space="0" w:color="000000"/>
            </w:tcBorders>
            <w:shd w:fill="F7F7F7" w:val="clear"/>
            <w:tcMar>
              <w:bottom w:w="145" w:type="dxa"/>
            </w:tcMar>
            <w:vAlign w:val="center"/>
          </w:tcPr>
          <w:p>
            <w:pPr>
              <w:pStyle w:val="TableContents"/>
              <w:bidi w:val="0"/>
              <w:spacing w:before="0" w:after="283"/>
              <w:jc w:val="right"/>
              <w:rPr/>
            </w:pPr>
            <w:r>
              <w:rPr/>
              <w:t>225,806</w:t>
            </w:r>
          </w:p>
        </w:tc>
        <w:tc>
          <w:tcPr>
            <w:tcW w:w="11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1"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483"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53"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03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4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2"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2"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078" w:type="dxa"/>
            <w:tcBorders>
              <w:bottom w:val="single" w:sz="6" w:space="0" w:color="000000"/>
            </w:tcBorders>
            <w:shd w:fill="F7F7F7" w:val="clear"/>
            <w:tcMar>
              <w:bottom w:w="145" w:type="dxa"/>
            </w:tcMar>
            <w:vAlign w:val="center"/>
          </w:tcPr>
          <w:p>
            <w:pPr>
              <w:pStyle w:val="TableContents"/>
              <w:bidi w:val="0"/>
              <w:spacing w:before="0" w:after="283"/>
              <w:jc w:val="right"/>
              <w:rPr/>
            </w:pPr>
            <w:r>
              <w:rPr/>
              <w:t>269,806</w:t>
            </w:r>
          </w:p>
        </w:tc>
        <w:tc>
          <w:tcPr>
            <w:tcW w:w="133"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67"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827" w:type="dxa"/>
            <w:tcBorders>
              <w:bottom w:val="single" w:sz="6" w:space="0" w:color="000000"/>
            </w:tcBorders>
            <w:tcMar>
              <w:bottom w:w="145" w:type="dxa"/>
            </w:tcMar>
            <w:vAlign w:val="center"/>
          </w:tcPr>
          <w:p>
            <w:pPr>
              <w:pStyle w:val="TableContents"/>
              <w:bidi w:val="0"/>
              <w:spacing w:before="0" w:after="283"/>
              <w:jc w:val="left"/>
              <w:rPr/>
            </w:pPr>
            <w:r>
              <w:rPr/>
              <w:t xml:space="preserve">Andrew Liveris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145" w:type="dxa"/>
            </w:tcMar>
            <w:vAlign w:val="center"/>
          </w:tcPr>
          <w:p>
            <w:pPr>
              <w:pStyle w:val="TableContents"/>
              <w:bidi w:val="0"/>
              <w:spacing w:before="0" w:after="283"/>
              <w:jc w:val="right"/>
              <w:rPr/>
            </w:pPr>
            <w:r>
              <w:rPr/>
              <w:t>​</w:t>
            </w:r>
          </w:p>
        </w:tc>
        <w:tc>
          <w:tcPr>
            <w:tcW w:w="804" w:type="dxa"/>
            <w:tcBorders>
              <w:bottom w:val="single" w:sz="6" w:space="0" w:color="000000"/>
            </w:tcBorders>
            <w:tcMar>
              <w:bottom w:w="145" w:type="dxa"/>
            </w:tcMar>
            <w:vAlign w:val="center"/>
          </w:tcPr>
          <w:p>
            <w:pPr>
              <w:pStyle w:val="TableContents"/>
              <w:bidi w:val="0"/>
              <w:spacing w:before="0" w:after="283"/>
              <w:jc w:val="right"/>
              <w:rPr/>
            </w:pPr>
            <w:r>
              <w:rPr/>
              <w:t>67,527</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1" w:type="dxa"/>
            <w:tcBorders>
              <w:bottom w:val="single" w:sz="6" w:space="0" w:color="000000"/>
            </w:tcBorders>
            <w:tcMar>
              <w:bottom w:w="28" w:type="dxa"/>
            </w:tcMar>
            <w:vAlign w:val="center"/>
          </w:tcPr>
          <w:p>
            <w:pPr>
              <w:pStyle w:val="TableContents"/>
              <w:bidi w:val="0"/>
              <w:spacing w:before="0" w:after="283"/>
              <w:jc w:val="left"/>
              <w:rPr/>
            </w:pPr>
            <w:r>
              <w:rPr/>
              <w:t>​</w:t>
            </w:r>
          </w:p>
        </w:tc>
        <w:tc>
          <w:tcPr>
            <w:tcW w:w="111" w:type="dxa"/>
            <w:tcBorders>
              <w:bottom w:val="single" w:sz="6" w:space="0" w:color="000000"/>
            </w:tcBorders>
            <w:tcMar>
              <w:bottom w:w="145" w:type="dxa"/>
            </w:tcMar>
            <w:vAlign w:val="center"/>
          </w:tcPr>
          <w:p>
            <w:pPr>
              <w:pStyle w:val="TableContents"/>
              <w:bidi w:val="0"/>
              <w:spacing w:before="0" w:after="283"/>
              <w:jc w:val="right"/>
              <w:rPr/>
            </w:pPr>
            <w:r>
              <w:rPr/>
              <w:t>​</w:t>
            </w:r>
          </w:p>
        </w:tc>
        <w:tc>
          <w:tcPr>
            <w:tcW w:w="910" w:type="dxa"/>
            <w:tcBorders>
              <w:bottom w:val="single" w:sz="6" w:space="0" w:color="000000"/>
            </w:tcBorders>
            <w:tcMar>
              <w:bottom w:w="145" w:type="dxa"/>
            </w:tcMar>
            <w:vAlign w:val="center"/>
          </w:tcPr>
          <w:p>
            <w:pPr>
              <w:pStyle w:val="TableContents"/>
              <w:bidi w:val="0"/>
              <w:spacing w:before="0" w:after="283"/>
              <w:jc w:val="right"/>
              <w:rPr/>
            </w:pPr>
            <w:r>
              <w:rPr/>
              <w:t>225,806</w:t>
            </w:r>
          </w:p>
        </w:tc>
        <w:tc>
          <w:tcPr>
            <w:tcW w:w="11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1" w:type="dxa"/>
            <w:tcBorders>
              <w:bottom w:val="single" w:sz="6" w:space="0" w:color="000000"/>
            </w:tcBorders>
            <w:tcMar>
              <w:bottom w:w="28" w:type="dxa"/>
            </w:tcMar>
            <w:vAlign w:val="center"/>
          </w:tcPr>
          <w:p>
            <w:pPr>
              <w:pStyle w:val="TableContents"/>
              <w:bidi w:val="0"/>
              <w:spacing w:before="0" w:after="283"/>
              <w:jc w:val="left"/>
              <w:rPr/>
            </w:pPr>
            <w:r>
              <w:rPr/>
              <w:t>​</w:t>
            </w:r>
          </w:p>
        </w:tc>
        <w:tc>
          <w:tcPr>
            <w:tcW w:w="151" w:type="dxa"/>
            <w:tcBorders>
              <w:bottom w:val="single" w:sz="6" w:space="0" w:color="000000"/>
            </w:tcBorders>
            <w:tcMar>
              <w:bottom w:w="145" w:type="dxa"/>
            </w:tcMar>
            <w:vAlign w:val="center"/>
          </w:tcPr>
          <w:p>
            <w:pPr>
              <w:pStyle w:val="TableContents"/>
              <w:bidi w:val="0"/>
              <w:spacing w:before="0" w:after="283"/>
              <w:jc w:val="right"/>
              <w:rPr/>
            </w:pPr>
            <w:r>
              <w:rPr/>
              <w:t>​</w:t>
            </w:r>
          </w:p>
        </w:tc>
        <w:tc>
          <w:tcPr>
            <w:tcW w:w="483" w:type="dxa"/>
            <w:tcBorders>
              <w:bottom w:val="single" w:sz="6" w:space="0" w:color="000000"/>
            </w:tcBorders>
            <w:tcMar>
              <w:bottom w:w="145" w:type="dxa"/>
            </w:tcMar>
            <w:vAlign w:val="center"/>
          </w:tcPr>
          <w:p>
            <w:pPr>
              <w:pStyle w:val="TableContents"/>
              <w:bidi w:val="0"/>
              <w:spacing w:before="0" w:after="283"/>
              <w:jc w:val="right"/>
              <w:rPr/>
            </w:pPr>
            <w:r>
              <w:rPr/>
              <w:t>—</w:t>
            </w:r>
          </w:p>
        </w:tc>
        <w:tc>
          <w:tcPr>
            <w:tcW w:w="153"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6" w:type="dxa"/>
            <w:tcBorders>
              <w:bottom w:val="single" w:sz="6" w:space="0" w:color="000000"/>
            </w:tcBorders>
            <w:tcMar>
              <w:bottom w:w="28" w:type="dxa"/>
            </w:tcMar>
            <w:vAlign w:val="center"/>
          </w:tcPr>
          <w:p>
            <w:pPr>
              <w:pStyle w:val="TableContents"/>
              <w:bidi w:val="0"/>
              <w:spacing w:before="0" w:after="283"/>
              <w:jc w:val="left"/>
              <w:rPr/>
            </w:pPr>
            <w:r>
              <w:rPr/>
              <w:t>​</w:t>
            </w:r>
          </w:p>
        </w:tc>
        <w:tc>
          <w:tcPr>
            <w:tcW w:w="146" w:type="dxa"/>
            <w:tcBorders>
              <w:bottom w:val="single" w:sz="6" w:space="0" w:color="000000"/>
            </w:tcBorders>
            <w:tcMar>
              <w:bottom w:w="145" w:type="dxa"/>
            </w:tcMar>
            <w:vAlign w:val="center"/>
          </w:tcPr>
          <w:p>
            <w:pPr>
              <w:pStyle w:val="TableContents"/>
              <w:bidi w:val="0"/>
              <w:spacing w:before="0" w:after="283"/>
              <w:jc w:val="right"/>
              <w:rPr/>
            </w:pPr>
            <w:r>
              <w:rPr/>
              <w:t>​</w:t>
            </w:r>
          </w:p>
        </w:tc>
        <w:tc>
          <w:tcPr>
            <w:tcW w:w="1034" w:type="dxa"/>
            <w:tcBorders>
              <w:bottom w:val="single" w:sz="6" w:space="0" w:color="000000"/>
            </w:tcBorders>
            <w:tcMar>
              <w:bottom w:w="145" w:type="dxa"/>
            </w:tcMar>
            <w:vAlign w:val="center"/>
          </w:tcPr>
          <w:p>
            <w:pPr>
              <w:pStyle w:val="TableContents"/>
              <w:bidi w:val="0"/>
              <w:spacing w:before="0" w:after="283"/>
              <w:jc w:val="right"/>
              <w:rPr/>
            </w:pPr>
            <w:r>
              <w:rPr/>
              <w:t>4,457</w:t>
            </w:r>
          </w:p>
        </w:tc>
        <w:tc>
          <w:tcPr>
            <w:tcW w:w="14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 w:type="dxa"/>
            <w:tcBorders>
              <w:bottom w:val="single" w:sz="6" w:space="0" w:color="000000"/>
            </w:tcBorders>
            <w:tcMar>
              <w:bottom w:w="28" w:type="dxa"/>
            </w:tcMar>
            <w:vAlign w:val="center"/>
          </w:tcPr>
          <w:p>
            <w:pPr>
              <w:pStyle w:val="TableContents"/>
              <w:bidi w:val="0"/>
              <w:spacing w:before="0" w:after="283"/>
              <w:jc w:val="left"/>
              <w:rPr/>
            </w:pPr>
            <w:r>
              <w:rPr/>
              <w:t>​</w:t>
            </w:r>
          </w:p>
        </w:tc>
        <w:tc>
          <w:tcPr>
            <w:tcW w:w="132" w:type="dxa"/>
            <w:tcBorders>
              <w:bottom w:val="single" w:sz="6" w:space="0" w:color="000000"/>
            </w:tcBorders>
            <w:tcMar>
              <w:bottom w:w="145" w:type="dxa"/>
            </w:tcMar>
            <w:vAlign w:val="center"/>
          </w:tcPr>
          <w:p>
            <w:pPr>
              <w:pStyle w:val="TableContents"/>
              <w:bidi w:val="0"/>
              <w:spacing w:before="0" w:after="283"/>
              <w:jc w:val="right"/>
              <w:rPr/>
            </w:pPr>
            <w:r>
              <w:rPr/>
              <w:t>​</w:t>
            </w:r>
          </w:p>
        </w:tc>
        <w:tc>
          <w:tcPr>
            <w:tcW w:w="1078" w:type="dxa"/>
            <w:tcBorders>
              <w:bottom w:val="single" w:sz="6" w:space="0" w:color="000000"/>
            </w:tcBorders>
            <w:tcMar>
              <w:bottom w:w="145" w:type="dxa"/>
            </w:tcMar>
            <w:vAlign w:val="center"/>
          </w:tcPr>
          <w:p>
            <w:pPr>
              <w:pStyle w:val="TableContents"/>
              <w:bidi w:val="0"/>
              <w:spacing w:before="0" w:after="283"/>
              <w:jc w:val="right"/>
              <w:rPr/>
            </w:pPr>
            <w:r>
              <w:rPr/>
              <w:t>297,790</w:t>
            </w:r>
          </w:p>
        </w:tc>
        <w:tc>
          <w:tcPr>
            <w:tcW w:w="133" w:type="dxa"/>
            <w:tcBorders>
              <w:bottom w:val="single" w:sz="6" w:space="0" w:color="000000"/>
            </w:tcBorders>
            <w:tcMar>
              <w:bottom w:w="28" w:type="dxa"/>
            </w:tcMar>
            <w:vAlign w:val="center"/>
          </w:tcPr>
          <w:p>
            <w:pPr>
              <w:pStyle w:val="TableContents"/>
              <w:bidi w:val="0"/>
              <w:spacing w:before="0" w:after="283"/>
              <w:jc w:val="left"/>
              <w:rPr/>
            </w:pPr>
            <w:r>
              <w:rPr/>
              <w:t>​</w:t>
            </w:r>
          </w:p>
        </w:tc>
        <w:tc>
          <w:tcPr>
            <w:tcW w:w="167"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827" w:type="dxa"/>
            <w:tcBorders>
              <w:bottom w:val="single" w:sz="6" w:space="0" w:color="000000"/>
            </w:tcBorders>
            <w:shd w:fill="F7F7F7" w:val="clear"/>
            <w:tcMar>
              <w:bottom w:w="145" w:type="dxa"/>
            </w:tcMar>
            <w:vAlign w:val="center"/>
          </w:tcPr>
          <w:p>
            <w:pPr>
              <w:pStyle w:val="TableContents"/>
              <w:bidi w:val="0"/>
              <w:spacing w:before="0" w:after="283"/>
              <w:jc w:val="left"/>
              <w:rPr/>
            </w:pPr>
            <w:r>
              <w:rPr/>
              <w:t xml:space="preserve">Sherif Marakby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804" w:type="dxa"/>
            <w:tcBorders>
              <w:bottom w:val="single" w:sz="6" w:space="0" w:color="000000"/>
            </w:tcBorders>
            <w:shd w:fill="F7F7F7" w:val="clear"/>
            <w:tcMar>
              <w:bottom w:w="145" w:type="dxa"/>
            </w:tcMar>
            <w:vAlign w:val="center"/>
          </w:tcPr>
          <w:p>
            <w:pPr>
              <w:pStyle w:val="TableContents"/>
              <w:bidi w:val="0"/>
              <w:spacing w:before="0" w:after="283"/>
              <w:jc w:val="right"/>
              <w:rPr/>
            </w:pPr>
            <w:r>
              <w:rPr/>
              <w:t>27,473</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1"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910" w:type="dxa"/>
            <w:tcBorders>
              <w:bottom w:val="single" w:sz="6" w:space="0" w:color="000000"/>
            </w:tcBorders>
            <w:shd w:fill="F7F7F7" w:val="clear"/>
            <w:tcMar>
              <w:bottom w:w="145" w:type="dxa"/>
            </w:tcMar>
            <w:vAlign w:val="center"/>
          </w:tcPr>
          <w:p>
            <w:pPr>
              <w:pStyle w:val="TableContents"/>
              <w:bidi w:val="0"/>
              <w:spacing w:before="0" w:after="283"/>
              <w:jc w:val="right"/>
              <w:rPr/>
            </w:pPr>
            <w:r>
              <w:rPr/>
              <w:t>338,709</w:t>
            </w:r>
          </w:p>
        </w:tc>
        <w:tc>
          <w:tcPr>
            <w:tcW w:w="11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1"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483"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53"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034" w:type="dxa"/>
            <w:tcBorders>
              <w:bottom w:val="single" w:sz="6" w:space="0" w:color="000000"/>
            </w:tcBorders>
            <w:shd w:fill="F7F7F7" w:val="clear"/>
            <w:tcMar>
              <w:bottom w:w="145" w:type="dxa"/>
            </w:tcMar>
            <w:vAlign w:val="center"/>
          </w:tcPr>
          <w:p>
            <w:pPr>
              <w:pStyle w:val="TableContents"/>
              <w:bidi w:val="0"/>
              <w:spacing w:before="0" w:after="283"/>
              <w:jc w:val="right"/>
              <w:rPr/>
            </w:pPr>
            <w:r>
              <w:rPr/>
              <w:t>3,400</w:t>
            </w:r>
          </w:p>
        </w:tc>
        <w:tc>
          <w:tcPr>
            <w:tcW w:w="14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2"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2"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078" w:type="dxa"/>
            <w:tcBorders>
              <w:bottom w:val="single" w:sz="6" w:space="0" w:color="000000"/>
            </w:tcBorders>
            <w:shd w:fill="F7F7F7" w:val="clear"/>
            <w:tcMar>
              <w:bottom w:w="145" w:type="dxa"/>
            </w:tcMar>
            <w:vAlign w:val="center"/>
          </w:tcPr>
          <w:p>
            <w:pPr>
              <w:pStyle w:val="TableContents"/>
              <w:bidi w:val="0"/>
              <w:spacing w:before="0" w:after="283"/>
              <w:jc w:val="right"/>
              <w:rPr/>
            </w:pPr>
            <w:r>
              <w:rPr/>
              <w:t>369,582</w:t>
            </w:r>
          </w:p>
        </w:tc>
        <w:tc>
          <w:tcPr>
            <w:tcW w:w="133"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67"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827" w:type="dxa"/>
            <w:tcBorders>
              <w:bottom w:val="single" w:sz="6" w:space="0" w:color="000000"/>
            </w:tcBorders>
            <w:tcMar>
              <w:bottom w:w="145" w:type="dxa"/>
            </w:tcMar>
            <w:vAlign w:val="center"/>
          </w:tcPr>
          <w:p>
            <w:pPr>
              <w:pStyle w:val="TableContents"/>
              <w:bidi w:val="0"/>
              <w:spacing w:before="0" w:after="283"/>
              <w:jc w:val="left"/>
              <w:rPr/>
            </w:pPr>
            <w:r>
              <w:rPr/>
              <w:t xml:space="preserve">Nichelle Maynard-Elliott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145" w:type="dxa"/>
            </w:tcMar>
            <w:vAlign w:val="center"/>
          </w:tcPr>
          <w:p>
            <w:pPr>
              <w:pStyle w:val="TableContents"/>
              <w:bidi w:val="0"/>
              <w:spacing w:before="0" w:after="283"/>
              <w:jc w:val="right"/>
              <w:rPr/>
            </w:pPr>
            <w:r>
              <w:rPr/>
              <w:t>​</w:t>
            </w:r>
          </w:p>
        </w:tc>
        <w:tc>
          <w:tcPr>
            <w:tcW w:w="804" w:type="dxa"/>
            <w:tcBorders>
              <w:bottom w:val="single" w:sz="6" w:space="0" w:color="000000"/>
            </w:tcBorders>
            <w:tcMar>
              <w:bottom w:w="145" w:type="dxa"/>
            </w:tcMar>
            <w:vAlign w:val="center"/>
          </w:tcPr>
          <w:p>
            <w:pPr>
              <w:pStyle w:val="TableContents"/>
              <w:bidi w:val="0"/>
              <w:spacing w:before="0" w:after="283"/>
              <w:jc w:val="right"/>
              <w:rPr/>
            </w:pPr>
            <w:r>
              <w:rPr/>
              <w:t>39,151</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1" w:type="dxa"/>
            <w:tcBorders>
              <w:bottom w:val="single" w:sz="6" w:space="0" w:color="000000"/>
            </w:tcBorders>
            <w:tcMar>
              <w:bottom w:w="28" w:type="dxa"/>
            </w:tcMar>
            <w:vAlign w:val="center"/>
          </w:tcPr>
          <w:p>
            <w:pPr>
              <w:pStyle w:val="TableContents"/>
              <w:bidi w:val="0"/>
              <w:spacing w:before="0" w:after="283"/>
              <w:jc w:val="left"/>
              <w:rPr/>
            </w:pPr>
            <w:r>
              <w:rPr/>
              <w:t>​</w:t>
            </w:r>
          </w:p>
        </w:tc>
        <w:tc>
          <w:tcPr>
            <w:tcW w:w="111" w:type="dxa"/>
            <w:tcBorders>
              <w:bottom w:val="single" w:sz="6" w:space="0" w:color="000000"/>
            </w:tcBorders>
            <w:tcMar>
              <w:bottom w:w="145" w:type="dxa"/>
            </w:tcMar>
            <w:vAlign w:val="center"/>
          </w:tcPr>
          <w:p>
            <w:pPr>
              <w:pStyle w:val="TableContents"/>
              <w:bidi w:val="0"/>
              <w:spacing w:before="0" w:after="283"/>
              <w:jc w:val="right"/>
              <w:rPr/>
            </w:pPr>
            <w:r>
              <w:rPr/>
              <w:t>​</w:t>
            </w:r>
          </w:p>
        </w:tc>
        <w:tc>
          <w:tcPr>
            <w:tcW w:w="910" w:type="dxa"/>
            <w:tcBorders>
              <w:bottom w:val="single" w:sz="6" w:space="0" w:color="000000"/>
            </w:tcBorders>
            <w:tcMar>
              <w:bottom w:w="145" w:type="dxa"/>
            </w:tcMar>
            <w:vAlign w:val="center"/>
          </w:tcPr>
          <w:p>
            <w:pPr>
              <w:pStyle w:val="TableContents"/>
              <w:bidi w:val="0"/>
              <w:spacing w:before="0" w:after="283"/>
              <w:jc w:val="right"/>
              <w:rPr/>
            </w:pPr>
            <w:r>
              <w:rPr/>
              <w:t>225,806</w:t>
            </w:r>
          </w:p>
        </w:tc>
        <w:tc>
          <w:tcPr>
            <w:tcW w:w="11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1" w:type="dxa"/>
            <w:tcBorders>
              <w:bottom w:val="single" w:sz="6" w:space="0" w:color="000000"/>
            </w:tcBorders>
            <w:tcMar>
              <w:bottom w:w="28" w:type="dxa"/>
            </w:tcMar>
            <w:vAlign w:val="center"/>
          </w:tcPr>
          <w:p>
            <w:pPr>
              <w:pStyle w:val="TableContents"/>
              <w:bidi w:val="0"/>
              <w:spacing w:before="0" w:after="283"/>
              <w:jc w:val="left"/>
              <w:rPr/>
            </w:pPr>
            <w:r>
              <w:rPr/>
              <w:t>​</w:t>
            </w:r>
          </w:p>
        </w:tc>
        <w:tc>
          <w:tcPr>
            <w:tcW w:w="151" w:type="dxa"/>
            <w:tcBorders>
              <w:bottom w:val="single" w:sz="6" w:space="0" w:color="000000"/>
            </w:tcBorders>
            <w:tcMar>
              <w:bottom w:w="145" w:type="dxa"/>
            </w:tcMar>
            <w:vAlign w:val="center"/>
          </w:tcPr>
          <w:p>
            <w:pPr>
              <w:pStyle w:val="TableContents"/>
              <w:bidi w:val="0"/>
              <w:spacing w:before="0" w:after="283"/>
              <w:jc w:val="right"/>
              <w:rPr/>
            </w:pPr>
            <w:r>
              <w:rPr/>
              <w:t>​</w:t>
            </w:r>
          </w:p>
        </w:tc>
        <w:tc>
          <w:tcPr>
            <w:tcW w:w="483" w:type="dxa"/>
            <w:tcBorders>
              <w:bottom w:val="single" w:sz="6" w:space="0" w:color="000000"/>
            </w:tcBorders>
            <w:tcMar>
              <w:bottom w:w="145" w:type="dxa"/>
            </w:tcMar>
            <w:vAlign w:val="center"/>
          </w:tcPr>
          <w:p>
            <w:pPr>
              <w:pStyle w:val="TableContents"/>
              <w:bidi w:val="0"/>
              <w:spacing w:before="0" w:after="283"/>
              <w:jc w:val="right"/>
              <w:rPr/>
            </w:pPr>
            <w:r>
              <w:rPr/>
              <w:t>—</w:t>
            </w:r>
          </w:p>
        </w:tc>
        <w:tc>
          <w:tcPr>
            <w:tcW w:w="153"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6" w:type="dxa"/>
            <w:tcBorders>
              <w:bottom w:val="single" w:sz="6" w:space="0" w:color="000000"/>
            </w:tcBorders>
            <w:tcMar>
              <w:bottom w:w="28" w:type="dxa"/>
            </w:tcMar>
            <w:vAlign w:val="center"/>
          </w:tcPr>
          <w:p>
            <w:pPr>
              <w:pStyle w:val="TableContents"/>
              <w:bidi w:val="0"/>
              <w:spacing w:before="0" w:after="283"/>
              <w:jc w:val="left"/>
              <w:rPr/>
            </w:pPr>
            <w:r>
              <w:rPr/>
              <w:t>​</w:t>
            </w:r>
          </w:p>
        </w:tc>
        <w:tc>
          <w:tcPr>
            <w:tcW w:w="146" w:type="dxa"/>
            <w:tcBorders>
              <w:bottom w:val="single" w:sz="6" w:space="0" w:color="000000"/>
            </w:tcBorders>
            <w:tcMar>
              <w:bottom w:w="145" w:type="dxa"/>
            </w:tcMar>
            <w:vAlign w:val="center"/>
          </w:tcPr>
          <w:p>
            <w:pPr>
              <w:pStyle w:val="TableContents"/>
              <w:bidi w:val="0"/>
              <w:spacing w:before="0" w:after="283"/>
              <w:jc w:val="right"/>
              <w:rPr/>
            </w:pPr>
            <w:r>
              <w:rPr/>
              <w:t>​</w:t>
            </w:r>
          </w:p>
        </w:tc>
        <w:tc>
          <w:tcPr>
            <w:tcW w:w="1034" w:type="dxa"/>
            <w:tcBorders>
              <w:bottom w:val="single" w:sz="6" w:space="0" w:color="000000"/>
            </w:tcBorders>
            <w:tcMar>
              <w:bottom w:w="145" w:type="dxa"/>
            </w:tcMar>
            <w:vAlign w:val="center"/>
          </w:tcPr>
          <w:p>
            <w:pPr>
              <w:pStyle w:val="TableContents"/>
              <w:bidi w:val="0"/>
              <w:spacing w:before="0" w:after="283"/>
              <w:jc w:val="right"/>
              <w:rPr/>
            </w:pPr>
            <w:r>
              <w:rPr/>
              <w:t>4,457</w:t>
            </w:r>
          </w:p>
        </w:tc>
        <w:tc>
          <w:tcPr>
            <w:tcW w:w="14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 w:type="dxa"/>
            <w:tcBorders>
              <w:bottom w:val="single" w:sz="6" w:space="0" w:color="000000"/>
            </w:tcBorders>
            <w:tcMar>
              <w:bottom w:w="28" w:type="dxa"/>
            </w:tcMar>
            <w:vAlign w:val="center"/>
          </w:tcPr>
          <w:p>
            <w:pPr>
              <w:pStyle w:val="TableContents"/>
              <w:bidi w:val="0"/>
              <w:spacing w:before="0" w:after="283"/>
              <w:jc w:val="left"/>
              <w:rPr/>
            </w:pPr>
            <w:r>
              <w:rPr/>
              <w:t>​</w:t>
            </w:r>
          </w:p>
        </w:tc>
        <w:tc>
          <w:tcPr>
            <w:tcW w:w="132" w:type="dxa"/>
            <w:tcBorders>
              <w:bottom w:val="single" w:sz="6" w:space="0" w:color="000000"/>
            </w:tcBorders>
            <w:tcMar>
              <w:bottom w:w="145" w:type="dxa"/>
            </w:tcMar>
            <w:vAlign w:val="center"/>
          </w:tcPr>
          <w:p>
            <w:pPr>
              <w:pStyle w:val="TableContents"/>
              <w:bidi w:val="0"/>
              <w:spacing w:before="0" w:after="283"/>
              <w:jc w:val="right"/>
              <w:rPr/>
            </w:pPr>
            <w:r>
              <w:rPr/>
              <w:t>​</w:t>
            </w:r>
          </w:p>
        </w:tc>
        <w:tc>
          <w:tcPr>
            <w:tcW w:w="1078" w:type="dxa"/>
            <w:tcBorders>
              <w:bottom w:val="single" w:sz="6" w:space="0" w:color="000000"/>
            </w:tcBorders>
            <w:tcMar>
              <w:bottom w:w="145" w:type="dxa"/>
            </w:tcMar>
            <w:vAlign w:val="center"/>
          </w:tcPr>
          <w:p>
            <w:pPr>
              <w:pStyle w:val="TableContents"/>
              <w:bidi w:val="0"/>
              <w:spacing w:before="0" w:after="283"/>
              <w:jc w:val="right"/>
              <w:rPr/>
            </w:pPr>
            <w:r>
              <w:rPr/>
              <w:t>269,414</w:t>
            </w:r>
          </w:p>
        </w:tc>
        <w:tc>
          <w:tcPr>
            <w:tcW w:w="133" w:type="dxa"/>
            <w:tcBorders>
              <w:bottom w:val="single" w:sz="6" w:space="0" w:color="000000"/>
            </w:tcBorders>
            <w:tcMar>
              <w:bottom w:w="28" w:type="dxa"/>
            </w:tcMar>
            <w:vAlign w:val="center"/>
          </w:tcPr>
          <w:p>
            <w:pPr>
              <w:pStyle w:val="TableContents"/>
              <w:bidi w:val="0"/>
              <w:spacing w:before="0" w:after="283"/>
              <w:jc w:val="left"/>
              <w:rPr/>
            </w:pPr>
            <w:r>
              <w:rPr/>
              <w:t>​</w:t>
            </w:r>
          </w:p>
        </w:tc>
        <w:tc>
          <w:tcPr>
            <w:tcW w:w="167"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827" w:type="dxa"/>
            <w:tcBorders>
              <w:bottom w:val="single" w:sz="6" w:space="0" w:color="000000"/>
            </w:tcBorders>
            <w:shd w:fill="F7F7F7" w:val="clear"/>
            <w:tcMar>
              <w:bottom w:w="145" w:type="dxa"/>
            </w:tcMar>
            <w:vAlign w:val="center"/>
          </w:tcPr>
          <w:p>
            <w:pPr>
              <w:pStyle w:val="TableContents"/>
              <w:bidi w:val="0"/>
              <w:spacing w:before="0" w:after="283"/>
              <w:jc w:val="left"/>
              <w:rPr/>
            </w:pPr>
            <w:r>
              <w:rPr/>
              <w:t xml:space="preserve">Chabi Nouri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804" w:type="dxa"/>
            <w:tcBorders>
              <w:bottom w:val="single" w:sz="6" w:space="0" w:color="000000"/>
            </w:tcBorders>
            <w:shd w:fill="F7F7F7" w:val="clear"/>
            <w:tcMar>
              <w:bottom w:w="145" w:type="dxa"/>
            </w:tcMar>
            <w:vAlign w:val="center"/>
          </w:tcPr>
          <w:p>
            <w:pPr>
              <w:pStyle w:val="TableContents"/>
              <w:bidi w:val="0"/>
              <w:spacing w:before="0" w:after="283"/>
              <w:jc w:val="right"/>
              <w:rPr/>
            </w:pPr>
            <w:r>
              <w:rPr/>
              <w:t>27,473</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1"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910" w:type="dxa"/>
            <w:tcBorders>
              <w:bottom w:val="single" w:sz="6" w:space="0" w:color="000000"/>
            </w:tcBorders>
            <w:shd w:fill="F7F7F7" w:val="clear"/>
            <w:tcMar>
              <w:bottom w:w="145" w:type="dxa"/>
            </w:tcMar>
            <w:vAlign w:val="center"/>
          </w:tcPr>
          <w:p>
            <w:pPr>
              <w:pStyle w:val="TableContents"/>
              <w:bidi w:val="0"/>
              <w:spacing w:before="0" w:after="283"/>
              <w:jc w:val="right"/>
              <w:rPr/>
            </w:pPr>
            <w:r>
              <w:rPr/>
              <w:t>338,709</w:t>
            </w:r>
          </w:p>
        </w:tc>
        <w:tc>
          <w:tcPr>
            <w:tcW w:w="11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1"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483"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53"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03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4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2"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2"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078" w:type="dxa"/>
            <w:tcBorders>
              <w:bottom w:val="single" w:sz="6" w:space="0" w:color="000000"/>
            </w:tcBorders>
            <w:shd w:fill="F7F7F7" w:val="clear"/>
            <w:tcMar>
              <w:bottom w:w="145" w:type="dxa"/>
            </w:tcMar>
            <w:vAlign w:val="center"/>
          </w:tcPr>
          <w:p>
            <w:pPr>
              <w:pStyle w:val="TableContents"/>
              <w:bidi w:val="0"/>
              <w:spacing w:before="0" w:after="283"/>
              <w:jc w:val="right"/>
              <w:rPr/>
            </w:pPr>
            <w:r>
              <w:rPr/>
              <w:t>366,182</w:t>
            </w:r>
          </w:p>
        </w:tc>
        <w:tc>
          <w:tcPr>
            <w:tcW w:w="133"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67"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827" w:type="dxa"/>
            <w:tcBorders>
              <w:bottom w:val="single" w:sz="6" w:space="0" w:color="000000"/>
            </w:tcBorders>
            <w:tcMar>
              <w:bottom w:w="145" w:type="dxa"/>
            </w:tcMar>
            <w:vAlign w:val="center"/>
          </w:tcPr>
          <w:p>
            <w:pPr>
              <w:pStyle w:val="TableContents"/>
              <w:bidi w:val="0"/>
              <w:spacing w:before="0" w:after="283"/>
              <w:jc w:val="left"/>
              <w:rPr/>
            </w:pPr>
            <w:r>
              <w:rPr/>
              <w:t xml:space="preserve">Ori Winitzer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145" w:type="dxa"/>
            </w:tcMar>
            <w:vAlign w:val="center"/>
          </w:tcPr>
          <w:p>
            <w:pPr>
              <w:pStyle w:val="TableContents"/>
              <w:bidi w:val="0"/>
              <w:spacing w:before="0" w:after="283"/>
              <w:jc w:val="right"/>
              <w:rPr/>
            </w:pPr>
            <w:r>
              <w:rPr/>
              <w:t>​</w:t>
            </w:r>
          </w:p>
        </w:tc>
        <w:tc>
          <w:tcPr>
            <w:tcW w:w="804" w:type="dxa"/>
            <w:tcBorders>
              <w:bottom w:val="single" w:sz="6" w:space="0" w:color="000000"/>
            </w:tcBorders>
            <w:tcMar>
              <w:bottom w:w="145" w:type="dxa"/>
            </w:tcMar>
            <w:vAlign w:val="center"/>
          </w:tcPr>
          <w:p>
            <w:pPr>
              <w:pStyle w:val="TableContents"/>
              <w:bidi w:val="0"/>
              <w:spacing w:before="0" w:after="283"/>
              <w:jc w:val="right"/>
              <w:rPr/>
            </w:pPr>
            <w:r>
              <w:rPr/>
              <w:t>32,624</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1" w:type="dxa"/>
            <w:tcBorders>
              <w:bottom w:val="single" w:sz="6" w:space="0" w:color="000000"/>
            </w:tcBorders>
            <w:tcMar>
              <w:bottom w:w="28" w:type="dxa"/>
            </w:tcMar>
            <w:vAlign w:val="center"/>
          </w:tcPr>
          <w:p>
            <w:pPr>
              <w:pStyle w:val="TableContents"/>
              <w:bidi w:val="0"/>
              <w:spacing w:before="0" w:after="283"/>
              <w:jc w:val="left"/>
              <w:rPr/>
            </w:pPr>
            <w:r>
              <w:rPr/>
              <w:t>​</w:t>
            </w:r>
          </w:p>
        </w:tc>
        <w:tc>
          <w:tcPr>
            <w:tcW w:w="111" w:type="dxa"/>
            <w:tcBorders>
              <w:bottom w:val="single" w:sz="6" w:space="0" w:color="000000"/>
            </w:tcBorders>
            <w:tcMar>
              <w:bottom w:w="145" w:type="dxa"/>
            </w:tcMar>
            <w:vAlign w:val="center"/>
          </w:tcPr>
          <w:p>
            <w:pPr>
              <w:pStyle w:val="TableContents"/>
              <w:bidi w:val="0"/>
              <w:spacing w:before="0" w:after="283"/>
              <w:jc w:val="right"/>
              <w:rPr/>
            </w:pPr>
            <w:r>
              <w:rPr/>
              <w:t>​</w:t>
            </w:r>
          </w:p>
        </w:tc>
        <w:tc>
          <w:tcPr>
            <w:tcW w:w="910" w:type="dxa"/>
            <w:tcBorders>
              <w:bottom w:val="single" w:sz="6" w:space="0" w:color="000000"/>
            </w:tcBorders>
            <w:tcMar>
              <w:bottom w:w="145" w:type="dxa"/>
            </w:tcMar>
            <w:vAlign w:val="center"/>
          </w:tcPr>
          <w:p>
            <w:pPr>
              <w:pStyle w:val="TableContents"/>
              <w:bidi w:val="0"/>
              <w:spacing w:before="0" w:after="283"/>
              <w:jc w:val="right"/>
              <w:rPr/>
            </w:pPr>
            <w:r>
              <w:rPr/>
              <w:t>338,709</w:t>
            </w:r>
          </w:p>
        </w:tc>
        <w:tc>
          <w:tcPr>
            <w:tcW w:w="11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1" w:type="dxa"/>
            <w:tcBorders>
              <w:bottom w:val="single" w:sz="6" w:space="0" w:color="000000"/>
            </w:tcBorders>
            <w:tcMar>
              <w:bottom w:w="28" w:type="dxa"/>
            </w:tcMar>
            <w:vAlign w:val="center"/>
          </w:tcPr>
          <w:p>
            <w:pPr>
              <w:pStyle w:val="TableContents"/>
              <w:bidi w:val="0"/>
              <w:spacing w:before="0" w:after="283"/>
              <w:jc w:val="left"/>
              <w:rPr/>
            </w:pPr>
            <w:r>
              <w:rPr/>
              <w:t>​</w:t>
            </w:r>
          </w:p>
        </w:tc>
        <w:tc>
          <w:tcPr>
            <w:tcW w:w="151" w:type="dxa"/>
            <w:tcBorders>
              <w:bottom w:val="single" w:sz="6" w:space="0" w:color="000000"/>
            </w:tcBorders>
            <w:tcMar>
              <w:bottom w:w="145" w:type="dxa"/>
            </w:tcMar>
            <w:vAlign w:val="center"/>
          </w:tcPr>
          <w:p>
            <w:pPr>
              <w:pStyle w:val="TableContents"/>
              <w:bidi w:val="0"/>
              <w:spacing w:before="0" w:after="283"/>
              <w:jc w:val="right"/>
              <w:rPr/>
            </w:pPr>
            <w:r>
              <w:rPr/>
              <w:t>​</w:t>
            </w:r>
          </w:p>
        </w:tc>
        <w:tc>
          <w:tcPr>
            <w:tcW w:w="483" w:type="dxa"/>
            <w:tcBorders>
              <w:bottom w:val="single" w:sz="6" w:space="0" w:color="000000"/>
            </w:tcBorders>
            <w:tcMar>
              <w:bottom w:w="145" w:type="dxa"/>
            </w:tcMar>
            <w:vAlign w:val="center"/>
          </w:tcPr>
          <w:p>
            <w:pPr>
              <w:pStyle w:val="TableContents"/>
              <w:bidi w:val="0"/>
              <w:spacing w:before="0" w:after="283"/>
              <w:jc w:val="right"/>
              <w:rPr/>
            </w:pPr>
            <w:r>
              <w:rPr/>
              <w:t>—</w:t>
            </w:r>
          </w:p>
        </w:tc>
        <w:tc>
          <w:tcPr>
            <w:tcW w:w="153"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6" w:type="dxa"/>
            <w:tcBorders>
              <w:bottom w:val="single" w:sz="6" w:space="0" w:color="000000"/>
            </w:tcBorders>
            <w:tcMar>
              <w:bottom w:w="28" w:type="dxa"/>
            </w:tcMar>
            <w:vAlign w:val="center"/>
          </w:tcPr>
          <w:p>
            <w:pPr>
              <w:pStyle w:val="TableContents"/>
              <w:bidi w:val="0"/>
              <w:spacing w:before="0" w:after="283"/>
              <w:jc w:val="left"/>
              <w:rPr/>
            </w:pPr>
            <w:r>
              <w:rPr/>
              <w:t>​</w:t>
            </w:r>
          </w:p>
        </w:tc>
        <w:tc>
          <w:tcPr>
            <w:tcW w:w="146" w:type="dxa"/>
            <w:tcBorders>
              <w:bottom w:val="single" w:sz="6" w:space="0" w:color="000000"/>
            </w:tcBorders>
            <w:tcMar>
              <w:bottom w:w="145" w:type="dxa"/>
            </w:tcMar>
            <w:vAlign w:val="center"/>
          </w:tcPr>
          <w:p>
            <w:pPr>
              <w:pStyle w:val="TableContents"/>
              <w:bidi w:val="0"/>
              <w:spacing w:before="0" w:after="283"/>
              <w:jc w:val="right"/>
              <w:rPr/>
            </w:pPr>
            <w:r>
              <w:rPr/>
              <w:t>​</w:t>
            </w:r>
          </w:p>
        </w:tc>
        <w:tc>
          <w:tcPr>
            <w:tcW w:w="1034" w:type="dxa"/>
            <w:tcBorders>
              <w:bottom w:val="single" w:sz="6" w:space="0" w:color="000000"/>
            </w:tcBorders>
            <w:tcMar>
              <w:bottom w:w="145" w:type="dxa"/>
            </w:tcMar>
            <w:vAlign w:val="center"/>
          </w:tcPr>
          <w:p>
            <w:pPr>
              <w:pStyle w:val="TableContents"/>
              <w:bidi w:val="0"/>
              <w:spacing w:before="0" w:after="283"/>
              <w:jc w:val="right"/>
              <w:rPr/>
            </w:pPr>
            <w:r>
              <w:rPr/>
              <w:t>14,043</w:t>
            </w:r>
          </w:p>
        </w:tc>
        <w:tc>
          <w:tcPr>
            <w:tcW w:w="14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 w:type="dxa"/>
            <w:tcBorders>
              <w:bottom w:val="single" w:sz="6" w:space="0" w:color="000000"/>
            </w:tcBorders>
            <w:tcMar>
              <w:bottom w:w="28" w:type="dxa"/>
            </w:tcMar>
            <w:vAlign w:val="center"/>
          </w:tcPr>
          <w:p>
            <w:pPr>
              <w:pStyle w:val="TableContents"/>
              <w:bidi w:val="0"/>
              <w:spacing w:before="0" w:after="283"/>
              <w:jc w:val="left"/>
              <w:rPr/>
            </w:pPr>
            <w:r>
              <w:rPr/>
              <w:t>​</w:t>
            </w:r>
          </w:p>
        </w:tc>
        <w:tc>
          <w:tcPr>
            <w:tcW w:w="132" w:type="dxa"/>
            <w:tcBorders>
              <w:bottom w:val="single" w:sz="6" w:space="0" w:color="000000"/>
            </w:tcBorders>
            <w:tcMar>
              <w:bottom w:w="145" w:type="dxa"/>
            </w:tcMar>
            <w:vAlign w:val="center"/>
          </w:tcPr>
          <w:p>
            <w:pPr>
              <w:pStyle w:val="TableContents"/>
              <w:bidi w:val="0"/>
              <w:spacing w:before="0" w:after="283"/>
              <w:jc w:val="right"/>
              <w:rPr/>
            </w:pPr>
            <w:r>
              <w:rPr/>
              <w:t>​</w:t>
            </w:r>
          </w:p>
        </w:tc>
        <w:tc>
          <w:tcPr>
            <w:tcW w:w="1078" w:type="dxa"/>
            <w:tcBorders>
              <w:bottom w:val="single" w:sz="6" w:space="0" w:color="000000"/>
            </w:tcBorders>
            <w:tcMar>
              <w:bottom w:w="145" w:type="dxa"/>
            </w:tcMar>
            <w:vAlign w:val="center"/>
          </w:tcPr>
          <w:p>
            <w:pPr>
              <w:pStyle w:val="TableContents"/>
              <w:bidi w:val="0"/>
              <w:spacing w:before="0" w:after="283"/>
              <w:jc w:val="right"/>
              <w:rPr/>
            </w:pPr>
            <w:r>
              <w:rPr/>
              <w:t>385,376</w:t>
            </w:r>
          </w:p>
        </w:tc>
        <w:tc>
          <w:tcPr>
            <w:tcW w:w="133" w:type="dxa"/>
            <w:tcBorders>
              <w:bottom w:val="single" w:sz="6" w:space="0" w:color="000000"/>
            </w:tcBorders>
            <w:tcMar>
              <w:bottom w:w="28" w:type="dxa"/>
            </w:tcMar>
            <w:vAlign w:val="center"/>
          </w:tcPr>
          <w:p>
            <w:pPr>
              <w:pStyle w:val="TableContents"/>
              <w:bidi w:val="0"/>
              <w:spacing w:before="0" w:after="283"/>
              <w:jc w:val="left"/>
              <w:rPr/>
            </w:pPr>
            <w:r>
              <w:rPr/>
              <w:t>​</w:t>
            </w:r>
          </w:p>
        </w:tc>
        <w:tc>
          <w:tcPr>
            <w:tcW w:w="167"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827" w:type="dxa"/>
            <w:tcBorders>
              <w:bottom w:val="single" w:sz="6" w:space="0" w:color="000000"/>
            </w:tcBorders>
            <w:shd w:fill="F7F7F7" w:val="clear"/>
            <w:tcMar>
              <w:bottom w:w="145" w:type="dxa"/>
            </w:tcMar>
            <w:vAlign w:val="center"/>
          </w:tcPr>
          <w:p>
            <w:pPr>
              <w:pStyle w:val="TableContents"/>
              <w:bidi w:val="0"/>
              <w:spacing w:before="0" w:after="283"/>
              <w:jc w:val="left"/>
              <w:rPr/>
            </w:pPr>
            <w:r>
              <w:rPr/>
              <w:t xml:space="preserve">Janet S. Wong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804" w:type="dxa"/>
            <w:tcBorders>
              <w:bottom w:val="single" w:sz="6" w:space="0" w:color="000000"/>
            </w:tcBorders>
            <w:shd w:fill="F7F7F7" w:val="clear"/>
            <w:tcMar>
              <w:bottom w:w="145" w:type="dxa"/>
            </w:tcMar>
            <w:vAlign w:val="center"/>
          </w:tcPr>
          <w:p>
            <w:pPr>
              <w:pStyle w:val="TableContents"/>
              <w:bidi w:val="0"/>
              <w:spacing w:before="0" w:after="283"/>
              <w:jc w:val="right"/>
              <w:rPr/>
            </w:pPr>
            <w:r>
              <w:rPr/>
              <w:t>50,000</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1"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910" w:type="dxa"/>
            <w:tcBorders>
              <w:bottom w:val="single" w:sz="6" w:space="0" w:color="000000"/>
            </w:tcBorders>
            <w:shd w:fill="F7F7F7" w:val="clear"/>
            <w:tcMar>
              <w:bottom w:w="145" w:type="dxa"/>
            </w:tcMar>
            <w:vAlign w:val="center"/>
          </w:tcPr>
          <w:p>
            <w:pPr>
              <w:pStyle w:val="TableContents"/>
              <w:bidi w:val="0"/>
              <w:spacing w:before="0" w:after="283"/>
              <w:jc w:val="right"/>
              <w:rPr/>
            </w:pPr>
            <w:r>
              <w:rPr/>
              <w:t>225,806</w:t>
            </w:r>
          </w:p>
        </w:tc>
        <w:tc>
          <w:tcPr>
            <w:tcW w:w="11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1"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483"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53"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034" w:type="dxa"/>
            <w:tcBorders>
              <w:bottom w:val="single" w:sz="6" w:space="0" w:color="000000"/>
            </w:tcBorders>
            <w:shd w:fill="F7F7F7" w:val="clear"/>
            <w:tcMar>
              <w:bottom w:w="145" w:type="dxa"/>
            </w:tcMar>
            <w:vAlign w:val="center"/>
          </w:tcPr>
          <w:p>
            <w:pPr>
              <w:pStyle w:val="TableContents"/>
              <w:bidi w:val="0"/>
              <w:spacing w:before="0" w:after="283"/>
              <w:jc w:val="right"/>
              <w:rPr/>
            </w:pPr>
            <w:r>
              <w:rPr/>
              <w:t>4,457</w:t>
            </w:r>
          </w:p>
        </w:tc>
        <w:tc>
          <w:tcPr>
            <w:tcW w:w="14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2"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2"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078" w:type="dxa"/>
            <w:tcBorders>
              <w:bottom w:val="single" w:sz="6" w:space="0" w:color="000000"/>
            </w:tcBorders>
            <w:shd w:fill="F7F7F7" w:val="clear"/>
            <w:tcMar>
              <w:bottom w:w="145" w:type="dxa"/>
            </w:tcMar>
            <w:vAlign w:val="center"/>
          </w:tcPr>
          <w:p>
            <w:pPr>
              <w:pStyle w:val="TableContents"/>
              <w:bidi w:val="0"/>
              <w:spacing w:before="0" w:after="283"/>
              <w:jc w:val="right"/>
              <w:rPr/>
            </w:pPr>
            <w:r>
              <w:rPr/>
              <w:t>280,263</w:t>
            </w:r>
          </w:p>
        </w:tc>
        <w:tc>
          <w:tcPr>
            <w:tcW w:w="133"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67"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827" w:type="dxa"/>
            <w:tcBorders>
              <w:bottom w:val="single" w:sz="6" w:space="0" w:color="000000"/>
            </w:tcBorders>
            <w:tcMar>
              <w:bottom w:w="145" w:type="dxa"/>
            </w:tcMar>
            <w:vAlign w:val="center"/>
          </w:tcPr>
          <w:p>
            <w:pPr>
              <w:pStyle w:val="TableContents"/>
              <w:bidi w:val="0"/>
              <w:spacing w:before="0" w:after="283"/>
              <w:jc w:val="left"/>
              <w:rPr/>
            </w:pPr>
            <w:r>
              <w:rPr/>
              <w:t>Anthony Posawatz, former director</w:t>
            </w:r>
            <w:r>
              <w:rPr>
                <w:sz w:val="10"/>
              </w:rPr>
              <w:t>(3)</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145" w:type="dxa"/>
            </w:tcMar>
            <w:vAlign w:val="center"/>
          </w:tcPr>
          <w:p>
            <w:pPr>
              <w:pStyle w:val="TableContents"/>
              <w:bidi w:val="0"/>
              <w:spacing w:before="0" w:after="283"/>
              <w:jc w:val="right"/>
              <w:rPr/>
            </w:pPr>
            <w:r>
              <w:rPr/>
              <w:t>​</w:t>
            </w:r>
          </w:p>
        </w:tc>
        <w:tc>
          <w:tcPr>
            <w:tcW w:w="804" w:type="dxa"/>
            <w:tcBorders>
              <w:bottom w:val="single" w:sz="6" w:space="0" w:color="000000"/>
            </w:tcBorders>
            <w:tcMar>
              <w:bottom w:w="145" w:type="dxa"/>
            </w:tcMar>
            <w:vAlign w:val="center"/>
          </w:tcPr>
          <w:p>
            <w:pPr>
              <w:pStyle w:val="TableContents"/>
              <w:bidi w:val="0"/>
              <w:spacing w:before="0" w:after="283"/>
              <w:jc w:val="right"/>
              <w:rPr/>
            </w:pPr>
            <w:r>
              <w:rPr/>
              <w:t>14,876</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1" w:type="dxa"/>
            <w:tcBorders>
              <w:bottom w:val="single" w:sz="6" w:space="0" w:color="000000"/>
            </w:tcBorders>
            <w:tcMar>
              <w:bottom w:w="28" w:type="dxa"/>
            </w:tcMar>
            <w:vAlign w:val="center"/>
          </w:tcPr>
          <w:p>
            <w:pPr>
              <w:pStyle w:val="TableContents"/>
              <w:bidi w:val="0"/>
              <w:spacing w:before="0" w:after="283"/>
              <w:jc w:val="left"/>
              <w:rPr/>
            </w:pPr>
            <w:r>
              <w:rPr/>
              <w:t>​</w:t>
            </w:r>
          </w:p>
        </w:tc>
        <w:tc>
          <w:tcPr>
            <w:tcW w:w="111" w:type="dxa"/>
            <w:tcBorders>
              <w:bottom w:val="single" w:sz="6" w:space="0" w:color="000000"/>
            </w:tcBorders>
            <w:tcMar>
              <w:bottom w:w="145" w:type="dxa"/>
            </w:tcMar>
            <w:vAlign w:val="center"/>
          </w:tcPr>
          <w:p>
            <w:pPr>
              <w:pStyle w:val="TableContents"/>
              <w:bidi w:val="0"/>
              <w:spacing w:before="0" w:after="283"/>
              <w:jc w:val="right"/>
              <w:rPr/>
            </w:pPr>
            <w:r>
              <w:rPr/>
              <w:t>​</w:t>
            </w:r>
          </w:p>
        </w:tc>
        <w:tc>
          <w:tcPr>
            <w:tcW w:w="910" w:type="dxa"/>
            <w:tcBorders>
              <w:bottom w:val="single" w:sz="6" w:space="0" w:color="000000"/>
            </w:tcBorders>
            <w:tcMar>
              <w:bottom w:w="145" w:type="dxa"/>
            </w:tcMar>
            <w:vAlign w:val="center"/>
          </w:tcPr>
          <w:p>
            <w:pPr>
              <w:pStyle w:val="TableContents"/>
              <w:bidi w:val="0"/>
              <w:spacing w:before="0" w:after="283"/>
              <w:jc w:val="right"/>
              <w:rPr/>
            </w:pPr>
            <w:r>
              <w:rPr/>
              <w:t>—</w:t>
            </w:r>
          </w:p>
        </w:tc>
        <w:tc>
          <w:tcPr>
            <w:tcW w:w="11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1" w:type="dxa"/>
            <w:tcBorders>
              <w:bottom w:val="single" w:sz="6" w:space="0" w:color="000000"/>
            </w:tcBorders>
            <w:tcMar>
              <w:bottom w:w="28" w:type="dxa"/>
            </w:tcMar>
            <w:vAlign w:val="center"/>
          </w:tcPr>
          <w:p>
            <w:pPr>
              <w:pStyle w:val="TableContents"/>
              <w:bidi w:val="0"/>
              <w:spacing w:before="0" w:after="283"/>
              <w:jc w:val="left"/>
              <w:rPr/>
            </w:pPr>
            <w:r>
              <w:rPr/>
              <w:t>​</w:t>
            </w:r>
          </w:p>
        </w:tc>
        <w:tc>
          <w:tcPr>
            <w:tcW w:w="151" w:type="dxa"/>
            <w:tcBorders>
              <w:bottom w:val="single" w:sz="6" w:space="0" w:color="000000"/>
            </w:tcBorders>
            <w:tcMar>
              <w:bottom w:w="145" w:type="dxa"/>
            </w:tcMar>
            <w:vAlign w:val="center"/>
          </w:tcPr>
          <w:p>
            <w:pPr>
              <w:pStyle w:val="TableContents"/>
              <w:bidi w:val="0"/>
              <w:spacing w:before="0" w:after="283"/>
              <w:jc w:val="right"/>
              <w:rPr/>
            </w:pPr>
            <w:r>
              <w:rPr/>
              <w:t>​</w:t>
            </w:r>
          </w:p>
        </w:tc>
        <w:tc>
          <w:tcPr>
            <w:tcW w:w="483" w:type="dxa"/>
            <w:tcBorders>
              <w:bottom w:val="single" w:sz="6" w:space="0" w:color="000000"/>
            </w:tcBorders>
            <w:tcMar>
              <w:bottom w:w="145" w:type="dxa"/>
            </w:tcMar>
            <w:vAlign w:val="center"/>
          </w:tcPr>
          <w:p>
            <w:pPr>
              <w:pStyle w:val="TableContents"/>
              <w:bidi w:val="0"/>
              <w:spacing w:before="0" w:after="283"/>
              <w:jc w:val="right"/>
              <w:rPr/>
            </w:pPr>
            <w:r>
              <w:rPr/>
              <w:t>—</w:t>
            </w:r>
          </w:p>
        </w:tc>
        <w:tc>
          <w:tcPr>
            <w:tcW w:w="153"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6" w:type="dxa"/>
            <w:tcBorders>
              <w:bottom w:val="single" w:sz="6" w:space="0" w:color="000000"/>
            </w:tcBorders>
            <w:tcMar>
              <w:bottom w:w="28" w:type="dxa"/>
            </w:tcMar>
            <w:vAlign w:val="center"/>
          </w:tcPr>
          <w:p>
            <w:pPr>
              <w:pStyle w:val="TableContents"/>
              <w:bidi w:val="0"/>
              <w:spacing w:before="0" w:after="283"/>
              <w:jc w:val="left"/>
              <w:rPr/>
            </w:pPr>
            <w:r>
              <w:rPr/>
              <w:t>​</w:t>
            </w:r>
          </w:p>
        </w:tc>
        <w:tc>
          <w:tcPr>
            <w:tcW w:w="146" w:type="dxa"/>
            <w:tcBorders>
              <w:bottom w:val="single" w:sz="6" w:space="0" w:color="000000"/>
            </w:tcBorders>
            <w:tcMar>
              <w:bottom w:w="145" w:type="dxa"/>
            </w:tcMar>
            <w:vAlign w:val="center"/>
          </w:tcPr>
          <w:p>
            <w:pPr>
              <w:pStyle w:val="TableContents"/>
              <w:bidi w:val="0"/>
              <w:spacing w:before="0" w:after="283"/>
              <w:jc w:val="right"/>
              <w:rPr/>
            </w:pPr>
            <w:r>
              <w:rPr/>
              <w:t>​</w:t>
            </w:r>
          </w:p>
        </w:tc>
        <w:tc>
          <w:tcPr>
            <w:tcW w:w="1034" w:type="dxa"/>
            <w:tcBorders>
              <w:bottom w:val="single" w:sz="6" w:space="0" w:color="000000"/>
            </w:tcBorders>
            <w:tcMar>
              <w:bottom w:w="145" w:type="dxa"/>
            </w:tcMar>
            <w:vAlign w:val="center"/>
          </w:tcPr>
          <w:p>
            <w:pPr>
              <w:pStyle w:val="TableContents"/>
              <w:bidi w:val="0"/>
              <w:spacing w:before="0" w:after="283"/>
              <w:jc w:val="right"/>
              <w:rPr/>
            </w:pPr>
            <w:r>
              <w:rPr/>
              <w:t>—</w:t>
            </w:r>
          </w:p>
        </w:tc>
        <w:tc>
          <w:tcPr>
            <w:tcW w:w="14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 w:type="dxa"/>
            <w:tcBorders>
              <w:bottom w:val="single" w:sz="6" w:space="0" w:color="000000"/>
            </w:tcBorders>
            <w:tcMar>
              <w:bottom w:w="28" w:type="dxa"/>
            </w:tcMar>
            <w:vAlign w:val="center"/>
          </w:tcPr>
          <w:p>
            <w:pPr>
              <w:pStyle w:val="TableContents"/>
              <w:bidi w:val="0"/>
              <w:spacing w:before="0" w:after="283"/>
              <w:jc w:val="left"/>
              <w:rPr/>
            </w:pPr>
            <w:r>
              <w:rPr/>
              <w:t>​</w:t>
            </w:r>
          </w:p>
        </w:tc>
        <w:tc>
          <w:tcPr>
            <w:tcW w:w="132" w:type="dxa"/>
            <w:tcBorders>
              <w:bottom w:val="single" w:sz="6" w:space="0" w:color="000000"/>
            </w:tcBorders>
            <w:tcMar>
              <w:bottom w:w="145" w:type="dxa"/>
            </w:tcMar>
            <w:vAlign w:val="center"/>
          </w:tcPr>
          <w:p>
            <w:pPr>
              <w:pStyle w:val="TableContents"/>
              <w:bidi w:val="0"/>
              <w:spacing w:before="0" w:after="283"/>
              <w:jc w:val="right"/>
              <w:rPr/>
            </w:pPr>
            <w:r>
              <w:rPr/>
              <w:t>​</w:t>
            </w:r>
          </w:p>
        </w:tc>
        <w:tc>
          <w:tcPr>
            <w:tcW w:w="1078" w:type="dxa"/>
            <w:tcBorders>
              <w:bottom w:val="single" w:sz="6" w:space="0" w:color="000000"/>
            </w:tcBorders>
            <w:tcMar>
              <w:bottom w:w="145" w:type="dxa"/>
            </w:tcMar>
            <w:vAlign w:val="center"/>
          </w:tcPr>
          <w:p>
            <w:pPr>
              <w:pStyle w:val="TableContents"/>
              <w:bidi w:val="0"/>
              <w:spacing w:before="0" w:after="283"/>
              <w:jc w:val="right"/>
              <w:rPr/>
            </w:pPr>
            <w:r>
              <w:rPr/>
              <w:t>14,876</w:t>
            </w:r>
          </w:p>
        </w:tc>
        <w:tc>
          <w:tcPr>
            <w:tcW w:w="133" w:type="dxa"/>
            <w:tcBorders>
              <w:bottom w:val="single" w:sz="6" w:space="0" w:color="000000"/>
            </w:tcBorders>
            <w:tcMar>
              <w:bottom w:w="28" w:type="dxa"/>
            </w:tcMar>
            <w:vAlign w:val="center"/>
          </w:tcPr>
          <w:p>
            <w:pPr>
              <w:pStyle w:val="TableContents"/>
              <w:bidi w:val="0"/>
              <w:spacing w:before="0" w:after="283"/>
              <w:jc w:val="left"/>
              <w:rPr/>
            </w:pPr>
            <w:r>
              <w:rPr/>
              <w:t>​</w:t>
            </w:r>
          </w:p>
        </w:tc>
        <w:tc>
          <w:tcPr>
            <w:tcW w:w="167"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827" w:type="dxa"/>
            <w:tcBorders>
              <w:bottom w:val="single" w:sz="6" w:space="0" w:color="000000"/>
            </w:tcBorders>
            <w:shd w:fill="F7F7F7" w:val="clear"/>
            <w:tcMar>
              <w:bottom w:w="145" w:type="dxa"/>
            </w:tcMar>
            <w:vAlign w:val="center"/>
          </w:tcPr>
          <w:p>
            <w:pPr>
              <w:pStyle w:val="TableContents"/>
              <w:bidi w:val="0"/>
              <w:spacing w:before="0" w:after="283"/>
              <w:jc w:val="left"/>
              <w:rPr/>
            </w:pPr>
            <w:r>
              <w:rPr/>
              <w:t>Frank Lindenberg, former director</w:t>
            </w:r>
            <w:r>
              <w:rPr>
                <w:sz w:val="10"/>
              </w:rPr>
              <w:t>(3)</w:t>
            </w: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804" w:type="dxa"/>
            <w:tcBorders>
              <w:bottom w:val="single" w:sz="6" w:space="0" w:color="000000"/>
            </w:tcBorders>
            <w:shd w:fill="F7F7F7" w:val="clear"/>
            <w:tcMar>
              <w:bottom w:w="145" w:type="dxa"/>
            </w:tcMar>
            <w:vAlign w:val="center"/>
          </w:tcPr>
          <w:p>
            <w:pPr>
              <w:pStyle w:val="TableContents"/>
              <w:bidi w:val="0"/>
              <w:spacing w:before="0" w:after="283"/>
              <w:jc w:val="right"/>
              <w:rPr/>
            </w:pPr>
            <w:r>
              <w:rPr/>
              <w:t>14,876</w:t>
            </w:r>
          </w:p>
        </w:tc>
        <w:tc>
          <w:tcPr>
            <w:tcW w:w="11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1"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910"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1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1"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483"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53"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6"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03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4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2"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32"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078" w:type="dxa"/>
            <w:tcBorders>
              <w:bottom w:val="single" w:sz="6" w:space="0" w:color="000000"/>
            </w:tcBorders>
            <w:shd w:fill="F7F7F7" w:val="clear"/>
            <w:tcMar>
              <w:bottom w:w="145" w:type="dxa"/>
            </w:tcMar>
            <w:vAlign w:val="center"/>
          </w:tcPr>
          <w:p>
            <w:pPr>
              <w:pStyle w:val="TableContents"/>
              <w:bidi w:val="0"/>
              <w:spacing w:before="0" w:after="283"/>
              <w:jc w:val="right"/>
              <w:rPr/>
            </w:pPr>
            <w:r>
              <w:rPr/>
              <w:t>14,876</w:t>
            </w:r>
          </w:p>
        </w:tc>
        <w:tc>
          <w:tcPr>
            <w:tcW w:w="133"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67"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827" w:type="dxa"/>
            <w:tcBorders>
              <w:bottom w:val="single" w:sz="6" w:space="0" w:color="000000"/>
            </w:tcBorders>
            <w:tcMar>
              <w:bottom w:w="145" w:type="dxa"/>
            </w:tcMar>
            <w:vAlign w:val="center"/>
          </w:tcPr>
          <w:p>
            <w:pPr>
              <w:pStyle w:val="TableContents"/>
              <w:bidi w:val="0"/>
              <w:spacing w:before="0" w:after="283"/>
              <w:jc w:val="left"/>
              <w:rPr/>
            </w:pPr>
            <w:r>
              <w:rPr/>
              <w:t>Nancy Gioia, former director</w:t>
            </w:r>
            <w:r>
              <w:rPr>
                <w:sz w:val="10"/>
              </w:rPr>
              <w:t>(3)</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14" w:type="dxa"/>
            <w:tcBorders>
              <w:bottom w:val="single" w:sz="6" w:space="0" w:color="000000"/>
            </w:tcBorders>
            <w:tcMar>
              <w:bottom w:w="145" w:type="dxa"/>
            </w:tcMar>
            <w:vAlign w:val="center"/>
          </w:tcPr>
          <w:p>
            <w:pPr>
              <w:pStyle w:val="TableContents"/>
              <w:bidi w:val="0"/>
              <w:spacing w:before="0" w:after="283"/>
              <w:jc w:val="right"/>
              <w:rPr/>
            </w:pPr>
            <w:r>
              <w:rPr/>
              <w:t>​</w:t>
            </w:r>
          </w:p>
        </w:tc>
        <w:tc>
          <w:tcPr>
            <w:tcW w:w="804" w:type="dxa"/>
            <w:tcBorders>
              <w:bottom w:val="single" w:sz="6" w:space="0" w:color="000000"/>
            </w:tcBorders>
            <w:tcMar>
              <w:bottom w:w="145" w:type="dxa"/>
            </w:tcMar>
            <w:vAlign w:val="center"/>
          </w:tcPr>
          <w:p>
            <w:pPr>
              <w:pStyle w:val="TableContents"/>
              <w:bidi w:val="0"/>
              <w:spacing w:before="0" w:after="283"/>
              <w:jc w:val="right"/>
              <w:rPr/>
            </w:pPr>
            <w:r>
              <w:rPr/>
              <w:t>12,527</w:t>
            </w:r>
          </w:p>
        </w:tc>
        <w:tc>
          <w:tcPr>
            <w:tcW w:w="11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1" w:type="dxa"/>
            <w:tcBorders>
              <w:bottom w:val="single" w:sz="6" w:space="0" w:color="000000"/>
            </w:tcBorders>
            <w:tcMar>
              <w:bottom w:w="28" w:type="dxa"/>
            </w:tcMar>
            <w:vAlign w:val="center"/>
          </w:tcPr>
          <w:p>
            <w:pPr>
              <w:pStyle w:val="TableContents"/>
              <w:bidi w:val="0"/>
              <w:spacing w:before="0" w:after="283"/>
              <w:jc w:val="left"/>
              <w:rPr/>
            </w:pPr>
            <w:r>
              <w:rPr/>
              <w:t>​</w:t>
            </w:r>
          </w:p>
        </w:tc>
        <w:tc>
          <w:tcPr>
            <w:tcW w:w="111" w:type="dxa"/>
            <w:tcBorders>
              <w:bottom w:val="single" w:sz="6" w:space="0" w:color="000000"/>
            </w:tcBorders>
            <w:tcMar>
              <w:bottom w:w="145" w:type="dxa"/>
            </w:tcMar>
            <w:vAlign w:val="center"/>
          </w:tcPr>
          <w:p>
            <w:pPr>
              <w:pStyle w:val="TableContents"/>
              <w:bidi w:val="0"/>
              <w:spacing w:before="0" w:after="283"/>
              <w:jc w:val="right"/>
              <w:rPr/>
            </w:pPr>
            <w:r>
              <w:rPr/>
              <w:t>​</w:t>
            </w:r>
          </w:p>
        </w:tc>
        <w:tc>
          <w:tcPr>
            <w:tcW w:w="910" w:type="dxa"/>
            <w:tcBorders>
              <w:bottom w:val="single" w:sz="6" w:space="0" w:color="000000"/>
            </w:tcBorders>
            <w:tcMar>
              <w:bottom w:w="145" w:type="dxa"/>
            </w:tcMar>
            <w:vAlign w:val="center"/>
          </w:tcPr>
          <w:p>
            <w:pPr>
              <w:pStyle w:val="TableContents"/>
              <w:bidi w:val="0"/>
              <w:spacing w:before="0" w:after="283"/>
              <w:jc w:val="right"/>
              <w:rPr/>
            </w:pPr>
            <w:r>
              <w:rPr/>
              <w:t>—</w:t>
            </w:r>
          </w:p>
        </w:tc>
        <w:tc>
          <w:tcPr>
            <w:tcW w:w="111"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1" w:type="dxa"/>
            <w:tcBorders>
              <w:bottom w:val="single" w:sz="6" w:space="0" w:color="000000"/>
            </w:tcBorders>
            <w:tcMar>
              <w:bottom w:w="28" w:type="dxa"/>
            </w:tcMar>
            <w:vAlign w:val="center"/>
          </w:tcPr>
          <w:p>
            <w:pPr>
              <w:pStyle w:val="TableContents"/>
              <w:bidi w:val="0"/>
              <w:spacing w:before="0" w:after="283"/>
              <w:jc w:val="left"/>
              <w:rPr/>
            </w:pPr>
            <w:r>
              <w:rPr/>
              <w:t>​</w:t>
            </w:r>
          </w:p>
        </w:tc>
        <w:tc>
          <w:tcPr>
            <w:tcW w:w="151" w:type="dxa"/>
            <w:tcBorders>
              <w:bottom w:val="single" w:sz="6" w:space="0" w:color="000000"/>
            </w:tcBorders>
            <w:tcMar>
              <w:bottom w:w="145" w:type="dxa"/>
            </w:tcMar>
            <w:vAlign w:val="center"/>
          </w:tcPr>
          <w:p>
            <w:pPr>
              <w:pStyle w:val="TableContents"/>
              <w:bidi w:val="0"/>
              <w:spacing w:before="0" w:after="283"/>
              <w:jc w:val="right"/>
              <w:rPr/>
            </w:pPr>
            <w:r>
              <w:rPr/>
              <w:t>​</w:t>
            </w:r>
          </w:p>
        </w:tc>
        <w:tc>
          <w:tcPr>
            <w:tcW w:w="483" w:type="dxa"/>
            <w:tcBorders>
              <w:bottom w:val="single" w:sz="6" w:space="0" w:color="000000"/>
            </w:tcBorders>
            <w:tcMar>
              <w:bottom w:w="145" w:type="dxa"/>
            </w:tcMar>
            <w:vAlign w:val="center"/>
          </w:tcPr>
          <w:p>
            <w:pPr>
              <w:pStyle w:val="TableContents"/>
              <w:bidi w:val="0"/>
              <w:spacing w:before="0" w:after="283"/>
              <w:jc w:val="right"/>
              <w:rPr/>
            </w:pPr>
            <w:r>
              <w:rPr/>
              <w:t>—</w:t>
            </w:r>
          </w:p>
        </w:tc>
        <w:tc>
          <w:tcPr>
            <w:tcW w:w="153"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6" w:type="dxa"/>
            <w:tcBorders>
              <w:bottom w:val="single" w:sz="6" w:space="0" w:color="000000"/>
            </w:tcBorders>
            <w:tcMar>
              <w:bottom w:w="28" w:type="dxa"/>
            </w:tcMar>
            <w:vAlign w:val="center"/>
          </w:tcPr>
          <w:p>
            <w:pPr>
              <w:pStyle w:val="TableContents"/>
              <w:bidi w:val="0"/>
              <w:spacing w:before="0" w:after="283"/>
              <w:jc w:val="left"/>
              <w:rPr/>
            </w:pPr>
            <w:r>
              <w:rPr/>
              <w:t>​</w:t>
            </w:r>
          </w:p>
        </w:tc>
        <w:tc>
          <w:tcPr>
            <w:tcW w:w="146" w:type="dxa"/>
            <w:tcBorders>
              <w:bottom w:val="single" w:sz="6" w:space="0" w:color="000000"/>
            </w:tcBorders>
            <w:tcMar>
              <w:bottom w:w="145" w:type="dxa"/>
            </w:tcMar>
            <w:vAlign w:val="center"/>
          </w:tcPr>
          <w:p>
            <w:pPr>
              <w:pStyle w:val="TableContents"/>
              <w:bidi w:val="0"/>
              <w:spacing w:before="0" w:after="283"/>
              <w:jc w:val="right"/>
              <w:rPr/>
            </w:pPr>
            <w:r>
              <w:rPr/>
              <w:t>​</w:t>
            </w:r>
          </w:p>
        </w:tc>
        <w:tc>
          <w:tcPr>
            <w:tcW w:w="1034" w:type="dxa"/>
            <w:tcBorders>
              <w:bottom w:val="single" w:sz="6" w:space="0" w:color="000000"/>
            </w:tcBorders>
            <w:tcMar>
              <w:bottom w:w="145" w:type="dxa"/>
            </w:tcMar>
            <w:vAlign w:val="center"/>
          </w:tcPr>
          <w:p>
            <w:pPr>
              <w:pStyle w:val="TableContents"/>
              <w:bidi w:val="0"/>
              <w:spacing w:before="0" w:after="283"/>
              <w:jc w:val="right"/>
              <w:rPr/>
            </w:pPr>
            <w:r>
              <w:rPr/>
              <w:t>—</w:t>
            </w:r>
          </w:p>
        </w:tc>
        <w:tc>
          <w:tcPr>
            <w:tcW w:w="14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 w:type="dxa"/>
            <w:tcBorders>
              <w:bottom w:val="single" w:sz="6" w:space="0" w:color="000000"/>
            </w:tcBorders>
            <w:tcMar>
              <w:bottom w:w="28" w:type="dxa"/>
            </w:tcMar>
            <w:vAlign w:val="center"/>
          </w:tcPr>
          <w:p>
            <w:pPr>
              <w:pStyle w:val="TableContents"/>
              <w:bidi w:val="0"/>
              <w:spacing w:before="0" w:after="283"/>
              <w:jc w:val="left"/>
              <w:rPr/>
            </w:pPr>
            <w:r>
              <w:rPr/>
              <w:t>​</w:t>
            </w:r>
          </w:p>
        </w:tc>
        <w:tc>
          <w:tcPr>
            <w:tcW w:w="132" w:type="dxa"/>
            <w:tcBorders>
              <w:bottom w:val="single" w:sz="6" w:space="0" w:color="000000"/>
            </w:tcBorders>
            <w:tcMar>
              <w:bottom w:w="145" w:type="dxa"/>
            </w:tcMar>
            <w:vAlign w:val="center"/>
          </w:tcPr>
          <w:p>
            <w:pPr>
              <w:pStyle w:val="TableContents"/>
              <w:bidi w:val="0"/>
              <w:spacing w:before="0" w:after="283"/>
              <w:jc w:val="right"/>
              <w:rPr/>
            </w:pPr>
            <w:r>
              <w:rPr/>
              <w:t>​</w:t>
            </w:r>
          </w:p>
        </w:tc>
        <w:tc>
          <w:tcPr>
            <w:tcW w:w="1078" w:type="dxa"/>
            <w:tcBorders>
              <w:bottom w:val="single" w:sz="6" w:space="0" w:color="000000"/>
            </w:tcBorders>
            <w:tcMar>
              <w:bottom w:w="145" w:type="dxa"/>
            </w:tcMar>
            <w:vAlign w:val="center"/>
          </w:tcPr>
          <w:p>
            <w:pPr>
              <w:pStyle w:val="TableContents"/>
              <w:bidi w:val="0"/>
              <w:spacing w:before="0" w:after="283"/>
              <w:jc w:val="right"/>
              <w:rPr/>
            </w:pPr>
            <w:r>
              <w:rPr/>
              <w:t>12,527</w:t>
            </w:r>
          </w:p>
        </w:tc>
        <w:tc>
          <w:tcPr>
            <w:tcW w:w="133" w:type="dxa"/>
            <w:tcBorders>
              <w:bottom w:val="single" w:sz="6" w:space="0" w:color="000000"/>
            </w:tcBorders>
            <w:tcMar>
              <w:bottom w:w="28" w:type="dxa"/>
            </w:tcMar>
            <w:vAlign w:val="center"/>
          </w:tcPr>
          <w:p>
            <w:pPr>
              <w:pStyle w:val="TableContents"/>
              <w:bidi w:val="0"/>
              <w:spacing w:before="0" w:after="283"/>
              <w:jc w:val="left"/>
              <w:rPr/>
            </w:pPr>
            <w:r>
              <w:rPr/>
              <w:t>​</w:t>
            </w:r>
          </w:p>
        </w:tc>
        <w:tc>
          <w:tcPr>
            <w:tcW w:w="167" w:type="dxa"/>
            <w:tcBorders>
              <w:bottom w:val="single" w:sz="6" w:space="0" w:color="000000"/>
            </w:tcBorders>
            <w:tcMar>
              <w:bottom w:w="28" w:type="dxa"/>
            </w:tcMar>
            <w:vAlign w:val="center"/>
          </w:tcPr>
          <w:p>
            <w:pPr>
              <w:pStyle w:val="TableContents"/>
              <w:bidi w:val="0"/>
              <w:spacing w:before="0" w:after="283"/>
              <w:jc w:val="left"/>
              <w:rPr/>
            </w:pPr>
            <w:r>
              <w:rPr/>
              <w:t>​</w:t>
            </w:r>
          </w:p>
        </w:tc>
      </w:tr>
    </w:tbl>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70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42" w:before="840" w:after="283"/>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The amounts in this column reflect the grant date fair values of the RSUs granted to our non-employee directors during 2023, calculated in accordance with FASB ASC Topic 718. Messrs. Liveris, August, Marakby and Winitzer, and Ms. Maynard-Elliott, have elected to defer settlement of the RSUs.</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0" distB="0" distL="0" distR="0" simplePos="0" locked="0" layoutInCell="1" allowOverlap="1" relativeHeight="259">
                <wp:simplePos x="0" y="0"/>
                <wp:positionH relativeFrom="column">
                  <wp:align>left</wp:align>
                </wp:positionH>
                <wp:positionV relativeFrom="line">
                  <wp:posOffset>635</wp:posOffset>
                </wp:positionV>
                <wp:extent cx="81915" cy="525780"/>
                <wp:effectExtent l="0" t="0" r="0" b="0"/>
                <wp:wrapSquare wrapText="right"/>
                <wp:docPr id="251" name="Frame188"/>
                <a:graphic xmlns:a="http://schemas.openxmlformats.org/drawingml/2006/main">
                  <a:graphicData uri="http://schemas.microsoft.com/office/word/2010/wordprocessingShape">
                    <wps:wsp>
                      <wps:cNvSpPr txBox="1"/>
                      <wps:spPr>
                        <a:xfrm>
                          <a:off x="0" y="0"/>
                          <a:ext cx="81915" cy="525780"/>
                        </a:xfrm>
                        <a:prstGeom prst="rect"/>
                        <a:solidFill>
                          <a:srgbClr val="FFFFFF"/>
                        </a:solidFill>
                      </wps:spPr>
                      <wps:txbx>
                        <w:txbxContent>
                          <w:p>
                            <w:pPr>
                              <w:pStyle w:val="TextBody"/>
                              <w:bidi w:val="0"/>
                              <w:spacing w:lineRule="atLeast" w:line="142" w:before="0" w:after="283"/>
                              <w:jc w:val="left"/>
                              <w:rPr/>
                            </w:pPr>
                            <w:r>
                              <w:rPr>
                                <w:sz w:val="9"/>
                              </w:rPr>
                              <w:t>(1)</w:t>
                            </w:r>
                            <w:r>
                              <w:rPr/>
                              <w:t xml:space="preserve"> </w:t>
                              <w:br/>
                            </w:r>
                          </w:p>
                        </w:txbxContent>
                      </wps:txbx>
                      <wps:bodyPr anchor="t" lIns="0" tIns="0" rIns="0" bIns="0">
                        <a:noAutofit/>
                      </wps:bodyPr>
                    </wps:wsp>
                  </a:graphicData>
                </a:graphic>
              </wp:anchor>
            </w:drawing>
          </mc:Choice>
          <mc:Fallback>
            <w:pict>
              <v:rect style="position:absolute;rotation:-0;width:6.4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283"/>
                        <w:jc w:val="left"/>
                        <w:rPr/>
                      </w:pPr>
                      <w:r>
                        <w:rPr>
                          <w:sz w:val="9"/>
                        </w:rPr>
                        <w:t>(1)</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Represents the value of the personal usage of Company-owned Lucid Air vehicles. In addition, payment of a tax gross-up attributable to this perquisite will be made by the end of the taxable year in which the director remits the related taxes.</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60">
                <wp:simplePos x="0" y="0"/>
                <wp:positionH relativeFrom="column">
                  <wp:align>left</wp:align>
                </wp:positionH>
                <wp:positionV relativeFrom="line">
                  <wp:align>top</wp:align>
                </wp:positionV>
                <wp:extent cx="81915" cy="525780"/>
                <wp:effectExtent l="0" t="0" r="0" b="0"/>
                <wp:wrapSquare wrapText="right"/>
                <wp:docPr id="252" name="Frame189"/>
                <a:graphic xmlns:a="http://schemas.openxmlformats.org/drawingml/2006/main">
                  <a:graphicData uri="http://schemas.microsoft.com/office/word/2010/wordprocessingShape">
                    <wps:wsp>
                      <wps:cNvSpPr txBox="1"/>
                      <wps:spPr>
                        <a:xfrm>
                          <a:off x="0" y="0"/>
                          <a:ext cx="81915" cy="525780"/>
                        </a:xfrm>
                        <a:prstGeom prst="rect"/>
                        <a:solidFill>
                          <a:srgbClr val="FFFFFF"/>
                        </a:solidFill>
                      </wps:spPr>
                      <wps:txbx>
                        <w:txbxContent>
                          <w:p>
                            <w:pPr>
                              <w:pStyle w:val="TextBody"/>
                              <w:bidi w:val="0"/>
                              <w:spacing w:lineRule="atLeast" w:line="142" w:before="0" w:after="283"/>
                              <w:jc w:val="left"/>
                              <w:rPr/>
                            </w:pPr>
                            <w:r>
                              <w:rPr>
                                <w:sz w:val="9"/>
                              </w:rPr>
                              <w:t>(2)</w:t>
                            </w:r>
                            <w:r>
                              <w:rPr/>
                              <w:t xml:space="preserve"> </w:t>
                              <w:br/>
                            </w:r>
                          </w:p>
                        </w:txbxContent>
                      </wps:txbx>
                      <wps:bodyPr anchor="t" lIns="0" tIns="0" rIns="0" bIns="0">
                        <a:noAutofit/>
                      </wps:bodyPr>
                    </wps:wsp>
                  </a:graphicData>
                </a:graphic>
              </wp:anchor>
            </w:drawing>
          </mc:Choice>
          <mc:Fallback>
            <w:pict>
              <v:rect style="position:absolute;rotation:-0;width:6.45pt;height:41.4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pPr>
                      <w:r>
                        <w:rPr>
                          <w:sz w:val="9"/>
                        </w:rPr>
                        <w:t>(2)</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Mr. August will not stand for reelection at the Annual Meeting and will complete his service on June 4, 2024. Mr. Posawatz, Mr. Lindenberg, and Ms. Gioia did not stand for reelection at the 2023 annual meeting of stockholders and completed their service on April 24, 2023.</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61">
                <wp:simplePos x="0" y="0"/>
                <wp:positionH relativeFrom="column">
                  <wp:align>left</wp:align>
                </wp:positionH>
                <wp:positionV relativeFrom="line">
                  <wp:align>top</wp:align>
                </wp:positionV>
                <wp:extent cx="81915" cy="525780"/>
                <wp:effectExtent l="0" t="0" r="0" b="0"/>
                <wp:wrapSquare wrapText="right"/>
                <wp:docPr id="253" name="Frame190"/>
                <a:graphic xmlns:a="http://schemas.openxmlformats.org/drawingml/2006/main">
                  <a:graphicData uri="http://schemas.microsoft.com/office/word/2010/wordprocessingShape">
                    <wps:wsp>
                      <wps:cNvSpPr txBox="1"/>
                      <wps:spPr>
                        <a:xfrm>
                          <a:off x="0" y="0"/>
                          <a:ext cx="81915" cy="525780"/>
                        </a:xfrm>
                        <a:prstGeom prst="rect"/>
                        <a:solidFill>
                          <a:srgbClr val="FFFFFF"/>
                        </a:solidFill>
                      </wps:spPr>
                      <wps:txbx>
                        <w:txbxContent>
                          <w:p>
                            <w:pPr>
                              <w:pStyle w:val="TextBody"/>
                              <w:bidi w:val="0"/>
                              <w:spacing w:lineRule="atLeast" w:line="142" w:before="0" w:after="283"/>
                              <w:jc w:val="left"/>
                              <w:rPr/>
                            </w:pPr>
                            <w:r>
                              <w:rPr>
                                <w:sz w:val="9"/>
                              </w:rPr>
                              <w:t>(3)</w:t>
                            </w:r>
                            <w:r>
                              <w:rPr/>
                              <w:t xml:space="preserve"> </w:t>
                              <w:br/>
                            </w:r>
                          </w:p>
                        </w:txbxContent>
                      </wps:txbx>
                      <wps:bodyPr anchor="t" lIns="0" tIns="0" rIns="0" bIns="0">
                        <a:noAutofit/>
                      </wps:bodyPr>
                    </wps:wsp>
                  </a:graphicData>
                </a:graphic>
              </wp:anchor>
            </w:drawing>
          </mc:Choice>
          <mc:Fallback>
            <w:pict>
              <v:rect style="position:absolute;rotation:-0;width:6.45pt;height:41.4pt;mso-wrap-distance-left:0pt;mso-wrap-distance-right:0pt;mso-wrap-distance-top:5.5pt;mso-wrap-distance-bottom:0pt;margin-top:5.5pt;mso-position-vertical:top;mso-position-vertical-relative:text;margin-left:6.45pt;mso-position-horizontal:left;mso-position-horizontal-relative:text">
                <v:textbox>
                  <w:txbxContent>
                    <w:p>
                      <w:pPr>
                        <w:pStyle w:val="TextBody"/>
                        <w:bidi w:val="0"/>
                        <w:spacing w:lineRule="atLeast" w:line="142" w:before="0" w:after="283"/>
                        <w:jc w:val="left"/>
                        <w:rPr/>
                      </w:pPr>
                      <w:r>
                        <w:rPr>
                          <w:sz w:val="9"/>
                        </w:rPr>
                        <w:t>(3)</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As of December 31, 2023, the aggregate number of shares subject to outstanding equity awards held by our non-employee directors was as follows:</w:t>
      </w:r>
      <w:r>
        <w:rPr>
          <w:rFonts w:ascii="Helvetica;Arial;sans-serif" w:hAnsi="Helvetica;Arial;sans-serif"/>
          <w:b w:val="false"/>
          <w:i w:val="false"/>
          <w:caps w:val="false"/>
          <w:smallCaps w:val="false"/>
          <w:color w:val="000000"/>
          <w:spacing w:val="4"/>
          <w:sz w:val="18"/>
        </w:rPr>
        <w:t xml:space="preserve"> </w:t>
      </w:r>
    </w:p>
    <w:tbl>
      <w:tblPr>
        <w:tblW w:w="4951" w:type="dxa"/>
        <w:jc w:val="left"/>
        <w:tblInd w:w="720" w:type="dxa"/>
        <w:tblLayout w:type="fixed"/>
        <w:tblCellMar>
          <w:top w:w="0" w:type="dxa"/>
          <w:left w:w="0" w:type="dxa"/>
          <w:bottom w:w="0" w:type="dxa"/>
          <w:right w:w="0" w:type="dxa"/>
        </w:tblCellMar>
      </w:tblPr>
      <w:tblGrid>
        <w:gridCol w:w="124"/>
        <w:gridCol w:w="2521"/>
        <w:gridCol w:w="109"/>
        <w:gridCol w:w="109"/>
        <w:gridCol w:w="192"/>
        <w:gridCol w:w="192"/>
        <w:gridCol w:w="1356"/>
        <w:gridCol w:w="194"/>
        <w:gridCol w:w="154"/>
      </w:tblGrid>
      <w:tr>
        <w:trPr/>
        <w:tc>
          <w:tcPr>
            <w:tcW w:w="124" w:type="dxa"/>
            <w:tcBorders/>
            <w:shd w:fill="000000" w:val="clear"/>
            <w:vAlign w:val="center"/>
          </w:tcPr>
          <w:p>
            <w:pPr>
              <w:pStyle w:val="TableContents"/>
              <w:bidi w:val="0"/>
              <w:spacing w:before="0" w:after="283"/>
              <w:jc w:val="left"/>
              <w:rPr/>
            </w:pPr>
            <w:r>
              <w:rPr/>
              <w:t>​</w:t>
            </w:r>
          </w:p>
        </w:tc>
        <w:tc>
          <w:tcPr>
            <w:tcW w:w="2521" w:type="dxa"/>
            <w:tcBorders/>
            <w:shd w:fill="000000" w:val="clear"/>
            <w:vAlign w:val="center"/>
          </w:tcPr>
          <w:p>
            <w:pPr>
              <w:pStyle w:val="TableContents"/>
              <w:bidi w:val="0"/>
              <w:spacing w:before="0" w:after="0"/>
              <w:jc w:val="left"/>
              <w:rPr/>
            </w:pPr>
            <w:r>
              <w:rPr/>
              <w:t xml:space="preserve">Name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934" w:type="dxa"/>
            <w:gridSpan w:val="4"/>
            <w:tcBorders/>
            <w:shd w:fill="000000" w:val="clear"/>
            <w:vAlign w:val="center"/>
          </w:tcPr>
          <w:p>
            <w:pPr>
              <w:pStyle w:val="TableContents"/>
              <w:bidi w:val="0"/>
              <w:spacing w:lineRule="atLeast" w:line="142" w:before="0" w:after="0"/>
              <w:jc w:val="center"/>
              <w:rPr/>
            </w:pPr>
            <w:r>
              <w:rPr/>
              <w:t xml:space="preserve">Shares Underlying </w:t>
              <w:br/>
              <w:t>Stock Awards</w:t>
            </w:r>
            <w:r>
              <w:rPr>
                <w:sz w:val="9"/>
              </w:rPr>
              <w:t>(1)</w:t>
            </w:r>
            <w:r>
              <w:rPr/>
              <w:t xml:space="preserve">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521" w:type="dxa"/>
            <w:tcBorders>
              <w:bottom w:val="single" w:sz="6" w:space="0" w:color="000000"/>
            </w:tcBorders>
            <w:tcMar>
              <w:bottom w:w="145" w:type="dxa"/>
            </w:tcMar>
            <w:vAlign w:val="center"/>
          </w:tcPr>
          <w:p>
            <w:pPr>
              <w:pStyle w:val="TableContents"/>
              <w:bidi w:val="0"/>
              <w:spacing w:before="0" w:after="283"/>
              <w:jc w:val="left"/>
              <w:rPr/>
            </w:pPr>
            <w:r>
              <w:rPr/>
              <w:t xml:space="preserve">Turqi Alnowaiser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92" w:type="dxa"/>
            <w:tcBorders>
              <w:bottom w:val="single" w:sz="6" w:space="0" w:color="000000"/>
            </w:tcBorders>
            <w:tcMar>
              <w:bottom w:w="28" w:type="dxa"/>
            </w:tcMar>
            <w:vAlign w:val="center"/>
          </w:tcPr>
          <w:p>
            <w:pPr>
              <w:pStyle w:val="TableContents"/>
              <w:bidi w:val="0"/>
              <w:spacing w:before="0" w:after="283"/>
              <w:jc w:val="left"/>
              <w:rPr/>
            </w:pPr>
            <w:r>
              <w:rPr/>
              <w:t>​</w:t>
            </w:r>
          </w:p>
        </w:tc>
        <w:tc>
          <w:tcPr>
            <w:tcW w:w="192" w:type="dxa"/>
            <w:tcBorders>
              <w:bottom w:val="single" w:sz="6" w:space="0" w:color="000000"/>
            </w:tcBorders>
            <w:tcMar>
              <w:bottom w:w="145" w:type="dxa"/>
            </w:tcMar>
            <w:vAlign w:val="center"/>
          </w:tcPr>
          <w:p>
            <w:pPr>
              <w:pStyle w:val="TableContents"/>
              <w:bidi w:val="0"/>
              <w:spacing w:before="0" w:after="283"/>
              <w:jc w:val="right"/>
              <w:rPr/>
            </w:pPr>
            <w:r>
              <w:rPr/>
              <w:t>​</w:t>
            </w:r>
          </w:p>
        </w:tc>
        <w:tc>
          <w:tcPr>
            <w:tcW w:w="1356" w:type="dxa"/>
            <w:tcBorders>
              <w:bottom w:val="single" w:sz="6" w:space="0" w:color="000000"/>
            </w:tcBorders>
            <w:tcMar>
              <w:bottom w:w="145" w:type="dxa"/>
            </w:tcMar>
            <w:vAlign w:val="center"/>
          </w:tcPr>
          <w:p>
            <w:pPr>
              <w:pStyle w:val="TableContents"/>
              <w:bidi w:val="0"/>
              <w:spacing w:before="0" w:after="283"/>
              <w:jc w:val="right"/>
              <w:rPr/>
            </w:pPr>
            <w:r>
              <w:rPr/>
              <w:t>35,993</w:t>
            </w:r>
          </w:p>
        </w:tc>
        <w:tc>
          <w:tcPr>
            <w:tcW w:w="194"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521" w:type="dxa"/>
            <w:tcBorders>
              <w:bottom w:val="single" w:sz="6" w:space="0" w:color="000000"/>
            </w:tcBorders>
            <w:shd w:fill="F7F7F7" w:val="clear"/>
            <w:tcMar>
              <w:bottom w:w="145" w:type="dxa"/>
            </w:tcMar>
            <w:vAlign w:val="center"/>
          </w:tcPr>
          <w:p>
            <w:pPr>
              <w:pStyle w:val="TableContents"/>
              <w:bidi w:val="0"/>
              <w:spacing w:before="0" w:after="283"/>
              <w:jc w:val="left"/>
              <w:rPr/>
            </w:pPr>
            <w:r>
              <w:rPr/>
              <w:t xml:space="preserve">Glenn R. August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92"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92"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356" w:type="dxa"/>
            <w:tcBorders>
              <w:bottom w:val="single" w:sz="6" w:space="0" w:color="000000"/>
            </w:tcBorders>
            <w:shd w:fill="F7F7F7" w:val="clear"/>
            <w:tcMar>
              <w:bottom w:w="145" w:type="dxa"/>
            </w:tcMar>
            <w:vAlign w:val="center"/>
          </w:tcPr>
          <w:p>
            <w:pPr>
              <w:pStyle w:val="TableContents"/>
              <w:bidi w:val="0"/>
              <w:spacing w:before="0" w:after="283"/>
              <w:jc w:val="right"/>
              <w:rPr/>
            </w:pPr>
            <w:r>
              <w:rPr/>
              <w:t>45,818</w:t>
            </w:r>
          </w:p>
        </w:tc>
        <w:tc>
          <w:tcPr>
            <w:tcW w:w="19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521" w:type="dxa"/>
            <w:tcBorders>
              <w:bottom w:val="single" w:sz="6" w:space="0" w:color="000000"/>
            </w:tcBorders>
            <w:tcMar>
              <w:bottom w:w="145" w:type="dxa"/>
            </w:tcMar>
            <w:vAlign w:val="center"/>
          </w:tcPr>
          <w:p>
            <w:pPr>
              <w:pStyle w:val="TableContents"/>
              <w:bidi w:val="0"/>
              <w:spacing w:before="0" w:after="283"/>
              <w:jc w:val="left"/>
              <w:rPr/>
            </w:pPr>
            <w:r>
              <w:rPr/>
              <w:t xml:space="preserve">Andrew Liveris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92" w:type="dxa"/>
            <w:tcBorders>
              <w:bottom w:val="single" w:sz="6" w:space="0" w:color="000000"/>
            </w:tcBorders>
            <w:tcMar>
              <w:bottom w:w="28" w:type="dxa"/>
            </w:tcMar>
            <w:vAlign w:val="center"/>
          </w:tcPr>
          <w:p>
            <w:pPr>
              <w:pStyle w:val="TableContents"/>
              <w:bidi w:val="0"/>
              <w:spacing w:before="0" w:after="283"/>
              <w:jc w:val="left"/>
              <w:rPr/>
            </w:pPr>
            <w:r>
              <w:rPr/>
              <w:t>​</w:t>
            </w:r>
          </w:p>
        </w:tc>
        <w:tc>
          <w:tcPr>
            <w:tcW w:w="192" w:type="dxa"/>
            <w:tcBorders>
              <w:bottom w:val="single" w:sz="6" w:space="0" w:color="000000"/>
            </w:tcBorders>
            <w:tcMar>
              <w:bottom w:w="145" w:type="dxa"/>
            </w:tcMar>
            <w:vAlign w:val="center"/>
          </w:tcPr>
          <w:p>
            <w:pPr>
              <w:pStyle w:val="TableContents"/>
              <w:bidi w:val="0"/>
              <w:spacing w:before="0" w:after="283"/>
              <w:jc w:val="right"/>
              <w:rPr/>
            </w:pPr>
            <w:r>
              <w:rPr/>
              <w:t>​</w:t>
            </w:r>
          </w:p>
        </w:tc>
        <w:tc>
          <w:tcPr>
            <w:tcW w:w="1356" w:type="dxa"/>
            <w:tcBorders>
              <w:bottom w:val="single" w:sz="6" w:space="0" w:color="000000"/>
            </w:tcBorders>
            <w:tcMar>
              <w:bottom w:w="145" w:type="dxa"/>
            </w:tcMar>
            <w:vAlign w:val="center"/>
          </w:tcPr>
          <w:p>
            <w:pPr>
              <w:pStyle w:val="TableContents"/>
              <w:bidi w:val="0"/>
              <w:spacing w:before="0" w:after="283"/>
              <w:jc w:val="right"/>
              <w:rPr/>
            </w:pPr>
            <w:r>
              <w:rPr/>
              <w:t>45,818</w:t>
            </w:r>
          </w:p>
        </w:tc>
        <w:tc>
          <w:tcPr>
            <w:tcW w:w="194"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521" w:type="dxa"/>
            <w:tcBorders>
              <w:bottom w:val="single" w:sz="6" w:space="0" w:color="000000"/>
            </w:tcBorders>
            <w:shd w:fill="F7F7F7" w:val="clear"/>
            <w:tcMar>
              <w:bottom w:w="145" w:type="dxa"/>
            </w:tcMar>
            <w:vAlign w:val="center"/>
          </w:tcPr>
          <w:p>
            <w:pPr>
              <w:pStyle w:val="TableContents"/>
              <w:bidi w:val="0"/>
              <w:spacing w:before="0" w:after="283"/>
              <w:jc w:val="left"/>
              <w:rPr/>
            </w:pPr>
            <w:r>
              <w:rPr/>
              <w:t xml:space="preserve">Sherif Marakby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92"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92"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356" w:type="dxa"/>
            <w:tcBorders>
              <w:bottom w:val="single" w:sz="6" w:space="0" w:color="000000"/>
            </w:tcBorders>
            <w:shd w:fill="F7F7F7" w:val="clear"/>
            <w:tcMar>
              <w:bottom w:w="145" w:type="dxa"/>
            </w:tcMar>
            <w:vAlign w:val="center"/>
          </w:tcPr>
          <w:p>
            <w:pPr>
              <w:pStyle w:val="TableContents"/>
              <w:bidi w:val="0"/>
              <w:spacing w:before="0" w:after="283"/>
              <w:jc w:val="right"/>
              <w:rPr/>
            </w:pPr>
            <w:r>
              <w:rPr/>
              <w:t>48,387</w:t>
            </w:r>
          </w:p>
        </w:tc>
        <w:tc>
          <w:tcPr>
            <w:tcW w:w="19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521" w:type="dxa"/>
            <w:tcBorders>
              <w:bottom w:val="single" w:sz="6" w:space="0" w:color="000000"/>
            </w:tcBorders>
            <w:tcMar>
              <w:bottom w:w="145" w:type="dxa"/>
            </w:tcMar>
            <w:vAlign w:val="center"/>
          </w:tcPr>
          <w:p>
            <w:pPr>
              <w:pStyle w:val="TableContents"/>
              <w:bidi w:val="0"/>
              <w:spacing w:before="0" w:after="283"/>
              <w:jc w:val="left"/>
              <w:rPr/>
            </w:pPr>
            <w:r>
              <w:rPr/>
              <w:t xml:space="preserve">Nichelle Maynard-Elliott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92" w:type="dxa"/>
            <w:tcBorders>
              <w:bottom w:val="single" w:sz="6" w:space="0" w:color="000000"/>
            </w:tcBorders>
            <w:tcMar>
              <w:bottom w:w="28" w:type="dxa"/>
            </w:tcMar>
            <w:vAlign w:val="center"/>
          </w:tcPr>
          <w:p>
            <w:pPr>
              <w:pStyle w:val="TableContents"/>
              <w:bidi w:val="0"/>
              <w:spacing w:before="0" w:after="283"/>
              <w:jc w:val="left"/>
              <w:rPr/>
            </w:pPr>
            <w:r>
              <w:rPr/>
              <w:t>​</w:t>
            </w:r>
          </w:p>
        </w:tc>
        <w:tc>
          <w:tcPr>
            <w:tcW w:w="192" w:type="dxa"/>
            <w:tcBorders>
              <w:bottom w:val="single" w:sz="6" w:space="0" w:color="000000"/>
            </w:tcBorders>
            <w:tcMar>
              <w:bottom w:w="145" w:type="dxa"/>
            </w:tcMar>
            <w:vAlign w:val="center"/>
          </w:tcPr>
          <w:p>
            <w:pPr>
              <w:pStyle w:val="TableContents"/>
              <w:bidi w:val="0"/>
              <w:spacing w:before="0" w:after="283"/>
              <w:jc w:val="right"/>
              <w:rPr/>
            </w:pPr>
            <w:r>
              <w:rPr/>
              <w:t>​</w:t>
            </w:r>
          </w:p>
        </w:tc>
        <w:tc>
          <w:tcPr>
            <w:tcW w:w="1356" w:type="dxa"/>
            <w:tcBorders>
              <w:bottom w:val="single" w:sz="6" w:space="0" w:color="000000"/>
            </w:tcBorders>
            <w:tcMar>
              <w:bottom w:w="145" w:type="dxa"/>
            </w:tcMar>
            <w:vAlign w:val="center"/>
          </w:tcPr>
          <w:p>
            <w:pPr>
              <w:pStyle w:val="TableContents"/>
              <w:bidi w:val="0"/>
              <w:spacing w:before="0" w:after="283"/>
              <w:jc w:val="right"/>
              <w:rPr/>
            </w:pPr>
            <w:r>
              <w:rPr/>
              <w:t>45,818</w:t>
            </w:r>
          </w:p>
        </w:tc>
        <w:tc>
          <w:tcPr>
            <w:tcW w:w="194"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521" w:type="dxa"/>
            <w:tcBorders>
              <w:bottom w:val="single" w:sz="6" w:space="0" w:color="000000"/>
            </w:tcBorders>
            <w:shd w:fill="F7F7F7" w:val="clear"/>
            <w:tcMar>
              <w:bottom w:w="145" w:type="dxa"/>
            </w:tcMar>
            <w:vAlign w:val="center"/>
          </w:tcPr>
          <w:p>
            <w:pPr>
              <w:pStyle w:val="TableContents"/>
              <w:bidi w:val="0"/>
              <w:spacing w:before="0" w:after="283"/>
              <w:jc w:val="left"/>
              <w:rPr/>
            </w:pPr>
            <w:r>
              <w:rPr/>
              <w:t xml:space="preserve">Chabi Nouri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92"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92"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356" w:type="dxa"/>
            <w:tcBorders>
              <w:bottom w:val="single" w:sz="6" w:space="0" w:color="000000"/>
            </w:tcBorders>
            <w:shd w:fill="F7F7F7" w:val="clear"/>
            <w:tcMar>
              <w:bottom w:w="145" w:type="dxa"/>
            </w:tcMar>
            <w:vAlign w:val="center"/>
          </w:tcPr>
          <w:p>
            <w:pPr>
              <w:pStyle w:val="TableContents"/>
              <w:bidi w:val="0"/>
              <w:spacing w:before="0" w:after="283"/>
              <w:jc w:val="right"/>
              <w:rPr/>
            </w:pPr>
            <w:r>
              <w:rPr/>
              <w:t>48,387</w:t>
            </w:r>
          </w:p>
        </w:tc>
        <w:tc>
          <w:tcPr>
            <w:tcW w:w="19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521" w:type="dxa"/>
            <w:tcBorders>
              <w:bottom w:val="single" w:sz="6" w:space="0" w:color="000000"/>
            </w:tcBorders>
            <w:tcMar>
              <w:bottom w:w="145" w:type="dxa"/>
            </w:tcMar>
            <w:vAlign w:val="center"/>
          </w:tcPr>
          <w:p>
            <w:pPr>
              <w:pStyle w:val="TableContents"/>
              <w:bidi w:val="0"/>
              <w:spacing w:before="0" w:after="283"/>
              <w:jc w:val="left"/>
              <w:rPr/>
            </w:pPr>
            <w:r>
              <w:rPr/>
              <w:t xml:space="preserve">Ori Winitzer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92" w:type="dxa"/>
            <w:tcBorders>
              <w:bottom w:val="single" w:sz="6" w:space="0" w:color="000000"/>
            </w:tcBorders>
            <w:tcMar>
              <w:bottom w:w="28" w:type="dxa"/>
            </w:tcMar>
            <w:vAlign w:val="center"/>
          </w:tcPr>
          <w:p>
            <w:pPr>
              <w:pStyle w:val="TableContents"/>
              <w:bidi w:val="0"/>
              <w:spacing w:before="0" w:after="283"/>
              <w:jc w:val="left"/>
              <w:rPr/>
            </w:pPr>
            <w:r>
              <w:rPr/>
              <w:t>​</w:t>
            </w:r>
          </w:p>
        </w:tc>
        <w:tc>
          <w:tcPr>
            <w:tcW w:w="192" w:type="dxa"/>
            <w:tcBorders>
              <w:bottom w:val="single" w:sz="6" w:space="0" w:color="000000"/>
            </w:tcBorders>
            <w:tcMar>
              <w:bottom w:w="145" w:type="dxa"/>
            </w:tcMar>
            <w:vAlign w:val="center"/>
          </w:tcPr>
          <w:p>
            <w:pPr>
              <w:pStyle w:val="TableContents"/>
              <w:bidi w:val="0"/>
              <w:spacing w:before="0" w:after="283"/>
              <w:jc w:val="right"/>
              <w:rPr/>
            </w:pPr>
            <w:r>
              <w:rPr/>
              <w:t>​</w:t>
            </w:r>
          </w:p>
        </w:tc>
        <w:tc>
          <w:tcPr>
            <w:tcW w:w="1356" w:type="dxa"/>
            <w:tcBorders>
              <w:bottom w:val="single" w:sz="6" w:space="0" w:color="000000"/>
            </w:tcBorders>
            <w:tcMar>
              <w:bottom w:w="145" w:type="dxa"/>
            </w:tcMar>
            <w:vAlign w:val="center"/>
          </w:tcPr>
          <w:p>
            <w:pPr>
              <w:pStyle w:val="TableContents"/>
              <w:bidi w:val="0"/>
              <w:spacing w:before="0" w:after="283"/>
              <w:jc w:val="right"/>
              <w:rPr/>
            </w:pPr>
            <w:r>
              <w:rPr/>
              <w:t>48,387</w:t>
            </w:r>
          </w:p>
        </w:tc>
        <w:tc>
          <w:tcPr>
            <w:tcW w:w="194"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521" w:type="dxa"/>
            <w:tcBorders>
              <w:bottom w:val="single" w:sz="6" w:space="0" w:color="000000"/>
            </w:tcBorders>
            <w:shd w:fill="F7F7F7" w:val="clear"/>
            <w:tcMar>
              <w:bottom w:w="145" w:type="dxa"/>
            </w:tcMar>
            <w:vAlign w:val="center"/>
          </w:tcPr>
          <w:p>
            <w:pPr>
              <w:pStyle w:val="TableContents"/>
              <w:bidi w:val="0"/>
              <w:spacing w:before="0" w:after="283"/>
              <w:jc w:val="left"/>
              <w:rPr/>
            </w:pPr>
            <w:r>
              <w:rPr/>
              <w:t xml:space="preserve">Janet S. Wong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92"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92"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356" w:type="dxa"/>
            <w:tcBorders>
              <w:bottom w:val="single" w:sz="6" w:space="0" w:color="000000"/>
            </w:tcBorders>
            <w:shd w:fill="F7F7F7" w:val="clear"/>
            <w:tcMar>
              <w:bottom w:w="145" w:type="dxa"/>
            </w:tcMar>
            <w:vAlign w:val="center"/>
          </w:tcPr>
          <w:p>
            <w:pPr>
              <w:pStyle w:val="TableContents"/>
              <w:bidi w:val="0"/>
              <w:spacing w:before="0" w:after="283"/>
              <w:jc w:val="right"/>
              <w:rPr/>
            </w:pPr>
            <w:r>
              <w:rPr/>
              <w:t>35,993</w:t>
            </w:r>
          </w:p>
        </w:tc>
        <w:tc>
          <w:tcPr>
            <w:tcW w:w="19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2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Represents the number of shares underlying any outstanding unvested RSUs and/or unsettled RSUs deferred by the non-employee director. As of the date of this filing, all of such RSUs are unvested.</w:t>
      </w:r>
      <w:r>
        <mc:AlternateContent>
          <mc:Choice Requires="wps">
            <w:drawing>
              <wp:anchor behindDoc="0" distT="203200" distB="0" distL="0" distR="0" simplePos="0" locked="0" layoutInCell="1" allowOverlap="1" relativeHeight="262">
                <wp:simplePos x="0" y="0"/>
                <wp:positionH relativeFrom="column">
                  <wp:align>left</wp:align>
                </wp:positionH>
                <wp:positionV relativeFrom="line">
                  <wp:align>top</wp:align>
                </wp:positionV>
                <wp:extent cx="81915" cy="525780"/>
                <wp:effectExtent l="0" t="0" r="0" b="0"/>
                <wp:wrapSquare wrapText="right"/>
                <wp:docPr id="254" name="Frame191"/>
                <a:graphic xmlns:a="http://schemas.openxmlformats.org/drawingml/2006/main">
                  <a:graphicData uri="http://schemas.microsoft.com/office/word/2010/wordprocessingShape">
                    <wps:wsp>
                      <wps:cNvSpPr txBox="1"/>
                      <wps:spPr>
                        <a:xfrm>
                          <a:off x="0" y="0"/>
                          <a:ext cx="81915" cy="525780"/>
                        </a:xfrm>
                        <a:prstGeom prst="rect"/>
                        <a:solidFill>
                          <a:srgbClr val="FFFFFF"/>
                        </a:solidFill>
                      </wps:spPr>
                      <wps:txbx>
                        <w:txbxContent>
                          <w:p>
                            <w:pPr>
                              <w:pStyle w:val="TextBody"/>
                              <w:bidi w:val="0"/>
                              <w:spacing w:lineRule="atLeast" w:line="142" w:before="0" w:after="283"/>
                              <w:jc w:val="left"/>
                              <w:rPr/>
                            </w:pPr>
                            <w:r>
                              <w:rPr>
                                <w:sz w:val="9"/>
                              </w:rPr>
                              <w:t>(1)</w:t>
                            </w:r>
                            <w:r>
                              <w:rPr/>
                              <w:t xml:space="preserve"> </w:t>
                              <w:br/>
                            </w:r>
                          </w:p>
                        </w:txbxContent>
                      </wps:txbx>
                      <wps:bodyPr anchor="t" lIns="0" tIns="0" rIns="0" bIns="0">
                        <a:noAutofit/>
                      </wps:bodyPr>
                    </wps:wsp>
                  </a:graphicData>
                </a:graphic>
              </wp:anchor>
            </w:drawing>
          </mc:Choice>
          <mc:Fallback>
            <w:pict>
              <v:rect style="position:absolute;rotation:-0;width:6.45pt;height:41.4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42" w:before="0" w:after="283"/>
                        <w:jc w:val="left"/>
                        <w:rPr/>
                      </w:pPr>
                      <w:r>
                        <w:rPr>
                          <w:sz w:val="9"/>
                        </w:rPr>
                        <w:t>(1)</w:t>
                      </w:r>
                      <w:r>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71</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CPR"/>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283"/>
        <w:ind w:left="720" w:right="0" w:hanging="0"/>
        <w:jc w:val="left"/>
        <w:rPr>
          <w:rFonts w:ascii="Times New Roman;Garamond;serif" w:hAnsi="Times New Roman;Garamond;serif"/>
          <w:b/>
          <w:i w:val="false"/>
          <w:caps w:val="false"/>
          <w:smallCaps w:val="false"/>
          <w:color w:val="000000"/>
          <w:sz w:val="40"/>
        </w:rPr>
      </w:pPr>
      <w:r>
        <w:rPr>
          <w:rFonts w:ascii="Times New Roman;Garamond;serif" w:hAnsi="Times New Roman;Garamond;serif"/>
          <w:b/>
          <w:i w:val="false"/>
          <w:caps w:val="false"/>
          <w:smallCaps w:val="false"/>
          <w:color w:val="000000"/>
          <w:sz w:val="40"/>
        </w:rPr>
        <w:t>CEO P</w:t>
      </w:r>
      <w:r>
        <w:rPr>
          <w:rFonts w:ascii="Times New Roman;Garamond;serif" w:hAnsi="Times New Roman;Garamond;serif"/>
          <w:b/>
          <w:i w:val="false"/>
          <w:caps w:val="false"/>
          <w:smallCaps w:val="false"/>
          <w:color w:val="000000"/>
          <w:sz w:val="40"/>
        </w:rPr>
        <w:t>AY</w:t>
      </w:r>
      <w:r>
        <w:rPr>
          <w:rFonts w:ascii="Times New Roman;Garamond;serif" w:hAnsi="Times New Roman;Garamond;serif"/>
          <w:b/>
          <w:i w:val="false"/>
          <w:caps w:val="false"/>
          <w:smallCaps w:val="false"/>
          <w:color w:val="000000"/>
          <w:sz w:val="40"/>
        </w:rPr>
        <w:t xml:space="preserve"> R</w:t>
      </w:r>
      <w:r>
        <w:rPr>
          <w:rFonts w:ascii="Times New Roman;Garamond;serif" w:hAnsi="Times New Roman;Garamond;serif"/>
          <w:b/>
          <w:i w:val="false"/>
          <w:caps w:val="false"/>
          <w:smallCaps w:val="false"/>
          <w:color w:val="000000"/>
          <w:sz w:val="40"/>
        </w:rPr>
        <w:t>ATIO</w:t>
      </w:r>
      <w:r>
        <w:rPr>
          <w:rFonts w:ascii="Times New Roman;Garamond;serif" w:hAnsi="Times New Roman;Garamond;serif"/>
          <w:b/>
          <w:i w:val="false"/>
          <w:caps w:val="false"/>
          <w:smallCaps w:val="false"/>
          <w:color w:val="000000"/>
          <w:spacing w:val="8"/>
          <w:sz w:val="40"/>
        </w:rPr>
        <w:t xml:space="preserve"> </w:t>
      </w:r>
    </w:p>
    <w:p>
      <w:pPr>
        <w:pStyle w:val="TextBody"/>
        <w:bidi w:val="0"/>
        <w:spacing w:lineRule="atLeast" w:line="240" w:before="40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In accordance with the requirements of Section 953(b) of the Dodd-Frank Act and Item 402(u) of Regulation S-K (which we collectively refer to as the “Pay Ratio Rule”), we are providing the following estimated information for 2023:</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150"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Annual Total Compensation of our CEO was $6,845,151;</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263">
                <wp:simplePos x="0" y="0"/>
                <wp:positionH relativeFrom="column">
                  <wp:align>left</wp:align>
                </wp:positionH>
                <wp:positionV relativeFrom="line">
                  <wp:align>top</wp:align>
                </wp:positionV>
                <wp:extent cx="114300" cy="525780"/>
                <wp:effectExtent l="0" t="0" r="0" b="0"/>
                <wp:wrapSquare wrapText="right"/>
                <wp:docPr id="255" name="Frame192"/>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Annual Total Compensation of our median employee was $137,274; and</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264">
                <wp:simplePos x="0" y="0"/>
                <wp:positionH relativeFrom="column">
                  <wp:align>left</wp:align>
                </wp:positionH>
                <wp:positionV relativeFrom="line">
                  <wp:align>top</wp:align>
                </wp:positionV>
                <wp:extent cx="114300" cy="525780"/>
                <wp:effectExtent l="0" t="0" r="0" b="0"/>
                <wp:wrapSquare wrapText="right"/>
                <wp:docPr id="256" name="Frame193"/>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9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ratio of these two amounts was 50 to 1. We believe that this ratio is a reasonable estimate calculated in a manner consistent with the requirements of the Pay Ratio Rule.</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265">
                <wp:simplePos x="0" y="0"/>
                <wp:positionH relativeFrom="column">
                  <wp:align>left</wp:align>
                </wp:positionH>
                <wp:positionV relativeFrom="line">
                  <wp:align>top</wp:align>
                </wp:positionV>
                <wp:extent cx="114300" cy="525780"/>
                <wp:effectExtent l="0" t="0" r="0" b="0"/>
                <wp:wrapSquare wrapText="right"/>
                <wp:docPr id="257" name="Frame194"/>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caps w:val="false"/>
          <w:smallCaps w:val="false"/>
          <w:color w:val="000000"/>
        </w:rPr>
      </w:pPr>
      <w:r>
        <w:rPr>
          <w:caps w:val="false"/>
          <w:smallCaps w:val="false"/>
          <w:color w:val="000000"/>
        </w:rPr>
        <w:t>“</w:t>
      </w:r>
      <w:r>
        <w:rPr>
          <w:rFonts w:ascii="Helvetica;Arial;sans-serif" w:hAnsi="Helvetica;Arial;sans-serif"/>
          <w:b w:val="false"/>
          <w:i w:val="false"/>
          <w:caps w:val="false"/>
          <w:smallCaps w:val="false"/>
          <w:color w:val="000000"/>
          <w:sz w:val="18"/>
        </w:rPr>
        <w:t>Annual Total Compensation” of our CEO and median employee for purposes of the Pay Ratio Rule was calculated using the same methodology we used for purposes of determining the annual total compensation for our NEOs for 2023 (as set forth in the Summary Compensation Table), adjusted to include the cost to the Company in 2023 of group medical, dental, and vision coverages, which are provided to all employees on a non-discriminatory basis. SEC rules for identifying the median employee and calculating the pay ratio allow companies to apply various methodologies and apply various assumptions and, as result, the pay ratio reported by us may not be comparable to the pay ratio reported by other companies.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We used December 31 as the date for determining the employees to be considered in computing the pay ratio. As of December 31, 2023, our employee population consisted of approximately 6,629 individuals excluding the CEO (of which approximately 92% were located in the United States and approximately 8% were located in jurisdictions outside the United States). Our employee population consisted of our global workforce of full-time, part-time, seasonal, and temporary employees.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To identify our median employee from our total employee population (excluding our CEO), we used “base pay” for the full 2023 calendar year as our consistently applied compensation measure, which was determined using base salary or base hourly wage as reflected in our payroll records. Based on our consistently applied compensation measure, several employees were at the median compensation level. The median employee was determined by calculating Annual Total Compensation for all such employees and identifying the median compensated employee from this group. Using the methodologies described above, our median employee was a full-time employee located in Canada with Annual Total Compensation of  $137,274. </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72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PVP"/>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283"/>
        <w:ind w:left="720" w:right="0" w:hanging="0"/>
        <w:jc w:val="left"/>
        <w:rPr>
          <w:rFonts w:ascii="Times New Roman;Garamond;serif" w:hAnsi="Times New Roman;Garamond;serif"/>
          <w:b/>
          <w:i w:val="false"/>
          <w:caps w:val="false"/>
          <w:smallCaps w:val="false"/>
          <w:color w:val="000000"/>
          <w:sz w:val="40"/>
        </w:rPr>
      </w:pPr>
      <w:r>
        <w:rPr>
          <w:rFonts w:ascii="Times New Roman;Garamond;serif" w:hAnsi="Times New Roman;Garamond;serif"/>
          <w:b/>
          <w:i w:val="false"/>
          <w:caps w:val="false"/>
          <w:smallCaps w:val="false"/>
          <w:color w:val="000000"/>
          <w:sz w:val="40"/>
        </w:rPr>
        <w:t>P</w:t>
      </w:r>
      <w:r>
        <w:rPr>
          <w:rFonts w:ascii="Times New Roman;Garamond;serif" w:hAnsi="Times New Roman;Garamond;serif"/>
          <w:b/>
          <w:i w:val="false"/>
          <w:caps w:val="false"/>
          <w:smallCaps w:val="false"/>
          <w:color w:val="000000"/>
          <w:sz w:val="40"/>
        </w:rPr>
        <w:t>AY</w:t>
      </w:r>
      <w:r>
        <w:rPr>
          <w:rFonts w:ascii="Times New Roman;Garamond;serif" w:hAnsi="Times New Roman;Garamond;serif"/>
          <w:b/>
          <w:i w:val="false"/>
          <w:caps w:val="false"/>
          <w:smallCaps w:val="false"/>
          <w:color w:val="000000"/>
          <w:sz w:val="40"/>
        </w:rPr>
        <w:t xml:space="preserve"> V</w:t>
      </w:r>
      <w:r>
        <w:rPr>
          <w:rFonts w:ascii="Times New Roman;Garamond;serif" w:hAnsi="Times New Roman;Garamond;serif"/>
          <w:b/>
          <w:i w:val="false"/>
          <w:caps w:val="false"/>
          <w:smallCaps w:val="false"/>
          <w:color w:val="000000"/>
          <w:sz w:val="40"/>
        </w:rPr>
        <w:t>ERSUS</w:t>
      </w:r>
      <w:r>
        <w:rPr>
          <w:rFonts w:ascii="Times New Roman;Garamond;serif" w:hAnsi="Times New Roman;Garamond;serif"/>
          <w:b/>
          <w:i w:val="false"/>
          <w:caps w:val="false"/>
          <w:smallCaps w:val="false"/>
          <w:color w:val="000000"/>
          <w:sz w:val="40"/>
        </w:rPr>
        <w:t xml:space="preserve"> P</w:t>
      </w:r>
      <w:r>
        <w:rPr>
          <w:rFonts w:ascii="Times New Roman;Garamond;serif" w:hAnsi="Times New Roman;Garamond;serif"/>
          <w:b/>
          <w:i w:val="false"/>
          <w:caps w:val="false"/>
          <w:smallCaps w:val="false"/>
          <w:color w:val="000000"/>
          <w:sz w:val="40"/>
        </w:rPr>
        <w:t>ERFORMANCE</w:t>
      </w:r>
      <w:r>
        <w:rPr>
          <w:rFonts w:ascii="Times New Roman;Garamond;serif" w:hAnsi="Times New Roman;Garamond;serif"/>
          <w:b/>
          <w:i w:val="false"/>
          <w:caps w:val="false"/>
          <w:smallCaps w:val="false"/>
          <w:color w:val="000000"/>
          <w:spacing w:val="8"/>
          <w:sz w:val="40"/>
        </w:rPr>
        <w:t xml:space="preserve"> </w:t>
      </w:r>
    </w:p>
    <w:p>
      <w:pPr>
        <w:pStyle w:val="TextBody"/>
        <w:bidi w:val="0"/>
        <w:spacing w:lineRule="atLeast" w:line="250" w:before="40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following table sets forth the compensation for our CEO (also referred to as “PEO”) and the average compensation for our other NEOs, both as reported in the Summary Compensation Table and with certain adjustments to reflect the “compensation actually paid” to such individuals, as defined under SEC rules, for each of 2023, 2022 and 2021. The table also provides information on our cumulative total shareholder return (“TSR”), the cumulative TSR of our peer group, Net Income and Revenue.</w:t>
      </w:r>
      <w:r>
        <w:rPr>
          <w:rFonts w:ascii="Helvetica;Arial;sans-serif" w:hAnsi="Helvetica;Arial;sans-serif"/>
          <w:b w:val="false"/>
          <w:i w:val="false"/>
          <w:caps w:val="false"/>
          <w:smallCaps w:val="false"/>
          <w:color w:val="000000"/>
          <w:spacing w:val="4"/>
          <w:sz w:val="18"/>
        </w:rPr>
        <w:t xml:space="preserve"> </w:t>
      </w:r>
    </w:p>
    <w:tbl>
      <w:tblPr>
        <w:tblW w:w="14328" w:type="dxa"/>
        <w:jc w:val="left"/>
        <w:tblInd w:w="720" w:type="dxa"/>
        <w:tblLayout w:type="fixed"/>
        <w:tblCellMar>
          <w:top w:w="0" w:type="dxa"/>
          <w:left w:w="0" w:type="dxa"/>
          <w:bottom w:w="28" w:type="dxa"/>
          <w:right w:w="0" w:type="dxa"/>
        </w:tblCellMar>
      </w:tblPr>
      <w:tblGrid>
        <w:gridCol w:w="124"/>
        <w:gridCol w:w="586"/>
        <w:gridCol w:w="109"/>
        <w:gridCol w:w="109"/>
        <w:gridCol w:w="109"/>
        <w:gridCol w:w="109"/>
        <w:gridCol w:w="1306"/>
        <w:gridCol w:w="109"/>
        <w:gridCol w:w="109"/>
        <w:gridCol w:w="109"/>
        <w:gridCol w:w="109"/>
        <w:gridCol w:w="109"/>
        <w:gridCol w:w="1486"/>
        <w:gridCol w:w="109"/>
        <w:gridCol w:w="109"/>
        <w:gridCol w:w="109"/>
        <w:gridCol w:w="109"/>
        <w:gridCol w:w="109"/>
        <w:gridCol w:w="1186"/>
        <w:gridCol w:w="109"/>
        <w:gridCol w:w="109"/>
        <w:gridCol w:w="109"/>
        <w:gridCol w:w="109"/>
        <w:gridCol w:w="109"/>
        <w:gridCol w:w="1261"/>
        <w:gridCol w:w="109"/>
        <w:gridCol w:w="109"/>
        <w:gridCol w:w="109"/>
        <w:gridCol w:w="124"/>
        <w:gridCol w:w="124"/>
        <w:gridCol w:w="873"/>
        <w:gridCol w:w="125"/>
        <w:gridCol w:w="109"/>
        <w:gridCol w:w="109"/>
        <w:gridCol w:w="124"/>
        <w:gridCol w:w="124"/>
        <w:gridCol w:w="873"/>
        <w:gridCol w:w="125"/>
        <w:gridCol w:w="109"/>
        <w:gridCol w:w="109"/>
        <w:gridCol w:w="109"/>
        <w:gridCol w:w="109"/>
        <w:gridCol w:w="1141"/>
        <w:gridCol w:w="109"/>
        <w:gridCol w:w="109"/>
        <w:gridCol w:w="109"/>
        <w:gridCol w:w="109"/>
        <w:gridCol w:w="109"/>
        <w:gridCol w:w="886"/>
        <w:gridCol w:w="109"/>
        <w:gridCol w:w="154"/>
      </w:tblGrid>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14050" w:type="dxa"/>
            <w:gridSpan w:val="49"/>
            <w:tcBorders>
              <w:bottom w:val="single" w:sz="2" w:space="0" w:color="FEFEFE"/>
            </w:tcBorders>
            <w:shd w:fill="000000" w:val="clear"/>
            <w:tcMar>
              <w:bottom w:w="160" w:type="dxa"/>
            </w:tcMar>
            <w:vAlign w:val="center"/>
          </w:tcPr>
          <w:p>
            <w:pPr>
              <w:pStyle w:val="TableContents"/>
              <w:bidi w:val="0"/>
              <w:spacing w:before="0" w:after="0"/>
              <w:jc w:val="center"/>
              <w:rPr/>
            </w:pPr>
            <w:r>
              <w:rPr/>
              <w:t xml:space="preserve">Pay Versus Performance </w:t>
            </w:r>
          </w:p>
        </w:tc>
        <w:tc>
          <w:tcPr>
            <w:tcW w:w="154" w:type="dxa"/>
            <w:tcBorders>
              <w:bottom w:val="single" w:sz="2" w:space="0" w:color="000000"/>
            </w:tcBorders>
            <w:shd w:fill="000000" w:val="clear"/>
            <w:vAlign w:val="center"/>
          </w:tcPr>
          <w:p>
            <w:pPr>
              <w:pStyle w:val="TableContents"/>
              <w:bidi w:val="0"/>
              <w:spacing w:before="0" w:after="283"/>
              <w:jc w:val="left"/>
              <w:rPr/>
            </w:pPr>
            <w:r>
              <w:rPr/>
              <w:t>​</w:t>
            </w:r>
          </w:p>
        </w:tc>
      </w:tr>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586"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right"/>
              <w:rPr/>
            </w:pPr>
            <w:r>
              <w:rPr/>
              <w:t>​</w:t>
            </w:r>
          </w:p>
        </w:tc>
        <w:tc>
          <w:tcPr>
            <w:tcW w:w="1306" w:type="dxa"/>
            <w:tcBorders>
              <w:bottom w:val="single" w:sz="2" w:space="0" w:color="000000"/>
            </w:tcBorders>
            <w:shd w:fill="000000" w:val="clear"/>
            <w:vAlign w:val="center"/>
          </w:tcPr>
          <w:p>
            <w:pPr>
              <w:pStyle w:val="TableContents"/>
              <w:bidi w:val="0"/>
              <w:spacing w:before="0" w:after="283"/>
              <w:jc w:val="righ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right"/>
              <w:rPr/>
            </w:pPr>
            <w:r>
              <w:rPr/>
              <w:t>​</w:t>
            </w:r>
          </w:p>
        </w:tc>
        <w:tc>
          <w:tcPr>
            <w:tcW w:w="1486" w:type="dxa"/>
            <w:tcBorders>
              <w:bottom w:val="single" w:sz="2" w:space="0" w:color="000000"/>
            </w:tcBorders>
            <w:shd w:fill="000000" w:val="clear"/>
            <w:vAlign w:val="center"/>
          </w:tcPr>
          <w:p>
            <w:pPr>
              <w:pStyle w:val="TableContents"/>
              <w:bidi w:val="0"/>
              <w:spacing w:before="0" w:after="283"/>
              <w:jc w:val="righ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right"/>
              <w:rPr/>
            </w:pPr>
            <w:r>
              <w:rPr/>
              <w:t>​</w:t>
            </w:r>
          </w:p>
        </w:tc>
        <w:tc>
          <w:tcPr>
            <w:tcW w:w="1186" w:type="dxa"/>
            <w:tcBorders>
              <w:bottom w:val="single" w:sz="2" w:space="0" w:color="000000"/>
            </w:tcBorders>
            <w:shd w:fill="000000" w:val="clear"/>
            <w:vAlign w:val="center"/>
          </w:tcPr>
          <w:p>
            <w:pPr>
              <w:pStyle w:val="TableContents"/>
              <w:bidi w:val="0"/>
              <w:spacing w:before="0" w:after="283"/>
              <w:jc w:val="righ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right"/>
              <w:rPr/>
            </w:pPr>
            <w:r>
              <w:rPr/>
              <w:t>​</w:t>
            </w:r>
          </w:p>
        </w:tc>
        <w:tc>
          <w:tcPr>
            <w:tcW w:w="1261" w:type="dxa"/>
            <w:tcBorders>
              <w:bottom w:val="single" w:sz="2" w:space="0" w:color="000000"/>
            </w:tcBorders>
            <w:shd w:fill="000000" w:val="clear"/>
            <w:vAlign w:val="center"/>
          </w:tcPr>
          <w:p>
            <w:pPr>
              <w:pStyle w:val="TableContents"/>
              <w:bidi w:val="0"/>
              <w:spacing w:before="0" w:after="283"/>
              <w:jc w:val="righ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2710" w:type="dxa"/>
            <w:gridSpan w:val="10"/>
            <w:tcBorders>
              <w:bottom w:val="single" w:sz="2" w:space="0" w:color="FEFEFE"/>
            </w:tcBorders>
            <w:shd w:fill="000000" w:val="clear"/>
            <w:tcMar>
              <w:bottom w:w="153" w:type="dxa"/>
            </w:tcMar>
            <w:vAlign w:val="center"/>
          </w:tcPr>
          <w:p>
            <w:pPr>
              <w:pStyle w:val="TableContents"/>
              <w:bidi w:val="0"/>
              <w:spacing w:before="0" w:after="0"/>
              <w:jc w:val="center"/>
              <w:rPr/>
            </w:pPr>
            <w:r>
              <w:rPr/>
              <w:t>Value of Initial Fixed</w:t>
              <w:br/>
              <w:t>$100 Investment Based</w:t>
              <w:br/>
              <w:t xml:space="preserve">On: </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right"/>
              <w:rPr/>
            </w:pPr>
            <w:r>
              <w:rPr/>
              <w:t>​</w:t>
            </w:r>
          </w:p>
        </w:tc>
        <w:tc>
          <w:tcPr>
            <w:tcW w:w="1141" w:type="dxa"/>
            <w:tcBorders>
              <w:bottom w:val="single" w:sz="2" w:space="0" w:color="000000"/>
            </w:tcBorders>
            <w:shd w:fill="000000" w:val="clear"/>
            <w:vAlign w:val="center"/>
          </w:tcPr>
          <w:p>
            <w:pPr>
              <w:pStyle w:val="TableContents"/>
              <w:bidi w:val="0"/>
              <w:spacing w:before="0" w:after="283"/>
              <w:jc w:val="righ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right"/>
              <w:rPr/>
            </w:pPr>
            <w:r>
              <w:rPr/>
              <w:t>​</w:t>
            </w:r>
          </w:p>
        </w:tc>
        <w:tc>
          <w:tcPr>
            <w:tcW w:w="886" w:type="dxa"/>
            <w:tcBorders>
              <w:bottom w:val="single" w:sz="2" w:space="0" w:color="000000"/>
            </w:tcBorders>
            <w:shd w:fill="000000" w:val="clear"/>
            <w:vAlign w:val="center"/>
          </w:tcPr>
          <w:p>
            <w:pPr>
              <w:pStyle w:val="TableContents"/>
              <w:bidi w:val="0"/>
              <w:spacing w:before="0" w:after="283"/>
              <w:jc w:val="righ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54" w:type="dxa"/>
            <w:tcBorders>
              <w:bottom w:val="single" w:sz="2" w:space="0" w:color="000000"/>
            </w:tcBorders>
            <w:shd w:fill="000000" w:val="clear"/>
            <w:vAlign w:val="center"/>
          </w:tcPr>
          <w:p>
            <w:pPr>
              <w:pStyle w:val="TableContents"/>
              <w:bidi w:val="0"/>
              <w:spacing w:before="0" w:after="283"/>
              <w:jc w:val="left"/>
              <w:rPr/>
            </w:pPr>
            <w:r>
              <w:rPr/>
              <w:t>​</w:t>
            </w:r>
          </w:p>
        </w:tc>
      </w:tr>
      <w:tr>
        <w:trPr/>
        <w:tc>
          <w:tcPr>
            <w:tcW w:w="124" w:type="dxa"/>
            <w:tcBorders/>
            <w:shd w:fill="000000" w:val="clear"/>
            <w:tcMar>
              <w:bottom w:w="0" w:type="dxa"/>
            </w:tcMar>
            <w:vAlign w:val="center"/>
          </w:tcPr>
          <w:p>
            <w:pPr>
              <w:pStyle w:val="TableContents"/>
              <w:bidi w:val="0"/>
              <w:spacing w:before="0" w:after="283"/>
              <w:jc w:val="left"/>
              <w:rPr/>
            </w:pPr>
            <w:r>
              <w:rPr/>
              <w:t>​</w:t>
            </w:r>
          </w:p>
        </w:tc>
        <w:tc>
          <w:tcPr>
            <w:tcW w:w="586" w:type="dxa"/>
            <w:tcBorders/>
            <w:shd w:fill="000000" w:val="clear"/>
            <w:tcMar>
              <w:bottom w:w="0" w:type="dxa"/>
            </w:tcMar>
            <w:vAlign w:val="center"/>
          </w:tcPr>
          <w:p>
            <w:pPr>
              <w:pStyle w:val="TableContents"/>
              <w:bidi w:val="0"/>
              <w:spacing w:before="0" w:after="0"/>
              <w:jc w:val="left"/>
              <w:rPr/>
            </w:pPr>
            <w:r>
              <w:rPr/>
              <w:t xml:space="preserve">Year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633" w:type="dxa"/>
            <w:gridSpan w:val="4"/>
            <w:tcBorders/>
            <w:shd w:fill="000000" w:val="clear"/>
            <w:tcMar>
              <w:bottom w:w="0" w:type="dxa"/>
            </w:tcMar>
            <w:vAlign w:val="center"/>
          </w:tcPr>
          <w:p>
            <w:pPr>
              <w:pStyle w:val="TableContents"/>
              <w:bidi w:val="0"/>
              <w:spacing w:before="0" w:after="0"/>
              <w:jc w:val="center"/>
              <w:rPr/>
            </w:pPr>
            <w:r>
              <w:rPr/>
              <w:t>Summary</w:t>
              <w:br/>
              <w:t>Compensation</w:t>
              <w:br/>
              <w:t>Table Total for</w:t>
              <w:br/>
              <w:t xml:space="preserve">PEO </w:t>
              <w:b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813" w:type="dxa"/>
            <w:gridSpan w:val="4"/>
            <w:tcBorders/>
            <w:shd w:fill="000000" w:val="clear"/>
            <w:tcMar>
              <w:bottom w:w="0" w:type="dxa"/>
            </w:tcMar>
            <w:vAlign w:val="center"/>
          </w:tcPr>
          <w:p>
            <w:pPr>
              <w:pStyle w:val="TableContents"/>
              <w:bidi w:val="0"/>
              <w:spacing w:before="0" w:after="0"/>
              <w:jc w:val="center"/>
              <w:rPr/>
            </w:pPr>
            <w:r>
              <w:rPr/>
              <w:t>Compensation</w:t>
              <w:br/>
              <w:t>Actually Paid to</w:t>
              <w:br/>
              <w:t xml:space="preserve">PEO </w:t>
              <w:b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513" w:type="dxa"/>
            <w:gridSpan w:val="4"/>
            <w:tcBorders/>
            <w:shd w:fill="000000" w:val="clear"/>
            <w:tcMar>
              <w:bottom w:w="0" w:type="dxa"/>
            </w:tcMar>
            <w:vAlign w:val="center"/>
          </w:tcPr>
          <w:p>
            <w:pPr>
              <w:pStyle w:val="TableContents"/>
              <w:bidi w:val="0"/>
              <w:spacing w:before="0" w:after="0"/>
              <w:jc w:val="center"/>
              <w:rPr/>
            </w:pPr>
            <w:r>
              <w:rPr/>
              <w:t>Average</w:t>
              <w:br/>
              <w:t>Summary</w:t>
              <w:br/>
              <w:t>Compensation</w:t>
              <w:br/>
              <w:t>Table Total</w:t>
              <w:br/>
              <w:t>for Non-PEO</w:t>
              <w:br/>
              <w:t>Named</w:t>
              <w:br/>
              <w:t>Executive</w:t>
              <w:br/>
              <w:t xml:space="preserve">Officers </w:t>
              <w:b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588" w:type="dxa"/>
            <w:gridSpan w:val="4"/>
            <w:tcBorders/>
            <w:shd w:fill="000000" w:val="clear"/>
            <w:tcMar>
              <w:bottom w:w="0" w:type="dxa"/>
            </w:tcMar>
            <w:vAlign w:val="center"/>
          </w:tcPr>
          <w:p>
            <w:pPr>
              <w:pStyle w:val="TableContents"/>
              <w:bidi w:val="0"/>
              <w:spacing w:before="0" w:after="0"/>
              <w:jc w:val="center"/>
              <w:rPr/>
            </w:pPr>
            <w:r>
              <w:rPr/>
              <w:t>Average</w:t>
              <w:br/>
              <w:t>Compensation</w:t>
              <w:br/>
              <w:t>Actually Paid to</w:t>
              <w:br/>
              <w:t>Non-PEO</w:t>
              <w:br/>
              <w:t>Named</w:t>
              <w:br/>
              <w:t>Executive</w:t>
              <w:br/>
              <w:t xml:space="preserve">Officers </w:t>
              <w:b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246" w:type="dxa"/>
            <w:gridSpan w:val="4"/>
            <w:tcBorders/>
            <w:shd w:fill="000000" w:val="clear"/>
            <w:tcMar>
              <w:bottom w:w="0" w:type="dxa"/>
            </w:tcMar>
            <w:vAlign w:val="center"/>
          </w:tcPr>
          <w:p>
            <w:pPr>
              <w:pStyle w:val="TableContents"/>
              <w:bidi w:val="0"/>
              <w:spacing w:before="0" w:after="0"/>
              <w:jc w:val="center"/>
              <w:rPr/>
            </w:pPr>
            <w:r>
              <w:rPr/>
              <w:t>Total</w:t>
              <w:br/>
              <w:t>Shareholder</w:t>
              <w:br/>
              <w:t xml:space="preserve">Return </w:t>
              <w:b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246" w:type="dxa"/>
            <w:gridSpan w:val="4"/>
            <w:tcBorders/>
            <w:shd w:fill="000000" w:val="clear"/>
            <w:tcMar>
              <w:bottom w:w="0" w:type="dxa"/>
            </w:tcMar>
            <w:vAlign w:val="center"/>
          </w:tcPr>
          <w:p>
            <w:pPr>
              <w:pStyle w:val="TableContents"/>
              <w:bidi w:val="0"/>
              <w:spacing w:before="0" w:after="0"/>
              <w:jc w:val="center"/>
              <w:rPr/>
            </w:pPr>
            <w:r>
              <w:rPr/>
              <w:t>Peer Group</w:t>
              <w:br/>
              <w:t>Total</w:t>
              <w:br/>
              <w:t>Shareholder</w:t>
              <w:br/>
              <w:t xml:space="preserve">Return </w:t>
              <w:b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468" w:type="dxa"/>
            <w:gridSpan w:val="4"/>
            <w:tcBorders/>
            <w:shd w:fill="000000" w:val="clear"/>
            <w:tcMar>
              <w:bottom w:w="0" w:type="dxa"/>
            </w:tcMar>
            <w:vAlign w:val="center"/>
          </w:tcPr>
          <w:p>
            <w:pPr>
              <w:pStyle w:val="TableContents"/>
              <w:bidi w:val="0"/>
              <w:spacing w:before="0" w:after="0"/>
              <w:jc w:val="center"/>
              <w:rPr/>
            </w:pPr>
            <w:r>
              <w:rPr/>
              <w:t>Net Income (in</w:t>
              <w:br/>
              <w:t xml:space="preserve">Thousands) </w:t>
              <w:br/>
              <w:t xml:space="preserve">($) </w:t>
            </w:r>
          </w:p>
        </w:tc>
        <w:tc>
          <w:tcPr>
            <w:tcW w:w="109" w:type="dxa"/>
            <w:tcBorders/>
            <w:shd w:fill="000000" w:val="clear"/>
            <w:tcMar>
              <w:bottom w:w="0" w:type="dxa"/>
            </w:tcMar>
            <w:vAlign w:val="center"/>
          </w:tcPr>
          <w:p>
            <w:pPr>
              <w:pStyle w:val="TableContents"/>
              <w:bidi w:val="0"/>
              <w:spacing w:before="0" w:after="283"/>
              <w:jc w:val="left"/>
              <w:rPr/>
            </w:pPr>
            <w:r>
              <w:rPr/>
              <w:t>​</w:t>
            </w:r>
          </w:p>
        </w:tc>
        <w:tc>
          <w:tcPr>
            <w:tcW w:w="109" w:type="dxa"/>
            <w:tcBorders/>
            <w:shd w:fill="000000" w:val="clear"/>
            <w:tcMar>
              <w:bottom w:w="0" w:type="dxa"/>
            </w:tcMar>
            <w:vAlign w:val="center"/>
          </w:tcPr>
          <w:p>
            <w:pPr>
              <w:pStyle w:val="TableContents"/>
              <w:bidi w:val="0"/>
              <w:spacing w:before="0" w:after="283"/>
              <w:jc w:val="left"/>
              <w:rPr/>
            </w:pPr>
            <w:r>
              <w:rPr/>
              <w:t>​</w:t>
            </w:r>
          </w:p>
        </w:tc>
        <w:tc>
          <w:tcPr>
            <w:tcW w:w="1213" w:type="dxa"/>
            <w:gridSpan w:val="4"/>
            <w:tcBorders/>
            <w:shd w:fill="000000" w:val="clear"/>
            <w:tcMar>
              <w:bottom w:w="0" w:type="dxa"/>
            </w:tcMar>
            <w:vAlign w:val="center"/>
          </w:tcPr>
          <w:p>
            <w:pPr>
              <w:pStyle w:val="TableContents"/>
              <w:bidi w:val="0"/>
              <w:spacing w:before="0" w:after="0"/>
              <w:jc w:val="center"/>
              <w:rPr/>
            </w:pPr>
            <w:r>
              <w:rPr/>
              <w:t>Revenue (in</w:t>
              <w:br/>
              <w:t xml:space="preserve">Thousands) </w:t>
              <w:br/>
              <w:t xml:space="preserve">($) </w:t>
            </w:r>
          </w:p>
        </w:tc>
        <w:tc>
          <w:tcPr>
            <w:tcW w:w="154" w:type="dxa"/>
            <w:tcBorders/>
            <w:shd w:fill="000000"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586" w:type="dxa"/>
            <w:tcBorders>
              <w:bottom w:val="single" w:sz="6" w:space="0" w:color="000000"/>
            </w:tcBorders>
            <w:tcMar>
              <w:bottom w:w="145" w:type="dxa"/>
            </w:tcMar>
            <w:vAlign w:val="center"/>
          </w:tcPr>
          <w:p>
            <w:pPr>
              <w:pStyle w:val="TableContents"/>
              <w:bidi w:val="0"/>
              <w:spacing w:before="0" w:after="283"/>
              <w:jc w:val="left"/>
              <w:rPr/>
            </w:pPr>
            <w:r>
              <w:rPr/>
              <w:t xml:space="preserve">2023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306" w:type="dxa"/>
            <w:tcBorders>
              <w:bottom w:val="single" w:sz="6" w:space="0" w:color="000000"/>
            </w:tcBorders>
            <w:tcMar>
              <w:bottom w:w="145" w:type="dxa"/>
            </w:tcMar>
            <w:vAlign w:val="center"/>
          </w:tcPr>
          <w:p>
            <w:pPr>
              <w:pStyle w:val="TableContents"/>
              <w:bidi w:val="0"/>
              <w:spacing w:before="0" w:after="283"/>
              <w:jc w:val="right"/>
              <w:rPr/>
            </w:pPr>
            <w:r>
              <w:rPr/>
              <w:t>6,837,213</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486" w:type="dxa"/>
            <w:tcBorders>
              <w:bottom w:val="single" w:sz="6" w:space="0" w:color="000000"/>
            </w:tcBorders>
            <w:tcMar>
              <w:bottom w:w="145" w:type="dxa"/>
            </w:tcMar>
            <w:vAlign w:val="center"/>
          </w:tcPr>
          <w:p>
            <w:pPr>
              <w:pStyle w:val="TableContents"/>
              <w:bidi w:val="0"/>
              <w:spacing w:before="0" w:after="283"/>
              <w:jc w:val="right"/>
              <w:rPr/>
            </w:pPr>
            <w:r>
              <w:rPr/>
              <w:t>(13,293,519)</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tcMar>
              <w:bottom w:w="145" w:type="dxa"/>
            </w:tcMar>
            <w:vAlign w:val="center"/>
          </w:tcPr>
          <w:p>
            <w:pPr>
              <w:pStyle w:val="TableContents"/>
              <w:bidi w:val="0"/>
              <w:spacing w:before="0" w:after="283"/>
              <w:jc w:val="right"/>
              <w:rPr/>
            </w:pPr>
            <w:r>
              <w:rPr/>
              <w:t xml:space="preserve">8,544,863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261" w:type="dxa"/>
            <w:tcBorders>
              <w:bottom w:val="single" w:sz="6" w:space="0" w:color="000000"/>
            </w:tcBorders>
            <w:tcMar>
              <w:bottom w:w="145" w:type="dxa"/>
            </w:tcMar>
            <w:vAlign w:val="center"/>
          </w:tcPr>
          <w:p>
            <w:pPr>
              <w:pStyle w:val="TableContents"/>
              <w:bidi w:val="0"/>
              <w:spacing w:before="0" w:after="283"/>
              <w:jc w:val="right"/>
              <w:rPr/>
            </w:pPr>
            <w:r>
              <w:rPr/>
              <w:t>3,677,594</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4" w:type="dxa"/>
            <w:tcBorders>
              <w:bottom w:val="single" w:sz="6" w:space="0" w:color="000000"/>
            </w:tcBorders>
            <w:vAlign w:val="center"/>
          </w:tcPr>
          <w:p>
            <w:pPr>
              <w:pStyle w:val="TableContents"/>
              <w:bidi w:val="0"/>
              <w:spacing w:before="0" w:after="283"/>
              <w:jc w:val="left"/>
              <w:rPr/>
            </w:pPr>
            <w:r>
              <w:rPr/>
              <w:t>​</w:t>
            </w:r>
          </w:p>
        </w:tc>
        <w:tc>
          <w:tcPr>
            <w:tcW w:w="124" w:type="dxa"/>
            <w:tcBorders>
              <w:bottom w:val="single" w:sz="6" w:space="0" w:color="000000"/>
            </w:tcBorders>
            <w:tcMar>
              <w:bottom w:w="145" w:type="dxa"/>
            </w:tcMar>
            <w:vAlign w:val="center"/>
          </w:tcPr>
          <w:p>
            <w:pPr>
              <w:pStyle w:val="TableContents"/>
              <w:bidi w:val="0"/>
              <w:spacing w:before="0" w:after="283"/>
              <w:jc w:val="right"/>
              <w:rPr/>
            </w:pPr>
            <w:r>
              <w:rPr/>
              <w:t>​</w:t>
            </w:r>
          </w:p>
        </w:tc>
        <w:tc>
          <w:tcPr>
            <w:tcW w:w="873" w:type="dxa"/>
            <w:tcBorders>
              <w:bottom w:val="single" w:sz="6" w:space="0" w:color="000000"/>
            </w:tcBorders>
            <w:tcMar>
              <w:bottom w:w="145" w:type="dxa"/>
            </w:tcMar>
            <w:vAlign w:val="center"/>
          </w:tcPr>
          <w:p>
            <w:pPr>
              <w:pStyle w:val="TableContents"/>
              <w:bidi w:val="0"/>
              <w:spacing w:before="0" w:after="283"/>
              <w:jc w:val="right"/>
              <w:rPr/>
            </w:pPr>
            <w:r>
              <w:rPr/>
              <w:t>17.36</w:t>
            </w:r>
          </w:p>
        </w:tc>
        <w:tc>
          <w:tcPr>
            <w:tcW w:w="125"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4" w:type="dxa"/>
            <w:tcBorders>
              <w:bottom w:val="single" w:sz="6" w:space="0" w:color="000000"/>
            </w:tcBorders>
            <w:vAlign w:val="center"/>
          </w:tcPr>
          <w:p>
            <w:pPr>
              <w:pStyle w:val="TableContents"/>
              <w:bidi w:val="0"/>
              <w:spacing w:before="0" w:after="283"/>
              <w:jc w:val="left"/>
              <w:rPr/>
            </w:pPr>
            <w:r>
              <w:rPr/>
              <w:t>​</w:t>
            </w:r>
          </w:p>
        </w:tc>
        <w:tc>
          <w:tcPr>
            <w:tcW w:w="124" w:type="dxa"/>
            <w:tcBorders>
              <w:bottom w:val="single" w:sz="6" w:space="0" w:color="000000"/>
            </w:tcBorders>
            <w:tcMar>
              <w:bottom w:w="145" w:type="dxa"/>
            </w:tcMar>
            <w:vAlign w:val="center"/>
          </w:tcPr>
          <w:p>
            <w:pPr>
              <w:pStyle w:val="TableContents"/>
              <w:bidi w:val="0"/>
              <w:spacing w:before="0" w:after="283"/>
              <w:jc w:val="right"/>
              <w:rPr/>
            </w:pPr>
            <w:r>
              <w:rPr/>
              <w:t>​</w:t>
            </w:r>
          </w:p>
        </w:tc>
        <w:tc>
          <w:tcPr>
            <w:tcW w:w="873" w:type="dxa"/>
            <w:tcBorders>
              <w:bottom w:val="single" w:sz="6" w:space="0" w:color="000000"/>
            </w:tcBorders>
            <w:tcMar>
              <w:bottom w:w="145" w:type="dxa"/>
            </w:tcMar>
            <w:vAlign w:val="center"/>
          </w:tcPr>
          <w:p>
            <w:pPr>
              <w:pStyle w:val="TableContents"/>
              <w:bidi w:val="0"/>
              <w:spacing w:before="0" w:after="283"/>
              <w:jc w:val="right"/>
              <w:rPr/>
            </w:pPr>
            <w:r>
              <w:rPr/>
              <w:t>162.40</w:t>
            </w:r>
          </w:p>
        </w:tc>
        <w:tc>
          <w:tcPr>
            <w:tcW w:w="125"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141" w:type="dxa"/>
            <w:tcBorders>
              <w:bottom w:val="single" w:sz="6" w:space="0" w:color="000000"/>
            </w:tcBorders>
            <w:tcMar>
              <w:bottom w:w="145" w:type="dxa"/>
            </w:tcMar>
            <w:vAlign w:val="center"/>
          </w:tcPr>
          <w:p>
            <w:pPr>
              <w:pStyle w:val="TableContents"/>
              <w:bidi w:val="0"/>
              <w:spacing w:before="0" w:after="283"/>
              <w:jc w:val="right"/>
              <w:rPr/>
            </w:pPr>
            <w:r>
              <w:rPr/>
              <w:t>(2,828,420)</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tcMar>
              <w:bottom w:w="145" w:type="dxa"/>
            </w:tcMar>
            <w:vAlign w:val="center"/>
          </w:tcPr>
          <w:p>
            <w:pPr>
              <w:pStyle w:val="TableContents"/>
              <w:bidi w:val="0"/>
              <w:spacing w:before="0" w:after="283"/>
              <w:jc w:val="right"/>
              <w:rPr/>
            </w:pPr>
            <w:r>
              <w:rPr/>
              <w:t>595,271</w:t>
            </w:r>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vAlign w:val="center"/>
          </w:tcPr>
          <w:p>
            <w:pPr>
              <w:pStyle w:val="TableContents"/>
              <w:bidi w:val="0"/>
              <w:spacing w:before="0" w:after="283"/>
              <w:jc w:val="left"/>
              <w:rPr/>
            </w:pPr>
            <w:r>
              <w:rPr/>
              <w:t>​</w:t>
            </w:r>
          </w:p>
        </w:tc>
        <w:tc>
          <w:tcPr>
            <w:tcW w:w="586" w:type="dxa"/>
            <w:tcBorders>
              <w:bottom w:val="single" w:sz="6" w:space="0" w:color="000000"/>
            </w:tcBorders>
            <w:shd w:fill="F7F7F7" w:val="clear"/>
            <w:tcMar>
              <w:bottom w:w="145" w:type="dxa"/>
            </w:tcMar>
            <w:vAlign w:val="center"/>
          </w:tcPr>
          <w:p>
            <w:pPr>
              <w:pStyle w:val="TableContents"/>
              <w:bidi w:val="0"/>
              <w:spacing w:before="0" w:after="283"/>
              <w:jc w:val="left"/>
              <w:rPr/>
            </w:pPr>
            <w:r>
              <w:rPr/>
              <w:t xml:space="preserve">2022 </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306" w:type="dxa"/>
            <w:tcBorders>
              <w:bottom w:val="single" w:sz="6" w:space="0" w:color="000000"/>
            </w:tcBorders>
            <w:shd w:fill="F7F7F7" w:val="clear"/>
            <w:tcMar>
              <w:bottom w:w="145" w:type="dxa"/>
            </w:tcMar>
            <w:vAlign w:val="center"/>
          </w:tcPr>
          <w:p>
            <w:pPr>
              <w:pStyle w:val="TableContents"/>
              <w:bidi w:val="0"/>
              <w:spacing w:before="0" w:after="283"/>
              <w:jc w:val="right"/>
              <w:rPr/>
            </w:pPr>
            <w:r>
              <w:rPr/>
              <w:t>596,430</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486" w:type="dxa"/>
            <w:tcBorders>
              <w:bottom w:val="single" w:sz="6" w:space="0" w:color="000000"/>
            </w:tcBorders>
            <w:shd w:fill="F7F7F7" w:val="clear"/>
            <w:tcMar>
              <w:bottom w:w="145" w:type="dxa"/>
            </w:tcMar>
            <w:vAlign w:val="center"/>
          </w:tcPr>
          <w:p>
            <w:pPr>
              <w:pStyle w:val="TableContents"/>
              <w:bidi w:val="0"/>
              <w:spacing w:before="0" w:after="283"/>
              <w:jc w:val="right"/>
              <w:rPr/>
            </w:pPr>
            <w:r>
              <w:rPr/>
              <w:t>(643,851,664)</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shd w:fill="F7F7F7" w:val="clear"/>
            <w:tcMar>
              <w:bottom w:w="145" w:type="dxa"/>
            </w:tcMar>
            <w:vAlign w:val="center"/>
          </w:tcPr>
          <w:p>
            <w:pPr>
              <w:pStyle w:val="TableContents"/>
              <w:bidi w:val="0"/>
              <w:spacing w:before="0" w:after="283"/>
              <w:jc w:val="right"/>
              <w:rPr/>
            </w:pPr>
            <w:r>
              <w:rPr/>
              <w:t>5,756,135</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261" w:type="dxa"/>
            <w:tcBorders>
              <w:bottom w:val="single" w:sz="6" w:space="0" w:color="000000"/>
            </w:tcBorders>
            <w:shd w:fill="F7F7F7" w:val="clear"/>
            <w:tcMar>
              <w:bottom w:w="145" w:type="dxa"/>
            </w:tcMar>
            <w:vAlign w:val="center"/>
          </w:tcPr>
          <w:p>
            <w:pPr>
              <w:pStyle w:val="TableContents"/>
              <w:bidi w:val="0"/>
              <w:spacing w:before="0" w:after="283"/>
              <w:jc w:val="right"/>
              <w:rPr/>
            </w:pPr>
            <w:r>
              <w:rPr/>
              <w:t>(29,632,802)</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24" w:type="dxa"/>
            <w:tcBorders>
              <w:bottom w:val="single" w:sz="6" w:space="0" w:color="000000"/>
            </w:tcBorders>
            <w:shd w:fill="F7F7F7" w:val="clear"/>
            <w:vAlign w:val="center"/>
          </w:tcPr>
          <w:p>
            <w:pPr>
              <w:pStyle w:val="TableContents"/>
              <w:bidi w:val="0"/>
              <w:spacing w:before="0" w:after="283"/>
              <w:jc w:val="left"/>
              <w:rPr/>
            </w:pPr>
            <w:r>
              <w:rPr/>
              <w:t>​</w:t>
            </w:r>
          </w:p>
        </w:tc>
        <w:tc>
          <w:tcPr>
            <w:tcW w:w="12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873" w:type="dxa"/>
            <w:tcBorders>
              <w:bottom w:val="single" w:sz="6" w:space="0" w:color="000000"/>
            </w:tcBorders>
            <w:shd w:fill="F7F7F7" w:val="clear"/>
            <w:tcMar>
              <w:bottom w:w="145" w:type="dxa"/>
            </w:tcMar>
            <w:vAlign w:val="center"/>
          </w:tcPr>
          <w:p>
            <w:pPr>
              <w:pStyle w:val="TableContents"/>
              <w:bidi w:val="0"/>
              <w:spacing w:before="0" w:after="283"/>
              <w:jc w:val="right"/>
              <w:rPr/>
            </w:pPr>
            <w:r>
              <w:rPr/>
              <w:t>28.16</w:t>
            </w:r>
          </w:p>
        </w:tc>
        <w:tc>
          <w:tcPr>
            <w:tcW w:w="125"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24" w:type="dxa"/>
            <w:tcBorders>
              <w:bottom w:val="single" w:sz="6" w:space="0" w:color="000000"/>
            </w:tcBorders>
            <w:shd w:fill="F7F7F7" w:val="clear"/>
            <w:vAlign w:val="center"/>
          </w:tcPr>
          <w:p>
            <w:pPr>
              <w:pStyle w:val="TableContents"/>
              <w:bidi w:val="0"/>
              <w:spacing w:before="0" w:after="283"/>
              <w:jc w:val="left"/>
              <w:rPr/>
            </w:pPr>
            <w:r>
              <w:rPr/>
              <w:t>​</w:t>
            </w:r>
          </w:p>
        </w:tc>
        <w:tc>
          <w:tcPr>
            <w:tcW w:w="124"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873" w:type="dxa"/>
            <w:tcBorders>
              <w:bottom w:val="single" w:sz="6" w:space="0" w:color="000000"/>
            </w:tcBorders>
            <w:shd w:fill="F7F7F7" w:val="clear"/>
            <w:tcMar>
              <w:bottom w:w="145" w:type="dxa"/>
            </w:tcMar>
            <w:vAlign w:val="center"/>
          </w:tcPr>
          <w:p>
            <w:pPr>
              <w:pStyle w:val="TableContents"/>
              <w:bidi w:val="0"/>
              <w:spacing w:before="0" w:after="283"/>
              <w:jc w:val="right"/>
              <w:rPr/>
            </w:pPr>
            <w:r>
              <w:rPr/>
              <w:t>79.05</w:t>
            </w:r>
          </w:p>
        </w:tc>
        <w:tc>
          <w:tcPr>
            <w:tcW w:w="125"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1141" w:type="dxa"/>
            <w:tcBorders>
              <w:bottom w:val="single" w:sz="6" w:space="0" w:color="000000"/>
            </w:tcBorders>
            <w:shd w:fill="F7F7F7" w:val="clear"/>
            <w:tcMar>
              <w:bottom w:w="145" w:type="dxa"/>
            </w:tcMar>
            <w:vAlign w:val="center"/>
          </w:tcPr>
          <w:p>
            <w:pPr>
              <w:pStyle w:val="TableContents"/>
              <w:bidi w:val="0"/>
              <w:spacing w:before="0" w:after="283"/>
              <w:jc w:val="right"/>
              <w:rPr/>
            </w:pPr>
            <w:r>
              <w:rPr/>
              <w:t>(1,314,766)</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45" w:type="dxa"/>
            </w:tcMar>
            <w:vAlign w:val="center"/>
          </w:tcPr>
          <w:p>
            <w:pPr>
              <w:pStyle w:val="TableContents"/>
              <w:bidi w:val="0"/>
              <w:spacing w:before="0" w:after="283"/>
              <w:jc w:val="right"/>
              <w:rPr/>
            </w:pPr>
            <w:r>
              <w:rPr/>
              <w:t>​</w:t>
            </w:r>
          </w:p>
        </w:tc>
        <w:tc>
          <w:tcPr>
            <w:tcW w:w="886" w:type="dxa"/>
            <w:tcBorders>
              <w:bottom w:val="single" w:sz="6" w:space="0" w:color="000000"/>
            </w:tcBorders>
            <w:shd w:fill="F7F7F7" w:val="clear"/>
            <w:tcMar>
              <w:bottom w:w="145" w:type="dxa"/>
            </w:tcMar>
            <w:vAlign w:val="center"/>
          </w:tcPr>
          <w:p>
            <w:pPr>
              <w:pStyle w:val="TableContents"/>
              <w:bidi w:val="0"/>
              <w:spacing w:before="0" w:after="283"/>
              <w:jc w:val="right"/>
              <w:rPr/>
            </w:pPr>
            <w:r>
              <w:rPr/>
              <w:t>608,181</w:t>
            </w:r>
          </w:p>
        </w:tc>
        <w:tc>
          <w:tcPr>
            <w:tcW w:w="109" w:type="dxa"/>
            <w:tcBorders>
              <w:bottom w:val="single" w:sz="6" w:space="0" w:color="000000"/>
            </w:tcBorders>
            <w:shd w:fill="F7F7F7" w:val="clear"/>
            <w:vAlign w:val="center"/>
          </w:tcPr>
          <w:p>
            <w:pPr>
              <w:pStyle w:val="TableContents"/>
              <w:bidi w:val="0"/>
              <w:spacing w:before="0" w:after="283"/>
              <w:jc w:val="left"/>
              <w:rPr/>
            </w:pPr>
            <w:r>
              <w:rPr/>
              <w:t>​</w:t>
            </w:r>
          </w:p>
        </w:tc>
        <w:tc>
          <w:tcPr>
            <w:tcW w:w="154" w:type="dxa"/>
            <w:tcBorders>
              <w:bottom w:val="single" w:sz="6" w:space="0" w:color="000000"/>
            </w:tcBorders>
            <w:shd w:fill="F7F7F7" w:val="cle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586" w:type="dxa"/>
            <w:tcBorders>
              <w:bottom w:val="single" w:sz="2" w:space="0" w:color="FFFFFF"/>
            </w:tcBorders>
            <w:tcMar>
              <w:bottom w:w="145" w:type="dxa"/>
            </w:tcMar>
            <w:vAlign w:val="center"/>
          </w:tcPr>
          <w:p>
            <w:pPr>
              <w:pStyle w:val="TableContents"/>
              <w:bidi w:val="0"/>
              <w:spacing w:before="0" w:after="283"/>
              <w:jc w:val="left"/>
              <w:rPr/>
            </w:pPr>
            <w:r>
              <w:rPr/>
              <w:t xml:space="preserve">2021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EFEFE"/>
            </w:tcBorders>
            <w:tcMar>
              <w:bottom w:w="145" w:type="dxa"/>
            </w:tcMar>
            <w:vAlign w:val="center"/>
          </w:tcPr>
          <w:p>
            <w:pPr>
              <w:pStyle w:val="TableContents"/>
              <w:bidi w:val="0"/>
              <w:spacing w:before="0" w:after="283"/>
              <w:jc w:val="right"/>
              <w:rPr/>
            </w:pPr>
            <w:r>
              <w:rPr/>
              <w:t>​</w:t>
            </w:r>
          </w:p>
        </w:tc>
        <w:tc>
          <w:tcPr>
            <w:tcW w:w="1306" w:type="dxa"/>
            <w:tcBorders>
              <w:bottom w:val="single" w:sz="2" w:space="0" w:color="FEFEFE"/>
            </w:tcBorders>
            <w:tcMar>
              <w:bottom w:w="145" w:type="dxa"/>
            </w:tcMar>
            <w:vAlign w:val="center"/>
          </w:tcPr>
          <w:p>
            <w:pPr>
              <w:pStyle w:val="TableContents"/>
              <w:bidi w:val="0"/>
              <w:spacing w:before="0" w:after="283"/>
              <w:jc w:val="right"/>
              <w:rPr/>
            </w:pPr>
            <w:r>
              <w:rPr/>
              <w:t>565,591,512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EFEFE"/>
            </w:tcBorders>
            <w:tcMar>
              <w:bottom w:w="145" w:type="dxa"/>
            </w:tcMar>
            <w:vAlign w:val="center"/>
          </w:tcPr>
          <w:p>
            <w:pPr>
              <w:pStyle w:val="TableContents"/>
              <w:bidi w:val="0"/>
              <w:spacing w:before="0" w:after="283"/>
              <w:jc w:val="right"/>
              <w:rPr/>
            </w:pPr>
            <w:r>
              <w:rPr/>
              <w:t>​</w:t>
            </w:r>
          </w:p>
        </w:tc>
        <w:tc>
          <w:tcPr>
            <w:tcW w:w="1486" w:type="dxa"/>
            <w:tcBorders>
              <w:bottom w:val="single" w:sz="2" w:space="0" w:color="FEFEFE"/>
            </w:tcBorders>
            <w:tcMar>
              <w:bottom w:w="145" w:type="dxa"/>
            </w:tcMar>
            <w:vAlign w:val="center"/>
          </w:tcPr>
          <w:p>
            <w:pPr>
              <w:pStyle w:val="TableContents"/>
              <w:bidi w:val="0"/>
              <w:spacing w:before="0" w:after="283"/>
              <w:jc w:val="right"/>
              <w:rPr/>
            </w:pPr>
            <w:r>
              <w:rPr/>
              <w:t>1,148,791,229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EFEFE"/>
            </w:tcBorders>
            <w:tcMar>
              <w:bottom w:w="145" w:type="dxa"/>
            </w:tcMar>
            <w:vAlign w:val="center"/>
          </w:tcPr>
          <w:p>
            <w:pPr>
              <w:pStyle w:val="TableContents"/>
              <w:bidi w:val="0"/>
              <w:spacing w:before="0" w:after="283"/>
              <w:jc w:val="right"/>
              <w:rPr/>
            </w:pPr>
            <w:r>
              <w:rPr/>
              <w:t>​</w:t>
            </w:r>
          </w:p>
        </w:tc>
        <w:tc>
          <w:tcPr>
            <w:tcW w:w="1186" w:type="dxa"/>
            <w:tcBorders>
              <w:bottom w:val="single" w:sz="2" w:space="0" w:color="FEFEFE"/>
            </w:tcBorders>
            <w:tcMar>
              <w:bottom w:w="145" w:type="dxa"/>
            </w:tcMar>
            <w:vAlign w:val="center"/>
          </w:tcPr>
          <w:p>
            <w:pPr>
              <w:pStyle w:val="TableContents"/>
              <w:bidi w:val="0"/>
              <w:spacing w:before="0" w:after="283"/>
              <w:jc w:val="right"/>
              <w:rPr/>
            </w:pPr>
            <w:r>
              <w:rPr/>
              <w:t>21,230,163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EFEFE"/>
            </w:tcBorders>
            <w:tcMar>
              <w:bottom w:w="145" w:type="dxa"/>
            </w:tcMar>
            <w:vAlign w:val="center"/>
          </w:tcPr>
          <w:p>
            <w:pPr>
              <w:pStyle w:val="TableContents"/>
              <w:bidi w:val="0"/>
              <w:spacing w:before="0" w:after="283"/>
              <w:jc w:val="right"/>
              <w:rPr/>
            </w:pPr>
            <w:r>
              <w:rPr/>
              <w:t>​</w:t>
            </w:r>
          </w:p>
        </w:tc>
        <w:tc>
          <w:tcPr>
            <w:tcW w:w="1261" w:type="dxa"/>
            <w:tcBorders>
              <w:bottom w:val="single" w:sz="2" w:space="0" w:color="FEFEFE"/>
            </w:tcBorders>
            <w:tcMar>
              <w:bottom w:w="145" w:type="dxa"/>
            </w:tcMar>
            <w:vAlign w:val="center"/>
          </w:tcPr>
          <w:p>
            <w:pPr>
              <w:pStyle w:val="TableContents"/>
              <w:bidi w:val="0"/>
              <w:spacing w:before="0" w:after="283"/>
              <w:jc w:val="right"/>
              <w:rPr/>
            </w:pPr>
            <w:r>
              <w:rPr/>
              <w:t>55,097,849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 w:type="dxa"/>
            <w:tcBorders>
              <w:bottom w:val="single" w:sz="2" w:space="0" w:color="FFFFFF"/>
            </w:tcBorders>
            <w:vAlign w:val="center"/>
          </w:tcPr>
          <w:p>
            <w:pPr>
              <w:pStyle w:val="TableContents"/>
              <w:bidi w:val="0"/>
              <w:spacing w:before="0" w:after="283"/>
              <w:jc w:val="left"/>
              <w:rPr/>
            </w:pPr>
            <w:r>
              <w:rPr/>
              <w:t>​</w:t>
            </w:r>
          </w:p>
        </w:tc>
        <w:tc>
          <w:tcPr>
            <w:tcW w:w="124" w:type="dxa"/>
            <w:tcBorders>
              <w:bottom w:val="single" w:sz="2" w:space="0" w:color="FEFEFE"/>
            </w:tcBorders>
            <w:tcMar>
              <w:bottom w:w="145" w:type="dxa"/>
            </w:tcMar>
            <w:vAlign w:val="center"/>
          </w:tcPr>
          <w:p>
            <w:pPr>
              <w:pStyle w:val="TableContents"/>
              <w:bidi w:val="0"/>
              <w:spacing w:before="0" w:after="283"/>
              <w:jc w:val="right"/>
              <w:rPr/>
            </w:pPr>
            <w:r>
              <w:rPr/>
              <w:t>​</w:t>
            </w:r>
          </w:p>
        </w:tc>
        <w:tc>
          <w:tcPr>
            <w:tcW w:w="873" w:type="dxa"/>
            <w:tcBorders>
              <w:bottom w:val="single" w:sz="2" w:space="0" w:color="FEFEFE"/>
            </w:tcBorders>
            <w:tcMar>
              <w:bottom w:w="145" w:type="dxa"/>
            </w:tcMar>
            <w:vAlign w:val="center"/>
          </w:tcPr>
          <w:p>
            <w:pPr>
              <w:pStyle w:val="TableContents"/>
              <w:bidi w:val="0"/>
              <w:spacing w:before="0" w:after="283"/>
              <w:jc w:val="right"/>
              <w:rPr/>
            </w:pPr>
            <w:r>
              <w:rPr/>
              <w:t>156.91</w:t>
            </w:r>
          </w:p>
        </w:tc>
        <w:tc>
          <w:tcPr>
            <w:tcW w:w="12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 w:type="dxa"/>
            <w:tcBorders>
              <w:bottom w:val="single" w:sz="2" w:space="0" w:color="FFFFFF"/>
            </w:tcBorders>
            <w:vAlign w:val="center"/>
          </w:tcPr>
          <w:p>
            <w:pPr>
              <w:pStyle w:val="TableContents"/>
              <w:bidi w:val="0"/>
              <w:spacing w:before="0" w:after="283"/>
              <w:jc w:val="left"/>
              <w:rPr/>
            </w:pPr>
            <w:r>
              <w:rPr/>
              <w:t>​</w:t>
            </w:r>
          </w:p>
        </w:tc>
        <w:tc>
          <w:tcPr>
            <w:tcW w:w="124" w:type="dxa"/>
            <w:tcBorders>
              <w:bottom w:val="single" w:sz="2" w:space="0" w:color="FEFEFE"/>
            </w:tcBorders>
            <w:tcMar>
              <w:bottom w:w="145" w:type="dxa"/>
            </w:tcMar>
            <w:vAlign w:val="center"/>
          </w:tcPr>
          <w:p>
            <w:pPr>
              <w:pStyle w:val="TableContents"/>
              <w:bidi w:val="0"/>
              <w:spacing w:before="0" w:after="283"/>
              <w:jc w:val="right"/>
              <w:rPr/>
            </w:pPr>
            <w:r>
              <w:rPr/>
              <w:t>​</w:t>
            </w:r>
          </w:p>
        </w:tc>
        <w:tc>
          <w:tcPr>
            <w:tcW w:w="873" w:type="dxa"/>
            <w:tcBorders>
              <w:bottom w:val="single" w:sz="2" w:space="0" w:color="FEFEFE"/>
            </w:tcBorders>
            <w:tcMar>
              <w:bottom w:w="145" w:type="dxa"/>
            </w:tcMar>
            <w:vAlign w:val="center"/>
          </w:tcPr>
          <w:p>
            <w:pPr>
              <w:pStyle w:val="TableContents"/>
              <w:bidi w:val="0"/>
              <w:spacing w:before="0" w:after="283"/>
              <w:jc w:val="right"/>
              <w:rPr/>
            </w:pPr>
            <w:r>
              <w:rPr/>
              <w:t>109.93</w:t>
            </w:r>
          </w:p>
        </w:tc>
        <w:tc>
          <w:tcPr>
            <w:tcW w:w="12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EFEFE"/>
            </w:tcBorders>
            <w:tcMar>
              <w:bottom w:w="145" w:type="dxa"/>
            </w:tcMar>
            <w:vAlign w:val="center"/>
          </w:tcPr>
          <w:p>
            <w:pPr>
              <w:pStyle w:val="TableContents"/>
              <w:bidi w:val="0"/>
              <w:spacing w:before="0" w:after="283"/>
              <w:jc w:val="right"/>
              <w:rPr/>
            </w:pPr>
            <w:r>
              <w:rPr/>
              <w:t>​</w:t>
            </w:r>
          </w:p>
        </w:tc>
        <w:tc>
          <w:tcPr>
            <w:tcW w:w="1141" w:type="dxa"/>
            <w:tcBorders>
              <w:bottom w:val="single" w:sz="2" w:space="0" w:color="FEFEFE"/>
            </w:tcBorders>
            <w:tcMar>
              <w:bottom w:w="145" w:type="dxa"/>
            </w:tcMar>
            <w:vAlign w:val="center"/>
          </w:tcPr>
          <w:p>
            <w:pPr>
              <w:pStyle w:val="TableContents"/>
              <w:bidi w:val="0"/>
              <w:spacing w:before="0" w:after="283"/>
              <w:jc w:val="right"/>
              <w:rPr/>
            </w:pPr>
            <w:r>
              <w:rPr/>
              <w:t>(2,579,761)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EFEFE"/>
            </w:tcBorders>
            <w:tcMar>
              <w:bottom w:w="145" w:type="dxa"/>
            </w:tcMar>
            <w:vAlign w:val="center"/>
          </w:tcPr>
          <w:p>
            <w:pPr>
              <w:pStyle w:val="TableContents"/>
              <w:bidi w:val="0"/>
              <w:spacing w:before="0" w:after="283"/>
              <w:jc w:val="right"/>
              <w:rPr/>
            </w:pPr>
            <w:r>
              <w:rPr/>
              <w:t>​</w:t>
            </w:r>
          </w:p>
        </w:tc>
        <w:tc>
          <w:tcPr>
            <w:tcW w:w="886" w:type="dxa"/>
            <w:tcBorders>
              <w:bottom w:val="single" w:sz="2" w:space="0" w:color="FEFEFE"/>
            </w:tcBorders>
            <w:tcMar>
              <w:bottom w:w="145" w:type="dxa"/>
            </w:tcMar>
            <w:vAlign w:val="center"/>
          </w:tcPr>
          <w:p>
            <w:pPr>
              <w:pStyle w:val="TableContents"/>
              <w:bidi w:val="0"/>
              <w:spacing w:before="0" w:after="283"/>
              <w:jc w:val="right"/>
              <w:rPr/>
            </w:pPr>
            <w:r>
              <w:rPr/>
              <w:t>27,111</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328" w:type="dxa"/>
            <w:gridSpan w:val="51"/>
            <w:tcBorders/>
            <w:tcMar>
              <w:bottom w:w="0" w:type="dxa"/>
            </w:tcMar>
            <w:vAlign w:val="center"/>
          </w:tcPr>
          <w:p>
            <w:pPr>
              <w:pStyle w:val="TableContents"/>
              <w:bidi w:val="0"/>
              <w:spacing w:before="0" w:after="283"/>
              <w:jc w:val="left"/>
              <w:rPr/>
            </w:pPr>
            <w:r>
              <w:rPr/>
              <w:t>​</w:t>
            </w:r>
          </w:p>
        </w:tc>
      </w:tr>
    </w:tbl>
    <w:tbl>
      <w:tblPr>
        <w:tblW w:w="12765" w:type="dxa"/>
        <w:jc w:val="left"/>
        <w:tblInd w:w="720" w:type="dxa"/>
        <w:tblLayout w:type="fixed"/>
        <w:tblCellMar>
          <w:top w:w="0" w:type="dxa"/>
          <w:left w:w="0" w:type="dxa"/>
          <w:bottom w:w="0" w:type="dxa"/>
          <w:right w:w="0" w:type="dxa"/>
        </w:tblCellMar>
      </w:tblPr>
      <w:tblGrid>
        <w:gridCol w:w="124"/>
        <w:gridCol w:w="1576"/>
        <w:gridCol w:w="109"/>
        <w:gridCol w:w="109"/>
        <w:gridCol w:w="109"/>
        <w:gridCol w:w="109"/>
        <w:gridCol w:w="1261"/>
        <w:gridCol w:w="109"/>
        <w:gridCol w:w="109"/>
        <w:gridCol w:w="109"/>
        <w:gridCol w:w="109"/>
        <w:gridCol w:w="109"/>
        <w:gridCol w:w="1381"/>
        <w:gridCol w:w="109"/>
        <w:gridCol w:w="109"/>
        <w:gridCol w:w="109"/>
        <w:gridCol w:w="109"/>
        <w:gridCol w:w="109"/>
        <w:gridCol w:w="1486"/>
        <w:gridCol w:w="109"/>
        <w:gridCol w:w="109"/>
        <w:gridCol w:w="109"/>
        <w:gridCol w:w="109"/>
        <w:gridCol w:w="109"/>
        <w:gridCol w:w="1066"/>
        <w:gridCol w:w="109"/>
        <w:gridCol w:w="109"/>
        <w:gridCol w:w="109"/>
        <w:gridCol w:w="109"/>
        <w:gridCol w:w="109"/>
        <w:gridCol w:w="1261"/>
        <w:gridCol w:w="109"/>
        <w:gridCol w:w="109"/>
        <w:gridCol w:w="109"/>
        <w:gridCol w:w="109"/>
        <w:gridCol w:w="109"/>
        <w:gridCol w:w="1186"/>
        <w:gridCol w:w="109"/>
        <w:gridCol w:w="154"/>
      </w:tblGrid>
      <w:tr>
        <w:trPr/>
        <w:tc>
          <w:tcPr>
            <w:tcW w:w="124" w:type="dxa"/>
            <w:tcBorders/>
            <w:shd w:fill="000000" w:val="clear"/>
            <w:vAlign w:val="center"/>
          </w:tcPr>
          <w:p>
            <w:pPr>
              <w:pStyle w:val="TableContents"/>
              <w:bidi w:val="0"/>
              <w:spacing w:before="0" w:after="283"/>
              <w:jc w:val="left"/>
              <w:rPr/>
            </w:pPr>
            <w:r>
              <w:rPr/>
              <w:t>​</w:t>
            </w:r>
          </w:p>
        </w:tc>
        <w:tc>
          <w:tcPr>
            <w:tcW w:w="1576"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88" w:type="dxa"/>
            <w:gridSpan w:val="4"/>
            <w:tcBorders/>
            <w:shd w:fill="000000" w:val="clear"/>
            <w:vAlign w:val="center"/>
          </w:tcPr>
          <w:p>
            <w:pPr>
              <w:pStyle w:val="TableContents"/>
              <w:bidi w:val="0"/>
              <w:spacing w:before="0" w:after="0"/>
              <w:jc w:val="center"/>
              <w:rPr/>
            </w:pPr>
            <w:r>
              <w:rPr/>
              <w:t>PEO 2023</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708" w:type="dxa"/>
            <w:gridSpan w:val="4"/>
            <w:tcBorders/>
            <w:shd w:fill="000000" w:val="clear"/>
            <w:vAlign w:val="center"/>
          </w:tcPr>
          <w:p>
            <w:pPr>
              <w:pStyle w:val="TableContents"/>
              <w:bidi w:val="0"/>
              <w:spacing w:before="0" w:after="0"/>
              <w:jc w:val="center"/>
              <w:rPr/>
            </w:pPr>
            <w:r>
              <w:rPr/>
              <w:t>PEO 2022</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813" w:type="dxa"/>
            <w:gridSpan w:val="4"/>
            <w:tcBorders/>
            <w:shd w:fill="000000" w:val="clear"/>
            <w:vAlign w:val="center"/>
          </w:tcPr>
          <w:p>
            <w:pPr>
              <w:pStyle w:val="TableContents"/>
              <w:bidi w:val="0"/>
              <w:spacing w:before="0" w:after="0"/>
              <w:jc w:val="center"/>
              <w:rPr/>
            </w:pPr>
            <w:r>
              <w:rPr/>
              <w:t>PEO 2021</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93" w:type="dxa"/>
            <w:gridSpan w:val="4"/>
            <w:tcBorders/>
            <w:shd w:fill="000000" w:val="clear"/>
            <w:vAlign w:val="center"/>
          </w:tcPr>
          <w:p>
            <w:pPr>
              <w:pStyle w:val="TableContents"/>
              <w:bidi w:val="0"/>
              <w:spacing w:before="0" w:after="0"/>
              <w:jc w:val="center"/>
              <w:rPr/>
            </w:pPr>
            <w:r>
              <w:rPr/>
              <w:t>Non-PEOs</w:t>
              <w:br/>
              <w:t>2023</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88" w:type="dxa"/>
            <w:gridSpan w:val="4"/>
            <w:tcBorders/>
            <w:shd w:fill="000000" w:val="clear"/>
            <w:vAlign w:val="center"/>
          </w:tcPr>
          <w:p>
            <w:pPr>
              <w:pStyle w:val="TableContents"/>
              <w:bidi w:val="0"/>
              <w:spacing w:before="0" w:after="0"/>
              <w:jc w:val="center"/>
              <w:rPr/>
            </w:pPr>
            <w:r>
              <w:rPr/>
              <w:t>Non-PEOs</w:t>
              <w:br/>
              <w:t>2022</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13" w:type="dxa"/>
            <w:gridSpan w:val="4"/>
            <w:tcBorders/>
            <w:shd w:fill="000000" w:val="clear"/>
            <w:vAlign w:val="center"/>
          </w:tcPr>
          <w:p>
            <w:pPr>
              <w:pStyle w:val="TableContents"/>
              <w:bidi w:val="0"/>
              <w:spacing w:before="0" w:after="0"/>
              <w:jc w:val="center"/>
              <w:rPr/>
            </w:pPr>
            <w:r>
              <w:rPr/>
              <w:t>Non-PEOs</w:t>
              <w:br/>
              <w:t>2021</w:t>
              <w:br/>
              <w:t xml:space="preserve">($)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576" w:type="dxa"/>
            <w:tcBorders>
              <w:bottom w:val="single" w:sz="6" w:space="0" w:color="000000"/>
            </w:tcBorders>
            <w:tcMar>
              <w:bottom w:w="145" w:type="dxa"/>
            </w:tcMar>
            <w:vAlign w:val="center"/>
          </w:tcPr>
          <w:p>
            <w:pPr>
              <w:pStyle w:val="TableContents"/>
              <w:bidi w:val="0"/>
              <w:spacing w:before="0" w:after="0"/>
              <w:jc w:val="left"/>
              <w:rPr>
                <w:b/>
              </w:rPr>
            </w:pPr>
            <w:r>
              <w:rPr>
                <w:b/>
              </w:rPr>
              <w:t>Summary Compensation Total</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261" w:type="dxa"/>
            <w:tcBorders>
              <w:bottom w:val="single" w:sz="6" w:space="0" w:color="000000"/>
            </w:tcBorders>
            <w:tcMar>
              <w:bottom w:w="145" w:type="dxa"/>
            </w:tcMar>
            <w:vAlign w:val="center"/>
          </w:tcPr>
          <w:p>
            <w:pPr>
              <w:pStyle w:val="TableContents"/>
              <w:bidi w:val="0"/>
              <w:spacing w:before="0" w:after="283"/>
              <w:jc w:val="right"/>
              <w:rPr/>
            </w:pPr>
            <w:r>
              <w:rPr/>
              <w:t>6,837,213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381" w:type="dxa"/>
            <w:tcBorders>
              <w:bottom w:val="single" w:sz="6" w:space="0" w:color="000000"/>
            </w:tcBorders>
            <w:tcMar>
              <w:bottom w:w="145" w:type="dxa"/>
            </w:tcMar>
            <w:vAlign w:val="center"/>
          </w:tcPr>
          <w:p>
            <w:pPr>
              <w:pStyle w:val="TableContents"/>
              <w:bidi w:val="0"/>
              <w:spacing w:before="0" w:after="283"/>
              <w:jc w:val="right"/>
              <w:rPr/>
            </w:pPr>
            <w:r>
              <w:rPr/>
              <w:t>596,430</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486" w:type="dxa"/>
            <w:tcBorders>
              <w:bottom w:val="single" w:sz="6" w:space="0" w:color="000000"/>
            </w:tcBorders>
            <w:tcMar>
              <w:bottom w:w="145" w:type="dxa"/>
            </w:tcMar>
            <w:vAlign w:val="center"/>
          </w:tcPr>
          <w:p>
            <w:pPr>
              <w:pStyle w:val="TableContents"/>
              <w:bidi w:val="0"/>
              <w:spacing w:before="0" w:after="283"/>
              <w:jc w:val="right"/>
              <w:rPr/>
            </w:pPr>
            <w:r>
              <w:rPr/>
              <w:t>565,591,512</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066" w:type="dxa"/>
            <w:tcBorders>
              <w:bottom w:val="single" w:sz="6" w:space="0" w:color="000000"/>
            </w:tcBorders>
            <w:tcMar>
              <w:bottom w:w="145" w:type="dxa"/>
            </w:tcMar>
            <w:vAlign w:val="center"/>
          </w:tcPr>
          <w:p>
            <w:pPr>
              <w:pStyle w:val="TableContents"/>
              <w:bidi w:val="0"/>
              <w:spacing w:before="0" w:after="283"/>
              <w:jc w:val="right"/>
              <w:rPr/>
            </w:pPr>
            <w:r>
              <w:rPr/>
              <w:t>8,544,863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261" w:type="dxa"/>
            <w:tcBorders>
              <w:bottom w:val="single" w:sz="6" w:space="0" w:color="000000"/>
            </w:tcBorders>
            <w:tcMar>
              <w:bottom w:w="145" w:type="dxa"/>
            </w:tcMar>
            <w:vAlign w:val="center"/>
          </w:tcPr>
          <w:p>
            <w:pPr>
              <w:pStyle w:val="TableContents"/>
              <w:bidi w:val="0"/>
              <w:spacing w:before="0" w:after="283"/>
              <w:jc w:val="right"/>
              <w:rPr/>
            </w:pPr>
            <w:r>
              <w:rPr/>
              <w:t>5,756,135</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45" w:type="dxa"/>
            </w:tcMar>
            <w:vAlign w:val="center"/>
          </w:tcPr>
          <w:p>
            <w:pPr>
              <w:pStyle w:val="TableContents"/>
              <w:bidi w:val="0"/>
              <w:spacing w:before="0" w:after="283"/>
              <w:jc w:val="right"/>
              <w:rPr/>
            </w:pPr>
            <w:r>
              <w:rPr/>
              <w:t>​</w:t>
            </w:r>
          </w:p>
        </w:tc>
        <w:tc>
          <w:tcPr>
            <w:tcW w:w="1186" w:type="dxa"/>
            <w:tcBorders>
              <w:bottom w:val="single" w:sz="6" w:space="0" w:color="000000"/>
            </w:tcBorders>
            <w:tcMar>
              <w:bottom w:w="145" w:type="dxa"/>
            </w:tcMar>
            <w:vAlign w:val="center"/>
          </w:tcPr>
          <w:p>
            <w:pPr>
              <w:pStyle w:val="TableContents"/>
              <w:bidi w:val="0"/>
              <w:spacing w:before="0" w:after="283"/>
              <w:jc w:val="right"/>
              <w:rPr/>
            </w:pPr>
            <w:r>
              <w:rPr/>
              <w:t>21,230,163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76" w:type="dxa"/>
            <w:tcBorders>
              <w:bottom w:val="single" w:sz="6" w:space="0" w:color="000000"/>
            </w:tcBorders>
            <w:shd w:fill="F7F7F7" w:val="clear"/>
            <w:tcMar>
              <w:bottom w:w="138" w:type="dxa"/>
            </w:tcMar>
            <w:vAlign w:val="center"/>
          </w:tcPr>
          <w:p>
            <w:pPr>
              <w:pStyle w:val="TableContents"/>
              <w:bidi w:val="0"/>
              <w:spacing w:before="0" w:after="283"/>
              <w:jc w:val="left"/>
              <w:rPr/>
            </w:pPr>
            <w:r>
              <w:rPr>
                <w:i/>
              </w:rPr>
              <w:t>Less</w:t>
            </w:r>
            <w:r>
              <w:rPr/>
              <w:t xml:space="preserve"> Stock Award Value Reported in Summary Compensation Table for the Covered Year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261"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381"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486" w:type="dxa"/>
            <w:tcBorders>
              <w:bottom w:val="single" w:sz="6" w:space="0" w:color="000000"/>
            </w:tcBorders>
            <w:shd w:fill="F7F7F7" w:val="clear"/>
            <w:tcMar>
              <w:bottom w:w="138" w:type="dxa"/>
            </w:tcMar>
            <w:vAlign w:val="center"/>
          </w:tcPr>
          <w:p>
            <w:pPr>
              <w:pStyle w:val="TableContents"/>
              <w:bidi w:val="0"/>
              <w:spacing w:before="0" w:after="283"/>
              <w:jc w:val="right"/>
              <w:rPr/>
            </w:pPr>
            <w:r>
              <w:rPr/>
              <w:t>556,086,963</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066" w:type="dxa"/>
            <w:tcBorders>
              <w:bottom w:val="single" w:sz="6" w:space="0" w:color="000000"/>
            </w:tcBorders>
            <w:shd w:fill="F7F7F7" w:val="clear"/>
            <w:tcMar>
              <w:bottom w:w="138" w:type="dxa"/>
            </w:tcMar>
            <w:vAlign w:val="center"/>
          </w:tcPr>
          <w:p>
            <w:pPr>
              <w:pStyle w:val="TableContents"/>
              <w:bidi w:val="0"/>
              <w:spacing w:before="0" w:after="283"/>
              <w:jc w:val="right"/>
              <w:rPr/>
            </w:pPr>
            <w:r>
              <w:rPr/>
              <w:t>6,840,936</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261" w:type="dxa"/>
            <w:tcBorders>
              <w:bottom w:val="single" w:sz="6" w:space="0" w:color="000000"/>
            </w:tcBorders>
            <w:shd w:fill="F7F7F7" w:val="clear"/>
            <w:tcMar>
              <w:bottom w:w="138" w:type="dxa"/>
            </w:tcMar>
            <w:vAlign w:val="center"/>
          </w:tcPr>
          <w:p>
            <w:pPr>
              <w:pStyle w:val="TableContents"/>
              <w:bidi w:val="0"/>
              <w:spacing w:before="0" w:after="283"/>
              <w:jc w:val="right"/>
              <w:rPr/>
            </w:pPr>
            <w:r>
              <w:rPr/>
              <w:t>5,249,436</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186" w:type="dxa"/>
            <w:tcBorders>
              <w:bottom w:val="single" w:sz="6" w:space="0" w:color="000000"/>
            </w:tcBorders>
            <w:shd w:fill="F7F7F7" w:val="clear"/>
            <w:tcMar>
              <w:bottom w:w="138" w:type="dxa"/>
            </w:tcMar>
            <w:vAlign w:val="center"/>
          </w:tcPr>
          <w:p>
            <w:pPr>
              <w:pStyle w:val="TableContents"/>
              <w:bidi w:val="0"/>
              <w:spacing w:before="0" w:after="283"/>
              <w:jc w:val="right"/>
              <w:rPr/>
            </w:pPr>
            <w:r>
              <w:rPr/>
              <w:t>17,655,310</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576" w:type="dxa"/>
            <w:tcBorders>
              <w:bottom w:val="single" w:sz="6" w:space="0" w:color="000000"/>
            </w:tcBorders>
            <w:tcMar>
              <w:bottom w:w="138" w:type="dxa"/>
            </w:tcMar>
            <w:vAlign w:val="center"/>
          </w:tcPr>
          <w:p>
            <w:pPr>
              <w:pStyle w:val="TableContents"/>
              <w:bidi w:val="0"/>
              <w:spacing w:before="0" w:after="283"/>
              <w:jc w:val="left"/>
              <w:rPr/>
            </w:pPr>
            <w:r>
              <w:rPr>
                <w:i/>
              </w:rPr>
              <w:t>Plus</w:t>
            </w:r>
            <w:r>
              <w:rPr/>
              <w:t xml:space="preserve"> Fiscal Year-End Fair Value for </w:t>
              <w:br/>
              <w:t xml:space="preserve">Awards Granted in the Covered Year and </w:t>
              <w:br/>
              <w:t xml:space="preserve">Outstanding at Fiscal Year-End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38" w:type="dxa"/>
            </w:tcMar>
            <w:vAlign w:val="center"/>
          </w:tcPr>
          <w:p>
            <w:pPr>
              <w:pStyle w:val="TableContents"/>
              <w:bidi w:val="0"/>
              <w:spacing w:before="0" w:after="283"/>
              <w:jc w:val="right"/>
              <w:rPr/>
            </w:pPr>
            <w:r>
              <w:rPr/>
              <w:t>​</w:t>
            </w:r>
          </w:p>
        </w:tc>
        <w:tc>
          <w:tcPr>
            <w:tcW w:w="1261" w:type="dxa"/>
            <w:tcBorders>
              <w:bottom w:val="single" w:sz="6" w:space="0" w:color="000000"/>
            </w:tcBorders>
            <w:tcMar>
              <w:bottom w:w="138"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38" w:type="dxa"/>
            </w:tcMar>
            <w:vAlign w:val="center"/>
          </w:tcPr>
          <w:p>
            <w:pPr>
              <w:pStyle w:val="TableContents"/>
              <w:bidi w:val="0"/>
              <w:spacing w:before="0" w:after="283"/>
              <w:jc w:val="right"/>
              <w:rPr/>
            </w:pPr>
            <w:r>
              <w:rPr/>
              <w:t>​</w:t>
            </w:r>
          </w:p>
        </w:tc>
        <w:tc>
          <w:tcPr>
            <w:tcW w:w="1381" w:type="dxa"/>
            <w:tcBorders>
              <w:bottom w:val="single" w:sz="6" w:space="0" w:color="000000"/>
            </w:tcBorders>
            <w:tcMar>
              <w:bottom w:w="138"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38" w:type="dxa"/>
            </w:tcMar>
            <w:vAlign w:val="center"/>
          </w:tcPr>
          <w:p>
            <w:pPr>
              <w:pStyle w:val="TableContents"/>
              <w:bidi w:val="0"/>
              <w:spacing w:before="0" w:after="283"/>
              <w:jc w:val="right"/>
              <w:rPr/>
            </w:pPr>
            <w:r>
              <w:rPr/>
              <w:t>​</w:t>
            </w:r>
          </w:p>
        </w:tc>
        <w:tc>
          <w:tcPr>
            <w:tcW w:w="1486" w:type="dxa"/>
            <w:tcBorders>
              <w:bottom w:val="single" w:sz="6" w:space="0" w:color="000000"/>
            </w:tcBorders>
            <w:tcMar>
              <w:bottom w:w="138" w:type="dxa"/>
            </w:tcMar>
            <w:vAlign w:val="center"/>
          </w:tcPr>
          <w:p>
            <w:pPr>
              <w:pStyle w:val="TableContents"/>
              <w:bidi w:val="0"/>
              <w:spacing w:before="0" w:after="283"/>
              <w:jc w:val="right"/>
              <w:rPr/>
            </w:pPr>
            <w:r>
              <w:rPr/>
              <w:t>1,092,809,021</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38" w:type="dxa"/>
            </w:tcMar>
            <w:vAlign w:val="center"/>
          </w:tcPr>
          <w:p>
            <w:pPr>
              <w:pStyle w:val="TableContents"/>
              <w:bidi w:val="0"/>
              <w:spacing w:before="0" w:after="283"/>
              <w:jc w:val="right"/>
              <w:rPr/>
            </w:pPr>
            <w:r>
              <w:rPr/>
              <w:t>​</w:t>
            </w:r>
          </w:p>
        </w:tc>
        <w:tc>
          <w:tcPr>
            <w:tcW w:w="1066" w:type="dxa"/>
            <w:tcBorders>
              <w:bottom w:val="single" w:sz="6" w:space="0" w:color="000000"/>
            </w:tcBorders>
            <w:tcMar>
              <w:bottom w:w="138" w:type="dxa"/>
            </w:tcMar>
            <w:vAlign w:val="center"/>
          </w:tcPr>
          <w:p>
            <w:pPr>
              <w:pStyle w:val="TableContents"/>
              <w:bidi w:val="0"/>
              <w:spacing w:before="0" w:after="283"/>
              <w:jc w:val="right"/>
              <w:rPr/>
            </w:pPr>
            <w:r>
              <w:rPr/>
              <w:t>2,579,034</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38" w:type="dxa"/>
            </w:tcMar>
            <w:vAlign w:val="center"/>
          </w:tcPr>
          <w:p>
            <w:pPr>
              <w:pStyle w:val="TableContents"/>
              <w:bidi w:val="0"/>
              <w:spacing w:before="0" w:after="283"/>
              <w:jc w:val="right"/>
              <w:rPr/>
            </w:pPr>
            <w:r>
              <w:rPr/>
              <w:t>​</w:t>
            </w:r>
          </w:p>
        </w:tc>
        <w:tc>
          <w:tcPr>
            <w:tcW w:w="1261" w:type="dxa"/>
            <w:tcBorders>
              <w:bottom w:val="single" w:sz="6" w:space="0" w:color="000000"/>
            </w:tcBorders>
            <w:tcMar>
              <w:bottom w:w="138" w:type="dxa"/>
            </w:tcMar>
            <w:vAlign w:val="center"/>
          </w:tcPr>
          <w:p>
            <w:pPr>
              <w:pStyle w:val="TableContents"/>
              <w:bidi w:val="0"/>
              <w:spacing w:before="0" w:after="283"/>
              <w:jc w:val="right"/>
              <w:rPr/>
            </w:pPr>
            <w:r>
              <w:rPr/>
              <w:t>1,521,212</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38" w:type="dxa"/>
            </w:tcMar>
            <w:vAlign w:val="center"/>
          </w:tcPr>
          <w:p>
            <w:pPr>
              <w:pStyle w:val="TableContents"/>
              <w:bidi w:val="0"/>
              <w:spacing w:before="0" w:after="283"/>
              <w:jc w:val="right"/>
              <w:rPr/>
            </w:pPr>
            <w:r>
              <w:rPr/>
              <w:t>​</w:t>
            </w:r>
          </w:p>
        </w:tc>
        <w:tc>
          <w:tcPr>
            <w:tcW w:w="1186" w:type="dxa"/>
            <w:tcBorders>
              <w:bottom w:val="single" w:sz="6" w:space="0" w:color="000000"/>
            </w:tcBorders>
            <w:tcMar>
              <w:bottom w:w="138" w:type="dxa"/>
            </w:tcMar>
            <w:vAlign w:val="center"/>
          </w:tcPr>
          <w:p>
            <w:pPr>
              <w:pStyle w:val="TableContents"/>
              <w:bidi w:val="0"/>
              <w:spacing w:before="0" w:after="283"/>
              <w:jc w:val="right"/>
              <w:rPr/>
            </w:pPr>
            <w:r>
              <w:rPr/>
              <w:t>33,534,732</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76" w:type="dxa"/>
            <w:tcBorders>
              <w:bottom w:val="single" w:sz="6" w:space="0" w:color="000000"/>
            </w:tcBorders>
            <w:shd w:fill="F7F7F7" w:val="clear"/>
            <w:tcMar>
              <w:bottom w:w="138" w:type="dxa"/>
            </w:tcMar>
            <w:vAlign w:val="center"/>
          </w:tcPr>
          <w:p>
            <w:pPr>
              <w:pStyle w:val="TableContents"/>
              <w:bidi w:val="0"/>
              <w:spacing w:before="0" w:after="283"/>
              <w:jc w:val="left"/>
              <w:rPr/>
            </w:pPr>
            <w:r>
              <w:rPr>
                <w:i/>
              </w:rPr>
              <w:t>Change</w:t>
            </w:r>
            <w:r>
              <w:rPr/>
              <w:t xml:space="preserve"> in Fiscal Year-End Fair Values of </w:t>
              <w:br/>
              <w:t xml:space="preserve">Outstanding Unvested Awards from Prior </w:t>
              <w:br/>
              <w:t xml:space="preserve">Years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261" w:type="dxa"/>
            <w:tcBorders>
              <w:bottom w:val="single" w:sz="6" w:space="0" w:color="000000"/>
            </w:tcBorders>
            <w:shd w:fill="F7F7F7" w:val="clear"/>
            <w:tcMar>
              <w:bottom w:w="138" w:type="dxa"/>
            </w:tcMar>
            <w:vAlign w:val="center"/>
          </w:tcPr>
          <w:p>
            <w:pPr>
              <w:pStyle w:val="TableContents"/>
              <w:bidi w:val="0"/>
              <w:spacing w:before="0" w:after="283"/>
              <w:jc w:val="right"/>
              <w:rPr/>
            </w:pPr>
            <w:r>
              <w:rPr/>
              <w:t>(19,006,658)</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381" w:type="dxa"/>
            <w:tcBorders>
              <w:bottom w:val="single" w:sz="6" w:space="0" w:color="000000"/>
            </w:tcBorders>
            <w:shd w:fill="F7F7F7" w:val="clear"/>
            <w:tcMar>
              <w:bottom w:w="138" w:type="dxa"/>
            </w:tcMar>
            <w:vAlign w:val="center"/>
          </w:tcPr>
          <w:p>
            <w:pPr>
              <w:pStyle w:val="TableContents"/>
              <w:bidi w:val="0"/>
              <w:spacing w:before="0" w:after="283"/>
              <w:jc w:val="right"/>
              <w:rPr/>
            </w:pPr>
            <w:r>
              <w:rPr/>
              <w:t>(366,333,502)</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486"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066" w:type="dxa"/>
            <w:tcBorders>
              <w:bottom w:val="single" w:sz="6" w:space="0" w:color="000000"/>
            </w:tcBorders>
            <w:shd w:fill="F7F7F7" w:val="clear"/>
            <w:tcMar>
              <w:bottom w:w="138" w:type="dxa"/>
            </w:tcMar>
            <w:vAlign w:val="center"/>
          </w:tcPr>
          <w:p>
            <w:pPr>
              <w:pStyle w:val="TableContents"/>
              <w:bidi w:val="0"/>
              <w:spacing w:before="0" w:after="283"/>
              <w:jc w:val="right"/>
              <w:rPr/>
            </w:pPr>
            <w:r>
              <w:rPr/>
              <w:t>(531,656)</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261" w:type="dxa"/>
            <w:tcBorders>
              <w:bottom w:val="single" w:sz="6" w:space="0" w:color="000000"/>
            </w:tcBorders>
            <w:shd w:fill="F7F7F7" w:val="clear"/>
            <w:tcMar>
              <w:bottom w:w="138" w:type="dxa"/>
            </w:tcMar>
            <w:vAlign w:val="center"/>
          </w:tcPr>
          <w:p>
            <w:pPr>
              <w:pStyle w:val="TableContents"/>
              <w:bidi w:val="0"/>
              <w:spacing w:before="0" w:after="283"/>
              <w:jc w:val="right"/>
              <w:rPr/>
            </w:pPr>
            <w:r>
              <w:rPr/>
              <w:t>(20,973,900)</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186" w:type="dxa"/>
            <w:tcBorders>
              <w:bottom w:val="single" w:sz="6" w:space="0" w:color="000000"/>
            </w:tcBorders>
            <w:shd w:fill="F7F7F7" w:val="clear"/>
            <w:tcMar>
              <w:bottom w:w="138" w:type="dxa"/>
            </w:tcMar>
            <w:vAlign w:val="center"/>
          </w:tcPr>
          <w:p>
            <w:pPr>
              <w:pStyle w:val="TableContents"/>
              <w:bidi w:val="0"/>
              <w:spacing w:before="0" w:after="283"/>
              <w:jc w:val="right"/>
              <w:rPr/>
            </w:pPr>
            <w:r>
              <w:rPr/>
              <w:t>13,440,337</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576" w:type="dxa"/>
            <w:tcBorders>
              <w:bottom w:val="single" w:sz="6" w:space="0" w:color="000000"/>
            </w:tcBorders>
            <w:tcMar>
              <w:bottom w:w="138" w:type="dxa"/>
            </w:tcMar>
            <w:vAlign w:val="center"/>
          </w:tcPr>
          <w:p>
            <w:pPr>
              <w:pStyle w:val="TableContents"/>
              <w:bidi w:val="0"/>
              <w:spacing w:before="0" w:after="283"/>
              <w:jc w:val="left"/>
              <w:rPr/>
            </w:pPr>
            <w:r>
              <w:rPr>
                <w:i/>
              </w:rPr>
              <w:t>Change</w:t>
            </w:r>
            <w:r>
              <w:rPr/>
              <w:t xml:space="preserve"> in Fair Value of Awards from </w:t>
              <w:br/>
              <w:t xml:space="preserve">Prior Years that Vested in the Covered </w:t>
              <w:br/>
              <w:t xml:space="preserve">Year and Vest-Date Fair Value of Awards </w:t>
              <w:br/>
              <w:t xml:space="preserve">Vesting in Grant Year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38" w:type="dxa"/>
            </w:tcMar>
            <w:vAlign w:val="center"/>
          </w:tcPr>
          <w:p>
            <w:pPr>
              <w:pStyle w:val="TableContents"/>
              <w:bidi w:val="0"/>
              <w:spacing w:before="0" w:after="283"/>
              <w:jc w:val="right"/>
              <w:rPr/>
            </w:pPr>
            <w:r>
              <w:rPr/>
              <w:t>​</w:t>
            </w:r>
          </w:p>
        </w:tc>
        <w:tc>
          <w:tcPr>
            <w:tcW w:w="1261" w:type="dxa"/>
            <w:tcBorders>
              <w:bottom w:val="single" w:sz="6" w:space="0" w:color="000000"/>
            </w:tcBorders>
            <w:tcMar>
              <w:bottom w:w="138" w:type="dxa"/>
            </w:tcMar>
            <w:vAlign w:val="center"/>
          </w:tcPr>
          <w:p>
            <w:pPr>
              <w:pStyle w:val="TableContents"/>
              <w:bidi w:val="0"/>
              <w:spacing w:before="0" w:after="283"/>
              <w:jc w:val="right"/>
              <w:rPr/>
            </w:pPr>
            <w:r>
              <w:rPr/>
              <w:t>(1,124,074)</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38" w:type="dxa"/>
            </w:tcMar>
            <w:vAlign w:val="center"/>
          </w:tcPr>
          <w:p>
            <w:pPr>
              <w:pStyle w:val="TableContents"/>
              <w:bidi w:val="0"/>
              <w:spacing w:before="0" w:after="283"/>
              <w:jc w:val="right"/>
              <w:rPr/>
            </w:pPr>
            <w:r>
              <w:rPr/>
              <w:t>​</w:t>
            </w:r>
          </w:p>
        </w:tc>
        <w:tc>
          <w:tcPr>
            <w:tcW w:w="1381" w:type="dxa"/>
            <w:tcBorders>
              <w:bottom w:val="single" w:sz="6" w:space="0" w:color="000000"/>
            </w:tcBorders>
            <w:tcMar>
              <w:bottom w:w="138" w:type="dxa"/>
            </w:tcMar>
            <w:vAlign w:val="center"/>
          </w:tcPr>
          <w:p>
            <w:pPr>
              <w:pStyle w:val="TableContents"/>
              <w:bidi w:val="0"/>
              <w:spacing w:before="0" w:after="283"/>
              <w:jc w:val="right"/>
              <w:rPr/>
            </w:pPr>
            <w:r>
              <w:rPr/>
              <w:t>(278,114,592)</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38" w:type="dxa"/>
            </w:tcMar>
            <w:vAlign w:val="center"/>
          </w:tcPr>
          <w:p>
            <w:pPr>
              <w:pStyle w:val="TableContents"/>
              <w:bidi w:val="0"/>
              <w:spacing w:before="0" w:after="283"/>
              <w:jc w:val="right"/>
              <w:rPr/>
            </w:pPr>
            <w:r>
              <w:rPr/>
              <w:t>​</w:t>
            </w:r>
          </w:p>
        </w:tc>
        <w:tc>
          <w:tcPr>
            <w:tcW w:w="1486" w:type="dxa"/>
            <w:tcBorders>
              <w:bottom w:val="single" w:sz="6" w:space="0" w:color="000000"/>
            </w:tcBorders>
            <w:tcMar>
              <w:bottom w:w="138" w:type="dxa"/>
            </w:tcMar>
            <w:vAlign w:val="center"/>
          </w:tcPr>
          <w:p>
            <w:pPr>
              <w:pStyle w:val="TableContents"/>
              <w:bidi w:val="0"/>
              <w:spacing w:before="0" w:after="283"/>
              <w:jc w:val="right"/>
              <w:rPr/>
            </w:pPr>
            <w:r>
              <w:rPr/>
              <w:t>46,477,659</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38" w:type="dxa"/>
            </w:tcMar>
            <w:vAlign w:val="center"/>
          </w:tcPr>
          <w:p>
            <w:pPr>
              <w:pStyle w:val="TableContents"/>
              <w:bidi w:val="0"/>
              <w:spacing w:before="0" w:after="283"/>
              <w:jc w:val="right"/>
              <w:rPr/>
            </w:pPr>
            <w:r>
              <w:rPr/>
              <w:t>​</w:t>
            </w:r>
          </w:p>
        </w:tc>
        <w:tc>
          <w:tcPr>
            <w:tcW w:w="1066" w:type="dxa"/>
            <w:tcBorders>
              <w:bottom w:val="single" w:sz="6" w:space="0" w:color="000000"/>
            </w:tcBorders>
            <w:tcMar>
              <w:bottom w:w="138" w:type="dxa"/>
            </w:tcMar>
            <w:vAlign w:val="center"/>
          </w:tcPr>
          <w:p>
            <w:pPr>
              <w:pStyle w:val="TableContents"/>
              <w:bidi w:val="0"/>
              <w:spacing w:before="0" w:after="283"/>
              <w:jc w:val="right"/>
              <w:rPr/>
            </w:pPr>
            <w:r>
              <w:rPr/>
              <w:t>225,349</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38" w:type="dxa"/>
            </w:tcMar>
            <w:vAlign w:val="center"/>
          </w:tcPr>
          <w:p>
            <w:pPr>
              <w:pStyle w:val="TableContents"/>
              <w:bidi w:val="0"/>
              <w:spacing w:before="0" w:after="283"/>
              <w:jc w:val="right"/>
              <w:rPr/>
            </w:pPr>
            <w:r>
              <w:rPr/>
              <w:t>​</w:t>
            </w:r>
          </w:p>
        </w:tc>
        <w:tc>
          <w:tcPr>
            <w:tcW w:w="1261" w:type="dxa"/>
            <w:tcBorders>
              <w:bottom w:val="single" w:sz="6" w:space="0" w:color="000000"/>
            </w:tcBorders>
            <w:tcMar>
              <w:bottom w:w="138" w:type="dxa"/>
            </w:tcMar>
            <w:vAlign w:val="center"/>
          </w:tcPr>
          <w:p>
            <w:pPr>
              <w:pStyle w:val="TableContents"/>
              <w:bidi w:val="0"/>
              <w:spacing w:before="0" w:after="283"/>
              <w:jc w:val="right"/>
              <w:rPr/>
            </w:pPr>
            <w:r>
              <w:rPr/>
              <w:t>(10,686,813)</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38" w:type="dxa"/>
            </w:tcMar>
            <w:vAlign w:val="center"/>
          </w:tcPr>
          <w:p>
            <w:pPr>
              <w:pStyle w:val="TableContents"/>
              <w:bidi w:val="0"/>
              <w:spacing w:before="0" w:after="283"/>
              <w:jc w:val="right"/>
              <w:rPr/>
            </w:pPr>
            <w:r>
              <w:rPr/>
              <w:t>​</w:t>
            </w:r>
          </w:p>
        </w:tc>
        <w:tc>
          <w:tcPr>
            <w:tcW w:w="1186" w:type="dxa"/>
            <w:tcBorders>
              <w:bottom w:val="single" w:sz="6" w:space="0" w:color="000000"/>
            </w:tcBorders>
            <w:tcMar>
              <w:bottom w:w="138" w:type="dxa"/>
            </w:tcMar>
            <w:vAlign w:val="center"/>
          </w:tcPr>
          <w:p>
            <w:pPr>
              <w:pStyle w:val="TableContents"/>
              <w:bidi w:val="0"/>
              <w:spacing w:before="0" w:after="283"/>
              <w:jc w:val="right"/>
              <w:rPr/>
            </w:pPr>
            <w:r>
              <w:rPr/>
              <w:t>4,547,926</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76" w:type="dxa"/>
            <w:tcBorders>
              <w:bottom w:val="single" w:sz="6" w:space="0" w:color="000000"/>
            </w:tcBorders>
            <w:shd w:fill="F7F7F7" w:val="clear"/>
            <w:tcMar>
              <w:bottom w:w="138" w:type="dxa"/>
            </w:tcMar>
            <w:vAlign w:val="center"/>
          </w:tcPr>
          <w:p>
            <w:pPr>
              <w:pStyle w:val="TableContents"/>
              <w:bidi w:val="0"/>
              <w:spacing w:before="0" w:after="283"/>
              <w:jc w:val="left"/>
              <w:rPr/>
            </w:pPr>
            <w:r>
              <w:rPr>
                <w:i/>
              </w:rPr>
              <w:t>Less</w:t>
            </w:r>
            <w:r>
              <w:rPr/>
              <w:t xml:space="preserve"> Fair Value of Awards Forfeited during the Covered Year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261"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381"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486"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066" w:type="dxa"/>
            <w:tcBorders>
              <w:bottom w:val="single" w:sz="6" w:space="0" w:color="000000"/>
            </w:tcBorders>
            <w:shd w:fill="F7F7F7" w:val="clear"/>
            <w:tcMar>
              <w:bottom w:w="138" w:type="dxa"/>
            </w:tcMar>
            <w:vAlign w:val="center"/>
          </w:tcPr>
          <w:p>
            <w:pPr>
              <w:pStyle w:val="TableContents"/>
              <w:bidi w:val="0"/>
              <w:spacing w:before="0" w:after="283"/>
              <w:jc w:val="right"/>
              <w:rPr/>
            </w:pPr>
            <w:r>
              <w:rPr/>
              <w:t>299,060</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261"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186"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576" w:type="dxa"/>
            <w:tcBorders>
              <w:bottom w:val="single" w:sz="6" w:space="0" w:color="000000"/>
            </w:tcBorders>
            <w:tcMar>
              <w:bottom w:w="138" w:type="dxa"/>
            </w:tcMar>
            <w:vAlign w:val="center"/>
          </w:tcPr>
          <w:p>
            <w:pPr>
              <w:pStyle w:val="TableContents"/>
              <w:bidi w:val="0"/>
              <w:spacing w:before="0" w:after="283"/>
              <w:jc w:val="left"/>
              <w:rPr/>
            </w:pPr>
            <w:r>
              <w:rPr>
                <w:i/>
              </w:rPr>
              <w:t>Plus</w:t>
            </w:r>
            <w:r>
              <w:rPr/>
              <w:t xml:space="preserve"> Fair Value of Incremental Dividends </w:t>
              <w:br/>
              <w:t xml:space="preserve">or Earnings Paid on Stock Awards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38" w:type="dxa"/>
            </w:tcMar>
            <w:vAlign w:val="center"/>
          </w:tcPr>
          <w:p>
            <w:pPr>
              <w:pStyle w:val="TableContents"/>
              <w:bidi w:val="0"/>
              <w:spacing w:before="0" w:after="283"/>
              <w:jc w:val="right"/>
              <w:rPr/>
            </w:pPr>
            <w:r>
              <w:rPr/>
              <w:t>​</w:t>
            </w:r>
          </w:p>
        </w:tc>
        <w:tc>
          <w:tcPr>
            <w:tcW w:w="1261" w:type="dxa"/>
            <w:tcBorders>
              <w:bottom w:val="single" w:sz="6" w:space="0" w:color="000000"/>
            </w:tcBorders>
            <w:tcMar>
              <w:bottom w:w="138"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38" w:type="dxa"/>
            </w:tcMar>
            <w:vAlign w:val="center"/>
          </w:tcPr>
          <w:p>
            <w:pPr>
              <w:pStyle w:val="TableContents"/>
              <w:bidi w:val="0"/>
              <w:spacing w:before="0" w:after="283"/>
              <w:jc w:val="right"/>
              <w:rPr/>
            </w:pPr>
            <w:r>
              <w:rPr/>
              <w:t>​</w:t>
            </w:r>
          </w:p>
        </w:tc>
        <w:tc>
          <w:tcPr>
            <w:tcW w:w="1381" w:type="dxa"/>
            <w:tcBorders>
              <w:bottom w:val="single" w:sz="6" w:space="0" w:color="000000"/>
            </w:tcBorders>
            <w:tcMar>
              <w:bottom w:w="138"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38" w:type="dxa"/>
            </w:tcMar>
            <w:vAlign w:val="center"/>
          </w:tcPr>
          <w:p>
            <w:pPr>
              <w:pStyle w:val="TableContents"/>
              <w:bidi w:val="0"/>
              <w:spacing w:before="0" w:after="283"/>
              <w:jc w:val="right"/>
              <w:rPr/>
            </w:pPr>
            <w:r>
              <w:rPr/>
              <w:t>​</w:t>
            </w:r>
          </w:p>
        </w:tc>
        <w:tc>
          <w:tcPr>
            <w:tcW w:w="1486" w:type="dxa"/>
            <w:tcBorders>
              <w:bottom w:val="single" w:sz="6" w:space="0" w:color="000000"/>
            </w:tcBorders>
            <w:tcMar>
              <w:bottom w:w="138"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38" w:type="dxa"/>
            </w:tcMar>
            <w:vAlign w:val="center"/>
          </w:tcPr>
          <w:p>
            <w:pPr>
              <w:pStyle w:val="TableContents"/>
              <w:bidi w:val="0"/>
              <w:spacing w:before="0" w:after="283"/>
              <w:jc w:val="right"/>
              <w:rPr/>
            </w:pPr>
            <w:r>
              <w:rPr/>
              <w:t>​</w:t>
            </w:r>
          </w:p>
        </w:tc>
        <w:tc>
          <w:tcPr>
            <w:tcW w:w="1066" w:type="dxa"/>
            <w:tcBorders>
              <w:bottom w:val="single" w:sz="6" w:space="0" w:color="000000"/>
            </w:tcBorders>
            <w:tcMar>
              <w:bottom w:w="138"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38" w:type="dxa"/>
            </w:tcMar>
            <w:vAlign w:val="center"/>
          </w:tcPr>
          <w:p>
            <w:pPr>
              <w:pStyle w:val="TableContents"/>
              <w:bidi w:val="0"/>
              <w:spacing w:before="0" w:after="283"/>
              <w:jc w:val="right"/>
              <w:rPr/>
            </w:pPr>
            <w:r>
              <w:rPr/>
              <w:t>​</w:t>
            </w:r>
          </w:p>
        </w:tc>
        <w:tc>
          <w:tcPr>
            <w:tcW w:w="1261" w:type="dxa"/>
            <w:tcBorders>
              <w:bottom w:val="single" w:sz="6" w:space="0" w:color="000000"/>
            </w:tcBorders>
            <w:tcMar>
              <w:bottom w:w="138"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38" w:type="dxa"/>
            </w:tcMar>
            <w:vAlign w:val="center"/>
          </w:tcPr>
          <w:p>
            <w:pPr>
              <w:pStyle w:val="TableContents"/>
              <w:bidi w:val="0"/>
              <w:spacing w:before="0" w:after="283"/>
              <w:jc w:val="right"/>
              <w:rPr/>
            </w:pPr>
            <w:r>
              <w:rPr/>
              <w:t>​</w:t>
            </w:r>
          </w:p>
        </w:tc>
        <w:tc>
          <w:tcPr>
            <w:tcW w:w="1186" w:type="dxa"/>
            <w:tcBorders>
              <w:bottom w:val="single" w:sz="6" w:space="0" w:color="000000"/>
            </w:tcBorders>
            <w:tcMar>
              <w:bottom w:w="138"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bl>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73</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2765" w:type="dxa"/>
        <w:jc w:val="left"/>
        <w:tblInd w:w="720" w:type="dxa"/>
        <w:tblLayout w:type="fixed"/>
        <w:tblCellMar>
          <w:top w:w="0" w:type="dxa"/>
          <w:left w:w="0" w:type="dxa"/>
          <w:bottom w:w="0" w:type="dxa"/>
          <w:right w:w="0" w:type="dxa"/>
        </w:tblCellMar>
      </w:tblPr>
      <w:tblGrid>
        <w:gridCol w:w="124"/>
        <w:gridCol w:w="1576"/>
        <w:gridCol w:w="109"/>
        <w:gridCol w:w="109"/>
        <w:gridCol w:w="109"/>
        <w:gridCol w:w="109"/>
        <w:gridCol w:w="1261"/>
        <w:gridCol w:w="109"/>
        <w:gridCol w:w="109"/>
        <w:gridCol w:w="109"/>
        <w:gridCol w:w="109"/>
        <w:gridCol w:w="109"/>
        <w:gridCol w:w="1381"/>
        <w:gridCol w:w="109"/>
        <w:gridCol w:w="109"/>
        <w:gridCol w:w="109"/>
        <w:gridCol w:w="109"/>
        <w:gridCol w:w="109"/>
        <w:gridCol w:w="1486"/>
        <w:gridCol w:w="109"/>
        <w:gridCol w:w="109"/>
        <w:gridCol w:w="109"/>
        <w:gridCol w:w="109"/>
        <w:gridCol w:w="109"/>
        <w:gridCol w:w="1066"/>
        <w:gridCol w:w="109"/>
        <w:gridCol w:w="109"/>
        <w:gridCol w:w="109"/>
        <w:gridCol w:w="109"/>
        <w:gridCol w:w="109"/>
        <w:gridCol w:w="1261"/>
        <w:gridCol w:w="109"/>
        <w:gridCol w:w="109"/>
        <w:gridCol w:w="109"/>
        <w:gridCol w:w="109"/>
        <w:gridCol w:w="109"/>
        <w:gridCol w:w="1186"/>
        <w:gridCol w:w="109"/>
        <w:gridCol w:w="154"/>
      </w:tblGrid>
      <w:tr>
        <w:trPr/>
        <w:tc>
          <w:tcPr>
            <w:tcW w:w="124" w:type="dxa"/>
            <w:tcBorders/>
            <w:shd w:fill="000000" w:val="clear"/>
            <w:vAlign w:val="center"/>
          </w:tcPr>
          <w:p>
            <w:pPr>
              <w:pStyle w:val="TableContents"/>
              <w:bidi w:val="0"/>
              <w:spacing w:before="0" w:after="283"/>
              <w:jc w:val="left"/>
              <w:rPr/>
            </w:pPr>
            <w:r>
              <w:rPr/>
              <w:t>​</w:t>
            </w:r>
          </w:p>
        </w:tc>
        <w:tc>
          <w:tcPr>
            <w:tcW w:w="1576"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88" w:type="dxa"/>
            <w:gridSpan w:val="4"/>
            <w:tcBorders/>
            <w:shd w:fill="000000" w:val="clear"/>
            <w:vAlign w:val="center"/>
          </w:tcPr>
          <w:p>
            <w:pPr>
              <w:pStyle w:val="TableContents"/>
              <w:bidi w:val="0"/>
              <w:spacing w:before="0" w:after="0"/>
              <w:jc w:val="center"/>
              <w:rPr/>
            </w:pPr>
            <w:r>
              <w:rPr/>
              <w:t>PEO 2023</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708" w:type="dxa"/>
            <w:gridSpan w:val="4"/>
            <w:tcBorders/>
            <w:shd w:fill="000000" w:val="clear"/>
            <w:vAlign w:val="center"/>
          </w:tcPr>
          <w:p>
            <w:pPr>
              <w:pStyle w:val="TableContents"/>
              <w:bidi w:val="0"/>
              <w:spacing w:before="0" w:after="0"/>
              <w:jc w:val="center"/>
              <w:rPr/>
            </w:pPr>
            <w:r>
              <w:rPr/>
              <w:t>PEO 2022</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813" w:type="dxa"/>
            <w:gridSpan w:val="4"/>
            <w:tcBorders/>
            <w:shd w:fill="000000" w:val="clear"/>
            <w:vAlign w:val="center"/>
          </w:tcPr>
          <w:p>
            <w:pPr>
              <w:pStyle w:val="TableContents"/>
              <w:bidi w:val="0"/>
              <w:spacing w:before="0" w:after="0"/>
              <w:jc w:val="center"/>
              <w:rPr/>
            </w:pPr>
            <w:r>
              <w:rPr/>
              <w:t>PEO 2021</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93" w:type="dxa"/>
            <w:gridSpan w:val="4"/>
            <w:tcBorders/>
            <w:shd w:fill="000000" w:val="clear"/>
            <w:vAlign w:val="center"/>
          </w:tcPr>
          <w:p>
            <w:pPr>
              <w:pStyle w:val="TableContents"/>
              <w:bidi w:val="0"/>
              <w:spacing w:before="0" w:after="0"/>
              <w:jc w:val="center"/>
              <w:rPr/>
            </w:pPr>
            <w:r>
              <w:rPr/>
              <w:t>Non-PEOs</w:t>
              <w:br/>
              <w:t>2023</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88" w:type="dxa"/>
            <w:gridSpan w:val="4"/>
            <w:tcBorders/>
            <w:shd w:fill="000000" w:val="clear"/>
            <w:vAlign w:val="center"/>
          </w:tcPr>
          <w:p>
            <w:pPr>
              <w:pStyle w:val="TableContents"/>
              <w:bidi w:val="0"/>
              <w:spacing w:before="0" w:after="0"/>
              <w:jc w:val="center"/>
              <w:rPr/>
            </w:pPr>
            <w:r>
              <w:rPr/>
              <w:t>Non-PEOs</w:t>
              <w:br/>
              <w:t>2022</w:t>
              <w:b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513" w:type="dxa"/>
            <w:gridSpan w:val="4"/>
            <w:tcBorders/>
            <w:shd w:fill="000000" w:val="clear"/>
            <w:vAlign w:val="center"/>
          </w:tcPr>
          <w:p>
            <w:pPr>
              <w:pStyle w:val="TableContents"/>
              <w:bidi w:val="0"/>
              <w:spacing w:before="0" w:after="0"/>
              <w:jc w:val="center"/>
              <w:rPr/>
            </w:pPr>
            <w:r>
              <w:rPr/>
              <w:t>Non-PEOs</w:t>
              <w:br/>
              <w:t>2021</w:t>
              <w:br/>
              <w:t xml:space="preserve">($)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76" w:type="dxa"/>
            <w:tcBorders>
              <w:bottom w:val="single" w:sz="6" w:space="0" w:color="000000"/>
            </w:tcBorders>
            <w:shd w:fill="F7F7F7" w:val="clear"/>
            <w:tcMar>
              <w:bottom w:w="138" w:type="dxa"/>
            </w:tcMar>
            <w:vAlign w:val="center"/>
          </w:tcPr>
          <w:p>
            <w:pPr>
              <w:pStyle w:val="TableContents"/>
              <w:bidi w:val="0"/>
              <w:spacing w:before="0" w:after="283"/>
              <w:jc w:val="left"/>
              <w:rPr/>
            </w:pPr>
            <w:r>
              <w:rPr>
                <w:i/>
              </w:rPr>
              <w:t>Less</w:t>
            </w:r>
            <w:r>
              <w:rPr/>
              <w:t xml:space="preserve"> Aggregate Change in Actuarial Present Value of Accumulated Benefit Under Pension Plans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261"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381"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486"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066"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261"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186"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576" w:type="dxa"/>
            <w:tcBorders>
              <w:bottom w:val="single" w:sz="6" w:space="0" w:color="000000"/>
            </w:tcBorders>
            <w:tcMar>
              <w:bottom w:w="138" w:type="dxa"/>
            </w:tcMar>
            <w:vAlign w:val="center"/>
          </w:tcPr>
          <w:p>
            <w:pPr>
              <w:pStyle w:val="TableContents"/>
              <w:bidi w:val="0"/>
              <w:spacing w:before="0" w:after="283"/>
              <w:jc w:val="left"/>
              <w:rPr/>
            </w:pPr>
            <w:r>
              <w:rPr>
                <w:i/>
              </w:rPr>
              <w:t>Plus</w:t>
            </w:r>
            <w:r>
              <w:rPr/>
              <w:t xml:space="preserve"> Aggregate Service Cost and Prior Service Cost for Pension Plans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38" w:type="dxa"/>
            </w:tcMar>
            <w:vAlign w:val="center"/>
          </w:tcPr>
          <w:p>
            <w:pPr>
              <w:pStyle w:val="TableContents"/>
              <w:bidi w:val="0"/>
              <w:spacing w:before="0" w:after="283"/>
              <w:jc w:val="right"/>
              <w:rPr/>
            </w:pPr>
            <w:r>
              <w:rPr/>
              <w:t>​</w:t>
            </w:r>
          </w:p>
        </w:tc>
        <w:tc>
          <w:tcPr>
            <w:tcW w:w="1261" w:type="dxa"/>
            <w:tcBorders>
              <w:bottom w:val="single" w:sz="6" w:space="0" w:color="000000"/>
            </w:tcBorders>
            <w:tcMar>
              <w:bottom w:w="138"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38" w:type="dxa"/>
            </w:tcMar>
            <w:vAlign w:val="center"/>
          </w:tcPr>
          <w:p>
            <w:pPr>
              <w:pStyle w:val="TableContents"/>
              <w:bidi w:val="0"/>
              <w:spacing w:before="0" w:after="283"/>
              <w:jc w:val="right"/>
              <w:rPr/>
            </w:pPr>
            <w:r>
              <w:rPr/>
              <w:t>​</w:t>
            </w:r>
          </w:p>
        </w:tc>
        <w:tc>
          <w:tcPr>
            <w:tcW w:w="1381" w:type="dxa"/>
            <w:tcBorders>
              <w:bottom w:val="single" w:sz="6" w:space="0" w:color="000000"/>
            </w:tcBorders>
            <w:tcMar>
              <w:bottom w:w="138"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38" w:type="dxa"/>
            </w:tcMar>
            <w:vAlign w:val="center"/>
          </w:tcPr>
          <w:p>
            <w:pPr>
              <w:pStyle w:val="TableContents"/>
              <w:bidi w:val="0"/>
              <w:spacing w:before="0" w:after="283"/>
              <w:jc w:val="right"/>
              <w:rPr/>
            </w:pPr>
            <w:r>
              <w:rPr/>
              <w:t>​</w:t>
            </w:r>
          </w:p>
        </w:tc>
        <w:tc>
          <w:tcPr>
            <w:tcW w:w="1486" w:type="dxa"/>
            <w:tcBorders>
              <w:bottom w:val="single" w:sz="6" w:space="0" w:color="000000"/>
            </w:tcBorders>
            <w:tcMar>
              <w:bottom w:w="138"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38" w:type="dxa"/>
            </w:tcMar>
            <w:vAlign w:val="center"/>
          </w:tcPr>
          <w:p>
            <w:pPr>
              <w:pStyle w:val="TableContents"/>
              <w:bidi w:val="0"/>
              <w:spacing w:before="0" w:after="283"/>
              <w:jc w:val="right"/>
              <w:rPr/>
            </w:pPr>
            <w:r>
              <w:rPr/>
              <w:t>​</w:t>
            </w:r>
          </w:p>
        </w:tc>
        <w:tc>
          <w:tcPr>
            <w:tcW w:w="1066" w:type="dxa"/>
            <w:tcBorders>
              <w:bottom w:val="single" w:sz="6" w:space="0" w:color="000000"/>
            </w:tcBorders>
            <w:tcMar>
              <w:bottom w:w="138"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38" w:type="dxa"/>
            </w:tcMar>
            <w:vAlign w:val="center"/>
          </w:tcPr>
          <w:p>
            <w:pPr>
              <w:pStyle w:val="TableContents"/>
              <w:bidi w:val="0"/>
              <w:spacing w:before="0" w:after="283"/>
              <w:jc w:val="right"/>
              <w:rPr/>
            </w:pPr>
            <w:r>
              <w:rPr/>
              <w:t>​</w:t>
            </w:r>
          </w:p>
        </w:tc>
        <w:tc>
          <w:tcPr>
            <w:tcW w:w="1261" w:type="dxa"/>
            <w:tcBorders>
              <w:bottom w:val="single" w:sz="6" w:space="0" w:color="000000"/>
            </w:tcBorders>
            <w:tcMar>
              <w:bottom w:w="138"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38" w:type="dxa"/>
            </w:tcMar>
            <w:vAlign w:val="center"/>
          </w:tcPr>
          <w:p>
            <w:pPr>
              <w:pStyle w:val="TableContents"/>
              <w:bidi w:val="0"/>
              <w:spacing w:before="0" w:after="283"/>
              <w:jc w:val="right"/>
              <w:rPr/>
            </w:pPr>
            <w:r>
              <w:rPr/>
              <w:t>​</w:t>
            </w:r>
          </w:p>
        </w:tc>
        <w:tc>
          <w:tcPr>
            <w:tcW w:w="1186" w:type="dxa"/>
            <w:tcBorders>
              <w:bottom w:val="single" w:sz="6" w:space="0" w:color="000000"/>
            </w:tcBorders>
            <w:tcMar>
              <w:bottom w:w="138"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76" w:type="dxa"/>
            <w:tcBorders>
              <w:bottom w:val="single" w:sz="6" w:space="0" w:color="000000"/>
            </w:tcBorders>
            <w:shd w:fill="F7F7F7" w:val="clear"/>
            <w:tcMar>
              <w:bottom w:w="138" w:type="dxa"/>
            </w:tcMar>
            <w:vAlign w:val="center"/>
          </w:tcPr>
          <w:p>
            <w:pPr>
              <w:pStyle w:val="TableContents"/>
              <w:bidi w:val="0"/>
              <w:spacing w:before="0" w:after="0"/>
              <w:jc w:val="left"/>
              <w:rPr>
                <w:b/>
              </w:rPr>
            </w:pPr>
            <w:r>
              <w:rPr>
                <w:b/>
              </w:rPr>
              <w:t>Compensation Actually Paid</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261" w:type="dxa"/>
            <w:tcBorders>
              <w:bottom w:val="single" w:sz="6" w:space="0" w:color="000000"/>
            </w:tcBorders>
            <w:shd w:fill="F7F7F7" w:val="clear"/>
            <w:tcMar>
              <w:bottom w:w="138" w:type="dxa"/>
            </w:tcMar>
            <w:vAlign w:val="center"/>
          </w:tcPr>
          <w:p>
            <w:pPr>
              <w:pStyle w:val="TableContents"/>
              <w:bidi w:val="0"/>
              <w:spacing w:before="0" w:after="283"/>
              <w:jc w:val="right"/>
              <w:rPr/>
            </w:pPr>
            <w:r>
              <w:rPr/>
              <w:t>(13,293,519)</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381" w:type="dxa"/>
            <w:tcBorders>
              <w:bottom w:val="single" w:sz="6" w:space="0" w:color="000000"/>
            </w:tcBorders>
            <w:shd w:fill="F7F7F7" w:val="clear"/>
            <w:tcMar>
              <w:bottom w:w="138" w:type="dxa"/>
            </w:tcMar>
            <w:vAlign w:val="center"/>
          </w:tcPr>
          <w:p>
            <w:pPr>
              <w:pStyle w:val="TableContents"/>
              <w:bidi w:val="0"/>
              <w:spacing w:before="0" w:after="283"/>
              <w:jc w:val="right"/>
              <w:rPr/>
            </w:pPr>
            <w:r>
              <w:rPr/>
              <w:t>(643,851,664)</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486" w:type="dxa"/>
            <w:tcBorders>
              <w:bottom w:val="single" w:sz="6" w:space="0" w:color="000000"/>
            </w:tcBorders>
            <w:shd w:fill="F7F7F7" w:val="clear"/>
            <w:tcMar>
              <w:bottom w:w="138" w:type="dxa"/>
            </w:tcMar>
            <w:vAlign w:val="center"/>
          </w:tcPr>
          <w:p>
            <w:pPr>
              <w:pStyle w:val="TableContents"/>
              <w:bidi w:val="0"/>
              <w:spacing w:before="0" w:after="283"/>
              <w:jc w:val="right"/>
              <w:rPr/>
            </w:pPr>
            <w:r>
              <w:rPr/>
              <w:t>1,148,791,229</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066" w:type="dxa"/>
            <w:tcBorders>
              <w:bottom w:val="single" w:sz="6" w:space="0" w:color="000000"/>
            </w:tcBorders>
            <w:shd w:fill="F7F7F7" w:val="clear"/>
            <w:tcMar>
              <w:bottom w:w="138" w:type="dxa"/>
            </w:tcMar>
            <w:vAlign w:val="center"/>
          </w:tcPr>
          <w:p>
            <w:pPr>
              <w:pStyle w:val="TableContents"/>
              <w:bidi w:val="0"/>
              <w:spacing w:before="0" w:after="283"/>
              <w:jc w:val="right"/>
              <w:rPr/>
            </w:pPr>
            <w:r>
              <w:rPr/>
              <w:t xml:space="preserve">3,677,594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261" w:type="dxa"/>
            <w:tcBorders>
              <w:bottom w:val="single" w:sz="6" w:space="0" w:color="000000"/>
            </w:tcBorders>
            <w:shd w:fill="F7F7F7" w:val="clear"/>
            <w:tcMar>
              <w:bottom w:w="138" w:type="dxa"/>
            </w:tcMar>
            <w:vAlign w:val="center"/>
          </w:tcPr>
          <w:p>
            <w:pPr>
              <w:pStyle w:val="TableContents"/>
              <w:bidi w:val="0"/>
              <w:spacing w:before="0" w:after="283"/>
              <w:jc w:val="right"/>
              <w:rPr/>
            </w:pPr>
            <w:r>
              <w:rPr/>
              <w:t>(29,632,802)</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38" w:type="dxa"/>
            </w:tcMar>
            <w:vAlign w:val="center"/>
          </w:tcPr>
          <w:p>
            <w:pPr>
              <w:pStyle w:val="TableContents"/>
              <w:bidi w:val="0"/>
              <w:spacing w:before="0" w:after="283"/>
              <w:jc w:val="right"/>
              <w:rPr/>
            </w:pPr>
            <w:r>
              <w:rPr/>
              <w:t>​</w:t>
            </w:r>
          </w:p>
        </w:tc>
        <w:tc>
          <w:tcPr>
            <w:tcW w:w="1186" w:type="dxa"/>
            <w:tcBorders>
              <w:bottom w:val="single" w:sz="6" w:space="0" w:color="000000"/>
            </w:tcBorders>
            <w:shd w:fill="F7F7F7" w:val="clear"/>
            <w:tcMar>
              <w:bottom w:w="138" w:type="dxa"/>
            </w:tcMar>
            <w:vAlign w:val="center"/>
          </w:tcPr>
          <w:p>
            <w:pPr>
              <w:pStyle w:val="TableContents"/>
              <w:bidi w:val="0"/>
              <w:spacing w:before="0" w:after="283"/>
              <w:jc w:val="right"/>
              <w:rPr/>
            </w:pPr>
            <w:r>
              <w:rPr/>
              <w:t>55,097,849</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bl>
    <w:tbl>
      <w:tblPr>
        <w:tblW w:w="2604" w:type="dxa"/>
        <w:jc w:val="left"/>
        <w:tblInd w:w="720" w:type="dxa"/>
        <w:tblLayout w:type="fixed"/>
        <w:tblCellMar>
          <w:top w:w="0" w:type="dxa"/>
          <w:left w:w="0" w:type="dxa"/>
          <w:bottom w:w="0" w:type="dxa"/>
          <w:right w:w="0" w:type="dxa"/>
        </w:tblCellMar>
      </w:tblPr>
      <w:tblGrid>
        <w:gridCol w:w="124"/>
        <w:gridCol w:w="2326"/>
        <w:gridCol w:w="154"/>
      </w:tblGrid>
      <w:tr>
        <w:trPr/>
        <w:tc>
          <w:tcPr>
            <w:tcW w:w="124" w:type="dxa"/>
            <w:tcBorders/>
            <w:shd w:fill="000000" w:val="clear"/>
            <w:vAlign w:val="center"/>
          </w:tcPr>
          <w:p>
            <w:pPr>
              <w:pStyle w:val="TableContents"/>
              <w:bidi w:val="0"/>
              <w:spacing w:before="0" w:after="283"/>
              <w:jc w:val="left"/>
              <w:rPr/>
            </w:pPr>
            <w:r>
              <w:rPr/>
              <w:t>​</w:t>
            </w:r>
          </w:p>
        </w:tc>
        <w:tc>
          <w:tcPr>
            <w:tcW w:w="2326" w:type="dxa"/>
            <w:tcBorders/>
            <w:shd w:fill="000000" w:val="clear"/>
            <w:vAlign w:val="center"/>
          </w:tcPr>
          <w:p>
            <w:pPr>
              <w:pStyle w:val="TableContents"/>
              <w:bidi w:val="0"/>
              <w:spacing w:before="0" w:after="0"/>
              <w:jc w:val="left"/>
              <w:rPr/>
            </w:pPr>
            <w:r>
              <w:rPr/>
              <w:t xml:space="preserve">Performance Measures </w:t>
            </w:r>
          </w:p>
        </w:tc>
        <w:tc>
          <w:tcPr>
            <w:tcW w:w="154" w:type="dxa"/>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326" w:type="dxa"/>
            <w:tcBorders>
              <w:bottom w:val="single" w:sz="6" w:space="0" w:color="000000"/>
            </w:tcBorders>
            <w:tcMar>
              <w:bottom w:w="75" w:type="dxa"/>
            </w:tcMar>
            <w:vAlign w:val="center"/>
          </w:tcPr>
          <w:p>
            <w:pPr>
              <w:pStyle w:val="TableContents"/>
              <w:bidi w:val="0"/>
              <w:spacing w:before="0" w:after="283"/>
              <w:jc w:val="left"/>
              <w:rPr/>
            </w:pPr>
            <w:r>
              <w:rPr/>
              <w:t xml:space="preserve">Revenue </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326" w:type="dxa"/>
            <w:tcBorders>
              <w:bottom w:val="single" w:sz="6" w:space="0" w:color="000000"/>
            </w:tcBorders>
            <w:shd w:fill="F7F7F7" w:val="clear"/>
            <w:tcMar>
              <w:bottom w:w="75" w:type="dxa"/>
            </w:tcMar>
            <w:vAlign w:val="center"/>
          </w:tcPr>
          <w:p>
            <w:pPr>
              <w:pStyle w:val="TableContents"/>
              <w:bidi w:val="0"/>
              <w:spacing w:before="0" w:after="283"/>
              <w:jc w:val="left"/>
              <w:rPr/>
            </w:pPr>
            <w:r>
              <w:rPr/>
              <w:t xml:space="preserve">Stock Price </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326" w:type="dxa"/>
            <w:tcBorders>
              <w:bottom w:val="single" w:sz="6" w:space="0" w:color="000000"/>
            </w:tcBorders>
            <w:tcMar>
              <w:bottom w:w="75" w:type="dxa"/>
            </w:tcMar>
            <w:vAlign w:val="center"/>
          </w:tcPr>
          <w:p>
            <w:pPr>
              <w:pStyle w:val="TableContents"/>
              <w:bidi w:val="0"/>
              <w:spacing w:before="0" w:after="283"/>
              <w:jc w:val="left"/>
              <w:rPr/>
            </w:pPr>
            <w:r>
              <w:rPr/>
              <w:t xml:space="preserve">Cash Management </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2326" w:type="dxa"/>
            <w:tcBorders>
              <w:bottom w:val="single" w:sz="6" w:space="0" w:color="000000"/>
            </w:tcBorders>
            <w:shd w:fill="F7F7F7" w:val="clear"/>
            <w:tcMar>
              <w:bottom w:w="75" w:type="dxa"/>
            </w:tcMar>
            <w:vAlign w:val="center"/>
          </w:tcPr>
          <w:p>
            <w:pPr>
              <w:pStyle w:val="TableContents"/>
              <w:bidi w:val="0"/>
              <w:spacing w:before="0" w:after="283"/>
              <w:jc w:val="left"/>
              <w:rPr/>
            </w:pPr>
            <w:r>
              <w:rPr/>
              <w:t>Field Quality</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24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following are graphical descriptions of the relationships between compensation actually paid to our NEOs versus our cumulative TSR, Net Income, and Revenue, and between our cumulative TSR and our peer group’s cumulative TSR, for the periods covered in the Pay Versus Performance table.</w:t>
      </w:r>
      <w:r>
        <w:rPr>
          <w:rFonts w:ascii="Helvetica;Arial;sans-serif" w:hAnsi="Helvetica;Arial;sans-serif"/>
          <w:b w:val="false"/>
          <w:i w:val="false"/>
          <w:caps w:val="false"/>
          <w:smallCaps w:val="false"/>
          <w:color w:val="000000"/>
          <w:spacing w:val="4"/>
          <w:sz w:val="18"/>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36">
                <wp:simplePos x="0" y="0"/>
                <wp:positionH relativeFrom="column">
                  <wp:align>left</wp:align>
                </wp:positionH>
                <wp:positionV relativeFrom="line">
                  <wp:posOffset>635</wp:posOffset>
                </wp:positionV>
                <wp:extent cx="3213100" cy="2101850"/>
                <wp:effectExtent l="0" t="0" r="0" b="0"/>
                <wp:wrapSquare wrapText="right"/>
                <wp:docPr id="258" name="Frame195"/>
                <a:graphic xmlns:a="http://schemas.openxmlformats.org/drawingml/2006/main">
                  <a:graphicData uri="http://schemas.microsoft.com/office/word/2010/wordprocessingShape">
                    <wps:wsp>
                      <wps:cNvSpPr txBox="1"/>
                      <wps:spPr>
                        <a:xfrm>
                          <a:off x="0" y="0"/>
                          <a:ext cx="3213100" cy="2101850"/>
                        </a:xfrm>
                        <a:prstGeom prst="rect"/>
                        <a:solidFill>
                          <a:srgbClr val="FFFFFF"/>
                        </a:solidFill>
                      </wps:spPr>
                      <wps:txbx>
                        <w:txbxContent>
                          <w:p>
                            <w:pPr>
                              <w:pStyle w:val="TextBody"/>
                              <w:bidi w:val="0"/>
                              <w:spacing w:lineRule="atLeast" w:line="220" w:before="0" w:after="0"/>
                              <w:jc w:val="center"/>
                              <w:rPr>
                                <w:b/>
                              </w:rPr>
                            </w:pPr>
                            <w:r>
                              <w:rPr>
                                <w:b/>
                              </w:rPr>
                              <w:t xml:space="preserve">COMPENSATION ACTUALLY PAID VERSUS TOTAL </w:t>
                              <w:br/>
                              <w:t>STOCKHOLDER RETURN</w:t>
                            </w:r>
                            <w:r>
                              <w:rPr>
                                <w:b/>
                                <w:spacing w:val="3"/>
                              </w:rPr>
                              <w:t xml:space="preserve"> </w:t>
                            </w:r>
                          </w:p>
                          <w:p>
                            <w:pPr>
                              <w:pStyle w:val="TextBody"/>
                              <w:bidi w:val="0"/>
                              <w:spacing w:before="300" w:after="283"/>
                              <w:jc w:val="center"/>
                              <w:rPr/>
                            </w:pPr>
                            <w:r>
                              <w:rPr/>
                              <w:drawing>
                                <wp:inline distT="0" distB="0" distL="0" distR="0">
                                  <wp:extent cx="2990850" cy="1352550"/>
                                  <wp:effectExtent l="0" t="0" r="0" b="0"/>
                                  <wp:docPr id="259"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61" descr=""/>
                                          <pic:cNvPicPr>
                                            <a:picLocks noChangeAspect="1" noChangeArrowheads="1"/>
                                          </pic:cNvPicPr>
                                        </pic:nvPicPr>
                                        <pic:blipFill>
                                          <a:blip r:embed="rId65"/>
                                          <a:stretch>
                                            <a:fillRect/>
                                          </a:stretch>
                                        </pic:blipFill>
                                        <pic:spPr bwMode="auto">
                                          <a:xfrm>
                                            <a:off x="0" y="0"/>
                                            <a:ext cx="2990850" cy="135255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53pt;height:165.5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20" w:before="0" w:after="0"/>
                        <w:jc w:val="center"/>
                        <w:rPr>
                          <w:b/>
                        </w:rPr>
                      </w:pPr>
                      <w:r>
                        <w:rPr>
                          <w:b/>
                        </w:rPr>
                        <w:t xml:space="preserve">COMPENSATION ACTUALLY PAID VERSUS TOTAL </w:t>
                        <w:br/>
                        <w:t>STOCKHOLDER RETURN</w:t>
                      </w:r>
                      <w:r>
                        <w:rPr>
                          <w:b/>
                          <w:spacing w:val="3"/>
                        </w:rPr>
                        <w:t xml:space="preserve"> </w:t>
                      </w:r>
                    </w:p>
                    <w:p>
                      <w:pPr>
                        <w:pStyle w:val="TextBody"/>
                        <w:bidi w:val="0"/>
                        <w:spacing w:before="300" w:after="283"/>
                        <w:jc w:val="center"/>
                        <w:rPr/>
                      </w:pPr>
                      <w:r>
                        <w:rPr/>
                        <w:drawing>
                          <wp:inline distT="0" distB="0" distL="0" distR="0">
                            <wp:extent cx="2990850" cy="1352550"/>
                            <wp:effectExtent l="0" t="0" r="0" b="0"/>
                            <wp:docPr id="260"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61" descr=""/>
                                    <pic:cNvPicPr>
                                      <a:picLocks noChangeAspect="1" noChangeArrowheads="1"/>
                                    </pic:cNvPicPr>
                                  </pic:nvPicPr>
                                  <pic:blipFill>
                                    <a:blip r:embed="rId66"/>
                                    <a:stretch>
                                      <a:fillRect/>
                                    </a:stretch>
                                  </pic:blipFill>
                                  <pic:spPr bwMode="auto">
                                    <a:xfrm>
                                      <a:off x="0" y="0"/>
                                      <a:ext cx="2990850" cy="1352550"/>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203200" distR="0" simplePos="0" locked="0" layoutInCell="1" allowOverlap="1" relativeHeight="49">
                <wp:simplePos x="0" y="0"/>
                <wp:positionH relativeFrom="column">
                  <wp:align>left</wp:align>
                </wp:positionH>
                <wp:positionV relativeFrom="line">
                  <wp:posOffset>635</wp:posOffset>
                </wp:positionV>
                <wp:extent cx="3213100" cy="2117090"/>
                <wp:effectExtent l="0" t="0" r="0" b="0"/>
                <wp:wrapSquare wrapText="right"/>
                <wp:docPr id="261" name="Frame196"/>
                <a:graphic xmlns:a="http://schemas.openxmlformats.org/drawingml/2006/main">
                  <a:graphicData uri="http://schemas.microsoft.com/office/word/2010/wordprocessingShape">
                    <wps:wsp>
                      <wps:cNvSpPr txBox="1"/>
                      <wps:spPr>
                        <a:xfrm>
                          <a:off x="0" y="0"/>
                          <a:ext cx="3213100" cy="2117090"/>
                        </a:xfrm>
                        <a:prstGeom prst="rect"/>
                        <a:solidFill>
                          <a:srgbClr val="FFFFFF"/>
                        </a:solidFill>
                      </wps:spPr>
                      <wps:txbx>
                        <w:txbxContent>
                          <w:p>
                            <w:pPr>
                              <w:pStyle w:val="TextBody"/>
                              <w:bidi w:val="0"/>
                              <w:spacing w:lineRule="atLeast" w:line="230" w:before="0" w:after="0"/>
                              <w:jc w:val="center"/>
                              <w:rPr/>
                            </w:pPr>
                            <w:r>
                              <w:rPr>
                                <w:b/>
                              </w:rPr>
                              <w:t>COMPENSATION ACTUALLY PAID VERSUS NET INCOME</w:t>
                            </w:r>
                            <w:r>
                              <w:rPr/>
                              <w:br/>
                              <w:t> </w:t>
                            </w:r>
                            <w:r>
                              <w:rPr>
                                <w:spacing w:val="3"/>
                              </w:rPr>
                              <w:t xml:space="preserve"> </w:t>
                            </w:r>
                          </w:p>
                          <w:p>
                            <w:pPr>
                              <w:pStyle w:val="TextBody"/>
                              <w:bidi w:val="0"/>
                              <w:spacing w:before="324" w:after="283"/>
                              <w:jc w:val="center"/>
                              <w:rPr/>
                            </w:pPr>
                            <w:r>
                              <w:rPr/>
                              <w:drawing>
                                <wp:inline distT="0" distB="0" distL="0" distR="0">
                                  <wp:extent cx="3181350" cy="1352550"/>
                                  <wp:effectExtent l="0" t="0" r="0" b="0"/>
                                  <wp:docPr id="2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62" descr=""/>
                                          <pic:cNvPicPr>
                                            <a:picLocks noChangeAspect="1" noChangeArrowheads="1"/>
                                          </pic:cNvPicPr>
                                        </pic:nvPicPr>
                                        <pic:blipFill>
                                          <a:blip r:embed="rId67"/>
                                          <a:stretch>
                                            <a:fillRect/>
                                          </a:stretch>
                                        </pic:blipFill>
                                        <pic:spPr bwMode="auto">
                                          <a:xfrm>
                                            <a:off x="0" y="0"/>
                                            <a:ext cx="3181350" cy="135255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53pt;height:166.7pt;mso-wrap-distance-left:16pt;mso-wrap-distance-right:0pt;mso-wrap-distance-top:0pt;mso-wrap-distance-bottom:0pt;margin-top:0pt;mso-position-vertical:top;mso-position-vertical-relative:text;margin-left:16pt;mso-position-horizontal:left;mso-position-horizontal-relative:text">
                <v:textbox>
                  <w:txbxContent>
                    <w:p>
                      <w:pPr>
                        <w:pStyle w:val="TextBody"/>
                        <w:bidi w:val="0"/>
                        <w:spacing w:lineRule="atLeast" w:line="230" w:before="0" w:after="0"/>
                        <w:jc w:val="center"/>
                        <w:rPr/>
                      </w:pPr>
                      <w:r>
                        <w:rPr>
                          <w:b/>
                        </w:rPr>
                        <w:t>COMPENSATION ACTUALLY PAID VERSUS NET INCOME</w:t>
                      </w:r>
                      <w:r>
                        <w:rPr/>
                        <w:br/>
                        <w:t> </w:t>
                      </w:r>
                      <w:r>
                        <w:rPr>
                          <w:spacing w:val="3"/>
                        </w:rPr>
                        <w:t xml:space="preserve"> </w:t>
                      </w:r>
                    </w:p>
                    <w:p>
                      <w:pPr>
                        <w:pStyle w:val="TextBody"/>
                        <w:bidi w:val="0"/>
                        <w:spacing w:before="324" w:after="283"/>
                        <w:jc w:val="center"/>
                        <w:rPr/>
                      </w:pPr>
                      <w:r>
                        <w:rPr/>
                        <w:drawing>
                          <wp:inline distT="0" distB="0" distL="0" distR="0">
                            <wp:extent cx="3181350" cy="1352550"/>
                            <wp:effectExtent l="0" t="0" r="0" b="0"/>
                            <wp:docPr id="263"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62" descr=""/>
                                    <pic:cNvPicPr>
                                      <a:picLocks noChangeAspect="1" noChangeArrowheads="1"/>
                                    </pic:cNvPicPr>
                                  </pic:nvPicPr>
                                  <pic:blipFill>
                                    <a:blip r:embed="rId68"/>
                                    <a:stretch>
                                      <a:fillRect/>
                                    </a:stretch>
                                  </pic:blipFill>
                                  <pic:spPr bwMode="auto">
                                    <a:xfrm>
                                      <a:off x="0" y="0"/>
                                      <a:ext cx="3181350" cy="1352550"/>
                                    </a:xfrm>
                                    <a:prstGeom prst="rect">
                                      <a:avLst/>
                                    </a:prstGeom>
                                  </pic:spPr>
                                </pic:pic>
                              </a:graphicData>
                            </a:graphic>
                          </wp:inline>
                        </w:drawing>
                      </w:r>
                      <w:r>
                        <w:rPr/>
                        <w:t xml:space="preserve"> </w:t>
                      </w:r>
                    </w:p>
                  </w:txbxContent>
                </v:textbox>
                <w10:wrap type="square" side="right"/>
              </v:rect>
            </w:pict>
          </mc:Fallback>
        </mc:AlternateContent>
      </w:r>
    </w:p>
    <w:p>
      <w:pPr>
        <w:pStyle w:val="TextBody"/>
        <w:bidi w:val="0"/>
        <w:spacing w:lineRule="atLeast" w:line="240" w:before="0" w:after="283"/>
        <w:ind w:left="720" w:right="0" w:hanging="0"/>
        <w:jc w:val="both"/>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51">
                <wp:simplePos x="0" y="0"/>
                <wp:positionH relativeFrom="column">
                  <wp:align>left</wp:align>
                </wp:positionH>
                <wp:positionV relativeFrom="line">
                  <wp:posOffset>635</wp:posOffset>
                </wp:positionV>
                <wp:extent cx="3213100" cy="1941830"/>
                <wp:effectExtent l="0" t="0" r="0" b="0"/>
                <wp:wrapSquare wrapText="right"/>
                <wp:docPr id="264" name="Frame197"/>
                <a:graphic xmlns:a="http://schemas.openxmlformats.org/drawingml/2006/main">
                  <a:graphicData uri="http://schemas.microsoft.com/office/word/2010/wordprocessingShape">
                    <wps:wsp>
                      <wps:cNvSpPr txBox="1"/>
                      <wps:spPr>
                        <a:xfrm>
                          <a:off x="0" y="0"/>
                          <a:ext cx="3213100" cy="1941830"/>
                        </a:xfrm>
                        <a:prstGeom prst="rect"/>
                        <a:solidFill>
                          <a:srgbClr val="FFFFFF"/>
                        </a:solidFill>
                      </wps:spPr>
                      <wps:txbx>
                        <w:txbxContent>
                          <w:p>
                            <w:pPr>
                              <w:pStyle w:val="TextBody"/>
                              <w:bidi w:val="0"/>
                              <w:spacing w:lineRule="atLeast" w:line="220" w:before="0" w:after="0"/>
                              <w:jc w:val="center"/>
                              <w:rPr>
                                <w:b/>
                              </w:rPr>
                            </w:pPr>
                            <w:r>
                              <w:rPr>
                                <w:b/>
                              </w:rPr>
                              <w:t xml:space="preserve">COMPENSATION ACTUALLY PAID VERSUS REVENUE </w:t>
                            </w:r>
                          </w:p>
                          <w:p>
                            <w:pPr>
                              <w:pStyle w:val="TextBody"/>
                              <w:bidi w:val="0"/>
                              <w:spacing w:before="324" w:after="283"/>
                              <w:jc w:val="center"/>
                              <w:rPr/>
                            </w:pPr>
                            <w:r>
                              <w:rPr/>
                              <w:drawing>
                                <wp:inline distT="0" distB="0" distL="0" distR="0">
                                  <wp:extent cx="3095625" cy="1352550"/>
                                  <wp:effectExtent l="0" t="0" r="0" b="0"/>
                                  <wp:docPr id="26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63" descr=""/>
                                          <pic:cNvPicPr>
                                            <a:picLocks noChangeAspect="1" noChangeArrowheads="1"/>
                                          </pic:cNvPicPr>
                                        </pic:nvPicPr>
                                        <pic:blipFill>
                                          <a:blip r:embed="rId69"/>
                                          <a:stretch>
                                            <a:fillRect/>
                                          </a:stretch>
                                        </pic:blipFill>
                                        <pic:spPr bwMode="auto">
                                          <a:xfrm>
                                            <a:off x="0" y="0"/>
                                            <a:ext cx="3095625" cy="135255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53pt;height:152.9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20" w:before="0" w:after="0"/>
                        <w:jc w:val="center"/>
                        <w:rPr>
                          <w:b/>
                        </w:rPr>
                      </w:pPr>
                      <w:r>
                        <w:rPr>
                          <w:b/>
                        </w:rPr>
                        <w:t xml:space="preserve">COMPENSATION ACTUALLY PAID VERSUS REVENUE </w:t>
                      </w:r>
                    </w:p>
                    <w:p>
                      <w:pPr>
                        <w:pStyle w:val="TextBody"/>
                        <w:bidi w:val="0"/>
                        <w:spacing w:before="324" w:after="283"/>
                        <w:jc w:val="center"/>
                        <w:rPr/>
                      </w:pPr>
                      <w:r>
                        <w:rPr/>
                        <w:drawing>
                          <wp:inline distT="0" distB="0" distL="0" distR="0">
                            <wp:extent cx="3095625" cy="1352550"/>
                            <wp:effectExtent l="0" t="0" r="0" b="0"/>
                            <wp:docPr id="26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63" descr=""/>
                                    <pic:cNvPicPr>
                                      <a:picLocks noChangeAspect="1" noChangeArrowheads="1"/>
                                    </pic:cNvPicPr>
                                  </pic:nvPicPr>
                                  <pic:blipFill>
                                    <a:blip r:embed="rId70"/>
                                    <a:stretch>
                                      <a:fillRect/>
                                    </a:stretch>
                                  </pic:blipFill>
                                  <pic:spPr bwMode="auto">
                                    <a:xfrm>
                                      <a:off x="0" y="0"/>
                                      <a:ext cx="3095625" cy="1352550"/>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203200" distR="0" simplePos="0" locked="0" layoutInCell="1" allowOverlap="1" relativeHeight="54">
                <wp:simplePos x="0" y="0"/>
                <wp:positionH relativeFrom="column">
                  <wp:align>left</wp:align>
                </wp:positionH>
                <wp:positionV relativeFrom="line">
                  <wp:posOffset>635</wp:posOffset>
                </wp:positionV>
                <wp:extent cx="3213100" cy="2130425"/>
                <wp:effectExtent l="0" t="0" r="0" b="0"/>
                <wp:wrapSquare wrapText="right"/>
                <wp:docPr id="267" name="Frame198"/>
                <a:graphic xmlns:a="http://schemas.openxmlformats.org/drawingml/2006/main">
                  <a:graphicData uri="http://schemas.microsoft.com/office/word/2010/wordprocessingShape">
                    <wps:wsp>
                      <wps:cNvSpPr txBox="1"/>
                      <wps:spPr>
                        <a:xfrm>
                          <a:off x="0" y="0"/>
                          <a:ext cx="3213100" cy="2130425"/>
                        </a:xfrm>
                        <a:prstGeom prst="rect"/>
                        <a:solidFill>
                          <a:srgbClr val="FFFFFF"/>
                        </a:solidFill>
                      </wps:spPr>
                      <wps:txbx>
                        <w:txbxContent>
                          <w:p>
                            <w:pPr>
                              <w:pStyle w:val="TextBody"/>
                              <w:bidi w:val="0"/>
                              <w:spacing w:lineRule="atLeast" w:line="220" w:before="0" w:after="0"/>
                              <w:jc w:val="center"/>
                              <w:rPr>
                                <w:b/>
                              </w:rPr>
                            </w:pPr>
                            <w:r>
                              <w:rPr>
                                <w:b/>
                                <w:caps/>
                              </w:rPr>
                              <w:t>Cumulative Total Shareholder Return</w:t>
                            </w:r>
                            <w:r>
                              <w:rPr>
                                <w:b/>
                                <w:spacing w:val="3"/>
                              </w:rPr>
                              <w:t xml:space="preserve"> </w:t>
                            </w:r>
                          </w:p>
                          <w:p>
                            <w:pPr>
                              <w:pStyle w:val="TextBody"/>
                              <w:bidi w:val="0"/>
                              <w:spacing w:before="246" w:after="283"/>
                              <w:jc w:val="center"/>
                              <w:rPr/>
                            </w:pPr>
                            <w:r>
                              <w:rPr/>
                              <w:drawing>
                                <wp:inline distT="0" distB="0" distL="0" distR="0">
                                  <wp:extent cx="3171825" cy="1590675"/>
                                  <wp:effectExtent l="0" t="0" r="0" b="0"/>
                                  <wp:docPr id="268"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64" descr=""/>
                                          <pic:cNvPicPr>
                                            <a:picLocks noChangeAspect="1" noChangeArrowheads="1"/>
                                          </pic:cNvPicPr>
                                        </pic:nvPicPr>
                                        <pic:blipFill>
                                          <a:blip r:embed="rId71"/>
                                          <a:stretch>
                                            <a:fillRect/>
                                          </a:stretch>
                                        </pic:blipFill>
                                        <pic:spPr bwMode="auto">
                                          <a:xfrm>
                                            <a:off x="0" y="0"/>
                                            <a:ext cx="3171825" cy="15906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53pt;height:167.75pt;mso-wrap-distance-left:16pt;mso-wrap-distance-right:0pt;mso-wrap-distance-top:0pt;mso-wrap-distance-bottom:0pt;margin-top:0pt;mso-position-vertical:top;mso-position-vertical-relative:text;margin-left:285pt;mso-position-horizontal:left;mso-position-horizontal-relative:text">
                <v:textbox>
                  <w:txbxContent>
                    <w:p>
                      <w:pPr>
                        <w:pStyle w:val="TextBody"/>
                        <w:bidi w:val="0"/>
                        <w:spacing w:lineRule="atLeast" w:line="220" w:before="0" w:after="0"/>
                        <w:jc w:val="center"/>
                        <w:rPr>
                          <w:b/>
                        </w:rPr>
                      </w:pPr>
                      <w:r>
                        <w:rPr>
                          <w:b/>
                          <w:caps/>
                        </w:rPr>
                        <w:t>Cumulative Total Shareholder Return</w:t>
                      </w:r>
                      <w:r>
                        <w:rPr>
                          <w:b/>
                          <w:spacing w:val="3"/>
                        </w:rPr>
                        <w:t xml:space="preserve"> </w:t>
                      </w:r>
                    </w:p>
                    <w:p>
                      <w:pPr>
                        <w:pStyle w:val="TextBody"/>
                        <w:bidi w:val="0"/>
                        <w:spacing w:before="246" w:after="283"/>
                        <w:jc w:val="center"/>
                        <w:rPr/>
                      </w:pPr>
                      <w:r>
                        <w:rPr/>
                        <w:drawing>
                          <wp:inline distT="0" distB="0" distL="0" distR="0">
                            <wp:extent cx="3171825" cy="1590675"/>
                            <wp:effectExtent l="0" t="0" r="0" b="0"/>
                            <wp:docPr id="269"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64" descr=""/>
                                    <pic:cNvPicPr>
                                      <a:picLocks noChangeAspect="1" noChangeArrowheads="1"/>
                                    </pic:cNvPicPr>
                                  </pic:nvPicPr>
                                  <pic:blipFill>
                                    <a:blip r:embed="rId72"/>
                                    <a:stretch>
                                      <a:fillRect/>
                                    </a:stretch>
                                  </pic:blipFill>
                                  <pic:spPr bwMode="auto">
                                    <a:xfrm>
                                      <a:off x="0" y="0"/>
                                      <a:ext cx="3171825" cy="1590675"/>
                                    </a:xfrm>
                                    <a:prstGeom prst="rect">
                                      <a:avLst/>
                                    </a:prstGeom>
                                  </pic:spPr>
                                </pic:pic>
                              </a:graphicData>
                            </a:graphic>
                          </wp:inline>
                        </w:drawing>
                      </w:r>
                      <w:r>
                        <w:rPr/>
                        <w:t xml:space="preserve"> </w:t>
                      </w:r>
                    </w:p>
                  </w:txbxContent>
                </v:textbox>
                <w10:wrap type="square" side="right"/>
              </v:rect>
            </w:pict>
          </mc:Fallback>
        </mc:AlternateConten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74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SOOC"/>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283"/>
        <w:ind w:left="720" w:right="0" w:hanging="0"/>
        <w:jc w:val="left"/>
        <w:rPr>
          <w:rFonts w:ascii="Times New Roman;Garamond;serif" w:hAnsi="Times New Roman;Garamond;serif"/>
          <w:b/>
          <w:i w:val="false"/>
          <w:caps w:val="false"/>
          <w:smallCaps w:val="false"/>
          <w:color w:val="000000"/>
          <w:sz w:val="40"/>
        </w:rPr>
      </w:pPr>
      <w:r>
        <w:rPr>
          <w:rFonts w:ascii="Times New Roman;Garamond;serif" w:hAnsi="Times New Roman;Garamond;serif"/>
          <w:b/>
          <w:i w:val="false"/>
          <w:caps w:val="false"/>
          <w:smallCaps w:val="false"/>
          <w:color w:val="000000"/>
          <w:sz w:val="40"/>
        </w:rPr>
        <w:t xml:space="preserve">Security Ownership of Certain Beneficial Owners and Management </w:t>
      </w:r>
    </w:p>
    <w:p>
      <w:pPr>
        <w:pStyle w:val="TextBody"/>
        <w:bidi w:val="0"/>
        <w:spacing w:lineRule="atLeast" w:line="250" w:before="40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following table sets forth certain information known to us regarding the beneficial ownership of our Common Stock as of April 2, 2024 by:</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160"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each person who we know to own beneficially more than 5% of any class of our voting securities;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266">
                <wp:simplePos x="0" y="0"/>
                <wp:positionH relativeFrom="column">
                  <wp:align>left</wp:align>
                </wp:positionH>
                <wp:positionV relativeFrom="line">
                  <wp:align>top</wp:align>
                </wp:positionV>
                <wp:extent cx="114300" cy="502920"/>
                <wp:effectExtent l="0" t="0" r="0" b="0"/>
                <wp:wrapSquare wrapText="right"/>
                <wp:docPr id="270" name="Frame199"/>
                <a:graphic xmlns:a="http://schemas.openxmlformats.org/drawingml/2006/main">
                  <a:graphicData uri="http://schemas.microsoft.com/office/word/2010/wordprocessingShape">
                    <wps:wsp>
                      <wps:cNvSpPr txBox="1"/>
                      <wps:spPr>
                        <a:xfrm>
                          <a:off x="0" y="0"/>
                          <a:ext cx="114300" cy="50292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39.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sz w:val="18"/>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each of our current named executive officers and directors individually; and</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267">
                <wp:simplePos x="0" y="0"/>
                <wp:positionH relativeFrom="column">
                  <wp:align>left</wp:align>
                </wp:positionH>
                <wp:positionV relativeFrom="line">
                  <wp:align>top</wp:align>
                </wp:positionV>
                <wp:extent cx="114300" cy="502920"/>
                <wp:effectExtent l="0" t="0" r="0" b="0"/>
                <wp:wrapSquare wrapText="right"/>
                <wp:docPr id="271" name="Frame200"/>
                <a:graphic xmlns:a="http://schemas.openxmlformats.org/drawingml/2006/main">
                  <a:graphicData uri="http://schemas.microsoft.com/office/word/2010/wordprocessingShape">
                    <wps:wsp>
                      <wps:cNvSpPr txBox="1"/>
                      <wps:spPr>
                        <a:xfrm>
                          <a:off x="0" y="0"/>
                          <a:ext cx="114300" cy="50292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39.6pt;mso-wrap-distance-left:0pt;mso-wrap-distance-right:0pt;mso-wrap-distance-top:8pt;mso-wrap-distance-bottom:0pt;margin-top:8pt;mso-position-vertical:top;mso-position-vertical-relative:text;margin-left:9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sz w:val="18"/>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all of our current executive officers and directors as a group.</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268">
                <wp:simplePos x="0" y="0"/>
                <wp:positionH relativeFrom="column">
                  <wp:align>left</wp:align>
                </wp:positionH>
                <wp:positionV relativeFrom="line">
                  <wp:align>top</wp:align>
                </wp:positionV>
                <wp:extent cx="114300" cy="502920"/>
                <wp:effectExtent l="0" t="0" r="0" b="0"/>
                <wp:wrapSquare wrapText="right"/>
                <wp:docPr id="272" name="Frame201"/>
                <a:graphic xmlns:a="http://schemas.openxmlformats.org/drawingml/2006/main">
                  <a:graphicData uri="http://schemas.microsoft.com/office/word/2010/wordprocessingShape">
                    <wps:wsp>
                      <wps:cNvSpPr txBox="1"/>
                      <wps:spPr>
                        <a:xfrm>
                          <a:off x="0" y="0"/>
                          <a:ext cx="114300" cy="50292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39.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sz w:val="18"/>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5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Beneficial ownership is determined according to the rules of the SEC, which generally provide that a person has beneficial ownership of a security if he, she, or it possesses sole or shared voting or investment power over that security, including options, warrants or shares of Convertible Preferred Stock that are currently exercisable or convertible, or exercisable or convertible within 60 days of April 2, 2024. Shares issuable pursuant to such options, warrants or shares of Convertible Preferred Stock are deemed outstanding for computing the beneficial ownership of the person holding such options but are not outstanding for computing the beneficial ownership of any other person. Except as described in the footnotes below and subject to applicable community property laws and similar laws, we believe that each person listed below has sole voting and investment power with respect to such shares. The beneficial ownership of our Common Stock and Convertible Preferred Stock in the table is based on, as of April 2, 2024, 2,306,927,741 shares of our Common Stock issued and outstanding and 100,000 shares of Convertible Preferred Stock issued and outstanding, which is convertible into 278,496,328 shares of Common Stock. Stockholders of shares of Common Stock are entitled to one vote per share of Common Stock. Stockholders of shares of convertible Preferred Stock are entitled to a number of votes equal to the number of shares of Common Stock into which the Preferred Stock is convertible, subject to certain adjustments.</w:t>
      </w:r>
      <w:r>
        <w:rPr>
          <w:rFonts w:ascii="Helvetica;Arial;sans-serif" w:hAnsi="Helvetica;Arial;sans-serif"/>
          <w:b w:val="false"/>
          <w:i w:val="false"/>
          <w:caps w:val="false"/>
          <w:smallCaps w:val="false"/>
          <w:color w:val="000000"/>
          <w:spacing w:val="4"/>
          <w:sz w:val="18"/>
        </w:rPr>
        <w:t xml:space="preserve"> </w:t>
      </w:r>
    </w:p>
    <w:tbl>
      <w:tblPr>
        <w:tblW w:w="9485" w:type="dxa"/>
        <w:jc w:val="left"/>
        <w:tblInd w:w="720" w:type="dxa"/>
        <w:tblLayout w:type="fixed"/>
        <w:tblCellMar>
          <w:top w:w="0" w:type="dxa"/>
          <w:left w:w="0" w:type="dxa"/>
          <w:bottom w:w="0" w:type="dxa"/>
          <w:right w:w="0" w:type="dxa"/>
        </w:tblCellMar>
      </w:tblPr>
      <w:tblGrid>
        <w:gridCol w:w="124"/>
        <w:gridCol w:w="1414"/>
        <w:gridCol w:w="109"/>
        <w:gridCol w:w="109"/>
        <w:gridCol w:w="109"/>
        <w:gridCol w:w="109"/>
        <w:gridCol w:w="1498"/>
        <w:gridCol w:w="109"/>
        <w:gridCol w:w="109"/>
        <w:gridCol w:w="109"/>
        <w:gridCol w:w="145"/>
        <w:gridCol w:w="145"/>
        <w:gridCol w:w="869"/>
        <w:gridCol w:w="146"/>
        <w:gridCol w:w="109"/>
        <w:gridCol w:w="109"/>
        <w:gridCol w:w="112"/>
        <w:gridCol w:w="112"/>
        <w:gridCol w:w="954"/>
        <w:gridCol w:w="112"/>
        <w:gridCol w:w="109"/>
        <w:gridCol w:w="109"/>
        <w:gridCol w:w="174"/>
        <w:gridCol w:w="174"/>
        <w:gridCol w:w="747"/>
        <w:gridCol w:w="175"/>
        <w:gridCol w:w="109"/>
        <w:gridCol w:w="109"/>
        <w:gridCol w:w="110"/>
        <w:gridCol w:w="110"/>
        <w:gridCol w:w="671"/>
        <w:gridCol w:w="110"/>
        <w:gridCol w:w="166"/>
      </w:tblGrid>
      <w:tr>
        <w:trPr/>
        <w:tc>
          <w:tcPr>
            <w:tcW w:w="124" w:type="dxa"/>
            <w:vMerge w:val="restart"/>
            <w:tcBorders/>
            <w:shd w:fill="000000" w:val="clear"/>
            <w:vAlign w:val="center"/>
          </w:tcPr>
          <w:p>
            <w:pPr>
              <w:pStyle w:val="TableContents"/>
              <w:bidi w:val="0"/>
              <w:spacing w:before="0" w:after="283"/>
              <w:jc w:val="left"/>
              <w:rPr/>
            </w:pPr>
            <w:r>
              <w:rPr/>
              <w:t>​</w:t>
            </w:r>
          </w:p>
        </w:tc>
        <w:tc>
          <w:tcPr>
            <w:tcW w:w="1414" w:type="dxa"/>
            <w:vMerge w:val="restart"/>
            <w:tcBorders/>
            <w:shd w:fill="000000" w:val="clear"/>
            <w:vAlign w:val="center"/>
          </w:tcPr>
          <w:p>
            <w:pPr>
              <w:pStyle w:val="TableContents"/>
              <w:bidi w:val="0"/>
              <w:spacing w:lineRule="atLeast" w:line="142" w:before="0" w:after="0"/>
              <w:jc w:val="left"/>
              <w:rPr/>
            </w:pPr>
            <w:r>
              <w:rPr/>
              <w:t>Name of Beneficial Owner</w:t>
            </w:r>
            <w:r>
              <w:rPr>
                <w:sz w:val="9"/>
              </w:rPr>
              <w:t>(1)</w:t>
            </w:r>
            <w:r>
              <w:rPr/>
              <w:t xml:space="preserve"> </w:t>
            </w:r>
          </w:p>
        </w:tc>
        <w:tc>
          <w:tcPr>
            <w:tcW w:w="109" w:type="dxa"/>
            <w:vMerge w:val="restart"/>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3348" w:type="dxa"/>
            <w:gridSpan w:val="10"/>
            <w:tcBorders>
              <w:bottom w:val="single" w:sz="2" w:space="0" w:color="FEFEFE"/>
            </w:tcBorders>
            <w:shd w:fill="000000" w:val="clear"/>
            <w:tcMar>
              <w:bottom w:w="140" w:type="dxa"/>
            </w:tcMar>
            <w:vAlign w:val="center"/>
          </w:tcPr>
          <w:p>
            <w:pPr>
              <w:pStyle w:val="TableContents"/>
              <w:bidi w:val="0"/>
              <w:spacing w:before="0" w:after="0"/>
              <w:jc w:val="center"/>
              <w:rPr/>
            </w:pPr>
            <w:r>
              <w:rPr/>
              <w:t xml:space="preserve">Common Stock </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2778" w:type="dxa"/>
            <w:gridSpan w:val="10"/>
            <w:tcBorders>
              <w:bottom w:val="single" w:sz="2" w:space="0" w:color="FEFEFE"/>
            </w:tcBorders>
            <w:shd w:fill="000000" w:val="clear"/>
            <w:tcMar>
              <w:bottom w:w="140" w:type="dxa"/>
            </w:tcMar>
            <w:vAlign w:val="center"/>
          </w:tcPr>
          <w:p>
            <w:pPr>
              <w:pStyle w:val="TableContents"/>
              <w:bidi w:val="0"/>
              <w:spacing w:before="0" w:after="0"/>
              <w:jc w:val="center"/>
              <w:rPr/>
            </w:pPr>
            <w:r>
              <w:rPr/>
              <w:t xml:space="preserve">Preferred Stock </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vMerge w:val="restart"/>
            <w:tcBorders/>
            <w:shd w:fill="000000" w:val="clear"/>
            <w:vAlign w:val="center"/>
          </w:tcPr>
          <w:p>
            <w:pPr>
              <w:pStyle w:val="TableContents"/>
              <w:bidi w:val="0"/>
              <w:spacing w:before="0" w:after="283"/>
              <w:jc w:val="left"/>
              <w:rPr/>
            </w:pPr>
            <w:r>
              <w:rPr/>
              <w:t>​</w:t>
            </w:r>
          </w:p>
        </w:tc>
        <w:tc>
          <w:tcPr>
            <w:tcW w:w="1001" w:type="dxa"/>
            <w:gridSpan w:val="4"/>
            <w:vMerge w:val="restart"/>
            <w:tcBorders/>
            <w:shd w:fill="000000" w:val="clear"/>
            <w:vAlign w:val="center"/>
          </w:tcPr>
          <w:p>
            <w:pPr>
              <w:pStyle w:val="TableContents"/>
              <w:bidi w:val="0"/>
              <w:spacing w:lineRule="atLeast" w:line="160" w:before="0" w:after="0"/>
              <w:jc w:val="center"/>
              <w:rPr/>
            </w:pPr>
            <w:r>
              <w:rPr/>
              <w:t xml:space="preserve">Voting Power </w:t>
            </w:r>
          </w:p>
        </w:tc>
        <w:tc>
          <w:tcPr>
            <w:tcW w:w="166" w:type="dxa"/>
            <w:vMerge w:val="restart"/>
            <w:tcBorders/>
            <w:shd w:fill="000000" w:val="clear"/>
            <w:vAlign w:val="center"/>
          </w:tcPr>
          <w:p>
            <w:pPr>
              <w:pStyle w:val="TableContents"/>
              <w:bidi w:val="0"/>
              <w:spacing w:before="0" w:after="283"/>
              <w:jc w:val="left"/>
              <w:rPr/>
            </w:pPr>
            <w:r>
              <w:rPr/>
              <w:t>​</w:t>
            </w:r>
          </w:p>
        </w:tc>
      </w:tr>
      <w:tr>
        <w:trPr/>
        <w:tc>
          <w:tcPr>
            <w:tcW w:w="124" w:type="dxa"/>
            <w:vMerge w:val="continue"/>
            <w:tcBorders/>
            <w:shd w:fill="000000" w:val="clear"/>
            <w:vAlign w:val="center"/>
          </w:tcPr>
          <w:p>
            <w:pPr>
              <w:pStyle w:val="Normal"/>
              <w:bidi w:val="0"/>
              <w:jc w:val="left"/>
              <w:rPr/>
            </w:pPr>
            <w:r>
              <w:rPr/>
            </w:r>
          </w:p>
        </w:tc>
        <w:tc>
          <w:tcPr>
            <w:tcW w:w="1414"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109" w:type="dxa"/>
            <w:tcBorders/>
            <w:shd w:fill="000000" w:val="clear"/>
            <w:vAlign w:val="center"/>
          </w:tcPr>
          <w:p>
            <w:pPr>
              <w:pStyle w:val="TableContents"/>
              <w:bidi w:val="0"/>
              <w:spacing w:before="0" w:after="283"/>
              <w:jc w:val="left"/>
              <w:rPr/>
            </w:pPr>
            <w:r>
              <w:rPr/>
              <w:t>​</w:t>
            </w:r>
          </w:p>
        </w:tc>
        <w:tc>
          <w:tcPr>
            <w:tcW w:w="1825" w:type="dxa"/>
            <w:gridSpan w:val="4"/>
            <w:tcBorders/>
            <w:shd w:fill="000000" w:val="clear"/>
            <w:vAlign w:val="center"/>
          </w:tcPr>
          <w:p>
            <w:pPr>
              <w:pStyle w:val="TableContents"/>
              <w:bidi w:val="0"/>
              <w:spacing w:before="0" w:after="0"/>
              <w:jc w:val="center"/>
              <w:rPr/>
            </w:pPr>
            <w:r>
              <w:rPr/>
              <w:t>Number of Shares</w:t>
              <w:br/>
              <w:t xml:space="preserve">Beneficially Owned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305" w:type="dxa"/>
            <w:gridSpan w:val="4"/>
            <w:tcBorders/>
            <w:shd w:fill="000000" w:val="clear"/>
            <w:vAlign w:val="center"/>
          </w:tcPr>
          <w:p>
            <w:pPr>
              <w:pStyle w:val="TableContents"/>
              <w:bidi w:val="0"/>
              <w:spacing w:before="0" w:after="0"/>
              <w:jc w:val="center"/>
              <w:rPr/>
            </w:pPr>
            <w:r>
              <w:rPr/>
              <w:t>Percentage of Shares</w:t>
              <w:br/>
              <w:t xml:space="preserve">Outstanding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90" w:type="dxa"/>
            <w:gridSpan w:val="4"/>
            <w:tcBorders/>
            <w:shd w:fill="000000" w:val="clear"/>
            <w:vAlign w:val="center"/>
          </w:tcPr>
          <w:p>
            <w:pPr>
              <w:pStyle w:val="TableContents"/>
              <w:bidi w:val="0"/>
              <w:spacing w:before="0" w:after="0"/>
              <w:jc w:val="center"/>
              <w:rPr/>
            </w:pPr>
            <w:r>
              <w:rPr/>
              <w:t>Number of Shares</w:t>
              <w:br/>
              <w:t xml:space="preserve">Beneficially Owned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70" w:type="dxa"/>
            <w:gridSpan w:val="4"/>
            <w:tcBorders/>
            <w:shd w:fill="000000" w:val="clear"/>
            <w:vAlign w:val="center"/>
          </w:tcPr>
          <w:p>
            <w:pPr>
              <w:pStyle w:val="TableContents"/>
              <w:bidi w:val="0"/>
              <w:spacing w:before="0" w:after="0"/>
              <w:jc w:val="center"/>
              <w:rPr/>
            </w:pPr>
            <w:r>
              <w:rPr/>
              <w:t xml:space="preserve">Percentage of </w:t>
              <w:br/>
              <w:t xml:space="preserve">Shares </w:t>
              <w:br/>
              <w:t xml:space="preserve">Outstanding </w:t>
            </w:r>
          </w:p>
        </w:tc>
        <w:tc>
          <w:tcPr>
            <w:tcW w:w="109" w:type="dxa"/>
            <w:tcBorders/>
            <w:shd w:fill="000000" w:val="clear"/>
            <w:vAlign w:val="center"/>
          </w:tcPr>
          <w:p>
            <w:pPr>
              <w:pStyle w:val="TableContents"/>
              <w:bidi w:val="0"/>
              <w:spacing w:before="0" w:after="283"/>
              <w:jc w:val="left"/>
              <w:rPr/>
            </w:pPr>
            <w:r>
              <w:rPr/>
              <w:t>​</w:t>
            </w:r>
          </w:p>
        </w:tc>
        <w:tc>
          <w:tcPr>
            <w:tcW w:w="109" w:type="dxa"/>
            <w:vMerge w:val="continue"/>
            <w:tcBorders/>
            <w:shd w:fill="000000" w:val="clear"/>
            <w:vAlign w:val="center"/>
          </w:tcPr>
          <w:p>
            <w:pPr>
              <w:pStyle w:val="Normal"/>
              <w:bidi w:val="0"/>
              <w:jc w:val="left"/>
              <w:rPr/>
            </w:pPr>
            <w:r>
              <w:rPr/>
            </w:r>
          </w:p>
        </w:tc>
        <w:tc>
          <w:tcPr>
            <w:tcW w:w="1001" w:type="dxa"/>
            <w:gridSpan w:val="4"/>
            <w:vMerge w:val="continue"/>
            <w:tcBorders/>
            <w:shd w:fill="000000" w:val="clear"/>
            <w:vAlign w:val="center"/>
          </w:tcPr>
          <w:p>
            <w:pPr>
              <w:pStyle w:val="Normal"/>
              <w:bidi w:val="0"/>
              <w:jc w:val="left"/>
              <w:rPr/>
            </w:pPr>
            <w:r>
              <w:rPr/>
            </w:r>
          </w:p>
        </w:tc>
        <w:tc>
          <w:tcPr>
            <w:tcW w:w="166" w:type="dxa"/>
            <w:vMerge w:val="continue"/>
            <w:tcBorders/>
            <w:shd w:fill="000000" w:val="clear"/>
            <w:vAlign w:val="center"/>
          </w:tcPr>
          <w:p>
            <w:pPr>
              <w:pStyle w:val="Normal"/>
              <w:bidi w:val="0"/>
              <w:jc w:val="left"/>
              <w:rPr/>
            </w:pPr>
            <w:r>
              <w:rPr/>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414" w:type="dxa"/>
            <w:tcBorders>
              <w:bottom w:val="single" w:sz="6" w:space="0" w:color="000000"/>
            </w:tcBorders>
            <w:tcMar>
              <w:bottom w:w="125" w:type="dxa"/>
            </w:tcMar>
            <w:vAlign w:val="center"/>
          </w:tcPr>
          <w:p>
            <w:pPr>
              <w:pStyle w:val="TableContents"/>
              <w:bidi w:val="0"/>
              <w:spacing w:before="0" w:after="283"/>
              <w:jc w:val="left"/>
              <w:rPr/>
            </w:pPr>
            <w:r>
              <w:rPr/>
              <w:t>5% Stockholders</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right"/>
              <w:rPr/>
            </w:pPr>
            <w:r>
              <w:rPr/>
              <w:t>​</w:t>
            </w:r>
          </w:p>
        </w:tc>
        <w:tc>
          <w:tcPr>
            <w:tcW w:w="1498" w:type="dxa"/>
            <w:tcBorders>
              <w:bottom w:val="single" w:sz="6" w:space="0" w:color="000000"/>
            </w:tcBorders>
            <w:tcMar>
              <w:bottom w:w="28"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28" w:type="dxa"/>
            </w:tcMar>
            <w:vAlign w:val="center"/>
          </w:tcPr>
          <w:p>
            <w:pPr>
              <w:pStyle w:val="TableContents"/>
              <w:bidi w:val="0"/>
              <w:spacing w:before="0" w:after="283"/>
              <w:jc w:val="right"/>
              <w:rPr/>
            </w:pPr>
            <w:r>
              <w:rPr/>
              <w:t>​</w:t>
            </w:r>
          </w:p>
        </w:tc>
        <w:tc>
          <w:tcPr>
            <w:tcW w:w="869" w:type="dxa"/>
            <w:tcBorders>
              <w:bottom w:val="single" w:sz="6" w:space="0" w:color="000000"/>
            </w:tcBorders>
            <w:tcMar>
              <w:bottom w:w="28" w:type="dxa"/>
            </w:tcMar>
            <w:vAlign w:val="center"/>
          </w:tcPr>
          <w:p>
            <w:pPr>
              <w:pStyle w:val="TableContents"/>
              <w:bidi w:val="0"/>
              <w:spacing w:before="0" w:after="283"/>
              <w:jc w:val="right"/>
              <w:rPr/>
            </w:pPr>
            <w:r>
              <w:rPr/>
              <w:t>​</w:t>
            </w:r>
          </w:p>
        </w:tc>
        <w:tc>
          <w:tcPr>
            <w:tcW w:w="146"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2" w:type="dxa"/>
            <w:tcBorders>
              <w:bottom w:val="single" w:sz="6" w:space="0" w:color="000000"/>
            </w:tcBorders>
            <w:tcMar>
              <w:bottom w:w="28" w:type="dxa"/>
            </w:tcMar>
            <w:vAlign w:val="center"/>
          </w:tcPr>
          <w:p>
            <w:pPr>
              <w:pStyle w:val="TableContents"/>
              <w:bidi w:val="0"/>
              <w:spacing w:before="0" w:after="283"/>
              <w:jc w:val="left"/>
              <w:rPr/>
            </w:pPr>
            <w:r>
              <w:rPr/>
              <w:t>​</w:t>
            </w:r>
          </w:p>
        </w:tc>
        <w:tc>
          <w:tcPr>
            <w:tcW w:w="112" w:type="dxa"/>
            <w:tcBorders>
              <w:bottom w:val="single" w:sz="6" w:space="0" w:color="000000"/>
            </w:tcBorders>
            <w:tcMar>
              <w:bottom w:w="28" w:type="dxa"/>
            </w:tcMar>
            <w:vAlign w:val="center"/>
          </w:tcPr>
          <w:p>
            <w:pPr>
              <w:pStyle w:val="TableContents"/>
              <w:bidi w:val="0"/>
              <w:spacing w:before="0" w:after="283"/>
              <w:jc w:val="right"/>
              <w:rPr/>
            </w:pPr>
            <w:r>
              <w:rPr/>
              <w:t>​</w:t>
            </w:r>
          </w:p>
        </w:tc>
        <w:tc>
          <w:tcPr>
            <w:tcW w:w="954" w:type="dxa"/>
            <w:tcBorders>
              <w:bottom w:val="single" w:sz="6" w:space="0" w:color="000000"/>
            </w:tcBorders>
            <w:tcMar>
              <w:bottom w:w="28" w:type="dxa"/>
            </w:tcMar>
            <w:vAlign w:val="center"/>
          </w:tcPr>
          <w:p>
            <w:pPr>
              <w:pStyle w:val="TableContents"/>
              <w:bidi w:val="0"/>
              <w:spacing w:before="0" w:after="283"/>
              <w:jc w:val="right"/>
              <w:rPr/>
            </w:pPr>
            <w:r>
              <w:rPr/>
              <w:t>​</w:t>
            </w:r>
          </w:p>
        </w:tc>
        <w:tc>
          <w:tcPr>
            <w:tcW w:w="112"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74" w:type="dxa"/>
            <w:tcBorders>
              <w:bottom w:val="single" w:sz="6" w:space="0" w:color="000000"/>
            </w:tcBorders>
            <w:tcMar>
              <w:bottom w:w="28" w:type="dxa"/>
            </w:tcMar>
            <w:vAlign w:val="center"/>
          </w:tcPr>
          <w:p>
            <w:pPr>
              <w:pStyle w:val="TableContents"/>
              <w:bidi w:val="0"/>
              <w:spacing w:before="0" w:after="283"/>
              <w:jc w:val="left"/>
              <w:rPr/>
            </w:pPr>
            <w:r>
              <w:rPr/>
              <w:t>​</w:t>
            </w:r>
          </w:p>
        </w:tc>
        <w:tc>
          <w:tcPr>
            <w:tcW w:w="174" w:type="dxa"/>
            <w:tcBorders>
              <w:bottom w:val="single" w:sz="6" w:space="0" w:color="000000"/>
            </w:tcBorders>
            <w:tcMar>
              <w:bottom w:w="28" w:type="dxa"/>
            </w:tcMar>
            <w:vAlign w:val="center"/>
          </w:tcPr>
          <w:p>
            <w:pPr>
              <w:pStyle w:val="TableContents"/>
              <w:bidi w:val="0"/>
              <w:spacing w:before="0" w:after="283"/>
              <w:jc w:val="right"/>
              <w:rPr/>
            </w:pPr>
            <w:r>
              <w:rPr/>
              <w:t>​</w:t>
            </w:r>
          </w:p>
        </w:tc>
        <w:tc>
          <w:tcPr>
            <w:tcW w:w="747" w:type="dxa"/>
            <w:tcBorders>
              <w:bottom w:val="single" w:sz="6" w:space="0" w:color="000000"/>
            </w:tcBorders>
            <w:tcMar>
              <w:bottom w:w="28" w:type="dxa"/>
            </w:tcMar>
            <w:vAlign w:val="center"/>
          </w:tcPr>
          <w:p>
            <w:pPr>
              <w:pStyle w:val="TableContents"/>
              <w:bidi w:val="0"/>
              <w:spacing w:before="0" w:after="283"/>
              <w:jc w:val="right"/>
              <w:rPr/>
            </w:pPr>
            <w:r>
              <w:rPr/>
              <w:t>​</w:t>
            </w:r>
          </w:p>
        </w:tc>
        <w:tc>
          <w:tcPr>
            <w:tcW w:w="175"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tcMar>
              <w:bottom w:w="28" w:type="dxa"/>
            </w:tcMar>
            <w:vAlign w:val="center"/>
          </w:tcPr>
          <w:p>
            <w:pPr>
              <w:pStyle w:val="TableContents"/>
              <w:bidi w:val="0"/>
              <w:spacing w:before="0" w:after="283"/>
              <w:jc w:val="right"/>
              <w:rPr/>
            </w:pPr>
            <w:r>
              <w:rPr/>
              <w:t>​</w:t>
            </w:r>
          </w:p>
        </w:tc>
        <w:tc>
          <w:tcPr>
            <w:tcW w:w="671" w:type="dxa"/>
            <w:tcBorders>
              <w:bottom w:val="single" w:sz="6" w:space="0" w:color="000000"/>
            </w:tcBorders>
            <w:tcMar>
              <w:bottom w:w="28" w:type="dxa"/>
            </w:tcMar>
            <w:vAlign w:val="center"/>
          </w:tcPr>
          <w:p>
            <w:pPr>
              <w:pStyle w:val="TableContents"/>
              <w:bidi w:val="0"/>
              <w:spacing w:before="0" w:after="283"/>
              <w:jc w:val="right"/>
              <w:rPr/>
            </w:pPr>
            <w:r>
              <w:rPr/>
              <w:t>​</w:t>
            </w:r>
          </w:p>
        </w:tc>
        <w:tc>
          <w:tcPr>
            <w:tcW w:w="110" w:type="dxa"/>
            <w:tcBorders>
              <w:bottom w:val="single" w:sz="6" w:space="0" w:color="000000"/>
            </w:tcBorders>
            <w:tcMar>
              <w:bottom w:w="28" w:type="dxa"/>
            </w:tcMar>
            <w:vAlign w:val="center"/>
          </w:tcPr>
          <w:p>
            <w:pPr>
              <w:pStyle w:val="TableContents"/>
              <w:bidi w:val="0"/>
              <w:spacing w:before="0" w:after="283"/>
              <w:jc w:val="left"/>
              <w:rPr/>
            </w:pPr>
            <w:r>
              <w:rPr/>
              <w:t>​</w:t>
            </w:r>
          </w:p>
        </w:tc>
        <w:tc>
          <w:tcPr>
            <w:tcW w:w="16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14" w:type="dxa"/>
            <w:tcBorders>
              <w:bottom w:val="single" w:sz="6" w:space="0" w:color="000000"/>
            </w:tcBorders>
            <w:shd w:fill="F7F7F7" w:val="clear"/>
            <w:tcMar>
              <w:bottom w:w="125" w:type="dxa"/>
            </w:tcMar>
            <w:vAlign w:val="center"/>
          </w:tcPr>
          <w:p>
            <w:pPr>
              <w:pStyle w:val="TableContents"/>
              <w:bidi w:val="0"/>
              <w:spacing w:before="0" w:after="283"/>
              <w:jc w:val="left"/>
              <w:rPr/>
            </w:pPr>
            <w:r>
              <w:rPr/>
              <w:t>The Public Investment Fund</w:t>
            </w:r>
            <w:r>
              <w:rPr>
                <w:sz w:val="10"/>
              </w:rPr>
              <w:t>(2)</w:t>
            </w: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1498"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1,374,700,298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869"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59.59% </w:t>
            </w:r>
          </w:p>
        </w:tc>
        <w:tc>
          <w:tcPr>
            <w:tcW w:w="14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2"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2"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954"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100,000 </w:t>
            </w:r>
          </w:p>
        </w:tc>
        <w:tc>
          <w:tcPr>
            <w:tcW w:w="112"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7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74"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747"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100% </w:t>
            </w:r>
          </w:p>
        </w:tc>
        <w:tc>
          <w:tcPr>
            <w:tcW w:w="17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671"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63.94% </w:t>
            </w:r>
          </w:p>
        </w:tc>
        <w:tc>
          <w:tcPr>
            <w:tcW w:w="110"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6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414" w:type="dxa"/>
            <w:tcBorders>
              <w:bottom w:val="single" w:sz="6" w:space="0" w:color="000000"/>
            </w:tcBorders>
            <w:tcMar>
              <w:bottom w:w="125" w:type="dxa"/>
            </w:tcMar>
            <w:vAlign w:val="center"/>
          </w:tcPr>
          <w:p>
            <w:pPr>
              <w:pStyle w:val="TableContents"/>
              <w:bidi w:val="0"/>
              <w:spacing w:before="0" w:after="283"/>
              <w:jc w:val="left"/>
              <w:rPr/>
            </w:pPr>
            <w:r>
              <w:rPr/>
              <w:t>Named Executive Officers and Directors</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right"/>
              <w:rPr/>
            </w:pPr>
            <w:r>
              <w:rPr/>
              <w:t>​</w:t>
            </w:r>
          </w:p>
        </w:tc>
        <w:tc>
          <w:tcPr>
            <w:tcW w:w="1498" w:type="dxa"/>
            <w:tcBorders>
              <w:bottom w:val="single" w:sz="6" w:space="0" w:color="000000"/>
            </w:tcBorders>
            <w:tcMar>
              <w:bottom w:w="28" w:type="dxa"/>
            </w:tcMar>
            <w:vAlign w:val="center"/>
          </w:tcPr>
          <w:p>
            <w:pPr>
              <w:pStyle w:val="TableContents"/>
              <w:bidi w:val="0"/>
              <w:spacing w:before="0" w:after="283"/>
              <w:jc w:val="righ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28" w:type="dxa"/>
            </w:tcMar>
            <w:vAlign w:val="center"/>
          </w:tcPr>
          <w:p>
            <w:pPr>
              <w:pStyle w:val="TableContents"/>
              <w:bidi w:val="0"/>
              <w:spacing w:before="0" w:after="283"/>
              <w:jc w:val="right"/>
              <w:rPr/>
            </w:pPr>
            <w:r>
              <w:rPr/>
              <w:t>​</w:t>
            </w:r>
          </w:p>
        </w:tc>
        <w:tc>
          <w:tcPr>
            <w:tcW w:w="869" w:type="dxa"/>
            <w:tcBorders>
              <w:bottom w:val="single" w:sz="6" w:space="0" w:color="000000"/>
            </w:tcBorders>
            <w:tcMar>
              <w:bottom w:w="28" w:type="dxa"/>
            </w:tcMar>
            <w:vAlign w:val="center"/>
          </w:tcPr>
          <w:p>
            <w:pPr>
              <w:pStyle w:val="TableContents"/>
              <w:bidi w:val="0"/>
              <w:spacing w:before="0" w:after="283"/>
              <w:jc w:val="right"/>
              <w:rPr/>
            </w:pPr>
            <w:r>
              <w:rPr/>
              <w:t>​</w:t>
            </w:r>
          </w:p>
        </w:tc>
        <w:tc>
          <w:tcPr>
            <w:tcW w:w="146"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2" w:type="dxa"/>
            <w:tcBorders>
              <w:bottom w:val="single" w:sz="6" w:space="0" w:color="000000"/>
            </w:tcBorders>
            <w:tcMar>
              <w:bottom w:w="28" w:type="dxa"/>
            </w:tcMar>
            <w:vAlign w:val="center"/>
          </w:tcPr>
          <w:p>
            <w:pPr>
              <w:pStyle w:val="TableContents"/>
              <w:bidi w:val="0"/>
              <w:spacing w:before="0" w:after="283"/>
              <w:jc w:val="left"/>
              <w:rPr/>
            </w:pPr>
            <w:r>
              <w:rPr/>
              <w:t>​</w:t>
            </w:r>
          </w:p>
        </w:tc>
        <w:tc>
          <w:tcPr>
            <w:tcW w:w="112" w:type="dxa"/>
            <w:tcBorders>
              <w:bottom w:val="single" w:sz="6" w:space="0" w:color="000000"/>
            </w:tcBorders>
            <w:tcMar>
              <w:bottom w:w="28" w:type="dxa"/>
            </w:tcMar>
            <w:vAlign w:val="center"/>
          </w:tcPr>
          <w:p>
            <w:pPr>
              <w:pStyle w:val="TableContents"/>
              <w:bidi w:val="0"/>
              <w:spacing w:before="0" w:after="283"/>
              <w:jc w:val="right"/>
              <w:rPr/>
            </w:pPr>
            <w:r>
              <w:rPr/>
              <w:t>​</w:t>
            </w:r>
          </w:p>
        </w:tc>
        <w:tc>
          <w:tcPr>
            <w:tcW w:w="954" w:type="dxa"/>
            <w:tcBorders>
              <w:bottom w:val="single" w:sz="6" w:space="0" w:color="000000"/>
            </w:tcBorders>
            <w:tcMar>
              <w:bottom w:w="28" w:type="dxa"/>
            </w:tcMar>
            <w:vAlign w:val="center"/>
          </w:tcPr>
          <w:p>
            <w:pPr>
              <w:pStyle w:val="TableContents"/>
              <w:bidi w:val="0"/>
              <w:spacing w:before="0" w:after="283"/>
              <w:jc w:val="right"/>
              <w:rPr/>
            </w:pPr>
            <w:r>
              <w:rPr/>
              <w:t>​</w:t>
            </w:r>
          </w:p>
        </w:tc>
        <w:tc>
          <w:tcPr>
            <w:tcW w:w="112"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74" w:type="dxa"/>
            <w:tcBorders>
              <w:bottom w:val="single" w:sz="6" w:space="0" w:color="000000"/>
            </w:tcBorders>
            <w:tcMar>
              <w:bottom w:w="28" w:type="dxa"/>
            </w:tcMar>
            <w:vAlign w:val="center"/>
          </w:tcPr>
          <w:p>
            <w:pPr>
              <w:pStyle w:val="TableContents"/>
              <w:bidi w:val="0"/>
              <w:spacing w:before="0" w:after="283"/>
              <w:jc w:val="left"/>
              <w:rPr/>
            </w:pPr>
            <w:r>
              <w:rPr/>
              <w:t>​</w:t>
            </w:r>
          </w:p>
        </w:tc>
        <w:tc>
          <w:tcPr>
            <w:tcW w:w="174" w:type="dxa"/>
            <w:tcBorders>
              <w:bottom w:val="single" w:sz="6" w:space="0" w:color="000000"/>
            </w:tcBorders>
            <w:tcMar>
              <w:bottom w:w="28" w:type="dxa"/>
            </w:tcMar>
            <w:vAlign w:val="center"/>
          </w:tcPr>
          <w:p>
            <w:pPr>
              <w:pStyle w:val="TableContents"/>
              <w:bidi w:val="0"/>
              <w:spacing w:before="0" w:after="283"/>
              <w:jc w:val="right"/>
              <w:rPr/>
            </w:pPr>
            <w:r>
              <w:rPr/>
              <w:t>​</w:t>
            </w:r>
          </w:p>
        </w:tc>
        <w:tc>
          <w:tcPr>
            <w:tcW w:w="747" w:type="dxa"/>
            <w:tcBorders>
              <w:bottom w:val="single" w:sz="6" w:space="0" w:color="000000"/>
            </w:tcBorders>
            <w:tcMar>
              <w:bottom w:w="28" w:type="dxa"/>
            </w:tcMar>
            <w:vAlign w:val="center"/>
          </w:tcPr>
          <w:p>
            <w:pPr>
              <w:pStyle w:val="TableContents"/>
              <w:bidi w:val="0"/>
              <w:spacing w:before="0" w:after="283"/>
              <w:jc w:val="right"/>
              <w:rPr/>
            </w:pPr>
            <w:r>
              <w:rPr/>
              <w:t>​</w:t>
            </w:r>
          </w:p>
        </w:tc>
        <w:tc>
          <w:tcPr>
            <w:tcW w:w="175"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tcMar>
              <w:bottom w:w="28" w:type="dxa"/>
            </w:tcMar>
            <w:vAlign w:val="center"/>
          </w:tcPr>
          <w:p>
            <w:pPr>
              <w:pStyle w:val="TableContents"/>
              <w:bidi w:val="0"/>
              <w:spacing w:before="0" w:after="283"/>
              <w:jc w:val="right"/>
              <w:rPr/>
            </w:pPr>
            <w:r>
              <w:rPr/>
              <w:t>​</w:t>
            </w:r>
          </w:p>
        </w:tc>
        <w:tc>
          <w:tcPr>
            <w:tcW w:w="671" w:type="dxa"/>
            <w:tcBorders>
              <w:bottom w:val="single" w:sz="6" w:space="0" w:color="000000"/>
            </w:tcBorders>
            <w:tcMar>
              <w:bottom w:w="28" w:type="dxa"/>
            </w:tcMar>
            <w:vAlign w:val="center"/>
          </w:tcPr>
          <w:p>
            <w:pPr>
              <w:pStyle w:val="TableContents"/>
              <w:bidi w:val="0"/>
              <w:spacing w:before="0" w:after="283"/>
              <w:jc w:val="right"/>
              <w:rPr/>
            </w:pPr>
            <w:r>
              <w:rPr/>
              <w:t>​</w:t>
            </w:r>
          </w:p>
        </w:tc>
        <w:tc>
          <w:tcPr>
            <w:tcW w:w="110" w:type="dxa"/>
            <w:tcBorders>
              <w:bottom w:val="single" w:sz="6" w:space="0" w:color="000000"/>
            </w:tcBorders>
            <w:tcMar>
              <w:bottom w:w="28" w:type="dxa"/>
            </w:tcMar>
            <w:vAlign w:val="center"/>
          </w:tcPr>
          <w:p>
            <w:pPr>
              <w:pStyle w:val="TableContents"/>
              <w:bidi w:val="0"/>
              <w:spacing w:before="0" w:after="283"/>
              <w:jc w:val="left"/>
              <w:rPr/>
            </w:pPr>
            <w:r>
              <w:rPr/>
              <w:t>​</w:t>
            </w:r>
          </w:p>
        </w:tc>
        <w:tc>
          <w:tcPr>
            <w:tcW w:w="16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14" w:type="dxa"/>
            <w:tcBorders>
              <w:bottom w:val="single" w:sz="6" w:space="0" w:color="000000"/>
            </w:tcBorders>
            <w:shd w:fill="F7F7F7" w:val="clear"/>
            <w:tcMar>
              <w:bottom w:w="125" w:type="dxa"/>
            </w:tcMar>
            <w:vAlign w:val="center"/>
          </w:tcPr>
          <w:p>
            <w:pPr>
              <w:pStyle w:val="TableContents"/>
              <w:bidi w:val="0"/>
              <w:spacing w:before="0" w:after="283"/>
              <w:jc w:val="left"/>
              <w:rPr/>
            </w:pPr>
            <w:r>
              <w:rPr/>
              <w:t>Peter Rawlinson</w:t>
            </w:r>
            <w:r>
              <w:rPr>
                <w:sz w:val="10"/>
              </w:rPr>
              <w:t>(3)</w:t>
            </w: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1498"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23,336,117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869"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1.01% </w:t>
            </w:r>
          </w:p>
        </w:tc>
        <w:tc>
          <w:tcPr>
            <w:tcW w:w="14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2"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2"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954"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 </w:t>
            </w:r>
          </w:p>
        </w:tc>
        <w:tc>
          <w:tcPr>
            <w:tcW w:w="112"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7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74"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747"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 </w:t>
            </w:r>
          </w:p>
        </w:tc>
        <w:tc>
          <w:tcPr>
            <w:tcW w:w="17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671"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 </w:t>
            </w:r>
          </w:p>
        </w:tc>
        <w:tc>
          <w:tcPr>
            <w:tcW w:w="110"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6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414" w:type="dxa"/>
            <w:tcBorders>
              <w:bottom w:val="single" w:sz="6" w:space="0" w:color="000000"/>
            </w:tcBorders>
            <w:tcMar>
              <w:bottom w:w="125" w:type="dxa"/>
            </w:tcMar>
            <w:vAlign w:val="center"/>
          </w:tcPr>
          <w:p>
            <w:pPr>
              <w:pStyle w:val="TableContents"/>
              <w:bidi w:val="0"/>
              <w:spacing w:before="0" w:after="283"/>
              <w:jc w:val="left"/>
              <w:rPr/>
            </w:pPr>
            <w:r>
              <w:rPr/>
              <w:t>Gagan Dhingra</w:t>
            </w:r>
            <w:r>
              <w:rPr>
                <w:sz w:val="10"/>
              </w:rPr>
              <w:t>(4)</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25" w:type="dxa"/>
            </w:tcMar>
            <w:vAlign w:val="center"/>
          </w:tcPr>
          <w:p>
            <w:pPr>
              <w:pStyle w:val="TableContents"/>
              <w:bidi w:val="0"/>
              <w:spacing w:before="0" w:after="283"/>
              <w:jc w:val="right"/>
              <w:rPr/>
            </w:pPr>
            <w:r>
              <w:rPr/>
              <w:t>​</w:t>
            </w:r>
          </w:p>
        </w:tc>
        <w:tc>
          <w:tcPr>
            <w:tcW w:w="1498" w:type="dxa"/>
            <w:tcBorders>
              <w:bottom w:val="single" w:sz="6" w:space="0" w:color="000000"/>
            </w:tcBorders>
            <w:tcMar>
              <w:bottom w:w="125" w:type="dxa"/>
            </w:tcMar>
            <w:vAlign w:val="center"/>
          </w:tcPr>
          <w:p>
            <w:pPr>
              <w:pStyle w:val="TableContents"/>
              <w:bidi w:val="0"/>
              <w:spacing w:before="0" w:after="283"/>
              <w:jc w:val="right"/>
              <w:rPr/>
            </w:pPr>
            <w:r>
              <w:rPr/>
              <w:t xml:space="preserve">101,591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125" w:type="dxa"/>
            </w:tcMar>
            <w:vAlign w:val="center"/>
          </w:tcPr>
          <w:p>
            <w:pPr>
              <w:pStyle w:val="TableContents"/>
              <w:bidi w:val="0"/>
              <w:spacing w:before="0" w:after="283"/>
              <w:jc w:val="right"/>
              <w:rPr/>
            </w:pPr>
            <w:r>
              <w:rPr/>
              <w:t>​</w:t>
            </w:r>
          </w:p>
        </w:tc>
        <w:tc>
          <w:tcPr>
            <w:tcW w:w="869" w:type="dxa"/>
            <w:tcBorders>
              <w:bottom w:val="single" w:sz="6" w:space="0" w:color="000000"/>
            </w:tcBorders>
            <w:tcMar>
              <w:bottom w:w="125" w:type="dxa"/>
            </w:tcMar>
            <w:vAlign w:val="center"/>
          </w:tcPr>
          <w:p>
            <w:pPr>
              <w:pStyle w:val="TableContents"/>
              <w:bidi w:val="0"/>
              <w:spacing w:before="0" w:after="283"/>
              <w:jc w:val="right"/>
              <w:rPr/>
            </w:pPr>
            <w:r>
              <w:rPr/>
              <w:t xml:space="preserve">* </w:t>
            </w:r>
          </w:p>
        </w:tc>
        <w:tc>
          <w:tcPr>
            <w:tcW w:w="146"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2" w:type="dxa"/>
            <w:tcBorders>
              <w:bottom w:val="single" w:sz="6" w:space="0" w:color="000000"/>
            </w:tcBorders>
            <w:tcMar>
              <w:bottom w:w="28" w:type="dxa"/>
            </w:tcMar>
            <w:vAlign w:val="center"/>
          </w:tcPr>
          <w:p>
            <w:pPr>
              <w:pStyle w:val="TableContents"/>
              <w:bidi w:val="0"/>
              <w:spacing w:before="0" w:after="283"/>
              <w:jc w:val="left"/>
              <w:rPr/>
            </w:pPr>
            <w:r>
              <w:rPr/>
              <w:t>​</w:t>
            </w:r>
          </w:p>
        </w:tc>
        <w:tc>
          <w:tcPr>
            <w:tcW w:w="112" w:type="dxa"/>
            <w:tcBorders>
              <w:bottom w:val="single" w:sz="6" w:space="0" w:color="000000"/>
            </w:tcBorders>
            <w:tcMar>
              <w:bottom w:w="125" w:type="dxa"/>
            </w:tcMar>
            <w:vAlign w:val="center"/>
          </w:tcPr>
          <w:p>
            <w:pPr>
              <w:pStyle w:val="TableContents"/>
              <w:bidi w:val="0"/>
              <w:spacing w:before="0" w:after="283"/>
              <w:jc w:val="right"/>
              <w:rPr/>
            </w:pPr>
            <w:r>
              <w:rPr/>
              <w:t>​</w:t>
            </w:r>
          </w:p>
        </w:tc>
        <w:tc>
          <w:tcPr>
            <w:tcW w:w="954" w:type="dxa"/>
            <w:tcBorders>
              <w:bottom w:val="single" w:sz="6" w:space="0" w:color="000000"/>
            </w:tcBorders>
            <w:tcMar>
              <w:bottom w:w="125" w:type="dxa"/>
            </w:tcMar>
            <w:vAlign w:val="center"/>
          </w:tcPr>
          <w:p>
            <w:pPr>
              <w:pStyle w:val="TableContents"/>
              <w:bidi w:val="0"/>
              <w:spacing w:before="0" w:after="283"/>
              <w:jc w:val="right"/>
              <w:rPr/>
            </w:pPr>
            <w:r>
              <w:rPr/>
              <w:t xml:space="preserve">— </w:t>
            </w:r>
          </w:p>
        </w:tc>
        <w:tc>
          <w:tcPr>
            <w:tcW w:w="112"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74" w:type="dxa"/>
            <w:tcBorders>
              <w:bottom w:val="single" w:sz="6" w:space="0" w:color="000000"/>
            </w:tcBorders>
            <w:tcMar>
              <w:bottom w:w="28" w:type="dxa"/>
            </w:tcMar>
            <w:vAlign w:val="center"/>
          </w:tcPr>
          <w:p>
            <w:pPr>
              <w:pStyle w:val="TableContents"/>
              <w:bidi w:val="0"/>
              <w:spacing w:before="0" w:after="283"/>
              <w:jc w:val="left"/>
              <w:rPr/>
            </w:pPr>
            <w:r>
              <w:rPr/>
              <w:t>​</w:t>
            </w:r>
          </w:p>
        </w:tc>
        <w:tc>
          <w:tcPr>
            <w:tcW w:w="174" w:type="dxa"/>
            <w:tcBorders>
              <w:bottom w:val="single" w:sz="6" w:space="0" w:color="000000"/>
            </w:tcBorders>
            <w:tcMar>
              <w:bottom w:w="125" w:type="dxa"/>
            </w:tcMar>
            <w:vAlign w:val="center"/>
          </w:tcPr>
          <w:p>
            <w:pPr>
              <w:pStyle w:val="TableContents"/>
              <w:bidi w:val="0"/>
              <w:spacing w:before="0" w:after="283"/>
              <w:jc w:val="right"/>
              <w:rPr/>
            </w:pPr>
            <w:r>
              <w:rPr/>
              <w:t>​</w:t>
            </w:r>
          </w:p>
        </w:tc>
        <w:tc>
          <w:tcPr>
            <w:tcW w:w="747" w:type="dxa"/>
            <w:tcBorders>
              <w:bottom w:val="single" w:sz="6" w:space="0" w:color="000000"/>
            </w:tcBorders>
            <w:tcMar>
              <w:bottom w:w="125" w:type="dxa"/>
            </w:tcMar>
            <w:vAlign w:val="center"/>
          </w:tcPr>
          <w:p>
            <w:pPr>
              <w:pStyle w:val="TableContents"/>
              <w:bidi w:val="0"/>
              <w:spacing w:before="0" w:after="283"/>
              <w:jc w:val="right"/>
              <w:rPr/>
            </w:pPr>
            <w:r>
              <w:rPr/>
              <w:t xml:space="preserve">— </w:t>
            </w:r>
          </w:p>
        </w:tc>
        <w:tc>
          <w:tcPr>
            <w:tcW w:w="175"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tcMar>
              <w:bottom w:w="125" w:type="dxa"/>
            </w:tcMar>
            <w:vAlign w:val="center"/>
          </w:tcPr>
          <w:p>
            <w:pPr>
              <w:pStyle w:val="TableContents"/>
              <w:bidi w:val="0"/>
              <w:spacing w:before="0" w:after="283"/>
              <w:jc w:val="right"/>
              <w:rPr/>
            </w:pPr>
            <w:r>
              <w:rPr/>
              <w:t>​</w:t>
            </w:r>
          </w:p>
        </w:tc>
        <w:tc>
          <w:tcPr>
            <w:tcW w:w="671" w:type="dxa"/>
            <w:tcBorders>
              <w:bottom w:val="single" w:sz="6" w:space="0" w:color="000000"/>
            </w:tcBorders>
            <w:tcMar>
              <w:bottom w:w="125" w:type="dxa"/>
            </w:tcMar>
            <w:vAlign w:val="center"/>
          </w:tcPr>
          <w:p>
            <w:pPr>
              <w:pStyle w:val="TableContents"/>
              <w:bidi w:val="0"/>
              <w:spacing w:before="0" w:after="283"/>
              <w:jc w:val="right"/>
              <w:rPr/>
            </w:pPr>
            <w:r>
              <w:rPr/>
              <w:t xml:space="preserve">* </w:t>
            </w:r>
          </w:p>
        </w:tc>
        <w:tc>
          <w:tcPr>
            <w:tcW w:w="110" w:type="dxa"/>
            <w:tcBorders>
              <w:bottom w:val="single" w:sz="6" w:space="0" w:color="000000"/>
            </w:tcBorders>
            <w:tcMar>
              <w:bottom w:w="28" w:type="dxa"/>
            </w:tcMar>
            <w:vAlign w:val="center"/>
          </w:tcPr>
          <w:p>
            <w:pPr>
              <w:pStyle w:val="TableContents"/>
              <w:bidi w:val="0"/>
              <w:spacing w:before="0" w:after="283"/>
              <w:jc w:val="left"/>
              <w:rPr/>
            </w:pPr>
            <w:r>
              <w:rPr/>
              <w:t>​</w:t>
            </w:r>
          </w:p>
        </w:tc>
        <w:tc>
          <w:tcPr>
            <w:tcW w:w="16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14" w:type="dxa"/>
            <w:tcBorders>
              <w:bottom w:val="single" w:sz="6" w:space="0" w:color="000000"/>
            </w:tcBorders>
            <w:shd w:fill="F7F7F7" w:val="clear"/>
            <w:tcMar>
              <w:bottom w:w="125" w:type="dxa"/>
            </w:tcMar>
            <w:vAlign w:val="center"/>
          </w:tcPr>
          <w:p>
            <w:pPr>
              <w:pStyle w:val="TableContents"/>
              <w:bidi w:val="0"/>
              <w:spacing w:before="0" w:after="283"/>
              <w:jc w:val="left"/>
              <w:rPr/>
            </w:pPr>
            <w:r>
              <w:rPr/>
              <w:t>Marc Winterhoff</w:t>
            </w:r>
            <w:r>
              <w:rPr>
                <w:sz w:val="10"/>
              </w:rPr>
              <w:t>(5)</w:t>
            </w: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1498"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869"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 </w:t>
            </w:r>
          </w:p>
        </w:tc>
        <w:tc>
          <w:tcPr>
            <w:tcW w:w="14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2"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2"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954"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 </w:t>
            </w:r>
          </w:p>
        </w:tc>
        <w:tc>
          <w:tcPr>
            <w:tcW w:w="112"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7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74"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747"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 </w:t>
            </w:r>
          </w:p>
        </w:tc>
        <w:tc>
          <w:tcPr>
            <w:tcW w:w="17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671"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 </w:t>
            </w:r>
          </w:p>
        </w:tc>
        <w:tc>
          <w:tcPr>
            <w:tcW w:w="110"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6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414" w:type="dxa"/>
            <w:tcBorders>
              <w:bottom w:val="single" w:sz="6" w:space="0" w:color="000000"/>
            </w:tcBorders>
            <w:tcMar>
              <w:bottom w:w="125" w:type="dxa"/>
            </w:tcMar>
            <w:vAlign w:val="center"/>
          </w:tcPr>
          <w:p>
            <w:pPr>
              <w:pStyle w:val="TableContents"/>
              <w:bidi w:val="0"/>
              <w:spacing w:before="0" w:after="283"/>
              <w:jc w:val="left"/>
              <w:rPr/>
            </w:pPr>
            <w:r>
              <w:rPr/>
              <w:t>Eric Bach</w:t>
            </w:r>
            <w:r>
              <w:rPr>
                <w:sz w:val="10"/>
              </w:rPr>
              <w:t>(6)</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25" w:type="dxa"/>
            </w:tcMar>
            <w:vAlign w:val="center"/>
          </w:tcPr>
          <w:p>
            <w:pPr>
              <w:pStyle w:val="TableContents"/>
              <w:bidi w:val="0"/>
              <w:spacing w:before="0" w:after="283"/>
              <w:jc w:val="right"/>
              <w:rPr/>
            </w:pPr>
            <w:r>
              <w:rPr/>
              <w:t>​</w:t>
            </w:r>
          </w:p>
        </w:tc>
        <w:tc>
          <w:tcPr>
            <w:tcW w:w="1498" w:type="dxa"/>
            <w:tcBorders>
              <w:bottom w:val="single" w:sz="6" w:space="0" w:color="000000"/>
            </w:tcBorders>
            <w:tcMar>
              <w:bottom w:w="125" w:type="dxa"/>
            </w:tcMar>
            <w:vAlign w:val="center"/>
          </w:tcPr>
          <w:p>
            <w:pPr>
              <w:pStyle w:val="TableContents"/>
              <w:bidi w:val="0"/>
              <w:spacing w:before="0" w:after="283"/>
              <w:jc w:val="right"/>
              <w:rPr/>
            </w:pPr>
            <w:r>
              <w:rPr/>
              <w:t xml:space="preserve">4,242,695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125" w:type="dxa"/>
            </w:tcMar>
            <w:vAlign w:val="center"/>
          </w:tcPr>
          <w:p>
            <w:pPr>
              <w:pStyle w:val="TableContents"/>
              <w:bidi w:val="0"/>
              <w:spacing w:before="0" w:after="283"/>
              <w:jc w:val="right"/>
              <w:rPr/>
            </w:pPr>
            <w:r>
              <w:rPr/>
              <w:t>​</w:t>
            </w:r>
          </w:p>
        </w:tc>
        <w:tc>
          <w:tcPr>
            <w:tcW w:w="869" w:type="dxa"/>
            <w:tcBorders>
              <w:bottom w:val="single" w:sz="6" w:space="0" w:color="000000"/>
            </w:tcBorders>
            <w:tcMar>
              <w:bottom w:w="125" w:type="dxa"/>
            </w:tcMar>
            <w:vAlign w:val="center"/>
          </w:tcPr>
          <w:p>
            <w:pPr>
              <w:pStyle w:val="TableContents"/>
              <w:bidi w:val="0"/>
              <w:spacing w:before="0" w:after="283"/>
              <w:jc w:val="right"/>
              <w:rPr/>
            </w:pPr>
            <w:r>
              <w:rPr/>
              <w:t xml:space="preserve">* </w:t>
            </w:r>
          </w:p>
        </w:tc>
        <w:tc>
          <w:tcPr>
            <w:tcW w:w="146"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2" w:type="dxa"/>
            <w:tcBorders>
              <w:bottom w:val="single" w:sz="6" w:space="0" w:color="000000"/>
            </w:tcBorders>
            <w:tcMar>
              <w:bottom w:w="28" w:type="dxa"/>
            </w:tcMar>
            <w:vAlign w:val="center"/>
          </w:tcPr>
          <w:p>
            <w:pPr>
              <w:pStyle w:val="TableContents"/>
              <w:bidi w:val="0"/>
              <w:spacing w:before="0" w:after="283"/>
              <w:jc w:val="left"/>
              <w:rPr/>
            </w:pPr>
            <w:r>
              <w:rPr/>
              <w:t>​</w:t>
            </w:r>
          </w:p>
        </w:tc>
        <w:tc>
          <w:tcPr>
            <w:tcW w:w="112" w:type="dxa"/>
            <w:tcBorders>
              <w:bottom w:val="single" w:sz="6" w:space="0" w:color="000000"/>
            </w:tcBorders>
            <w:tcMar>
              <w:bottom w:w="125" w:type="dxa"/>
            </w:tcMar>
            <w:vAlign w:val="center"/>
          </w:tcPr>
          <w:p>
            <w:pPr>
              <w:pStyle w:val="TableContents"/>
              <w:bidi w:val="0"/>
              <w:spacing w:before="0" w:after="283"/>
              <w:jc w:val="right"/>
              <w:rPr/>
            </w:pPr>
            <w:r>
              <w:rPr/>
              <w:t>​</w:t>
            </w:r>
          </w:p>
        </w:tc>
        <w:tc>
          <w:tcPr>
            <w:tcW w:w="954" w:type="dxa"/>
            <w:tcBorders>
              <w:bottom w:val="single" w:sz="6" w:space="0" w:color="000000"/>
            </w:tcBorders>
            <w:tcMar>
              <w:bottom w:w="125" w:type="dxa"/>
            </w:tcMar>
            <w:vAlign w:val="center"/>
          </w:tcPr>
          <w:p>
            <w:pPr>
              <w:pStyle w:val="TableContents"/>
              <w:bidi w:val="0"/>
              <w:spacing w:before="0" w:after="283"/>
              <w:jc w:val="right"/>
              <w:rPr/>
            </w:pPr>
            <w:r>
              <w:rPr/>
              <w:t xml:space="preserve">— </w:t>
            </w:r>
          </w:p>
        </w:tc>
        <w:tc>
          <w:tcPr>
            <w:tcW w:w="112"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74" w:type="dxa"/>
            <w:tcBorders>
              <w:bottom w:val="single" w:sz="6" w:space="0" w:color="000000"/>
            </w:tcBorders>
            <w:tcMar>
              <w:bottom w:w="28" w:type="dxa"/>
            </w:tcMar>
            <w:vAlign w:val="center"/>
          </w:tcPr>
          <w:p>
            <w:pPr>
              <w:pStyle w:val="TableContents"/>
              <w:bidi w:val="0"/>
              <w:spacing w:before="0" w:after="283"/>
              <w:jc w:val="left"/>
              <w:rPr/>
            </w:pPr>
            <w:r>
              <w:rPr/>
              <w:t>​</w:t>
            </w:r>
          </w:p>
        </w:tc>
        <w:tc>
          <w:tcPr>
            <w:tcW w:w="174" w:type="dxa"/>
            <w:tcBorders>
              <w:bottom w:val="single" w:sz="6" w:space="0" w:color="000000"/>
            </w:tcBorders>
            <w:tcMar>
              <w:bottom w:w="125" w:type="dxa"/>
            </w:tcMar>
            <w:vAlign w:val="center"/>
          </w:tcPr>
          <w:p>
            <w:pPr>
              <w:pStyle w:val="TableContents"/>
              <w:bidi w:val="0"/>
              <w:spacing w:before="0" w:after="283"/>
              <w:jc w:val="right"/>
              <w:rPr/>
            </w:pPr>
            <w:r>
              <w:rPr/>
              <w:t>​</w:t>
            </w:r>
          </w:p>
        </w:tc>
        <w:tc>
          <w:tcPr>
            <w:tcW w:w="747" w:type="dxa"/>
            <w:tcBorders>
              <w:bottom w:val="single" w:sz="6" w:space="0" w:color="000000"/>
            </w:tcBorders>
            <w:tcMar>
              <w:bottom w:w="125" w:type="dxa"/>
            </w:tcMar>
            <w:vAlign w:val="center"/>
          </w:tcPr>
          <w:p>
            <w:pPr>
              <w:pStyle w:val="TableContents"/>
              <w:bidi w:val="0"/>
              <w:spacing w:before="0" w:after="283"/>
              <w:jc w:val="right"/>
              <w:rPr/>
            </w:pPr>
            <w:r>
              <w:rPr/>
              <w:t xml:space="preserve">— </w:t>
            </w:r>
          </w:p>
        </w:tc>
        <w:tc>
          <w:tcPr>
            <w:tcW w:w="175"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tcMar>
              <w:bottom w:w="125" w:type="dxa"/>
            </w:tcMar>
            <w:vAlign w:val="center"/>
          </w:tcPr>
          <w:p>
            <w:pPr>
              <w:pStyle w:val="TableContents"/>
              <w:bidi w:val="0"/>
              <w:spacing w:before="0" w:after="283"/>
              <w:jc w:val="right"/>
              <w:rPr/>
            </w:pPr>
            <w:r>
              <w:rPr/>
              <w:t>​</w:t>
            </w:r>
          </w:p>
        </w:tc>
        <w:tc>
          <w:tcPr>
            <w:tcW w:w="671" w:type="dxa"/>
            <w:tcBorders>
              <w:bottom w:val="single" w:sz="6" w:space="0" w:color="000000"/>
            </w:tcBorders>
            <w:tcMar>
              <w:bottom w:w="125" w:type="dxa"/>
            </w:tcMar>
            <w:vAlign w:val="center"/>
          </w:tcPr>
          <w:p>
            <w:pPr>
              <w:pStyle w:val="TableContents"/>
              <w:bidi w:val="0"/>
              <w:spacing w:before="0" w:after="283"/>
              <w:jc w:val="right"/>
              <w:rPr/>
            </w:pPr>
            <w:r>
              <w:rPr/>
              <w:t xml:space="preserve">* </w:t>
            </w:r>
          </w:p>
        </w:tc>
        <w:tc>
          <w:tcPr>
            <w:tcW w:w="110" w:type="dxa"/>
            <w:tcBorders>
              <w:bottom w:val="single" w:sz="6" w:space="0" w:color="000000"/>
            </w:tcBorders>
            <w:tcMar>
              <w:bottom w:w="28" w:type="dxa"/>
            </w:tcMar>
            <w:vAlign w:val="center"/>
          </w:tcPr>
          <w:p>
            <w:pPr>
              <w:pStyle w:val="TableContents"/>
              <w:bidi w:val="0"/>
              <w:spacing w:before="0" w:after="283"/>
              <w:jc w:val="left"/>
              <w:rPr/>
            </w:pPr>
            <w:r>
              <w:rPr/>
              <w:t>​</w:t>
            </w:r>
          </w:p>
        </w:tc>
        <w:tc>
          <w:tcPr>
            <w:tcW w:w="16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14" w:type="dxa"/>
            <w:tcBorders>
              <w:bottom w:val="single" w:sz="6" w:space="0" w:color="000000"/>
            </w:tcBorders>
            <w:shd w:fill="F7F7F7" w:val="clear"/>
            <w:tcMar>
              <w:bottom w:w="125" w:type="dxa"/>
            </w:tcMar>
            <w:vAlign w:val="center"/>
          </w:tcPr>
          <w:p>
            <w:pPr>
              <w:pStyle w:val="TableContents"/>
              <w:bidi w:val="0"/>
              <w:spacing w:before="0" w:after="283"/>
              <w:jc w:val="left"/>
              <w:rPr/>
            </w:pPr>
            <w:r>
              <w:rPr/>
              <w:t>Michael Bell</w:t>
            </w:r>
            <w:r>
              <w:rPr>
                <w:sz w:val="10"/>
              </w:rPr>
              <w:t>(7)</w:t>
            </w: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1498"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840,639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869"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 </w:t>
            </w:r>
          </w:p>
        </w:tc>
        <w:tc>
          <w:tcPr>
            <w:tcW w:w="14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2"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2"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954"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 </w:t>
            </w:r>
          </w:p>
        </w:tc>
        <w:tc>
          <w:tcPr>
            <w:tcW w:w="112"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7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74"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747"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 </w:t>
            </w:r>
          </w:p>
        </w:tc>
        <w:tc>
          <w:tcPr>
            <w:tcW w:w="17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671"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 </w:t>
            </w:r>
          </w:p>
        </w:tc>
        <w:tc>
          <w:tcPr>
            <w:tcW w:w="110"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6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414" w:type="dxa"/>
            <w:tcBorders>
              <w:bottom w:val="single" w:sz="6" w:space="0" w:color="000000"/>
            </w:tcBorders>
            <w:tcMar>
              <w:bottom w:w="125" w:type="dxa"/>
            </w:tcMar>
            <w:vAlign w:val="center"/>
          </w:tcPr>
          <w:p>
            <w:pPr>
              <w:pStyle w:val="TableContents"/>
              <w:bidi w:val="0"/>
              <w:spacing w:before="0" w:after="283"/>
              <w:jc w:val="left"/>
              <w:rPr/>
            </w:pPr>
            <w:r>
              <w:rPr/>
              <w:t>Sherry House</w:t>
            </w:r>
            <w:r>
              <w:rPr>
                <w:sz w:val="10"/>
              </w:rPr>
              <w:t>(8)</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25" w:type="dxa"/>
            </w:tcMar>
            <w:vAlign w:val="center"/>
          </w:tcPr>
          <w:p>
            <w:pPr>
              <w:pStyle w:val="TableContents"/>
              <w:bidi w:val="0"/>
              <w:spacing w:before="0" w:after="283"/>
              <w:jc w:val="right"/>
              <w:rPr/>
            </w:pPr>
            <w:r>
              <w:rPr/>
              <w:t>​</w:t>
            </w:r>
          </w:p>
        </w:tc>
        <w:tc>
          <w:tcPr>
            <w:tcW w:w="1498" w:type="dxa"/>
            <w:tcBorders>
              <w:bottom w:val="single" w:sz="6" w:space="0" w:color="000000"/>
            </w:tcBorders>
            <w:tcMar>
              <w:bottom w:w="125" w:type="dxa"/>
            </w:tcMar>
            <w:vAlign w:val="center"/>
          </w:tcPr>
          <w:p>
            <w:pPr>
              <w:pStyle w:val="TableContents"/>
              <w:bidi w:val="0"/>
              <w:spacing w:before="0" w:after="283"/>
              <w:jc w:val="right"/>
              <w:rPr/>
            </w:pPr>
            <w:r>
              <w:rPr/>
              <w:t xml:space="preserve">437,039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125" w:type="dxa"/>
            </w:tcMar>
            <w:vAlign w:val="center"/>
          </w:tcPr>
          <w:p>
            <w:pPr>
              <w:pStyle w:val="TableContents"/>
              <w:bidi w:val="0"/>
              <w:spacing w:before="0" w:after="283"/>
              <w:jc w:val="right"/>
              <w:rPr/>
            </w:pPr>
            <w:r>
              <w:rPr/>
              <w:t>​</w:t>
            </w:r>
          </w:p>
        </w:tc>
        <w:tc>
          <w:tcPr>
            <w:tcW w:w="869" w:type="dxa"/>
            <w:tcBorders>
              <w:bottom w:val="single" w:sz="6" w:space="0" w:color="000000"/>
            </w:tcBorders>
            <w:tcMar>
              <w:bottom w:w="125" w:type="dxa"/>
            </w:tcMar>
            <w:vAlign w:val="center"/>
          </w:tcPr>
          <w:p>
            <w:pPr>
              <w:pStyle w:val="TableContents"/>
              <w:bidi w:val="0"/>
              <w:spacing w:before="0" w:after="283"/>
              <w:jc w:val="right"/>
              <w:rPr/>
            </w:pPr>
            <w:r>
              <w:rPr/>
              <w:t xml:space="preserve">* </w:t>
            </w:r>
          </w:p>
        </w:tc>
        <w:tc>
          <w:tcPr>
            <w:tcW w:w="146"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2" w:type="dxa"/>
            <w:tcBorders>
              <w:bottom w:val="single" w:sz="6" w:space="0" w:color="000000"/>
            </w:tcBorders>
            <w:tcMar>
              <w:bottom w:w="28" w:type="dxa"/>
            </w:tcMar>
            <w:vAlign w:val="center"/>
          </w:tcPr>
          <w:p>
            <w:pPr>
              <w:pStyle w:val="TableContents"/>
              <w:bidi w:val="0"/>
              <w:spacing w:before="0" w:after="283"/>
              <w:jc w:val="left"/>
              <w:rPr/>
            </w:pPr>
            <w:r>
              <w:rPr/>
              <w:t>​</w:t>
            </w:r>
          </w:p>
        </w:tc>
        <w:tc>
          <w:tcPr>
            <w:tcW w:w="112" w:type="dxa"/>
            <w:tcBorders>
              <w:bottom w:val="single" w:sz="6" w:space="0" w:color="000000"/>
            </w:tcBorders>
            <w:tcMar>
              <w:bottom w:w="125" w:type="dxa"/>
            </w:tcMar>
            <w:vAlign w:val="center"/>
          </w:tcPr>
          <w:p>
            <w:pPr>
              <w:pStyle w:val="TableContents"/>
              <w:bidi w:val="0"/>
              <w:spacing w:before="0" w:after="283"/>
              <w:jc w:val="right"/>
              <w:rPr/>
            </w:pPr>
            <w:r>
              <w:rPr/>
              <w:t>​</w:t>
            </w:r>
          </w:p>
        </w:tc>
        <w:tc>
          <w:tcPr>
            <w:tcW w:w="954" w:type="dxa"/>
            <w:tcBorders>
              <w:bottom w:val="single" w:sz="6" w:space="0" w:color="000000"/>
            </w:tcBorders>
            <w:tcMar>
              <w:bottom w:w="125" w:type="dxa"/>
            </w:tcMar>
            <w:vAlign w:val="center"/>
          </w:tcPr>
          <w:p>
            <w:pPr>
              <w:pStyle w:val="TableContents"/>
              <w:bidi w:val="0"/>
              <w:spacing w:before="0" w:after="283"/>
              <w:jc w:val="right"/>
              <w:rPr/>
            </w:pPr>
            <w:r>
              <w:rPr/>
              <w:t xml:space="preserve">— </w:t>
            </w:r>
          </w:p>
        </w:tc>
        <w:tc>
          <w:tcPr>
            <w:tcW w:w="112"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74" w:type="dxa"/>
            <w:tcBorders>
              <w:bottom w:val="single" w:sz="6" w:space="0" w:color="000000"/>
            </w:tcBorders>
            <w:tcMar>
              <w:bottom w:w="28" w:type="dxa"/>
            </w:tcMar>
            <w:vAlign w:val="center"/>
          </w:tcPr>
          <w:p>
            <w:pPr>
              <w:pStyle w:val="TableContents"/>
              <w:bidi w:val="0"/>
              <w:spacing w:before="0" w:after="283"/>
              <w:jc w:val="left"/>
              <w:rPr/>
            </w:pPr>
            <w:r>
              <w:rPr/>
              <w:t>​</w:t>
            </w:r>
          </w:p>
        </w:tc>
        <w:tc>
          <w:tcPr>
            <w:tcW w:w="174" w:type="dxa"/>
            <w:tcBorders>
              <w:bottom w:val="single" w:sz="6" w:space="0" w:color="000000"/>
            </w:tcBorders>
            <w:tcMar>
              <w:bottom w:w="125" w:type="dxa"/>
            </w:tcMar>
            <w:vAlign w:val="center"/>
          </w:tcPr>
          <w:p>
            <w:pPr>
              <w:pStyle w:val="TableContents"/>
              <w:bidi w:val="0"/>
              <w:spacing w:before="0" w:after="283"/>
              <w:jc w:val="right"/>
              <w:rPr/>
            </w:pPr>
            <w:r>
              <w:rPr/>
              <w:t>​</w:t>
            </w:r>
          </w:p>
        </w:tc>
        <w:tc>
          <w:tcPr>
            <w:tcW w:w="747" w:type="dxa"/>
            <w:tcBorders>
              <w:bottom w:val="single" w:sz="6" w:space="0" w:color="000000"/>
            </w:tcBorders>
            <w:tcMar>
              <w:bottom w:w="125" w:type="dxa"/>
            </w:tcMar>
            <w:vAlign w:val="center"/>
          </w:tcPr>
          <w:p>
            <w:pPr>
              <w:pStyle w:val="TableContents"/>
              <w:bidi w:val="0"/>
              <w:spacing w:before="0" w:after="283"/>
              <w:jc w:val="right"/>
              <w:rPr/>
            </w:pPr>
            <w:r>
              <w:rPr/>
              <w:t xml:space="preserve">— </w:t>
            </w:r>
          </w:p>
        </w:tc>
        <w:tc>
          <w:tcPr>
            <w:tcW w:w="175"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tcMar>
              <w:bottom w:w="125" w:type="dxa"/>
            </w:tcMar>
            <w:vAlign w:val="center"/>
          </w:tcPr>
          <w:p>
            <w:pPr>
              <w:pStyle w:val="TableContents"/>
              <w:bidi w:val="0"/>
              <w:spacing w:before="0" w:after="283"/>
              <w:jc w:val="right"/>
              <w:rPr/>
            </w:pPr>
            <w:r>
              <w:rPr/>
              <w:t>​</w:t>
            </w:r>
          </w:p>
        </w:tc>
        <w:tc>
          <w:tcPr>
            <w:tcW w:w="671" w:type="dxa"/>
            <w:tcBorders>
              <w:bottom w:val="single" w:sz="6" w:space="0" w:color="000000"/>
            </w:tcBorders>
            <w:tcMar>
              <w:bottom w:w="125" w:type="dxa"/>
            </w:tcMar>
            <w:vAlign w:val="center"/>
          </w:tcPr>
          <w:p>
            <w:pPr>
              <w:pStyle w:val="TableContents"/>
              <w:bidi w:val="0"/>
              <w:spacing w:before="0" w:after="283"/>
              <w:jc w:val="right"/>
              <w:rPr/>
            </w:pPr>
            <w:r>
              <w:rPr/>
              <w:t xml:space="preserve">* </w:t>
            </w:r>
          </w:p>
        </w:tc>
        <w:tc>
          <w:tcPr>
            <w:tcW w:w="110" w:type="dxa"/>
            <w:tcBorders>
              <w:bottom w:val="single" w:sz="6" w:space="0" w:color="000000"/>
            </w:tcBorders>
            <w:tcMar>
              <w:bottom w:w="28" w:type="dxa"/>
            </w:tcMar>
            <w:vAlign w:val="center"/>
          </w:tcPr>
          <w:p>
            <w:pPr>
              <w:pStyle w:val="TableContents"/>
              <w:bidi w:val="0"/>
              <w:spacing w:before="0" w:after="283"/>
              <w:jc w:val="left"/>
              <w:rPr/>
            </w:pPr>
            <w:r>
              <w:rPr/>
              <w:t>​</w:t>
            </w:r>
          </w:p>
        </w:tc>
        <w:tc>
          <w:tcPr>
            <w:tcW w:w="16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14" w:type="dxa"/>
            <w:tcBorders>
              <w:bottom w:val="single" w:sz="6" w:space="0" w:color="000000"/>
            </w:tcBorders>
            <w:shd w:fill="F7F7F7" w:val="clear"/>
            <w:tcMar>
              <w:bottom w:w="125" w:type="dxa"/>
            </w:tcMar>
            <w:vAlign w:val="center"/>
          </w:tcPr>
          <w:p>
            <w:pPr>
              <w:pStyle w:val="TableContents"/>
              <w:bidi w:val="0"/>
              <w:spacing w:before="0" w:after="283"/>
              <w:jc w:val="left"/>
              <w:rPr/>
            </w:pPr>
            <w:r>
              <w:rPr/>
              <w:t>Turqi Alnowaiser</w:t>
            </w:r>
            <w:r>
              <w:rPr>
                <w:sz w:val="10"/>
              </w:rPr>
              <w:t>(9)</w:t>
            </w: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1498"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1,368,777,406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869"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59.33% </w:t>
            </w:r>
          </w:p>
        </w:tc>
        <w:tc>
          <w:tcPr>
            <w:tcW w:w="14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2"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2"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954"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100,000 </w:t>
            </w:r>
          </w:p>
        </w:tc>
        <w:tc>
          <w:tcPr>
            <w:tcW w:w="112"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7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74"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747"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100% </w:t>
            </w:r>
          </w:p>
        </w:tc>
        <w:tc>
          <w:tcPr>
            <w:tcW w:w="17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671"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63.71% </w:t>
            </w:r>
          </w:p>
        </w:tc>
        <w:tc>
          <w:tcPr>
            <w:tcW w:w="110"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6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414" w:type="dxa"/>
            <w:tcBorders>
              <w:bottom w:val="single" w:sz="6" w:space="0" w:color="000000"/>
            </w:tcBorders>
            <w:tcMar>
              <w:bottom w:w="125" w:type="dxa"/>
            </w:tcMar>
            <w:vAlign w:val="center"/>
          </w:tcPr>
          <w:p>
            <w:pPr>
              <w:pStyle w:val="TableContents"/>
              <w:bidi w:val="0"/>
              <w:spacing w:before="0" w:after="283"/>
              <w:jc w:val="left"/>
              <w:rPr/>
            </w:pPr>
            <w:r>
              <w:rPr/>
              <w:t>Glenn R. August</w:t>
            </w:r>
            <w:r>
              <w:rPr>
                <w:sz w:val="10"/>
              </w:rPr>
              <w:t>(10)</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25" w:type="dxa"/>
            </w:tcMar>
            <w:vAlign w:val="center"/>
          </w:tcPr>
          <w:p>
            <w:pPr>
              <w:pStyle w:val="TableContents"/>
              <w:bidi w:val="0"/>
              <w:spacing w:before="0" w:after="283"/>
              <w:jc w:val="right"/>
              <w:rPr/>
            </w:pPr>
            <w:r>
              <w:rPr/>
              <w:t>​</w:t>
            </w:r>
          </w:p>
        </w:tc>
        <w:tc>
          <w:tcPr>
            <w:tcW w:w="1498" w:type="dxa"/>
            <w:tcBorders>
              <w:bottom w:val="single" w:sz="6" w:space="0" w:color="000000"/>
            </w:tcBorders>
            <w:tcMar>
              <w:bottom w:w="125" w:type="dxa"/>
            </w:tcMar>
            <w:vAlign w:val="center"/>
          </w:tcPr>
          <w:p>
            <w:pPr>
              <w:pStyle w:val="TableContents"/>
              <w:bidi w:val="0"/>
              <w:spacing w:before="0" w:after="283"/>
              <w:jc w:val="right"/>
              <w:rPr/>
            </w:pPr>
            <w:r>
              <w:rPr/>
              <w:t xml:space="preserve">13,917,953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125" w:type="dxa"/>
            </w:tcMar>
            <w:vAlign w:val="center"/>
          </w:tcPr>
          <w:p>
            <w:pPr>
              <w:pStyle w:val="TableContents"/>
              <w:bidi w:val="0"/>
              <w:spacing w:before="0" w:after="283"/>
              <w:jc w:val="right"/>
              <w:rPr/>
            </w:pPr>
            <w:r>
              <w:rPr/>
              <w:t>​</w:t>
            </w:r>
          </w:p>
        </w:tc>
        <w:tc>
          <w:tcPr>
            <w:tcW w:w="869" w:type="dxa"/>
            <w:tcBorders>
              <w:bottom w:val="single" w:sz="6" w:space="0" w:color="000000"/>
            </w:tcBorders>
            <w:tcMar>
              <w:bottom w:w="125" w:type="dxa"/>
            </w:tcMar>
            <w:vAlign w:val="center"/>
          </w:tcPr>
          <w:p>
            <w:pPr>
              <w:pStyle w:val="TableContents"/>
              <w:bidi w:val="0"/>
              <w:spacing w:before="0" w:after="283"/>
              <w:jc w:val="right"/>
              <w:rPr/>
            </w:pPr>
            <w:r>
              <w:rPr/>
              <w:t xml:space="preserve">* </w:t>
            </w:r>
          </w:p>
        </w:tc>
        <w:tc>
          <w:tcPr>
            <w:tcW w:w="146"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2" w:type="dxa"/>
            <w:tcBorders>
              <w:bottom w:val="single" w:sz="6" w:space="0" w:color="000000"/>
            </w:tcBorders>
            <w:tcMar>
              <w:bottom w:w="28" w:type="dxa"/>
            </w:tcMar>
            <w:vAlign w:val="center"/>
          </w:tcPr>
          <w:p>
            <w:pPr>
              <w:pStyle w:val="TableContents"/>
              <w:bidi w:val="0"/>
              <w:spacing w:before="0" w:after="283"/>
              <w:jc w:val="left"/>
              <w:rPr/>
            </w:pPr>
            <w:r>
              <w:rPr/>
              <w:t>​</w:t>
            </w:r>
          </w:p>
        </w:tc>
        <w:tc>
          <w:tcPr>
            <w:tcW w:w="112" w:type="dxa"/>
            <w:tcBorders>
              <w:bottom w:val="single" w:sz="6" w:space="0" w:color="000000"/>
            </w:tcBorders>
            <w:tcMar>
              <w:bottom w:w="125" w:type="dxa"/>
            </w:tcMar>
            <w:vAlign w:val="center"/>
          </w:tcPr>
          <w:p>
            <w:pPr>
              <w:pStyle w:val="TableContents"/>
              <w:bidi w:val="0"/>
              <w:spacing w:before="0" w:after="283"/>
              <w:jc w:val="right"/>
              <w:rPr/>
            </w:pPr>
            <w:r>
              <w:rPr/>
              <w:t>​</w:t>
            </w:r>
          </w:p>
        </w:tc>
        <w:tc>
          <w:tcPr>
            <w:tcW w:w="954" w:type="dxa"/>
            <w:tcBorders>
              <w:bottom w:val="single" w:sz="6" w:space="0" w:color="000000"/>
            </w:tcBorders>
            <w:tcMar>
              <w:bottom w:w="125" w:type="dxa"/>
            </w:tcMar>
            <w:vAlign w:val="center"/>
          </w:tcPr>
          <w:p>
            <w:pPr>
              <w:pStyle w:val="TableContents"/>
              <w:bidi w:val="0"/>
              <w:spacing w:before="0" w:after="283"/>
              <w:jc w:val="right"/>
              <w:rPr/>
            </w:pPr>
            <w:r>
              <w:rPr/>
              <w:t xml:space="preserve">— </w:t>
            </w:r>
          </w:p>
        </w:tc>
        <w:tc>
          <w:tcPr>
            <w:tcW w:w="112"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74" w:type="dxa"/>
            <w:tcBorders>
              <w:bottom w:val="single" w:sz="6" w:space="0" w:color="000000"/>
            </w:tcBorders>
            <w:tcMar>
              <w:bottom w:w="28" w:type="dxa"/>
            </w:tcMar>
            <w:vAlign w:val="center"/>
          </w:tcPr>
          <w:p>
            <w:pPr>
              <w:pStyle w:val="TableContents"/>
              <w:bidi w:val="0"/>
              <w:spacing w:before="0" w:after="283"/>
              <w:jc w:val="left"/>
              <w:rPr/>
            </w:pPr>
            <w:r>
              <w:rPr/>
              <w:t>​</w:t>
            </w:r>
          </w:p>
        </w:tc>
        <w:tc>
          <w:tcPr>
            <w:tcW w:w="174" w:type="dxa"/>
            <w:tcBorders>
              <w:bottom w:val="single" w:sz="6" w:space="0" w:color="000000"/>
            </w:tcBorders>
            <w:tcMar>
              <w:bottom w:w="125" w:type="dxa"/>
            </w:tcMar>
            <w:vAlign w:val="center"/>
          </w:tcPr>
          <w:p>
            <w:pPr>
              <w:pStyle w:val="TableContents"/>
              <w:bidi w:val="0"/>
              <w:spacing w:before="0" w:after="283"/>
              <w:jc w:val="right"/>
              <w:rPr/>
            </w:pPr>
            <w:r>
              <w:rPr/>
              <w:t>​</w:t>
            </w:r>
          </w:p>
        </w:tc>
        <w:tc>
          <w:tcPr>
            <w:tcW w:w="747" w:type="dxa"/>
            <w:tcBorders>
              <w:bottom w:val="single" w:sz="6" w:space="0" w:color="000000"/>
            </w:tcBorders>
            <w:tcMar>
              <w:bottom w:w="125" w:type="dxa"/>
            </w:tcMar>
            <w:vAlign w:val="center"/>
          </w:tcPr>
          <w:p>
            <w:pPr>
              <w:pStyle w:val="TableContents"/>
              <w:bidi w:val="0"/>
              <w:spacing w:before="0" w:after="283"/>
              <w:jc w:val="right"/>
              <w:rPr/>
            </w:pPr>
            <w:r>
              <w:rPr/>
              <w:t xml:space="preserve">— </w:t>
            </w:r>
          </w:p>
        </w:tc>
        <w:tc>
          <w:tcPr>
            <w:tcW w:w="175"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tcMar>
              <w:bottom w:w="125" w:type="dxa"/>
            </w:tcMar>
            <w:vAlign w:val="center"/>
          </w:tcPr>
          <w:p>
            <w:pPr>
              <w:pStyle w:val="TableContents"/>
              <w:bidi w:val="0"/>
              <w:spacing w:before="0" w:after="283"/>
              <w:jc w:val="right"/>
              <w:rPr/>
            </w:pPr>
            <w:r>
              <w:rPr/>
              <w:t>​</w:t>
            </w:r>
          </w:p>
        </w:tc>
        <w:tc>
          <w:tcPr>
            <w:tcW w:w="671" w:type="dxa"/>
            <w:tcBorders>
              <w:bottom w:val="single" w:sz="6" w:space="0" w:color="000000"/>
            </w:tcBorders>
            <w:tcMar>
              <w:bottom w:w="125" w:type="dxa"/>
            </w:tcMar>
            <w:vAlign w:val="center"/>
          </w:tcPr>
          <w:p>
            <w:pPr>
              <w:pStyle w:val="TableContents"/>
              <w:bidi w:val="0"/>
              <w:spacing w:before="0" w:after="283"/>
              <w:jc w:val="right"/>
              <w:rPr/>
            </w:pPr>
            <w:r>
              <w:rPr/>
              <w:t xml:space="preserve">* </w:t>
            </w:r>
          </w:p>
        </w:tc>
        <w:tc>
          <w:tcPr>
            <w:tcW w:w="110" w:type="dxa"/>
            <w:tcBorders>
              <w:bottom w:val="single" w:sz="6" w:space="0" w:color="000000"/>
            </w:tcBorders>
            <w:tcMar>
              <w:bottom w:w="28" w:type="dxa"/>
            </w:tcMar>
            <w:vAlign w:val="center"/>
          </w:tcPr>
          <w:p>
            <w:pPr>
              <w:pStyle w:val="TableContents"/>
              <w:bidi w:val="0"/>
              <w:spacing w:before="0" w:after="283"/>
              <w:jc w:val="left"/>
              <w:rPr/>
            </w:pPr>
            <w:r>
              <w:rPr/>
              <w:t>​</w:t>
            </w:r>
          </w:p>
        </w:tc>
        <w:tc>
          <w:tcPr>
            <w:tcW w:w="16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14" w:type="dxa"/>
            <w:tcBorders>
              <w:bottom w:val="single" w:sz="6" w:space="0" w:color="000000"/>
            </w:tcBorders>
            <w:shd w:fill="F7F7F7" w:val="clear"/>
            <w:tcMar>
              <w:bottom w:w="125" w:type="dxa"/>
            </w:tcMar>
            <w:vAlign w:val="center"/>
          </w:tcPr>
          <w:p>
            <w:pPr>
              <w:pStyle w:val="TableContents"/>
              <w:bidi w:val="0"/>
              <w:spacing w:before="0" w:after="283"/>
              <w:jc w:val="left"/>
              <w:rPr/>
            </w:pPr>
            <w:r>
              <w:rPr/>
              <w:t>Nancy Gioia, former director</w:t>
            </w:r>
            <w:r>
              <w:rPr>
                <w:sz w:val="10"/>
              </w:rPr>
              <w:t>(11)</w:t>
            </w: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1498"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13,561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869"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 </w:t>
            </w:r>
          </w:p>
        </w:tc>
        <w:tc>
          <w:tcPr>
            <w:tcW w:w="14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2"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2"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954"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 </w:t>
            </w:r>
          </w:p>
        </w:tc>
        <w:tc>
          <w:tcPr>
            <w:tcW w:w="112"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7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74"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747"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 </w:t>
            </w:r>
          </w:p>
        </w:tc>
        <w:tc>
          <w:tcPr>
            <w:tcW w:w="17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671"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 </w:t>
            </w:r>
          </w:p>
        </w:tc>
        <w:tc>
          <w:tcPr>
            <w:tcW w:w="110"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6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414" w:type="dxa"/>
            <w:tcBorders>
              <w:bottom w:val="single" w:sz="6" w:space="0" w:color="000000"/>
            </w:tcBorders>
            <w:tcMar>
              <w:bottom w:w="125" w:type="dxa"/>
            </w:tcMar>
            <w:vAlign w:val="center"/>
          </w:tcPr>
          <w:p>
            <w:pPr>
              <w:pStyle w:val="TableContents"/>
              <w:bidi w:val="0"/>
              <w:spacing w:before="0" w:after="283"/>
              <w:jc w:val="left"/>
              <w:rPr/>
            </w:pPr>
            <w:r>
              <w:rPr/>
              <w:t>Frank Lindenberg, former director</w:t>
            </w:r>
            <w:r>
              <w:rPr>
                <w:sz w:val="10"/>
              </w:rPr>
              <w:t>(12)</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25" w:type="dxa"/>
            </w:tcMar>
            <w:vAlign w:val="center"/>
          </w:tcPr>
          <w:p>
            <w:pPr>
              <w:pStyle w:val="TableContents"/>
              <w:bidi w:val="0"/>
              <w:spacing w:before="0" w:after="283"/>
              <w:jc w:val="right"/>
              <w:rPr/>
            </w:pPr>
            <w:r>
              <w:rPr/>
              <w:t>​</w:t>
            </w:r>
          </w:p>
        </w:tc>
        <w:tc>
          <w:tcPr>
            <w:tcW w:w="1498" w:type="dxa"/>
            <w:tcBorders>
              <w:bottom w:val="single" w:sz="6" w:space="0" w:color="000000"/>
            </w:tcBorders>
            <w:tcMar>
              <w:bottom w:w="125" w:type="dxa"/>
            </w:tcMar>
            <w:vAlign w:val="center"/>
          </w:tcPr>
          <w:p>
            <w:pPr>
              <w:pStyle w:val="TableContents"/>
              <w:bidi w:val="0"/>
              <w:spacing w:before="0" w:after="283"/>
              <w:jc w:val="right"/>
              <w:rPr/>
            </w:pPr>
            <w:r>
              <w:rPr/>
              <w:t xml:space="preserve">12,503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tcMar>
              <w:bottom w:w="125" w:type="dxa"/>
            </w:tcMar>
            <w:vAlign w:val="center"/>
          </w:tcPr>
          <w:p>
            <w:pPr>
              <w:pStyle w:val="TableContents"/>
              <w:bidi w:val="0"/>
              <w:spacing w:before="0" w:after="283"/>
              <w:jc w:val="right"/>
              <w:rPr/>
            </w:pPr>
            <w:r>
              <w:rPr/>
              <w:t>​</w:t>
            </w:r>
          </w:p>
        </w:tc>
        <w:tc>
          <w:tcPr>
            <w:tcW w:w="869" w:type="dxa"/>
            <w:tcBorders>
              <w:bottom w:val="single" w:sz="6" w:space="0" w:color="000000"/>
            </w:tcBorders>
            <w:tcMar>
              <w:bottom w:w="125" w:type="dxa"/>
            </w:tcMar>
            <w:vAlign w:val="center"/>
          </w:tcPr>
          <w:p>
            <w:pPr>
              <w:pStyle w:val="TableContents"/>
              <w:bidi w:val="0"/>
              <w:spacing w:before="0" w:after="283"/>
              <w:jc w:val="right"/>
              <w:rPr/>
            </w:pPr>
            <w:r>
              <w:rPr/>
              <w:t xml:space="preserve">* </w:t>
            </w:r>
          </w:p>
        </w:tc>
        <w:tc>
          <w:tcPr>
            <w:tcW w:w="146"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2" w:type="dxa"/>
            <w:tcBorders>
              <w:bottom w:val="single" w:sz="6" w:space="0" w:color="000000"/>
            </w:tcBorders>
            <w:tcMar>
              <w:bottom w:w="28" w:type="dxa"/>
            </w:tcMar>
            <w:vAlign w:val="center"/>
          </w:tcPr>
          <w:p>
            <w:pPr>
              <w:pStyle w:val="TableContents"/>
              <w:bidi w:val="0"/>
              <w:spacing w:before="0" w:after="283"/>
              <w:jc w:val="left"/>
              <w:rPr/>
            </w:pPr>
            <w:r>
              <w:rPr/>
              <w:t>​</w:t>
            </w:r>
          </w:p>
        </w:tc>
        <w:tc>
          <w:tcPr>
            <w:tcW w:w="112" w:type="dxa"/>
            <w:tcBorders>
              <w:bottom w:val="single" w:sz="6" w:space="0" w:color="000000"/>
            </w:tcBorders>
            <w:tcMar>
              <w:bottom w:w="125" w:type="dxa"/>
            </w:tcMar>
            <w:vAlign w:val="center"/>
          </w:tcPr>
          <w:p>
            <w:pPr>
              <w:pStyle w:val="TableContents"/>
              <w:bidi w:val="0"/>
              <w:spacing w:before="0" w:after="283"/>
              <w:jc w:val="right"/>
              <w:rPr/>
            </w:pPr>
            <w:r>
              <w:rPr/>
              <w:t>​</w:t>
            </w:r>
          </w:p>
        </w:tc>
        <w:tc>
          <w:tcPr>
            <w:tcW w:w="954" w:type="dxa"/>
            <w:tcBorders>
              <w:bottom w:val="single" w:sz="6" w:space="0" w:color="000000"/>
            </w:tcBorders>
            <w:tcMar>
              <w:bottom w:w="125" w:type="dxa"/>
            </w:tcMar>
            <w:vAlign w:val="center"/>
          </w:tcPr>
          <w:p>
            <w:pPr>
              <w:pStyle w:val="TableContents"/>
              <w:bidi w:val="0"/>
              <w:spacing w:before="0" w:after="283"/>
              <w:jc w:val="right"/>
              <w:rPr/>
            </w:pPr>
            <w:r>
              <w:rPr/>
              <w:t xml:space="preserve">— </w:t>
            </w:r>
          </w:p>
        </w:tc>
        <w:tc>
          <w:tcPr>
            <w:tcW w:w="112"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74" w:type="dxa"/>
            <w:tcBorders>
              <w:bottom w:val="single" w:sz="6" w:space="0" w:color="000000"/>
            </w:tcBorders>
            <w:tcMar>
              <w:bottom w:w="28" w:type="dxa"/>
            </w:tcMar>
            <w:vAlign w:val="center"/>
          </w:tcPr>
          <w:p>
            <w:pPr>
              <w:pStyle w:val="TableContents"/>
              <w:bidi w:val="0"/>
              <w:spacing w:before="0" w:after="283"/>
              <w:jc w:val="left"/>
              <w:rPr/>
            </w:pPr>
            <w:r>
              <w:rPr/>
              <w:t>​</w:t>
            </w:r>
          </w:p>
        </w:tc>
        <w:tc>
          <w:tcPr>
            <w:tcW w:w="174" w:type="dxa"/>
            <w:tcBorders>
              <w:bottom w:val="single" w:sz="6" w:space="0" w:color="000000"/>
            </w:tcBorders>
            <w:tcMar>
              <w:bottom w:w="125" w:type="dxa"/>
            </w:tcMar>
            <w:vAlign w:val="center"/>
          </w:tcPr>
          <w:p>
            <w:pPr>
              <w:pStyle w:val="TableContents"/>
              <w:bidi w:val="0"/>
              <w:spacing w:before="0" w:after="283"/>
              <w:jc w:val="right"/>
              <w:rPr/>
            </w:pPr>
            <w:r>
              <w:rPr/>
              <w:t>​</w:t>
            </w:r>
          </w:p>
        </w:tc>
        <w:tc>
          <w:tcPr>
            <w:tcW w:w="747" w:type="dxa"/>
            <w:tcBorders>
              <w:bottom w:val="single" w:sz="6" w:space="0" w:color="000000"/>
            </w:tcBorders>
            <w:tcMar>
              <w:bottom w:w="125" w:type="dxa"/>
            </w:tcMar>
            <w:vAlign w:val="center"/>
          </w:tcPr>
          <w:p>
            <w:pPr>
              <w:pStyle w:val="TableContents"/>
              <w:bidi w:val="0"/>
              <w:spacing w:before="0" w:after="283"/>
              <w:jc w:val="right"/>
              <w:rPr/>
            </w:pPr>
            <w:r>
              <w:rPr/>
              <w:t xml:space="preserve">— </w:t>
            </w:r>
          </w:p>
        </w:tc>
        <w:tc>
          <w:tcPr>
            <w:tcW w:w="175"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tcMar>
              <w:bottom w:w="125" w:type="dxa"/>
            </w:tcMar>
            <w:vAlign w:val="center"/>
          </w:tcPr>
          <w:p>
            <w:pPr>
              <w:pStyle w:val="TableContents"/>
              <w:bidi w:val="0"/>
              <w:spacing w:before="0" w:after="283"/>
              <w:jc w:val="right"/>
              <w:rPr/>
            </w:pPr>
            <w:r>
              <w:rPr/>
              <w:t>​</w:t>
            </w:r>
          </w:p>
        </w:tc>
        <w:tc>
          <w:tcPr>
            <w:tcW w:w="671" w:type="dxa"/>
            <w:tcBorders>
              <w:bottom w:val="single" w:sz="6" w:space="0" w:color="000000"/>
            </w:tcBorders>
            <w:tcMar>
              <w:bottom w:w="125" w:type="dxa"/>
            </w:tcMar>
            <w:vAlign w:val="center"/>
          </w:tcPr>
          <w:p>
            <w:pPr>
              <w:pStyle w:val="TableContents"/>
              <w:bidi w:val="0"/>
              <w:spacing w:before="0" w:after="283"/>
              <w:jc w:val="right"/>
              <w:rPr/>
            </w:pPr>
            <w:r>
              <w:rPr/>
              <w:t xml:space="preserve">* </w:t>
            </w:r>
          </w:p>
        </w:tc>
        <w:tc>
          <w:tcPr>
            <w:tcW w:w="110" w:type="dxa"/>
            <w:tcBorders>
              <w:bottom w:val="single" w:sz="6" w:space="0" w:color="000000"/>
            </w:tcBorders>
            <w:tcMar>
              <w:bottom w:w="28" w:type="dxa"/>
            </w:tcMar>
            <w:vAlign w:val="center"/>
          </w:tcPr>
          <w:p>
            <w:pPr>
              <w:pStyle w:val="TableContents"/>
              <w:bidi w:val="0"/>
              <w:spacing w:before="0" w:after="283"/>
              <w:jc w:val="left"/>
              <w:rPr/>
            </w:pPr>
            <w:r>
              <w:rPr/>
              <w:t>​</w:t>
            </w:r>
          </w:p>
        </w:tc>
        <w:tc>
          <w:tcPr>
            <w:tcW w:w="166"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14" w:type="dxa"/>
            <w:tcBorders>
              <w:bottom w:val="single" w:sz="6" w:space="0" w:color="000000"/>
            </w:tcBorders>
            <w:shd w:fill="F7F7F7" w:val="clear"/>
            <w:tcMar>
              <w:bottom w:w="125" w:type="dxa"/>
            </w:tcMar>
            <w:vAlign w:val="center"/>
          </w:tcPr>
          <w:p>
            <w:pPr>
              <w:pStyle w:val="TableContents"/>
              <w:bidi w:val="0"/>
              <w:spacing w:before="0" w:after="283"/>
              <w:jc w:val="left"/>
              <w:rPr/>
            </w:pPr>
            <w:r>
              <w:rPr/>
              <w:t>Andrew Liveris</w:t>
            </w:r>
            <w:r>
              <w:rPr>
                <w:sz w:val="10"/>
              </w:rPr>
              <w:t>(13)</w:t>
            </w: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1498"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1,358,001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5"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869"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 </w:t>
            </w:r>
          </w:p>
        </w:tc>
        <w:tc>
          <w:tcPr>
            <w:tcW w:w="14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2"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2"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954"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 </w:t>
            </w:r>
          </w:p>
        </w:tc>
        <w:tc>
          <w:tcPr>
            <w:tcW w:w="112"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7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74"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747"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 </w:t>
            </w:r>
          </w:p>
        </w:tc>
        <w:tc>
          <w:tcPr>
            <w:tcW w:w="175"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671"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 </w:t>
            </w:r>
          </w:p>
        </w:tc>
        <w:tc>
          <w:tcPr>
            <w:tcW w:w="110"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66"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bl>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75</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558" w:type="dxa"/>
        <w:jc w:val="left"/>
        <w:tblInd w:w="720" w:type="dxa"/>
        <w:tblLayout w:type="fixed"/>
        <w:tblCellMar>
          <w:top w:w="0" w:type="dxa"/>
          <w:left w:w="0" w:type="dxa"/>
          <w:bottom w:w="0" w:type="dxa"/>
          <w:right w:w="0" w:type="dxa"/>
        </w:tblCellMar>
      </w:tblPr>
      <w:tblGrid>
        <w:gridCol w:w="124"/>
        <w:gridCol w:w="1636"/>
        <w:gridCol w:w="109"/>
        <w:gridCol w:w="109"/>
        <w:gridCol w:w="109"/>
        <w:gridCol w:w="109"/>
        <w:gridCol w:w="1486"/>
        <w:gridCol w:w="109"/>
        <w:gridCol w:w="109"/>
        <w:gridCol w:w="109"/>
        <w:gridCol w:w="141"/>
        <w:gridCol w:w="141"/>
        <w:gridCol w:w="837"/>
        <w:gridCol w:w="142"/>
        <w:gridCol w:w="109"/>
        <w:gridCol w:w="109"/>
        <w:gridCol w:w="109"/>
        <w:gridCol w:w="109"/>
        <w:gridCol w:w="919"/>
        <w:gridCol w:w="109"/>
        <w:gridCol w:w="109"/>
        <w:gridCol w:w="109"/>
        <w:gridCol w:w="173"/>
        <w:gridCol w:w="173"/>
        <w:gridCol w:w="741"/>
        <w:gridCol w:w="174"/>
        <w:gridCol w:w="109"/>
        <w:gridCol w:w="109"/>
        <w:gridCol w:w="109"/>
        <w:gridCol w:w="109"/>
        <w:gridCol w:w="646"/>
        <w:gridCol w:w="109"/>
        <w:gridCol w:w="154"/>
      </w:tblGrid>
      <w:tr>
        <w:trPr/>
        <w:tc>
          <w:tcPr>
            <w:tcW w:w="124" w:type="dxa"/>
            <w:vMerge w:val="restart"/>
            <w:tcBorders/>
            <w:shd w:fill="000000" w:val="clear"/>
            <w:vAlign w:val="center"/>
          </w:tcPr>
          <w:p>
            <w:pPr>
              <w:pStyle w:val="TableContents"/>
              <w:bidi w:val="0"/>
              <w:spacing w:before="0" w:after="283"/>
              <w:jc w:val="left"/>
              <w:rPr/>
            </w:pPr>
            <w:r>
              <w:rPr/>
              <w:t>​</w:t>
            </w:r>
          </w:p>
        </w:tc>
        <w:tc>
          <w:tcPr>
            <w:tcW w:w="1636" w:type="dxa"/>
            <w:vMerge w:val="restart"/>
            <w:tcBorders/>
            <w:shd w:fill="000000" w:val="clear"/>
            <w:vAlign w:val="center"/>
          </w:tcPr>
          <w:p>
            <w:pPr>
              <w:pStyle w:val="TableContents"/>
              <w:bidi w:val="0"/>
              <w:spacing w:lineRule="atLeast" w:line="142" w:before="0" w:after="0"/>
              <w:jc w:val="left"/>
              <w:rPr/>
            </w:pPr>
            <w:r>
              <w:rPr/>
              <w:t>Name of Beneficial Owner</w:t>
            </w:r>
            <w:r>
              <w:rPr>
                <w:sz w:val="9"/>
              </w:rPr>
              <w:t>(1)</w:t>
            </w:r>
            <w:r>
              <w:rPr/>
              <w:t xml:space="preserve"> </w:t>
            </w:r>
          </w:p>
        </w:tc>
        <w:tc>
          <w:tcPr>
            <w:tcW w:w="109" w:type="dxa"/>
            <w:vMerge w:val="restart"/>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3292" w:type="dxa"/>
            <w:gridSpan w:val="10"/>
            <w:tcBorders>
              <w:bottom w:val="single" w:sz="2" w:space="0" w:color="FEFEFE"/>
            </w:tcBorders>
            <w:shd w:fill="000000" w:val="clear"/>
            <w:tcMar>
              <w:bottom w:w="140" w:type="dxa"/>
            </w:tcMar>
            <w:vAlign w:val="center"/>
          </w:tcPr>
          <w:p>
            <w:pPr>
              <w:pStyle w:val="TableContents"/>
              <w:bidi w:val="0"/>
              <w:spacing w:before="0" w:after="0"/>
              <w:jc w:val="center"/>
              <w:rPr/>
            </w:pPr>
            <w:r>
              <w:rPr/>
              <w:t xml:space="preserve">Common Stock </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2725" w:type="dxa"/>
            <w:gridSpan w:val="10"/>
            <w:tcBorders>
              <w:bottom w:val="single" w:sz="2" w:space="0" w:color="FEFEFE"/>
            </w:tcBorders>
            <w:shd w:fill="000000" w:val="clear"/>
            <w:tcMar>
              <w:bottom w:w="140" w:type="dxa"/>
            </w:tcMar>
            <w:vAlign w:val="center"/>
          </w:tcPr>
          <w:p>
            <w:pPr>
              <w:pStyle w:val="TableContents"/>
              <w:bidi w:val="0"/>
              <w:spacing w:before="0" w:after="0"/>
              <w:jc w:val="center"/>
              <w:rPr/>
            </w:pPr>
            <w:r>
              <w:rPr/>
              <w:t xml:space="preserve">Preferred Stock </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vMerge w:val="restart"/>
            <w:tcBorders/>
            <w:shd w:fill="000000" w:val="clear"/>
            <w:vAlign w:val="center"/>
          </w:tcPr>
          <w:p>
            <w:pPr>
              <w:pStyle w:val="TableContents"/>
              <w:bidi w:val="0"/>
              <w:spacing w:before="0" w:after="283"/>
              <w:jc w:val="left"/>
              <w:rPr/>
            </w:pPr>
            <w:r>
              <w:rPr/>
              <w:t>​</w:t>
            </w:r>
          </w:p>
        </w:tc>
        <w:tc>
          <w:tcPr>
            <w:tcW w:w="973" w:type="dxa"/>
            <w:gridSpan w:val="4"/>
            <w:vMerge w:val="restart"/>
            <w:tcBorders/>
            <w:shd w:fill="000000" w:val="clear"/>
            <w:vAlign w:val="center"/>
          </w:tcPr>
          <w:p>
            <w:pPr>
              <w:pStyle w:val="TableContents"/>
              <w:bidi w:val="0"/>
              <w:spacing w:lineRule="atLeast" w:line="160" w:before="0" w:after="0"/>
              <w:jc w:val="center"/>
              <w:rPr/>
            </w:pPr>
            <w:r>
              <w:rPr/>
              <w:t xml:space="preserve">Voting Power </w:t>
            </w:r>
          </w:p>
        </w:tc>
        <w:tc>
          <w:tcPr>
            <w:tcW w:w="154" w:type="dxa"/>
            <w:vMerge w:val="restart"/>
            <w:tcBorders/>
            <w:shd w:fill="000000" w:val="clear"/>
            <w:vAlign w:val="center"/>
          </w:tcPr>
          <w:p>
            <w:pPr>
              <w:pStyle w:val="TableContents"/>
              <w:bidi w:val="0"/>
              <w:spacing w:before="0" w:after="283"/>
              <w:jc w:val="left"/>
              <w:rPr/>
            </w:pPr>
            <w:r>
              <w:rPr/>
              <w:t>​</w:t>
            </w:r>
          </w:p>
        </w:tc>
      </w:tr>
      <w:tr>
        <w:trPr/>
        <w:tc>
          <w:tcPr>
            <w:tcW w:w="124" w:type="dxa"/>
            <w:vMerge w:val="continue"/>
            <w:tcBorders/>
            <w:shd w:fill="000000" w:val="clear"/>
            <w:vAlign w:val="center"/>
          </w:tcPr>
          <w:p>
            <w:pPr>
              <w:pStyle w:val="Normal"/>
              <w:bidi w:val="0"/>
              <w:jc w:val="left"/>
              <w:rPr/>
            </w:pPr>
            <w:r>
              <w:rPr/>
            </w:r>
          </w:p>
        </w:tc>
        <w:tc>
          <w:tcPr>
            <w:tcW w:w="1636" w:type="dxa"/>
            <w:vMerge w:val="continue"/>
            <w:tcBorders/>
            <w:shd w:fill="000000" w:val="clear"/>
            <w:vAlign w:val="center"/>
          </w:tcPr>
          <w:p>
            <w:pPr>
              <w:pStyle w:val="Normal"/>
              <w:bidi w:val="0"/>
              <w:jc w:val="left"/>
              <w:rPr/>
            </w:pPr>
            <w:r>
              <w:rPr/>
            </w:r>
          </w:p>
        </w:tc>
        <w:tc>
          <w:tcPr>
            <w:tcW w:w="109" w:type="dxa"/>
            <w:vMerge w:val="continue"/>
            <w:tcBorders/>
            <w:shd w:fill="000000" w:val="clear"/>
            <w:vAlign w:val="center"/>
          </w:tcPr>
          <w:p>
            <w:pPr>
              <w:pStyle w:val="Normal"/>
              <w:bidi w:val="0"/>
              <w:jc w:val="left"/>
              <w:rPr/>
            </w:pPr>
            <w:r>
              <w:rPr/>
            </w:r>
          </w:p>
        </w:tc>
        <w:tc>
          <w:tcPr>
            <w:tcW w:w="109" w:type="dxa"/>
            <w:tcBorders/>
            <w:shd w:fill="000000" w:val="clear"/>
            <w:vAlign w:val="center"/>
          </w:tcPr>
          <w:p>
            <w:pPr>
              <w:pStyle w:val="TableContents"/>
              <w:bidi w:val="0"/>
              <w:spacing w:before="0" w:after="283"/>
              <w:jc w:val="left"/>
              <w:rPr/>
            </w:pPr>
            <w:r>
              <w:rPr/>
              <w:t>​</w:t>
            </w:r>
          </w:p>
        </w:tc>
        <w:tc>
          <w:tcPr>
            <w:tcW w:w="1813" w:type="dxa"/>
            <w:gridSpan w:val="4"/>
            <w:tcBorders/>
            <w:shd w:fill="000000" w:val="clear"/>
            <w:vAlign w:val="center"/>
          </w:tcPr>
          <w:p>
            <w:pPr>
              <w:pStyle w:val="TableContents"/>
              <w:bidi w:val="0"/>
              <w:spacing w:before="0" w:after="0"/>
              <w:jc w:val="center"/>
              <w:rPr/>
            </w:pPr>
            <w:r>
              <w:rPr/>
              <w:t>Number of Shares</w:t>
              <w:br/>
              <w:t xml:space="preserve">Beneficially Owned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61" w:type="dxa"/>
            <w:gridSpan w:val="4"/>
            <w:tcBorders/>
            <w:shd w:fill="000000" w:val="clear"/>
            <w:vAlign w:val="center"/>
          </w:tcPr>
          <w:p>
            <w:pPr>
              <w:pStyle w:val="TableContents"/>
              <w:bidi w:val="0"/>
              <w:spacing w:before="0" w:after="0"/>
              <w:jc w:val="center"/>
              <w:rPr/>
            </w:pPr>
            <w:r>
              <w:rPr/>
              <w:t>Percentage of Shares</w:t>
              <w:br/>
              <w:t xml:space="preserve">Outstanding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46" w:type="dxa"/>
            <w:gridSpan w:val="4"/>
            <w:tcBorders/>
            <w:shd w:fill="000000" w:val="clear"/>
            <w:vAlign w:val="center"/>
          </w:tcPr>
          <w:p>
            <w:pPr>
              <w:pStyle w:val="TableContents"/>
              <w:bidi w:val="0"/>
              <w:spacing w:before="0" w:after="0"/>
              <w:jc w:val="center"/>
              <w:rPr/>
            </w:pPr>
            <w:r>
              <w:rPr/>
              <w:t>Number of Shares</w:t>
              <w:br/>
              <w:t xml:space="preserve">Beneficially Owned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261" w:type="dxa"/>
            <w:gridSpan w:val="4"/>
            <w:tcBorders/>
            <w:shd w:fill="000000" w:val="clear"/>
            <w:vAlign w:val="center"/>
          </w:tcPr>
          <w:p>
            <w:pPr>
              <w:pStyle w:val="TableContents"/>
              <w:bidi w:val="0"/>
              <w:spacing w:before="0" w:after="0"/>
              <w:jc w:val="center"/>
              <w:rPr/>
            </w:pPr>
            <w:r>
              <w:rPr/>
              <w:t xml:space="preserve">Percentage of </w:t>
              <w:br/>
              <w:t xml:space="preserve">Shares </w:t>
              <w:br/>
              <w:t xml:space="preserve">Outstanding </w:t>
            </w:r>
          </w:p>
        </w:tc>
        <w:tc>
          <w:tcPr>
            <w:tcW w:w="109" w:type="dxa"/>
            <w:tcBorders/>
            <w:shd w:fill="000000" w:val="clear"/>
            <w:vAlign w:val="center"/>
          </w:tcPr>
          <w:p>
            <w:pPr>
              <w:pStyle w:val="TableContents"/>
              <w:bidi w:val="0"/>
              <w:spacing w:before="0" w:after="283"/>
              <w:jc w:val="left"/>
              <w:rPr/>
            </w:pPr>
            <w:r>
              <w:rPr/>
              <w:t>​</w:t>
            </w:r>
          </w:p>
        </w:tc>
        <w:tc>
          <w:tcPr>
            <w:tcW w:w="109" w:type="dxa"/>
            <w:vMerge w:val="continue"/>
            <w:tcBorders/>
            <w:shd w:fill="000000" w:val="clear"/>
            <w:vAlign w:val="center"/>
          </w:tcPr>
          <w:p>
            <w:pPr>
              <w:pStyle w:val="Normal"/>
              <w:bidi w:val="0"/>
              <w:jc w:val="left"/>
              <w:rPr/>
            </w:pPr>
            <w:r>
              <w:rPr/>
            </w:r>
          </w:p>
        </w:tc>
        <w:tc>
          <w:tcPr>
            <w:tcW w:w="973" w:type="dxa"/>
            <w:gridSpan w:val="4"/>
            <w:vMerge w:val="continue"/>
            <w:tcBorders/>
            <w:shd w:fill="000000" w:val="clear"/>
            <w:vAlign w:val="center"/>
          </w:tcPr>
          <w:p>
            <w:pPr>
              <w:pStyle w:val="Normal"/>
              <w:bidi w:val="0"/>
              <w:jc w:val="left"/>
              <w:rPr/>
            </w:pPr>
            <w:r>
              <w:rPr/>
            </w:r>
          </w:p>
        </w:tc>
        <w:tc>
          <w:tcPr>
            <w:tcW w:w="154" w:type="dxa"/>
            <w:vMerge w:val="continue"/>
            <w:tcBorders/>
            <w:shd w:fill="000000" w:val="clear"/>
            <w:vAlign w:val="center"/>
          </w:tcPr>
          <w:p>
            <w:pPr>
              <w:pStyle w:val="Normal"/>
              <w:bidi w:val="0"/>
              <w:jc w:val="left"/>
              <w:rPr/>
            </w:pPr>
            <w:r>
              <w:rPr/>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636" w:type="dxa"/>
            <w:tcBorders>
              <w:bottom w:val="single" w:sz="6" w:space="0" w:color="000000"/>
            </w:tcBorders>
            <w:tcMar>
              <w:bottom w:w="125" w:type="dxa"/>
            </w:tcMar>
            <w:vAlign w:val="center"/>
          </w:tcPr>
          <w:p>
            <w:pPr>
              <w:pStyle w:val="TableContents"/>
              <w:bidi w:val="0"/>
              <w:spacing w:before="0" w:after="283"/>
              <w:jc w:val="left"/>
              <w:rPr/>
            </w:pPr>
            <w:r>
              <w:rPr/>
              <w:t>Sherif Marakby</w:t>
            </w:r>
            <w:r>
              <w:rPr>
                <w:sz w:val="10"/>
              </w:rPr>
              <w:t>(14)</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25" w:type="dxa"/>
            </w:tcMar>
            <w:vAlign w:val="center"/>
          </w:tcPr>
          <w:p>
            <w:pPr>
              <w:pStyle w:val="TableContents"/>
              <w:bidi w:val="0"/>
              <w:spacing w:before="0" w:after="283"/>
              <w:jc w:val="right"/>
              <w:rPr/>
            </w:pPr>
            <w:r>
              <w:rPr/>
              <w:t>​</w:t>
            </w:r>
          </w:p>
        </w:tc>
        <w:tc>
          <w:tcPr>
            <w:tcW w:w="1486" w:type="dxa"/>
            <w:tcBorders>
              <w:bottom w:val="single" w:sz="6" w:space="0" w:color="000000"/>
            </w:tcBorders>
            <w:tcMar>
              <w:bottom w:w="125" w:type="dxa"/>
            </w:tcMar>
            <w:vAlign w:val="center"/>
          </w:tcPr>
          <w:p>
            <w:pPr>
              <w:pStyle w:val="TableContents"/>
              <w:bidi w:val="0"/>
              <w:spacing w:before="0" w:after="283"/>
              <w:jc w:val="right"/>
              <w:rPr/>
            </w:pPr>
            <w:r>
              <w:rPr/>
              <w:t xml:space="preserve">16,129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1" w:type="dxa"/>
            <w:tcBorders>
              <w:bottom w:val="single" w:sz="6" w:space="0" w:color="000000"/>
            </w:tcBorders>
            <w:tcMar>
              <w:bottom w:w="28" w:type="dxa"/>
            </w:tcMar>
            <w:vAlign w:val="center"/>
          </w:tcPr>
          <w:p>
            <w:pPr>
              <w:pStyle w:val="TableContents"/>
              <w:bidi w:val="0"/>
              <w:spacing w:before="0" w:after="283"/>
              <w:jc w:val="left"/>
              <w:rPr/>
            </w:pPr>
            <w:r>
              <w:rPr/>
              <w:t>​</w:t>
            </w:r>
          </w:p>
        </w:tc>
        <w:tc>
          <w:tcPr>
            <w:tcW w:w="141" w:type="dxa"/>
            <w:tcBorders>
              <w:bottom w:val="single" w:sz="6" w:space="0" w:color="000000"/>
            </w:tcBorders>
            <w:tcMar>
              <w:bottom w:w="125" w:type="dxa"/>
            </w:tcMar>
            <w:vAlign w:val="center"/>
          </w:tcPr>
          <w:p>
            <w:pPr>
              <w:pStyle w:val="TableContents"/>
              <w:bidi w:val="0"/>
              <w:spacing w:before="0" w:after="283"/>
              <w:jc w:val="right"/>
              <w:rPr/>
            </w:pPr>
            <w:r>
              <w:rPr/>
              <w:t>​</w:t>
            </w:r>
          </w:p>
        </w:tc>
        <w:tc>
          <w:tcPr>
            <w:tcW w:w="837" w:type="dxa"/>
            <w:tcBorders>
              <w:bottom w:val="single" w:sz="6" w:space="0" w:color="000000"/>
            </w:tcBorders>
            <w:tcMar>
              <w:bottom w:w="125" w:type="dxa"/>
            </w:tcMar>
            <w:vAlign w:val="center"/>
          </w:tcPr>
          <w:p>
            <w:pPr>
              <w:pStyle w:val="TableContents"/>
              <w:bidi w:val="0"/>
              <w:spacing w:before="0" w:after="283"/>
              <w:jc w:val="right"/>
              <w:rPr/>
            </w:pPr>
            <w:r>
              <w:rPr/>
              <w:t xml:space="preserve">* </w:t>
            </w:r>
          </w:p>
        </w:tc>
        <w:tc>
          <w:tcPr>
            <w:tcW w:w="142"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25" w:type="dxa"/>
            </w:tcMar>
            <w:vAlign w:val="center"/>
          </w:tcPr>
          <w:p>
            <w:pPr>
              <w:pStyle w:val="TableContents"/>
              <w:bidi w:val="0"/>
              <w:spacing w:before="0" w:after="283"/>
              <w:jc w:val="right"/>
              <w:rPr/>
            </w:pPr>
            <w:r>
              <w:rPr/>
              <w:t>​</w:t>
            </w:r>
          </w:p>
        </w:tc>
        <w:tc>
          <w:tcPr>
            <w:tcW w:w="919" w:type="dxa"/>
            <w:tcBorders>
              <w:bottom w:val="single" w:sz="6" w:space="0" w:color="000000"/>
            </w:tcBorders>
            <w:tcMar>
              <w:bottom w:w="125" w:type="dxa"/>
            </w:tcMar>
            <w:vAlign w:val="center"/>
          </w:tcPr>
          <w:p>
            <w:pPr>
              <w:pStyle w:val="TableContents"/>
              <w:bidi w:val="0"/>
              <w:spacing w:before="0" w:after="283"/>
              <w:jc w:val="righ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73" w:type="dxa"/>
            <w:tcBorders>
              <w:bottom w:val="single" w:sz="6" w:space="0" w:color="000000"/>
            </w:tcBorders>
            <w:tcMar>
              <w:bottom w:w="28" w:type="dxa"/>
            </w:tcMar>
            <w:vAlign w:val="center"/>
          </w:tcPr>
          <w:p>
            <w:pPr>
              <w:pStyle w:val="TableContents"/>
              <w:bidi w:val="0"/>
              <w:spacing w:before="0" w:after="283"/>
              <w:jc w:val="left"/>
              <w:rPr/>
            </w:pPr>
            <w:r>
              <w:rPr/>
              <w:t>​</w:t>
            </w:r>
          </w:p>
        </w:tc>
        <w:tc>
          <w:tcPr>
            <w:tcW w:w="173" w:type="dxa"/>
            <w:tcBorders>
              <w:bottom w:val="single" w:sz="6" w:space="0" w:color="000000"/>
            </w:tcBorders>
            <w:tcMar>
              <w:bottom w:w="125" w:type="dxa"/>
            </w:tcMar>
            <w:vAlign w:val="center"/>
          </w:tcPr>
          <w:p>
            <w:pPr>
              <w:pStyle w:val="TableContents"/>
              <w:bidi w:val="0"/>
              <w:spacing w:before="0" w:after="283"/>
              <w:jc w:val="right"/>
              <w:rPr/>
            </w:pPr>
            <w:r>
              <w:rPr/>
              <w:t>​</w:t>
            </w:r>
          </w:p>
        </w:tc>
        <w:tc>
          <w:tcPr>
            <w:tcW w:w="741" w:type="dxa"/>
            <w:tcBorders>
              <w:bottom w:val="single" w:sz="6" w:space="0" w:color="000000"/>
            </w:tcBorders>
            <w:tcMar>
              <w:bottom w:w="125" w:type="dxa"/>
            </w:tcMar>
            <w:vAlign w:val="center"/>
          </w:tcPr>
          <w:p>
            <w:pPr>
              <w:pStyle w:val="TableContents"/>
              <w:bidi w:val="0"/>
              <w:spacing w:before="0" w:after="283"/>
              <w:jc w:val="right"/>
              <w:rPr/>
            </w:pPr>
            <w:r>
              <w:rPr/>
              <w:t xml:space="preserve">— </w:t>
            </w:r>
          </w:p>
        </w:tc>
        <w:tc>
          <w:tcPr>
            <w:tcW w:w="17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25" w:type="dxa"/>
            </w:tcMar>
            <w:vAlign w:val="center"/>
          </w:tcPr>
          <w:p>
            <w:pPr>
              <w:pStyle w:val="TableContents"/>
              <w:bidi w:val="0"/>
              <w:spacing w:before="0" w:after="283"/>
              <w:jc w:val="right"/>
              <w:rPr/>
            </w:pPr>
            <w:r>
              <w:rPr/>
              <w:t>​</w:t>
            </w:r>
          </w:p>
        </w:tc>
        <w:tc>
          <w:tcPr>
            <w:tcW w:w="646" w:type="dxa"/>
            <w:tcBorders>
              <w:bottom w:val="single" w:sz="6" w:space="0" w:color="000000"/>
            </w:tcBorders>
            <w:tcMar>
              <w:bottom w:w="125" w:type="dxa"/>
            </w:tcMar>
            <w:vAlign w:val="center"/>
          </w:tcPr>
          <w:p>
            <w:pPr>
              <w:pStyle w:val="TableContents"/>
              <w:bidi w:val="0"/>
              <w:spacing w:before="0" w:after="283"/>
              <w:jc w:val="righ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636" w:type="dxa"/>
            <w:tcBorders>
              <w:bottom w:val="single" w:sz="6" w:space="0" w:color="000000"/>
            </w:tcBorders>
            <w:shd w:fill="F7F7F7" w:val="clear"/>
            <w:tcMar>
              <w:bottom w:w="125" w:type="dxa"/>
            </w:tcMar>
            <w:vAlign w:val="center"/>
          </w:tcPr>
          <w:p>
            <w:pPr>
              <w:pStyle w:val="TableContents"/>
              <w:bidi w:val="0"/>
              <w:spacing w:before="0" w:after="283"/>
              <w:jc w:val="left"/>
              <w:rPr/>
            </w:pPr>
            <w:r>
              <w:rPr/>
              <w:t>Nichelle Maynard-Elliott</w:t>
            </w:r>
            <w:r>
              <w:rPr>
                <w:sz w:val="10"/>
              </w:rPr>
              <w:t>(15)</w:t>
            </w: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1486"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59,379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1"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837"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 </w:t>
            </w:r>
          </w:p>
        </w:tc>
        <w:tc>
          <w:tcPr>
            <w:tcW w:w="142"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919"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73"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73"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741"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 </w:t>
            </w:r>
          </w:p>
        </w:tc>
        <w:tc>
          <w:tcPr>
            <w:tcW w:w="17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646"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636" w:type="dxa"/>
            <w:tcBorders>
              <w:bottom w:val="single" w:sz="6" w:space="0" w:color="000000"/>
            </w:tcBorders>
            <w:tcMar>
              <w:bottom w:w="125" w:type="dxa"/>
            </w:tcMar>
            <w:vAlign w:val="center"/>
          </w:tcPr>
          <w:p>
            <w:pPr>
              <w:pStyle w:val="TableContents"/>
              <w:bidi w:val="0"/>
              <w:spacing w:before="0" w:after="283"/>
              <w:jc w:val="left"/>
              <w:rPr/>
            </w:pPr>
            <w:r>
              <w:rPr/>
              <w:t>Chabi Nouri</w:t>
            </w:r>
            <w:r>
              <w:rPr>
                <w:sz w:val="10"/>
              </w:rPr>
              <w:t>(16)</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25" w:type="dxa"/>
            </w:tcMar>
            <w:vAlign w:val="center"/>
          </w:tcPr>
          <w:p>
            <w:pPr>
              <w:pStyle w:val="TableContents"/>
              <w:bidi w:val="0"/>
              <w:spacing w:before="0" w:after="283"/>
              <w:jc w:val="right"/>
              <w:rPr/>
            </w:pPr>
            <w:r>
              <w:rPr/>
              <w:t>​</w:t>
            </w:r>
          </w:p>
        </w:tc>
        <w:tc>
          <w:tcPr>
            <w:tcW w:w="1486" w:type="dxa"/>
            <w:tcBorders>
              <w:bottom w:val="single" w:sz="6" w:space="0" w:color="000000"/>
            </w:tcBorders>
            <w:tcMar>
              <w:bottom w:w="125" w:type="dxa"/>
            </w:tcMar>
            <w:vAlign w:val="center"/>
          </w:tcPr>
          <w:p>
            <w:pPr>
              <w:pStyle w:val="TableContents"/>
              <w:bidi w:val="0"/>
              <w:spacing w:before="0" w:after="283"/>
              <w:jc w:val="right"/>
              <w:rPr/>
            </w:pPr>
            <w:r>
              <w:rPr/>
              <w:t xml:space="preserve">16,129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1" w:type="dxa"/>
            <w:tcBorders>
              <w:bottom w:val="single" w:sz="6" w:space="0" w:color="000000"/>
            </w:tcBorders>
            <w:tcMar>
              <w:bottom w:w="28" w:type="dxa"/>
            </w:tcMar>
            <w:vAlign w:val="center"/>
          </w:tcPr>
          <w:p>
            <w:pPr>
              <w:pStyle w:val="TableContents"/>
              <w:bidi w:val="0"/>
              <w:spacing w:before="0" w:after="283"/>
              <w:jc w:val="left"/>
              <w:rPr/>
            </w:pPr>
            <w:r>
              <w:rPr/>
              <w:t>​</w:t>
            </w:r>
          </w:p>
        </w:tc>
        <w:tc>
          <w:tcPr>
            <w:tcW w:w="141" w:type="dxa"/>
            <w:tcBorders>
              <w:bottom w:val="single" w:sz="6" w:space="0" w:color="000000"/>
            </w:tcBorders>
            <w:tcMar>
              <w:bottom w:w="125" w:type="dxa"/>
            </w:tcMar>
            <w:vAlign w:val="center"/>
          </w:tcPr>
          <w:p>
            <w:pPr>
              <w:pStyle w:val="TableContents"/>
              <w:bidi w:val="0"/>
              <w:spacing w:before="0" w:after="283"/>
              <w:jc w:val="right"/>
              <w:rPr/>
            </w:pPr>
            <w:r>
              <w:rPr/>
              <w:t>​</w:t>
            </w:r>
          </w:p>
        </w:tc>
        <w:tc>
          <w:tcPr>
            <w:tcW w:w="837" w:type="dxa"/>
            <w:tcBorders>
              <w:bottom w:val="single" w:sz="6" w:space="0" w:color="000000"/>
            </w:tcBorders>
            <w:tcMar>
              <w:bottom w:w="125" w:type="dxa"/>
            </w:tcMar>
            <w:vAlign w:val="center"/>
          </w:tcPr>
          <w:p>
            <w:pPr>
              <w:pStyle w:val="TableContents"/>
              <w:bidi w:val="0"/>
              <w:spacing w:before="0" w:after="283"/>
              <w:jc w:val="right"/>
              <w:rPr/>
            </w:pPr>
            <w:r>
              <w:rPr/>
              <w:t xml:space="preserve">* </w:t>
            </w:r>
          </w:p>
        </w:tc>
        <w:tc>
          <w:tcPr>
            <w:tcW w:w="142"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25" w:type="dxa"/>
            </w:tcMar>
            <w:vAlign w:val="center"/>
          </w:tcPr>
          <w:p>
            <w:pPr>
              <w:pStyle w:val="TableContents"/>
              <w:bidi w:val="0"/>
              <w:spacing w:before="0" w:after="283"/>
              <w:jc w:val="right"/>
              <w:rPr/>
            </w:pPr>
            <w:r>
              <w:rPr/>
              <w:t>​</w:t>
            </w:r>
          </w:p>
        </w:tc>
        <w:tc>
          <w:tcPr>
            <w:tcW w:w="919" w:type="dxa"/>
            <w:tcBorders>
              <w:bottom w:val="single" w:sz="6" w:space="0" w:color="000000"/>
            </w:tcBorders>
            <w:tcMar>
              <w:bottom w:w="125" w:type="dxa"/>
            </w:tcMar>
            <w:vAlign w:val="center"/>
          </w:tcPr>
          <w:p>
            <w:pPr>
              <w:pStyle w:val="TableContents"/>
              <w:bidi w:val="0"/>
              <w:spacing w:before="0" w:after="283"/>
              <w:jc w:val="righ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73" w:type="dxa"/>
            <w:tcBorders>
              <w:bottom w:val="single" w:sz="6" w:space="0" w:color="000000"/>
            </w:tcBorders>
            <w:tcMar>
              <w:bottom w:w="28" w:type="dxa"/>
            </w:tcMar>
            <w:vAlign w:val="center"/>
          </w:tcPr>
          <w:p>
            <w:pPr>
              <w:pStyle w:val="TableContents"/>
              <w:bidi w:val="0"/>
              <w:spacing w:before="0" w:after="283"/>
              <w:jc w:val="left"/>
              <w:rPr/>
            </w:pPr>
            <w:r>
              <w:rPr/>
              <w:t>​</w:t>
            </w:r>
          </w:p>
        </w:tc>
        <w:tc>
          <w:tcPr>
            <w:tcW w:w="173" w:type="dxa"/>
            <w:tcBorders>
              <w:bottom w:val="single" w:sz="6" w:space="0" w:color="000000"/>
            </w:tcBorders>
            <w:tcMar>
              <w:bottom w:w="125" w:type="dxa"/>
            </w:tcMar>
            <w:vAlign w:val="center"/>
          </w:tcPr>
          <w:p>
            <w:pPr>
              <w:pStyle w:val="TableContents"/>
              <w:bidi w:val="0"/>
              <w:spacing w:before="0" w:after="283"/>
              <w:jc w:val="right"/>
              <w:rPr/>
            </w:pPr>
            <w:r>
              <w:rPr/>
              <w:t>​</w:t>
            </w:r>
          </w:p>
        </w:tc>
        <w:tc>
          <w:tcPr>
            <w:tcW w:w="741" w:type="dxa"/>
            <w:tcBorders>
              <w:bottom w:val="single" w:sz="6" w:space="0" w:color="000000"/>
            </w:tcBorders>
            <w:tcMar>
              <w:bottom w:w="125" w:type="dxa"/>
            </w:tcMar>
            <w:vAlign w:val="center"/>
          </w:tcPr>
          <w:p>
            <w:pPr>
              <w:pStyle w:val="TableContents"/>
              <w:bidi w:val="0"/>
              <w:spacing w:before="0" w:after="283"/>
              <w:jc w:val="right"/>
              <w:rPr/>
            </w:pPr>
            <w:r>
              <w:rPr/>
              <w:t xml:space="preserve">— </w:t>
            </w:r>
          </w:p>
        </w:tc>
        <w:tc>
          <w:tcPr>
            <w:tcW w:w="17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25" w:type="dxa"/>
            </w:tcMar>
            <w:vAlign w:val="center"/>
          </w:tcPr>
          <w:p>
            <w:pPr>
              <w:pStyle w:val="TableContents"/>
              <w:bidi w:val="0"/>
              <w:spacing w:before="0" w:after="283"/>
              <w:jc w:val="right"/>
              <w:rPr/>
            </w:pPr>
            <w:r>
              <w:rPr/>
              <w:t>​</w:t>
            </w:r>
          </w:p>
        </w:tc>
        <w:tc>
          <w:tcPr>
            <w:tcW w:w="646" w:type="dxa"/>
            <w:tcBorders>
              <w:bottom w:val="single" w:sz="6" w:space="0" w:color="000000"/>
            </w:tcBorders>
            <w:tcMar>
              <w:bottom w:w="125" w:type="dxa"/>
            </w:tcMar>
            <w:vAlign w:val="center"/>
          </w:tcPr>
          <w:p>
            <w:pPr>
              <w:pStyle w:val="TableContents"/>
              <w:bidi w:val="0"/>
              <w:spacing w:before="0" w:after="283"/>
              <w:jc w:val="righ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636" w:type="dxa"/>
            <w:tcBorders>
              <w:bottom w:val="single" w:sz="6" w:space="0" w:color="000000"/>
            </w:tcBorders>
            <w:shd w:fill="F7F7F7" w:val="clear"/>
            <w:tcMar>
              <w:bottom w:w="125" w:type="dxa"/>
            </w:tcMar>
            <w:vAlign w:val="center"/>
          </w:tcPr>
          <w:p>
            <w:pPr>
              <w:pStyle w:val="TableContents"/>
              <w:bidi w:val="0"/>
              <w:spacing w:before="0" w:after="283"/>
              <w:jc w:val="left"/>
              <w:rPr/>
            </w:pPr>
            <w:r>
              <w:rPr/>
              <w:t>Tony Posawatz, former director</w:t>
            </w:r>
            <w:r>
              <w:rPr>
                <w:sz w:val="10"/>
              </w:rPr>
              <w:t>(17)</w:t>
            </w: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1486"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51,930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1"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837"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 </w:t>
            </w:r>
          </w:p>
        </w:tc>
        <w:tc>
          <w:tcPr>
            <w:tcW w:w="142"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919"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73"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73"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741"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 </w:t>
            </w:r>
          </w:p>
        </w:tc>
        <w:tc>
          <w:tcPr>
            <w:tcW w:w="17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646"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636" w:type="dxa"/>
            <w:tcBorders>
              <w:bottom w:val="single" w:sz="6" w:space="0" w:color="000000"/>
            </w:tcBorders>
            <w:tcMar>
              <w:bottom w:w="125" w:type="dxa"/>
            </w:tcMar>
            <w:vAlign w:val="center"/>
          </w:tcPr>
          <w:p>
            <w:pPr>
              <w:pStyle w:val="TableContents"/>
              <w:bidi w:val="0"/>
              <w:spacing w:before="0" w:after="283"/>
              <w:jc w:val="left"/>
              <w:rPr/>
            </w:pPr>
            <w:r>
              <w:rPr/>
              <w:t>Ori Winitzer</w:t>
            </w:r>
            <w:r>
              <w:rPr>
                <w:sz w:val="10"/>
              </w:rPr>
              <w:t>(18)</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25" w:type="dxa"/>
            </w:tcMar>
            <w:vAlign w:val="center"/>
          </w:tcPr>
          <w:p>
            <w:pPr>
              <w:pStyle w:val="TableContents"/>
              <w:bidi w:val="0"/>
              <w:spacing w:before="0" w:after="283"/>
              <w:jc w:val="right"/>
              <w:rPr/>
            </w:pPr>
            <w:r>
              <w:rPr/>
              <w:t>​</w:t>
            </w:r>
          </w:p>
        </w:tc>
        <w:tc>
          <w:tcPr>
            <w:tcW w:w="1486" w:type="dxa"/>
            <w:tcBorders>
              <w:bottom w:val="single" w:sz="6" w:space="0" w:color="000000"/>
            </w:tcBorders>
            <w:tcMar>
              <w:bottom w:w="125" w:type="dxa"/>
            </w:tcMar>
            <w:vAlign w:val="center"/>
          </w:tcPr>
          <w:p>
            <w:pPr>
              <w:pStyle w:val="TableContents"/>
              <w:bidi w:val="0"/>
              <w:spacing w:before="0" w:after="283"/>
              <w:jc w:val="right"/>
              <w:rPr/>
            </w:pPr>
            <w:r>
              <w:rPr/>
              <w:t xml:space="preserve">16,129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1" w:type="dxa"/>
            <w:tcBorders>
              <w:bottom w:val="single" w:sz="6" w:space="0" w:color="000000"/>
            </w:tcBorders>
            <w:tcMar>
              <w:bottom w:w="28" w:type="dxa"/>
            </w:tcMar>
            <w:vAlign w:val="center"/>
          </w:tcPr>
          <w:p>
            <w:pPr>
              <w:pStyle w:val="TableContents"/>
              <w:bidi w:val="0"/>
              <w:spacing w:before="0" w:after="283"/>
              <w:jc w:val="left"/>
              <w:rPr/>
            </w:pPr>
            <w:r>
              <w:rPr/>
              <w:t>​</w:t>
            </w:r>
          </w:p>
        </w:tc>
        <w:tc>
          <w:tcPr>
            <w:tcW w:w="141" w:type="dxa"/>
            <w:tcBorders>
              <w:bottom w:val="single" w:sz="6" w:space="0" w:color="000000"/>
            </w:tcBorders>
            <w:tcMar>
              <w:bottom w:w="125" w:type="dxa"/>
            </w:tcMar>
            <w:vAlign w:val="center"/>
          </w:tcPr>
          <w:p>
            <w:pPr>
              <w:pStyle w:val="TableContents"/>
              <w:bidi w:val="0"/>
              <w:spacing w:before="0" w:after="283"/>
              <w:jc w:val="right"/>
              <w:rPr/>
            </w:pPr>
            <w:r>
              <w:rPr/>
              <w:t>​</w:t>
            </w:r>
          </w:p>
        </w:tc>
        <w:tc>
          <w:tcPr>
            <w:tcW w:w="837" w:type="dxa"/>
            <w:tcBorders>
              <w:bottom w:val="single" w:sz="6" w:space="0" w:color="000000"/>
            </w:tcBorders>
            <w:tcMar>
              <w:bottom w:w="125" w:type="dxa"/>
            </w:tcMar>
            <w:vAlign w:val="center"/>
          </w:tcPr>
          <w:p>
            <w:pPr>
              <w:pStyle w:val="TableContents"/>
              <w:bidi w:val="0"/>
              <w:spacing w:before="0" w:after="283"/>
              <w:jc w:val="right"/>
              <w:rPr/>
            </w:pPr>
            <w:r>
              <w:rPr/>
              <w:t xml:space="preserve">* </w:t>
            </w:r>
          </w:p>
        </w:tc>
        <w:tc>
          <w:tcPr>
            <w:tcW w:w="142"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25" w:type="dxa"/>
            </w:tcMar>
            <w:vAlign w:val="center"/>
          </w:tcPr>
          <w:p>
            <w:pPr>
              <w:pStyle w:val="TableContents"/>
              <w:bidi w:val="0"/>
              <w:spacing w:before="0" w:after="283"/>
              <w:jc w:val="right"/>
              <w:rPr/>
            </w:pPr>
            <w:r>
              <w:rPr/>
              <w:t>​</w:t>
            </w:r>
          </w:p>
        </w:tc>
        <w:tc>
          <w:tcPr>
            <w:tcW w:w="919" w:type="dxa"/>
            <w:tcBorders>
              <w:bottom w:val="single" w:sz="6" w:space="0" w:color="000000"/>
            </w:tcBorders>
            <w:tcMar>
              <w:bottom w:w="125" w:type="dxa"/>
            </w:tcMar>
            <w:vAlign w:val="center"/>
          </w:tcPr>
          <w:p>
            <w:pPr>
              <w:pStyle w:val="TableContents"/>
              <w:bidi w:val="0"/>
              <w:spacing w:before="0" w:after="283"/>
              <w:jc w:val="righ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73" w:type="dxa"/>
            <w:tcBorders>
              <w:bottom w:val="single" w:sz="6" w:space="0" w:color="000000"/>
            </w:tcBorders>
            <w:tcMar>
              <w:bottom w:w="28" w:type="dxa"/>
            </w:tcMar>
            <w:vAlign w:val="center"/>
          </w:tcPr>
          <w:p>
            <w:pPr>
              <w:pStyle w:val="TableContents"/>
              <w:bidi w:val="0"/>
              <w:spacing w:before="0" w:after="283"/>
              <w:jc w:val="left"/>
              <w:rPr/>
            </w:pPr>
            <w:r>
              <w:rPr/>
              <w:t>​</w:t>
            </w:r>
          </w:p>
        </w:tc>
        <w:tc>
          <w:tcPr>
            <w:tcW w:w="173" w:type="dxa"/>
            <w:tcBorders>
              <w:bottom w:val="single" w:sz="6" w:space="0" w:color="000000"/>
            </w:tcBorders>
            <w:tcMar>
              <w:bottom w:w="125" w:type="dxa"/>
            </w:tcMar>
            <w:vAlign w:val="center"/>
          </w:tcPr>
          <w:p>
            <w:pPr>
              <w:pStyle w:val="TableContents"/>
              <w:bidi w:val="0"/>
              <w:spacing w:before="0" w:after="283"/>
              <w:jc w:val="right"/>
              <w:rPr/>
            </w:pPr>
            <w:r>
              <w:rPr/>
              <w:t>​</w:t>
            </w:r>
          </w:p>
        </w:tc>
        <w:tc>
          <w:tcPr>
            <w:tcW w:w="741" w:type="dxa"/>
            <w:tcBorders>
              <w:bottom w:val="single" w:sz="6" w:space="0" w:color="000000"/>
            </w:tcBorders>
            <w:tcMar>
              <w:bottom w:w="125" w:type="dxa"/>
            </w:tcMar>
            <w:vAlign w:val="center"/>
          </w:tcPr>
          <w:p>
            <w:pPr>
              <w:pStyle w:val="TableContents"/>
              <w:bidi w:val="0"/>
              <w:spacing w:before="0" w:after="283"/>
              <w:jc w:val="right"/>
              <w:rPr/>
            </w:pPr>
            <w:r>
              <w:rPr/>
              <w:t xml:space="preserve">— </w:t>
            </w:r>
          </w:p>
        </w:tc>
        <w:tc>
          <w:tcPr>
            <w:tcW w:w="17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25" w:type="dxa"/>
            </w:tcMar>
            <w:vAlign w:val="center"/>
          </w:tcPr>
          <w:p>
            <w:pPr>
              <w:pStyle w:val="TableContents"/>
              <w:bidi w:val="0"/>
              <w:spacing w:before="0" w:after="283"/>
              <w:jc w:val="right"/>
              <w:rPr/>
            </w:pPr>
            <w:r>
              <w:rPr/>
              <w:t>​</w:t>
            </w:r>
          </w:p>
        </w:tc>
        <w:tc>
          <w:tcPr>
            <w:tcW w:w="646" w:type="dxa"/>
            <w:tcBorders>
              <w:bottom w:val="single" w:sz="6" w:space="0" w:color="000000"/>
            </w:tcBorders>
            <w:tcMar>
              <w:bottom w:w="125" w:type="dxa"/>
            </w:tcMar>
            <w:vAlign w:val="center"/>
          </w:tcPr>
          <w:p>
            <w:pPr>
              <w:pStyle w:val="TableContents"/>
              <w:bidi w:val="0"/>
              <w:spacing w:before="0" w:after="283"/>
              <w:jc w:val="right"/>
              <w:rPr/>
            </w:pP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636" w:type="dxa"/>
            <w:tcBorders>
              <w:bottom w:val="single" w:sz="6" w:space="0" w:color="000000"/>
            </w:tcBorders>
            <w:shd w:fill="F7F7F7" w:val="clear"/>
            <w:tcMar>
              <w:bottom w:w="125" w:type="dxa"/>
            </w:tcMar>
            <w:vAlign w:val="center"/>
          </w:tcPr>
          <w:p>
            <w:pPr>
              <w:pStyle w:val="TableContents"/>
              <w:bidi w:val="0"/>
              <w:spacing w:before="0" w:after="283"/>
              <w:jc w:val="left"/>
              <w:rPr/>
            </w:pPr>
            <w:r>
              <w:rPr/>
              <w:t>Janet S. Wong</w:t>
            </w:r>
            <w:r>
              <w:rPr>
                <w:sz w:val="10"/>
              </w:rPr>
              <w:t>(19)</w:t>
            </w: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1486"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49,554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1"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41"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837"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 </w:t>
            </w:r>
          </w:p>
        </w:tc>
        <w:tc>
          <w:tcPr>
            <w:tcW w:w="142"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919"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73"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73"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741"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 </w:t>
            </w:r>
          </w:p>
        </w:tc>
        <w:tc>
          <w:tcPr>
            <w:tcW w:w="17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F7F7F7" w:val="clear"/>
            <w:tcMar>
              <w:bottom w:w="125" w:type="dxa"/>
            </w:tcMar>
            <w:vAlign w:val="center"/>
          </w:tcPr>
          <w:p>
            <w:pPr>
              <w:pStyle w:val="TableContents"/>
              <w:bidi w:val="0"/>
              <w:spacing w:before="0" w:after="283"/>
              <w:jc w:val="right"/>
              <w:rPr/>
            </w:pPr>
            <w:r>
              <w:rPr/>
              <w:t>​</w:t>
            </w:r>
          </w:p>
        </w:tc>
        <w:tc>
          <w:tcPr>
            <w:tcW w:w="646" w:type="dxa"/>
            <w:tcBorders>
              <w:bottom w:val="single" w:sz="6" w:space="0" w:color="000000"/>
            </w:tcBorders>
            <w:shd w:fill="F7F7F7" w:val="clear"/>
            <w:tcMar>
              <w:bottom w:w="125" w:type="dxa"/>
            </w:tcMar>
            <w:vAlign w:val="center"/>
          </w:tcPr>
          <w:p>
            <w:pPr>
              <w:pStyle w:val="TableContents"/>
              <w:bidi w:val="0"/>
              <w:spacing w:before="0" w:after="283"/>
              <w:jc w:val="right"/>
              <w:rPr/>
            </w:pPr>
            <w:r>
              <w:rPr/>
              <w:t xml:space="preserve">* </w:t>
            </w:r>
          </w:p>
        </w:tc>
        <w:tc>
          <w:tcPr>
            <w:tcW w:w="109"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shd w:fill="F7F7F7" w:val="clear"/>
            <w:tcMar>
              <w:bottom w:w="28" w:type="dxa"/>
            </w:tcM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1636" w:type="dxa"/>
            <w:tcBorders>
              <w:bottom w:val="single" w:sz="6" w:space="0" w:color="000000"/>
            </w:tcBorders>
            <w:tcMar>
              <w:bottom w:w="125" w:type="dxa"/>
            </w:tcMar>
            <w:vAlign w:val="center"/>
          </w:tcPr>
          <w:p>
            <w:pPr>
              <w:pStyle w:val="TableContents"/>
              <w:bidi w:val="0"/>
              <w:spacing w:before="0" w:after="283"/>
              <w:jc w:val="left"/>
              <w:rPr/>
            </w:pPr>
            <w:r>
              <w:rPr/>
              <w:t xml:space="preserve">All executive officers and directors as a group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25" w:type="dxa"/>
            </w:tcMar>
            <w:vAlign w:val="center"/>
          </w:tcPr>
          <w:p>
            <w:pPr>
              <w:pStyle w:val="TableContents"/>
              <w:bidi w:val="0"/>
              <w:spacing w:before="0" w:after="283"/>
              <w:jc w:val="right"/>
              <w:rPr/>
            </w:pPr>
            <w:r>
              <w:rPr/>
              <w:t>​</w:t>
            </w:r>
          </w:p>
        </w:tc>
        <w:tc>
          <w:tcPr>
            <w:tcW w:w="1486" w:type="dxa"/>
            <w:tcBorders>
              <w:bottom w:val="single" w:sz="6" w:space="0" w:color="000000"/>
            </w:tcBorders>
            <w:tcMar>
              <w:bottom w:w="125" w:type="dxa"/>
            </w:tcMar>
            <w:vAlign w:val="center"/>
          </w:tcPr>
          <w:p>
            <w:pPr>
              <w:pStyle w:val="TableContents"/>
              <w:bidi w:val="0"/>
              <w:spacing w:before="0" w:after="283"/>
              <w:jc w:val="right"/>
              <w:rPr/>
            </w:pPr>
            <w:r>
              <w:rPr/>
              <w:t xml:space="preserve">1,413,246,756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1" w:type="dxa"/>
            <w:tcBorders>
              <w:bottom w:val="single" w:sz="6" w:space="0" w:color="000000"/>
            </w:tcBorders>
            <w:tcMar>
              <w:bottom w:w="28" w:type="dxa"/>
            </w:tcMar>
            <w:vAlign w:val="center"/>
          </w:tcPr>
          <w:p>
            <w:pPr>
              <w:pStyle w:val="TableContents"/>
              <w:bidi w:val="0"/>
              <w:spacing w:before="0" w:after="283"/>
              <w:jc w:val="left"/>
              <w:rPr/>
            </w:pPr>
            <w:r>
              <w:rPr/>
              <w:t>​</w:t>
            </w:r>
          </w:p>
        </w:tc>
        <w:tc>
          <w:tcPr>
            <w:tcW w:w="141" w:type="dxa"/>
            <w:tcBorders>
              <w:bottom w:val="single" w:sz="6" w:space="0" w:color="000000"/>
            </w:tcBorders>
            <w:tcMar>
              <w:bottom w:w="125" w:type="dxa"/>
            </w:tcMar>
            <w:vAlign w:val="center"/>
          </w:tcPr>
          <w:p>
            <w:pPr>
              <w:pStyle w:val="TableContents"/>
              <w:bidi w:val="0"/>
              <w:spacing w:before="0" w:after="283"/>
              <w:jc w:val="right"/>
              <w:rPr/>
            </w:pPr>
            <w:r>
              <w:rPr/>
              <w:t>​</w:t>
            </w:r>
          </w:p>
        </w:tc>
        <w:tc>
          <w:tcPr>
            <w:tcW w:w="837" w:type="dxa"/>
            <w:tcBorders>
              <w:bottom w:val="single" w:sz="6" w:space="0" w:color="000000"/>
            </w:tcBorders>
            <w:tcMar>
              <w:bottom w:w="125" w:type="dxa"/>
            </w:tcMar>
            <w:vAlign w:val="center"/>
          </w:tcPr>
          <w:p>
            <w:pPr>
              <w:pStyle w:val="TableContents"/>
              <w:bidi w:val="0"/>
              <w:spacing w:before="0" w:after="283"/>
              <w:jc w:val="right"/>
              <w:rPr/>
            </w:pPr>
            <w:r>
              <w:rPr/>
              <w:t xml:space="preserve">61.26% </w:t>
            </w:r>
          </w:p>
        </w:tc>
        <w:tc>
          <w:tcPr>
            <w:tcW w:w="142"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25" w:type="dxa"/>
            </w:tcMar>
            <w:vAlign w:val="center"/>
          </w:tcPr>
          <w:p>
            <w:pPr>
              <w:pStyle w:val="TableContents"/>
              <w:bidi w:val="0"/>
              <w:spacing w:before="0" w:after="283"/>
              <w:jc w:val="right"/>
              <w:rPr/>
            </w:pPr>
            <w:r>
              <w:rPr/>
              <w:t>​</w:t>
            </w:r>
          </w:p>
        </w:tc>
        <w:tc>
          <w:tcPr>
            <w:tcW w:w="919" w:type="dxa"/>
            <w:tcBorders>
              <w:bottom w:val="single" w:sz="6" w:space="0" w:color="000000"/>
            </w:tcBorders>
            <w:tcMar>
              <w:bottom w:w="125" w:type="dxa"/>
            </w:tcMar>
            <w:vAlign w:val="center"/>
          </w:tcPr>
          <w:p>
            <w:pPr>
              <w:pStyle w:val="TableContents"/>
              <w:bidi w:val="0"/>
              <w:spacing w:before="0" w:after="283"/>
              <w:jc w:val="right"/>
              <w:rPr/>
            </w:pPr>
            <w:r>
              <w:rPr/>
              <w:t xml:space="preserve">100,000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73" w:type="dxa"/>
            <w:tcBorders>
              <w:bottom w:val="single" w:sz="6" w:space="0" w:color="000000"/>
            </w:tcBorders>
            <w:tcMar>
              <w:bottom w:w="28" w:type="dxa"/>
            </w:tcMar>
            <w:vAlign w:val="center"/>
          </w:tcPr>
          <w:p>
            <w:pPr>
              <w:pStyle w:val="TableContents"/>
              <w:bidi w:val="0"/>
              <w:spacing w:before="0" w:after="283"/>
              <w:jc w:val="left"/>
              <w:rPr/>
            </w:pPr>
            <w:r>
              <w:rPr/>
              <w:t>​</w:t>
            </w:r>
          </w:p>
        </w:tc>
        <w:tc>
          <w:tcPr>
            <w:tcW w:w="173" w:type="dxa"/>
            <w:tcBorders>
              <w:bottom w:val="single" w:sz="6" w:space="0" w:color="000000"/>
            </w:tcBorders>
            <w:tcMar>
              <w:bottom w:w="125" w:type="dxa"/>
            </w:tcMar>
            <w:vAlign w:val="center"/>
          </w:tcPr>
          <w:p>
            <w:pPr>
              <w:pStyle w:val="TableContents"/>
              <w:bidi w:val="0"/>
              <w:spacing w:before="0" w:after="283"/>
              <w:jc w:val="right"/>
              <w:rPr/>
            </w:pPr>
            <w:r>
              <w:rPr/>
              <w:t>​</w:t>
            </w:r>
          </w:p>
        </w:tc>
        <w:tc>
          <w:tcPr>
            <w:tcW w:w="741" w:type="dxa"/>
            <w:tcBorders>
              <w:bottom w:val="single" w:sz="6" w:space="0" w:color="000000"/>
            </w:tcBorders>
            <w:tcMar>
              <w:bottom w:w="125" w:type="dxa"/>
            </w:tcMar>
            <w:vAlign w:val="center"/>
          </w:tcPr>
          <w:p>
            <w:pPr>
              <w:pStyle w:val="TableContents"/>
              <w:bidi w:val="0"/>
              <w:spacing w:before="0" w:after="283"/>
              <w:jc w:val="right"/>
              <w:rPr/>
            </w:pPr>
            <w:r>
              <w:rPr/>
              <w:t xml:space="preserve">100% </w:t>
            </w:r>
          </w:p>
        </w:tc>
        <w:tc>
          <w:tcPr>
            <w:tcW w:w="174"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25" w:type="dxa"/>
            </w:tcMar>
            <w:vAlign w:val="center"/>
          </w:tcPr>
          <w:p>
            <w:pPr>
              <w:pStyle w:val="TableContents"/>
              <w:bidi w:val="0"/>
              <w:spacing w:before="0" w:after="283"/>
              <w:jc w:val="right"/>
              <w:rPr/>
            </w:pPr>
            <w:r>
              <w:rPr/>
              <w:t>​</w:t>
            </w:r>
          </w:p>
        </w:tc>
        <w:tc>
          <w:tcPr>
            <w:tcW w:w="646" w:type="dxa"/>
            <w:tcBorders>
              <w:bottom w:val="single" w:sz="6" w:space="0" w:color="000000"/>
            </w:tcBorders>
            <w:tcMar>
              <w:bottom w:w="125" w:type="dxa"/>
            </w:tcMar>
            <w:vAlign w:val="center"/>
          </w:tcPr>
          <w:p>
            <w:pPr>
              <w:pStyle w:val="TableContents"/>
              <w:bidi w:val="0"/>
              <w:spacing w:before="0" w:after="283"/>
              <w:jc w:val="right"/>
              <w:rPr/>
            </w:pPr>
            <w:r>
              <w:rPr/>
              <w:t>65.07%</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340" w:after="0"/>
        <w:ind w:left="77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Less than 1%</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215900" distB="0" distL="0" distR="0" simplePos="0" locked="0" layoutInCell="1" allowOverlap="1" relativeHeight="269">
                <wp:simplePos x="0" y="0"/>
                <wp:positionH relativeFrom="column">
                  <wp:align>left</wp:align>
                </wp:positionH>
                <wp:positionV relativeFrom="line">
                  <wp:align>top</wp:align>
                </wp:positionV>
                <wp:extent cx="37465" cy="270510"/>
                <wp:effectExtent l="0" t="0" r="0" b="0"/>
                <wp:wrapSquare wrapText="right"/>
                <wp:docPr id="273" name="Frame202"/>
                <a:graphic xmlns:a="http://schemas.openxmlformats.org/drawingml/2006/main">
                  <a:graphicData uri="http://schemas.microsoft.com/office/word/2010/wordprocessingShape">
                    <wps:wsp>
                      <wps:cNvSpPr txBox="1"/>
                      <wps:spPr>
                        <a:xfrm>
                          <a:off x="0" y="0"/>
                          <a:ext cx="37465" cy="270510"/>
                        </a:xfrm>
                        <a:prstGeom prst="rect"/>
                        <a:solidFill>
                          <a:srgbClr val="FFFFFF"/>
                        </a:solidFill>
                      </wps:spPr>
                      <wps:txbx>
                        <w:txbxContent>
                          <w:p>
                            <w:pPr>
                              <w:pStyle w:val="TextBody"/>
                              <w:bidi w:val="0"/>
                              <w:spacing w:lineRule="atLeast" w:line="142" w:before="0" w:after="283"/>
                              <w:jc w:val="left"/>
                              <w:rPr>
                                <w:sz w:val="12"/>
                              </w:rPr>
                            </w:pPr>
                            <w:r>
                              <w:rPr>
                                <w:sz w:val="12"/>
                              </w:rPr>
                              <w:t>*</w:t>
                              <w:br/>
                            </w:r>
                          </w:p>
                        </w:txbxContent>
                      </wps:txbx>
                      <wps:bodyPr anchor="t" lIns="0" tIns="0" rIns="0" bIns="0">
                        <a:noAutofit/>
                      </wps:bodyPr>
                    </wps:wsp>
                  </a:graphicData>
                </a:graphic>
              </wp:anchor>
            </w:drawing>
          </mc:Choice>
          <mc:Fallback>
            <w:pict>
              <v:rect style="position:absolute;rotation:-0;width:2.95pt;height:21.3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12"/>
                        </w:rPr>
                        <w:t>*</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Unless otherwise noted, the business address of each of the following entities or individuals is c/o Lucid Group, Inc., 7373 Gateway Boulevard, Newark, CA 94560.</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70">
                <wp:simplePos x="0" y="0"/>
                <wp:positionH relativeFrom="column">
                  <wp:align>left</wp:align>
                </wp:positionH>
                <wp:positionV relativeFrom="line">
                  <wp:align>top</wp:align>
                </wp:positionV>
                <wp:extent cx="81915" cy="270510"/>
                <wp:effectExtent l="0" t="0" r="0" b="0"/>
                <wp:wrapSquare wrapText="right"/>
                <wp:docPr id="274" name="Frame203"/>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(1)</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Based on the Schedule 13D/A filed with the SEC on March 29, 2024 by the Public Investment Fund of Saudi Arabia (“PIF”). According to that Schedule 13D/A, PIF has sole voting power over 8,041,393 shares of Common Stock held directly by PIF, shared voting power over 1,645,155,233 shares of Common Stock held by Ayar, including 278,496,328 shares of Common Stock initially issuable upon conversion of 100,000 shares of Convertible Preferred Stock held by Ayar, and sole dispositive power over 1,653,196,626 shares of Common Stock held either by PIF or Ayar. Ayar is a wholly owned subsidiary of PIF. The Board of Directors of PIF has dispositive power over the shares held by PIF and Ayar. Each of the Board of Directors of PIF, H.E. Al-Rumayyan and Turqi Alnowaiser has shared voting power over the shares held by Ayar. Neither H.E. Al-Rumayyan, who is the Governor of PIF, nor Mr. Alnowaiser, who is Deputy Governor and Head of the International Investments Division of PIF, has a pecuniary interest in the shares held by Ayar, and each of H.E. Al-Rumayyan and Mr. Alnowaiser disclaims beneficial ownership of the shares held by Ayar. Interests shown do not include 401,454 shares of Common Stock held by H.E. Al-Rumayyan or 2,118,501 shares of Common Stock held by Mr. Alnowaiser. The business address for PIF and for H.E. Al-Rumayyan is Alr’idah Digital City, Building MU04, Al Nakhil District, P.O. Box 6847, Riyadh 11452, The Kingdom of Saudi Arabia.</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71">
                <wp:simplePos x="0" y="0"/>
                <wp:positionH relativeFrom="column">
                  <wp:align>left</wp:align>
                </wp:positionH>
                <wp:positionV relativeFrom="line">
                  <wp:align>top</wp:align>
                </wp:positionV>
                <wp:extent cx="81915" cy="270510"/>
                <wp:effectExtent l="0" t="0" r="0" b="0"/>
                <wp:wrapSquare wrapText="right"/>
                <wp:docPr id="275" name="Frame204"/>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(2)</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(2)</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Interests shown consist of 12,204,995 shares of Common Stock and 11,131,122 shares of Common Stock subject to option awards that are currently exercisable or exercisable within 60 days of April 2, 2024.</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72">
                <wp:simplePos x="0" y="0"/>
                <wp:positionH relativeFrom="column">
                  <wp:align>left</wp:align>
                </wp:positionH>
                <wp:positionV relativeFrom="line">
                  <wp:align>top</wp:align>
                </wp:positionV>
                <wp:extent cx="81915" cy="270510"/>
                <wp:effectExtent l="0" t="0" r="0" b="0"/>
                <wp:wrapSquare wrapText="right"/>
                <wp:docPr id="276" name="Frame205"/>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(3)</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(3)</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Interests shown consist of 73,212 shares of Common Stock and 28,379 shares of Common Stock subject to option awards that are currently exercisable or exercisable within 60 days of April 2, 2024.</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73">
                <wp:simplePos x="0" y="0"/>
                <wp:positionH relativeFrom="column">
                  <wp:align>left</wp:align>
                </wp:positionH>
                <wp:positionV relativeFrom="line">
                  <wp:align>top</wp:align>
                </wp:positionV>
                <wp:extent cx="81915" cy="270510"/>
                <wp:effectExtent l="0" t="0" r="0" b="0"/>
                <wp:wrapSquare wrapText="right"/>
                <wp:docPr id="277" name="Frame206"/>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(4)</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(4)</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The initial tranche of Mr. Winterhoff’s equity awards granted in December 2023 vests on December 4, 2024, the first anniversary of his date of hire.</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74">
                <wp:simplePos x="0" y="0"/>
                <wp:positionH relativeFrom="column">
                  <wp:align>left</wp:align>
                </wp:positionH>
                <wp:positionV relativeFrom="line">
                  <wp:align>top</wp:align>
                </wp:positionV>
                <wp:extent cx="81915" cy="270510"/>
                <wp:effectExtent l="0" t="0" r="0" b="0"/>
                <wp:wrapSquare wrapText="right"/>
                <wp:docPr id="278" name="Frame207"/>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(5)</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(5)</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Interests shown consist of 1,410,032 shares of Common Stock and 2,832,663 shares of Common Stock subject to option awards that are currently exercisable or exercisable within 60 days of April 2, 2024.</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75">
                <wp:simplePos x="0" y="0"/>
                <wp:positionH relativeFrom="column">
                  <wp:align>left</wp:align>
                </wp:positionH>
                <wp:positionV relativeFrom="line">
                  <wp:align>top</wp:align>
                </wp:positionV>
                <wp:extent cx="81915" cy="270510"/>
                <wp:effectExtent l="0" t="0" r="0" b="0"/>
                <wp:wrapSquare wrapText="right"/>
                <wp:docPr id="279" name="Frame208"/>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(6)</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(6)</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Interests shown consist of 738,474 shares of Common Stock and 102,165 shares of Common Stock subject to option awards that are currently exercisable or exercisable within 60 days of April 2, 2024.</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76">
                <wp:simplePos x="0" y="0"/>
                <wp:positionH relativeFrom="column">
                  <wp:align>left</wp:align>
                </wp:positionH>
                <wp:positionV relativeFrom="line">
                  <wp:align>top</wp:align>
                </wp:positionV>
                <wp:extent cx="81915" cy="270510"/>
                <wp:effectExtent l="0" t="0" r="0" b="0"/>
                <wp:wrapSquare wrapText="right"/>
                <wp:docPr id="280" name="Frame209"/>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(7)</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(7)</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Interests shown consist of 437,039 shares of Common Stock.</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77">
                <wp:simplePos x="0" y="0"/>
                <wp:positionH relativeFrom="column">
                  <wp:align>left</wp:align>
                </wp:positionH>
                <wp:positionV relativeFrom="line">
                  <wp:align>top</wp:align>
                </wp:positionV>
                <wp:extent cx="81915" cy="270510"/>
                <wp:effectExtent l="0" t="0" r="0" b="0"/>
                <wp:wrapSquare wrapText="right"/>
                <wp:docPr id="281" name="Frame210"/>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(8)</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(8)</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849"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Interests shown consist of  (i) 2,118,501 shares of Common Stock held by Mr. Alnowaiser and (ii) 1,366,658,905 shares of Common Stock held by Ayar. Mr. Alnowaiser, who is Deputy Governor and Head of the International Investments Division of PIF, has shared voting power with respect to the shares held by Ayar and has no pecuniary interest in and disclaims beneficial ownership of such shares. See note (2) above.</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78">
                <wp:simplePos x="0" y="0"/>
                <wp:positionH relativeFrom="column">
                  <wp:align>left</wp:align>
                </wp:positionH>
                <wp:positionV relativeFrom="line">
                  <wp:align>top</wp:align>
                </wp:positionV>
                <wp:extent cx="81915" cy="270510"/>
                <wp:effectExtent l="0" t="0" r="0" b="0"/>
                <wp:wrapSquare wrapText="right"/>
                <wp:docPr id="282" name="Frame211"/>
                <a:graphic xmlns:a="http://schemas.openxmlformats.org/drawingml/2006/main">
                  <a:graphicData uri="http://schemas.microsoft.com/office/word/2010/wordprocessingShape">
                    <wps:wsp>
                      <wps:cNvSpPr txBox="1"/>
                      <wps:spPr>
                        <a:xfrm>
                          <a:off x="0" y="0"/>
                          <a:ext cx="81915" cy="270510"/>
                        </a:xfrm>
                        <a:prstGeom prst="rect"/>
                        <a:solidFill>
                          <a:srgbClr val="FFFFFF"/>
                        </a:solidFill>
                      </wps:spPr>
                      <wps:txbx>
                        <w:txbxContent>
                          <w:p>
                            <w:pPr>
                              <w:pStyle w:val="TextBody"/>
                              <w:bidi w:val="0"/>
                              <w:spacing w:lineRule="atLeast" w:line="142" w:before="0" w:after="283"/>
                              <w:jc w:val="left"/>
                              <w:rPr>
                                <w:sz w:val="12"/>
                              </w:rPr>
                            </w:pPr>
                            <w:r>
                              <w:rPr>
                                <w:sz w:val="9"/>
                              </w:rPr>
                              <w:t>(9)</w:t>
                            </w:r>
                            <w:r>
                              <w:rPr>
                                <w:sz w:val="12"/>
                              </w:rPr>
                              <w:t xml:space="preserve"> </w:t>
                              <w:br/>
                            </w:r>
                          </w:p>
                        </w:txbxContent>
                      </wps:txbx>
                      <wps:bodyPr anchor="t" lIns="0" tIns="0" rIns="0" bIns="0">
                        <a:noAutofit/>
                      </wps:bodyPr>
                    </wps:wsp>
                  </a:graphicData>
                </a:graphic>
              </wp:anchor>
            </w:drawing>
          </mc:Choice>
          <mc:Fallback>
            <w:pict>
              <v:rect style="position:absolute;rotation:-0;width:6.45pt;height:21.3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(9)</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905"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Interests shown consist of  (i) 59,379 shares of Common Stock held by Mr. August and (ii) 7,000,000 shares of Common Stock and 6,858,574 shares of Common Stock issuable upon exercise of warrants to purchase shares of Common Stock held by OHA Partner Global Co-Investment III, LLP (“OHA PGCI3”). Mr. August has investment control over OHA PGCI3 and may be deemed to be a beneficial owner of such shares and warrants held by OHA PGCI3. The business address for OHA PGCI3 is OHA PGCI3, c/o Oak Hill Advisors, L.P., 1 Vanderbilt Avenue16th Floor, NYC, NY 10017.</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79">
                <wp:simplePos x="0" y="0"/>
                <wp:positionH relativeFrom="column">
                  <wp:align>left</wp:align>
                </wp:positionH>
                <wp:positionV relativeFrom="line">
                  <wp:align>top</wp:align>
                </wp:positionV>
                <wp:extent cx="117475" cy="180340"/>
                <wp:effectExtent l="0" t="0" r="0" b="0"/>
                <wp:wrapSquare wrapText="right"/>
                <wp:docPr id="283" name="Frame212"/>
                <a:graphic xmlns:a="http://schemas.openxmlformats.org/drawingml/2006/main">
                  <a:graphicData uri="http://schemas.microsoft.com/office/word/2010/wordprocessingShape">
                    <wps:wsp>
                      <wps:cNvSpPr txBox="1"/>
                      <wps:spPr>
                        <a:xfrm>
                          <a:off x="0" y="0"/>
                          <a:ext cx="117475" cy="180340"/>
                        </a:xfrm>
                        <a:prstGeom prst="rect"/>
                        <a:solidFill>
                          <a:srgbClr val="FFFFFF"/>
                        </a:solidFill>
                      </wps:spPr>
                      <wps:txbx>
                        <w:txbxContent>
                          <w:p>
                            <w:pPr>
                              <w:pStyle w:val="TextBody"/>
                              <w:bidi w:val="0"/>
                              <w:spacing w:lineRule="atLeast" w:line="142" w:before="0" w:after="283"/>
                              <w:jc w:val="left"/>
                              <w:rPr>
                                <w:sz w:val="12"/>
                              </w:rPr>
                            </w:pPr>
                            <w:r>
                              <w:rPr>
                                <w:sz w:val="9"/>
                              </w:rPr>
                              <w:t>(10)</w:t>
                            </w:r>
                            <w:r>
                              <w:rPr>
                                <w:sz w:val="12"/>
                              </w:rPr>
                              <w:t xml:space="preserve"> </w:t>
                              <w:br/>
                            </w:r>
                          </w:p>
                        </w:txbxContent>
                      </wps:txbx>
                      <wps:bodyPr anchor="t" lIns="0" tIns="0" rIns="0" bIns="0">
                        <a:noAutofit/>
                      </wps:bodyPr>
                    </wps:wsp>
                  </a:graphicData>
                </a:graphic>
              </wp:anchor>
            </w:drawing>
          </mc:Choice>
          <mc:Fallback>
            <w:pict>
              <v:rect style="position:absolute;rotation:-0;width:9.25pt;height:14.2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(10)</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905"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Former Director did not run for reelection in 2023. Interests shown consist of 13,561 shares of Common Stock.</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80">
                <wp:simplePos x="0" y="0"/>
                <wp:positionH relativeFrom="column">
                  <wp:align>left</wp:align>
                </wp:positionH>
                <wp:positionV relativeFrom="line">
                  <wp:align>top</wp:align>
                </wp:positionV>
                <wp:extent cx="117475" cy="180340"/>
                <wp:effectExtent l="0" t="0" r="0" b="0"/>
                <wp:wrapSquare wrapText="right"/>
                <wp:docPr id="284" name="Frame213"/>
                <a:graphic xmlns:a="http://schemas.openxmlformats.org/drawingml/2006/main">
                  <a:graphicData uri="http://schemas.microsoft.com/office/word/2010/wordprocessingShape">
                    <wps:wsp>
                      <wps:cNvSpPr txBox="1"/>
                      <wps:spPr>
                        <a:xfrm>
                          <a:off x="0" y="0"/>
                          <a:ext cx="117475" cy="180340"/>
                        </a:xfrm>
                        <a:prstGeom prst="rect"/>
                        <a:solidFill>
                          <a:srgbClr val="FFFFFF"/>
                        </a:solidFill>
                      </wps:spPr>
                      <wps:txbx>
                        <w:txbxContent>
                          <w:p>
                            <w:pPr>
                              <w:pStyle w:val="TextBody"/>
                              <w:bidi w:val="0"/>
                              <w:spacing w:lineRule="atLeast" w:line="142" w:before="0" w:after="283"/>
                              <w:jc w:val="left"/>
                              <w:rPr>
                                <w:sz w:val="12"/>
                              </w:rPr>
                            </w:pPr>
                            <w:r>
                              <w:rPr>
                                <w:sz w:val="9"/>
                              </w:rPr>
                              <w:t>(11)</w:t>
                            </w:r>
                            <w:r>
                              <w:rPr>
                                <w:sz w:val="12"/>
                              </w:rPr>
                              <w:t xml:space="preserve"> </w:t>
                              <w:br/>
                            </w:r>
                          </w:p>
                        </w:txbxContent>
                      </wps:txbx>
                      <wps:bodyPr anchor="t" lIns="0" tIns="0" rIns="0" bIns="0">
                        <a:noAutofit/>
                      </wps:bodyPr>
                    </wps:wsp>
                  </a:graphicData>
                </a:graphic>
              </wp:anchor>
            </w:drawing>
          </mc:Choice>
          <mc:Fallback>
            <w:pict>
              <v:rect style="position:absolute;rotation:-0;width:9.25pt;height:14.2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(11)</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905"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Former Director did not run for reelection in 2023. Interests shown consist of 12,503 shares of Common Stock.</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81">
                <wp:simplePos x="0" y="0"/>
                <wp:positionH relativeFrom="column">
                  <wp:align>left</wp:align>
                </wp:positionH>
                <wp:positionV relativeFrom="line">
                  <wp:align>top</wp:align>
                </wp:positionV>
                <wp:extent cx="117475" cy="180340"/>
                <wp:effectExtent l="0" t="0" r="0" b="0"/>
                <wp:wrapSquare wrapText="right"/>
                <wp:docPr id="285" name="Frame214"/>
                <a:graphic xmlns:a="http://schemas.openxmlformats.org/drawingml/2006/main">
                  <a:graphicData uri="http://schemas.microsoft.com/office/word/2010/wordprocessingShape">
                    <wps:wsp>
                      <wps:cNvSpPr txBox="1"/>
                      <wps:spPr>
                        <a:xfrm>
                          <a:off x="0" y="0"/>
                          <a:ext cx="117475" cy="180340"/>
                        </a:xfrm>
                        <a:prstGeom prst="rect"/>
                        <a:solidFill>
                          <a:srgbClr val="FFFFFF"/>
                        </a:solidFill>
                      </wps:spPr>
                      <wps:txbx>
                        <w:txbxContent>
                          <w:p>
                            <w:pPr>
                              <w:pStyle w:val="TextBody"/>
                              <w:bidi w:val="0"/>
                              <w:spacing w:lineRule="atLeast" w:line="142" w:before="0" w:after="283"/>
                              <w:jc w:val="left"/>
                              <w:rPr>
                                <w:sz w:val="12"/>
                              </w:rPr>
                            </w:pPr>
                            <w:r>
                              <w:rPr>
                                <w:sz w:val="9"/>
                              </w:rPr>
                              <w:t>(12)</w:t>
                            </w:r>
                            <w:r>
                              <w:rPr>
                                <w:sz w:val="12"/>
                              </w:rPr>
                              <w:t xml:space="preserve"> </w:t>
                              <w:br/>
                            </w:r>
                          </w:p>
                        </w:txbxContent>
                      </wps:txbx>
                      <wps:bodyPr anchor="t" lIns="0" tIns="0" rIns="0" bIns="0">
                        <a:noAutofit/>
                      </wps:bodyPr>
                    </wps:wsp>
                  </a:graphicData>
                </a:graphic>
              </wp:anchor>
            </w:drawing>
          </mc:Choice>
          <mc:Fallback>
            <w:pict>
              <v:rect style="position:absolute;rotation:-0;width:9.25pt;height:14.2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(12)</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905"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Interests shown consist of  (i) 594,654 shares of Common Stock held by Mr. Liveris and (ii) 400,000 shares of Common Stock and 363,347 shares of Common Stock issuable upon exercise of warrants to purchase shares of Common Stock held by Liveris Capital Partners LLC. Mr. Liveris has investment control over Liveris Capital Partners and disclaims beneficial ownership of such shares and warrants held by Liveris Capital Partners LLC. The business address for Liveris Capital Partners LLC is c/o BDO 225NE Mizner Blvd, Suite 685, Boca Raton, FL 33432.</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82">
                <wp:simplePos x="0" y="0"/>
                <wp:positionH relativeFrom="column">
                  <wp:align>left</wp:align>
                </wp:positionH>
                <wp:positionV relativeFrom="line">
                  <wp:align>top</wp:align>
                </wp:positionV>
                <wp:extent cx="117475" cy="180340"/>
                <wp:effectExtent l="0" t="0" r="0" b="0"/>
                <wp:wrapSquare wrapText="right"/>
                <wp:docPr id="286" name="Frame215"/>
                <a:graphic xmlns:a="http://schemas.openxmlformats.org/drawingml/2006/main">
                  <a:graphicData uri="http://schemas.microsoft.com/office/word/2010/wordprocessingShape">
                    <wps:wsp>
                      <wps:cNvSpPr txBox="1"/>
                      <wps:spPr>
                        <a:xfrm>
                          <a:off x="0" y="0"/>
                          <a:ext cx="117475" cy="180340"/>
                        </a:xfrm>
                        <a:prstGeom prst="rect"/>
                        <a:solidFill>
                          <a:srgbClr val="FFFFFF"/>
                        </a:solidFill>
                      </wps:spPr>
                      <wps:txbx>
                        <w:txbxContent>
                          <w:p>
                            <w:pPr>
                              <w:pStyle w:val="TextBody"/>
                              <w:bidi w:val="0"/>
                              <w:spacing w:lineRule="atLeast" w:line="142" w:before="0" w:after="283"/>
                              <w:jc w:val="left"/>
                              <w:rPr>
                                <w:sz w:val="12"/>
                              </w:rPr>
                            </w:pPr>
                            <w:r>
                              <w:rPr>
                                <w:sz w:val="9"/>
                              </w:rPr>
                              <w:t>(13)</w:t>
                            </w:r>
                            <w:r>
                              <w:rPr>
                                <w:sz w:val="12"/>
                              </w:rPr>
                              <w:t xml:space="preserve"> </w:t>
                              <w:br/>
                            </w:r>
                          </w:p>
                        </w:txbxContent>
                      </wps:txbx>
                      <wps:bodyPr anchor="t" lIns="0" tIns="0" rIns="0" bIns="0">
                        <a:noAutofit/>
                      </wps:bodyPr>
                    </wps:wsp>
                  </a:graphicData>
                </a:graphic>
              </wp:anchor>
            </w:drawing>
          </mc:Choice>
          <mc:Fallback>
            <w:pict>
              <v:rect style="position:absolute;rotation:-0;width:9.25pt;height:14.2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(13)</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905"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Interests shown consist of 16,129 shares of Common Stock.</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83">
                <wp:simplePos x="0" y="0"/>
                <wp:positionH relativeFrom="column">
                  <wp:align>left</wp:align>
                </wp:positionH>
                <wp:positionV relativeFrom="line">
                  <wp:align>top</wp:align>
                </wp:positionV>
                <wp:extent cx="117475" cy="180340"/>
                <wp:effectExtent l="0" t="0" r="0" b="0"/>
                <wp:wrapSquare wrapText="right"/>
                <wp:docPr id="287" name="Frame216"/>
                <a:graphic xmlns:a="http://schemas.openxmlformats.org/drawingml/2006/main">
                  <a:graphicData uri="http://schemas.microsoft.com/office/word/2010/wordprocessingShape">
                    <wps:wsp>
                      <wps:cNvSpPr txBox="1"/>
                      <wps:spPr>
                        <a:xfrm>
                          <a:off x="0" y="0"/>
                          <a:ext cx="117475" cy="180340"/>
                        </a:xfrm>
                        <a:prstGeom prst="rect"/>
                        <a:solidFill>
                          <a:srgbClr val="FFFFFF"/>
                        </a:solidFill>
                      </wps:spPr>
                      <wps:txbx>
                        <w:txbxContent>
                          <w:p>
                            <w:pPr>
                              <w:pStyle w:val="TextBody"/>
                              <w:bidi w:val="0"/>
                              <w:spacing w:lineRule="atLeast" w:line="142" w:before="0" w:after="283"/>
                              <w:jc w:val="left"/>
                              <w:rPr>
                                <w:sz w:val="12"/>
                              </w:rPr>
                            </w:pPr>
                            <w:r>
                              <w:rPr>
                                <w:sz w:val="9"/>
                              </w:rPr>
                              <w:t>(14)</w:t>
                            </w:r>
                            <w:r>
                              <w:rPr>
                                <w:sz w:val="12"/>
                              </w:rPr>
                              <w:t xml:space="preserve"> </w:t>
                              <w:br/>
                            </w:r>
                          </w:p>
                        </w:txbxContent>
                      </wps:txbx>
                      <wps:bodyPr anchor="t" lIns="0" tIns="0" rIns="0" bIns="0">
                        <a:noAutofit/>
                      </wps:bodyPr>
                    </wps:wsp>
                  </a:graphicData>
                </a:graphic>
              </wp:anchor>
            </w:drawing>
          </mc:Choice>
          <mc:Fallback>
            <w:pict>
              <v:rect style="position:absolute;rotation:-0;width:9.25pt;height:14.2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(14)</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905"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Interests shown consist of 59,379 shares of Common Stock.</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84">
                <wp:simplePos x="0" y="0"/>
                <wp:positionH relativeFrom="column">
                  <wp:align>left</wp:align>
                </wp:positionH>
                <wp:positionV relativeFrom="line">
                  <wp:align>top</wp:align>
                </wp:positionV>
                <wp:extent cx="117475" cy="180340"/>
                <wp:effectExtent l="0" t="0" r="0" b="0"/>
                <wp:wrapSquare wrapText="right"/>
                <wp:docPr id="288" name="Frame217"/>
                <a:graphic xmlns:a="http://schemas.openxmlformats.org/drawingml/2006/main">
                  <a:graphicData uri="http://schemas.microsoft.com/office/word/2010/wordprocessingShape">
                    <wps:wsp>
                      <wps:cNvSpPr txBox="1"/>
                      <wps:spPr>
                        <a:xfrm>
                          <a:off x="0" y="0"/>
                          <a:ext cx="117475" cy="180340"/>
                        </a:xfrm>
                        <a:prstGeom prst="rect"/>
                        <a:solidFill>
                          <a:srgbClr val="FFFFFF"/>
                        </a:solidFill>
                      </wps:spPr>
                      <wps:txbx>
                        <w:txbxContent>
                          <w:p>
                            <w:pPr>
                              <w:pStyle w:val="TextBody"/>
                              <w:bidi w:val="0"/>
                              <w:spacing w:lineRule="atLeast" w:line="142" w:before="0" w:after="283"/>
                              <w:jc w:val="left"/>
                              <w:rPr>
                                <w:sz w:val="12"/>
                              </w:rPr>
                            </w:pPr>
                            <w:r>
                              <w:rPr>
                                <w:sz w:val="9"/>
                              </w:rPr>
                              <w:t>(15)</w:t>
                            </w:r>
                            <w:r>
                              <w:rPr>
                                <w:sz w:val="12"/>
                              </w:rPr>
                              <w:t xml:space="preserve"> </w:t>
                              <w:br/>
                            </w:r>
                          </w:p>
                        </w:txbxContent>
                      </wps:txbx>
                      <wps:bodyPr anchor="t" lIns="0" tIns="0" rIns="0" bIns="0">
                        <a:noAutofit/>
                      </wps:bodyPr>
                    </wps:wsp>
                  </a:graphicData>
                </a:graphic>
              </wp:anchor>
            </w:drawing>
          </mc:Choice>
          <mc:Fallback>
            <w:pict>
              <v:rect style="position:absolute;rotation:-0;width:9.25pt;height:14.2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(15)</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905"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Interests shown consist of 16,129 shares of Common Stock.</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85">
                <wp:simplePos x="0" y="0"/>
                <wp:positionH relativeFrom="column">
                  <wp:align>left</wp:align>
                </wp:positionH>
                <wp:positionV relativeFrom="line">
                  <wp:align>top</wp:align>
                </wp:positionV>
                <wp:extent cx="117475" cy="180340"/>
                <wp:effectExtent l="0" t="0" r="0" b="0"/>
                <wp:wrapSquare wrapText="right"/>
                <wp:docPr id="289" name="Frame218"/>
                <a:graphic xmlns:a="http://schemas.openxmlformats.org/drawingml/2006/main">
                  <a:graphicData uri="http://schemas.microsoft.com/office/word/2010/wordprocessingShape">
                    <wps:wsp>
                      <wps:cNvSpPr txBox="1"/>
                      <wps:spPr>
                        <a:xfrm>
                          <a:off x="0" y="0"/>
                          <a:ext cx="117475" cy="180340"/>
                        </a:xfrm>
                        <a:prstGeom prst="rect"/>
                        <a:solidFill>
                          <a:srgbClr val="FFFFFF"/>
                        </a:solidFill>
                      </wps:spPr>
                      <wps:txbx>
                        <w:txbxContent>
                          <w:p>
                            <w:pPr>
                              <w:pStyle w:val="TextBody"/>
                              <w:bidi w:val="0"/>
                              <w:spacing w:lineRule="atLeast" w:line="142" w:before="0" w:after="283"/>
                              <w:jc w:val="left"/>
                              <w:rPr>
                                <w:sz w:val="12"/>
                              </w:rPr>
                            </w:pPr>
                            <w:r>
                              <w:rPr>
                                <w:sz w:val="9"/>
                              </w:rPr>
                              <w:t>(16)</w:t>
                            </w:r>
                            <w:r>
                              <w:rPr>
                                <w:sz w:val="12"/>
                              </w:rPr>
                              <w:t xml:space="preserve"> </w:t>
                              <w:br/>
                            </w:r>
                          </w:p>
                        </w:txbxContent>
                      </wps:txbx>
                      <wps:bodyPr anchor="t" lIns="0" tIns="0" rIns="0" bIns="0">
                        <a:noAutofit/>
                      </wps:bodyPr>
                    </wps:wsp>
                  </a:graphicData>
                </a:graphic>
              </wp:anchor>
            </w:drawing>
          </mc:Choice>
          <mc:Fallback>
            <w:pict>
              <v:rect style="position:absolute;rotation:-0;width:9.25pt;height:14.2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(16)</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905"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Interests shown consist of 51,930 shares of Common Stock.</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86">
                <wp:simplePos x="0" y="0"/>
                <wp:positionH relativeFrom="column">
                  <wp:align>left</wp:align>
                </wp:positionH>
                <wp:positionV relativeFrom="line">
                  <wp:align>top</wp:align>
                </wp:positionV>
                <wp:extent cx="117475" cy="180340"/>
                <wp:effectExtent l="0" t="0" r="0" b="0"/>
                <wp:wrapSquare wrapText="right"/>
                <wp:docPr id="290" name="Frame219"/>
                <a:graphic xmlns:a="http://schemas.openxmlformats.org/drawingml/2006/main">
                  <a:graphicData uri="http://schemas.microsoft.com/office/word/2010/wordprocessingShape">
                    <wps:wsp>
                      <wps:cNvSpPr txBox="1"/>
                      <wps:spPr>
                        <a:xfrm>
                          <a:off x="0" y="0"/>
                          <a:ext cx="117475" cy="180340"/>
                        </a:xfrm>
                        <a:prstGeom prst="rect"/>
                        <a:solidFill>
                          <a:srgbClr val="FFFFFF"/>
                        </a:solidFill>
                      </wps:spPr>
                      <wps:txbx>
                        <w:txbxContent>
                          <w:p>
                            <w:pPr>
                              <w:pStyle w:val="TextBody"/>
                              <w:bidi w:val="0"/>
                              <w:spacing w:lineRule="atLeast" w:line="142" w:before="0" w:after="283"/>
                              <w:jc w:val="left"/>
                              <w:rPr>
                                <w:sz w:val="12"/>
                              </w:rPr>
                            </w:pPr>
                            <w:r>
                              <w:rPr>
                                <w:sz w:val="9"/>
                              </w:rPr>
                              <w:t>(17)</w:t>
                            </w:r>
                            <w:r>
                              <w:rPr>
                                <w:sz w:val="12"/>
                              </w:rPr>
                              <w:t xml:space="preserve"> </w:t>
                              <w:br/>
                            </w:r>
                          </w:p>
                        </w:txbxContent>
                      </wps:txbx>
                      <wps:bodyPr anchor="t" lIns="0" tIns="0" rIns="0" bIns="0">
                        <a:noAutofit/>
                      </wps:bodyPr>
                    </wps:wsp>
                  </a:graphicData>
                </a:graphic>
              </wp:anchor>
            </w:drawing>
          </mc:Choice>
          <mc:Fallback>
            <w:pict>
              <v:rect style="position:absolute;rotation:-0;width:9.25pt;height:14.2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(17)</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905" w:right="0" w:hanging="0"/>
        <w:jc w:val="left"/>
        <w:rPr>
          <w:rFonts w:ascii="Helvetica;Arial;sans-serif" w:hAnsi="Helvetica;Arial;sans-serif"/>
          <w:b w:val="false"/>
          <w:i w:val="false"/>
          <w:caps w:val="false"/>
          <w:smallCaps w:val="false"/>
          <w:color w:val="000000"/>
          <w:sz w:val="12"/>
        </w:rPr>
      </w:pPr>
      <w:r>
        <w:rPr>
          <w:rFonts w:ascii="Helvetica;Arial;sans-serif" w:hAnsi="Helvetica;Arial;sans-serif"/>
          <w:b w:val="false"/>
          <w:i w:val="false"/>
          <w:caps w:val="false"/>
          <w:smallCaps w:val="false"/>
          <w:color w:val="000000"/>
          <w:sz w:val="12"/>
        </w:rPr>
        <w:t>Interests shown consist of 16,129 shares of Common Stock</w:t>
      </w:r>
      <w:r>
        <w:rPr>
          <w:rFonts w:ascii="Helvetica;Arial;sans-serif" w:hAnsi="Helvetica;Arial;sans-serif"/>
          <w:b w:val="false"/>
          <w:i w:val="false"/>
          <w:caps w:val="false"/>
          <w:smallCaps w:val="false"/>
          <w:color w:val="000000"/>
          <w:spacing w:val="2"/>
          <w:sz w:val="12"/>
        </w:rPr>
        <w:t xml:space="preserve"> </w:t>
      </w:r>
      <w:r>
        <mc:AlternateContent>
          <mc:Choice Requires="wps">
            <w:drawing>
              <wp:anchor behindDoc="0" distT="69850" distB="0" distL="0" distR="0" simplePos="0" locked="0" layoutInCell="1" allowOverlap="1" relativeHeight="287">
                <wp:simplePos x="0" y="0"/>
                <wp:positionH relativeFrom="column">
                  <wp:align>left</wp:align>
                </wp:positionH>
                <wp:positionV relativeFrom="line">
                  <wp:align>top</wp:align>
                </wp:positionV>
                <wp:extent cx="117475" cy="180340"/>
                <wp:effectExtent l="0" t="0" r="0" b="0"/>
                <wp:wrapSquare wrapText="right"/>
                <wp:docPr id="291" name="Frame220"/>
                <a:graphic xmlns:a="http://schemas.openxmlformats.org/drawingml/2006/main">
                  <a:graphicData uri="http://schemas.microsoft.com/office/word/2010/wordprocessingShape">
                    <wps:wsp>
                      <wps:cNvSpPr txBox="1"/>
                      <wps:spPr>
                        <a:xfrm>
                          <a:off x="0" y="0"/>
                          <a:ext cx="117475" cy="180340"/>
                        </a:xfrm>
                        <a:prstGeom prst="rect"/>
                        <a:solidFill>
                          <a:srgbClr val="FFFFFF"/>
                        </a:solidFill>
                      </wps:spPr>
                      <wps:txbx>
                        <w:txbxContent>
                          <w:p>
                            <w:pPr>
                              <w:pStyle w:val="TextBody"/>
                              <w:bidi w:val="0"/>
                              <w:spacing w:lineRule="atLeast" w:line="142" w:before="0" w:after="283"/>
                              <w:jc w:val="left"/>
                              <w:rPr>
                                <w:sz w:val="12"/>
                              </w:rPr>
                            </w:pPr>
                            <w:r>
                              <w:rPr>
                                <w:sz w:val="9"/>
                              </w:rPr>
                              <w:t>(18)</w:t>
                            </w:r>
                            <w:r>
                              <w:rPr>
                                <w:sz w:val="12"/>
                              </w:rPr>
                              <w:t xml:space="preserve"> </w:t>
                              <w:br/>
                            </w:r>
                          </w:p>
                        </w:txbxContent>
                      </wps:txbx>
                      <wps:bodyPr anchor="t" lIns="0" tIns="0" rIns="0" bIns="0">
                        <a:noAutofit/>
                      </wps:bodyPr>
                    </wps:wsp>
                  </a:graphicData>
                </a:graphic>
              </wp:anchor>
            </w:drawing>
          </mc:Choice>
          <mc:Fallback>
            <w:pict>
              <v:rect style="position:absolute;rotation:-0;width:9.25pt;height:14.2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12"/>
                        </w:rPr>
                      </w:pPr>
                      <w:r>
                        <w:rPr>
                          <w:sz w:val="9"/>
                        </w:rPr>
                        <w:t>(18)</w:t>
                      </w:r>
                      <w:r>
                        <w:rPr>
                          <w:sz w:val="12"/>
                        </w:rPr>
                        <w:t xml:space="preserve">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142" w:before="110" w:after="0"/>
        <w:ind w:left="905" w:right="0" w:hanging="0"/>
        <w:jc w:val="left"/>
        <w:rPr>
          <w:rFonts w:ascii="Helvetica;Arial;sans-serif" w:hAnsi="Helvetica;Arial;sans-serif"/>
          <w:b w:val="false"/>
          <w:i w:val="false"/>
          <w:caps w:val="false"/>
          <w:smallCaps w:val="false"/>
          <w:color w:val="000000"/>
          <w:sz w:val="9"/>
        </w:rPr>
      </w:pPr>
      <w:r>
        <w:rPr>
          <w:rFonts w:ascii="Helvetica;Arial;sans-serif" w:hAnsi="Helvetica;Arial;sans-serif"/>
          <w:b w:val="false"/>
          <w:i w:val="false"/>
          <w:caps w:val="false"/>
          <w:smallCaps w:val="false"/>
          <w:color w:val="000000"/>
          <w:sz w:val="12"/>
        </w:rPr>
        <w:t>Interests shown consist of 49,554 shares of Common Stock.</w:t>
      </w:r>
      <w:r>
        <w:rPr>
          <w:rFonts w:ascii="Helvetica;Arial;sans-serif" w:hAnsi="Helvetica;Arial;sans-serif"/>
          <w:b w:val="false"/>
          <w:i w:val="false"/>
          <w:caps w:val="false"/>
          <w:smallCaps w:val="false"/>
          <w:color w:val="000000"/>
          <w:sz w:val="9"/>
        </w:rPr>
        <w:t xml:space="preserve"> </w:t>
      </w:r>
      <w:r>
        <mc:AlternateContent>
          <mc:Choice Requires="wps">
            <w:drawing>
              <wp:anchor behindDoc="0" distT="69850" distB="0" distL="0" distR="0" simplePos="0" locked="0" layoutInCell="1" allowOverlap="1" relativeHeight="288">
                <wp:simplePos x="0" y="0"/>
                <wp:positionH relativeFrom="column">
                  <wp:align>left</wp:align>
                </wp:positionH>
                <wp:positionV relativeFrom="line">
                  <wp:align>top</wp:align>
                </wp:positionV>
                <wp:extent cx="117475" cy="180340"/>
                <wp:effectExtent l="0" t="0" r="0" b="0"/>
                <wp:wrapSquare wrapText="right"/>
                <wp:docPr id="292" name="Frame221"/>
                <a:graphic xmlns:a="http://schemas.openxmlformats.org/drawingml/2006/main">
                  <a:graphicData uri="http://schemas.microsoft.com/office/word/2010/wordprocessingShape">
                    <wps:wsp>
                      <wps:cNvSpPr txBox="1"/>
                      <wps:spPr>
                        <a:xfrm>
                          <a:off x="0" y="0"/>
                          <a:ext cx="117475" cy="180340"/>
                        </a:xfrm>
                        <a:prstGeom prst="rect"/>
                        <a:solidFill>
                          <a:srgbClr val="FFFFFF"/>
                        </a:solidFill>
                      </wps:spPr>
                      <wps:txbx>
                        <w:txbxContent>
                          <w:p>
                            <w:pPr>
                              <w:pStyle w:val="TextBody"/>
                              <w:bidi w:val="0"/>
                              <w:spacing w:lineRule="atLeast" w:line="142" w:before="0" w:after="283"/>
                              <w:jc w:val="left"/>
                              <w:rPr>
                                <w:sz w:val="9"/>
                              </w:rPr>
                            </w:pPr>
                            <w:r>
                              <w:rPr>
                                <w:sz w:val="9"/>
                              </w:rPr>
                              <w:t xml:space="preserve">(19) </w:t>
                              <w:br/>
                            </w:r>
                          </w:p>
                        </w:txbxContent>
                      </wps:txbx>
                      <wps:bodyPr anchor="t" lIns="0" tIns="0" rIns="0" bIns="0">
                        <a:noAutofit/>
                      </wps:bodyPr>
                    </wps:wsp>
                  </a:graphicData>
                </a:graphic>
              </wp:anchor>
            </w:drawing>
          </mc:Choice>
          <mc:Fallback>
            <w:pict>
              <v:rect style="position:absolute;rotation:-0;width:9.25pt;height:14.2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42" w:before="0" w:after="283"/>
                        <w:jc w:val="left"/>
                        <w:rPr>
                          <w:sz w:val="9"/>
                        </w:rPr>
                      </w:pPr>
                      <w:r>
                        <w:rPr>
                          <w:sz w:val="9"/>
                        </w:rPr>
                        <w:t xml:space="preserve">(19) </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76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CRAR"/>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283"/>
        <w:ind w:left="720" w:right="0" w:hanging="0"/>
        <w:jc w:val="left"/>
        <w:rPr>
          <w:rFonts w:ascii="Times New Roman;Garamond;serif" w:hAnsi="Times New Roman;Garamond;serif"/>
          <w:b/>
          <w:i w:val="false"/>
          <w:caps w:val="false"/>
          <w:smallCaps w:val="false"/>
          <w:color w:val="000000"/>
          <w:sz w:val="40"/>
        </w:rPr>
      </w:pPr>
      <w:r>
        <w:rPr>
          <w:rFonts w:ascii="Times New Roman;Garamond;serif" w:hAnsi="Times New Roman;Garamond;serif"/>
          <w:b/>
          <w:i w:val="false"/>
          <w:caps w:val="false"/>
          <w:smallCaps w:val="false"/>
          <w:color w:val="000000"/>
          <w:sz w:val="40"/>
        </w:rPr>
        <w:t>Certain Relationships and Related Party Transactions</w:t>
      </w:r>
      <w:r>
        <w:rPr>
          <w:rFonts w:ascii="Times New Roman;Garamond;serif" w:hAnsi="Times New Roman;Garamond;serif"/>
          <w:b/>
          <w:i w:val="false"/>
          <w:caps w:val="false"/>
          <w:smallCaps w:val="false"/>
          <w:color w:val="000000"/>
          <w:spacing w:val="8"/>
          <w:sz w:val="40"/>
        </w:rPr>
        <w:t xml:space="preserve"> </w:t>
      </w:r>
    </w:p>
    <w:p>
      <w:pPr>
        <w:pStyle w:val="TextBody"/>
        <w:bidi w:val="0"/>
        <w:spacing w:lineRule="atLeast" w:line="230" w:before="40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We describe below transactions and series of similar transactions, since the beginning of our last fiscal year or currently proposed, to which we were a party or will be a party, in which:</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138"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amount involved exceeds $120,000; and</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87630" distB="0" distL="0" distR="0" simplePos="0" locked="0" layoutInCell="1" allowOverlap="1" relativeHeight="289">
                <wp:simplePos x="0" y="0"/>
                <wp:positionH relativeFrom="column">
                  <wp:align>left</wp:align>
                </wp:positionH>
                <wp:positionV relativeFrom="line">
                  <wp:align>top</wp:align>
                </wp:positionV>
                <wp:extent cx="114300" cy="525780"/>
                <wp:effectExtent l="0" t="0" r="0" b="0"/>
                <wp:wrapSquare wrapText="right"/>
                <wp:docPr id="293" name="Frame222"/>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32"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any of our directors, director nominees, executive officers, beneficial holders of more than 5% of any class of our capital stock who had or will have a direct or indirect material interest, or any immediate family member of the foregoing persons.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83820" distB="0" distL="0" distR="0" simplePos="0" locked="0" layoutInCell="1" allowOverlap="1" relativeHeight="290">
                <wp:simplePos x="0" y="0"/>
                <wp:positionH relativeFrom="column">
                  <wp:align>left</wp:align>
                </wp:positionH>
                <wp:positionV relativeFrom="line">
                  <wp:align>top</wp:align>
                </wp:positionV>
                <wp:extent cx="114300" cy="525780"/>
                <wp:effectExtent l="0" t="0" r="0" b="0"/>
                <wp:wrapSquare wrapText="right"/>
                <wp:docPr id="294" name="Frame223"/>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6.6pt;mso-wrap-distance-bottom:0pt;margin-top:6.6pt;mso-position-vertical:top;mso-position-vertical-relative:text;margin-left:9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Compensation arrangements are described where required under the sections entitled “Director Compensation” and “Executive Compensation.”</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Saudi Arabia Manufacturing Facility Lease</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On February 27, 2022, we announced that we selected King Abdullah Economic City (“KAEC”) in Saudi Arabia as the location of our first international manufacturing plant and, through our subsidiary, entered into a development lease agreement with Emaar, The Economic City (“Emaar”) at KAEC. PIF owns an approximately 25% interest in Emaar, the developer of KAEC. We expect to make payments under the agreement in the aggregate amount of approximately SAR 62 million (approximately $16.6 million). During the fiscal year ended December 31, 2023, we made payments under the agreement in the aggregate of  $1,450 (exclusive of VAT and service charges).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Gulf International Bank Facility Agreement</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On April 29, 2022, our subsidiary Lucid LLC entered into a revolving credit facility agreement (the “GIB Facility Agreement”) with Gulf International Bank Saudi Arabia (“GIB”), maturing on February 28, 2025. PIF owns approximately 98% interest in GIB. The GIB Facility Agreement provided for two committed revolving credit facilities in an aggregate principal amount of SAR 1 billion (approximately $266.1 million). SAR 650 million (approximately $173.0 million) under the GIB Facility Agreement was available as bridge financing (the “Bridge Facility”) of Lucid LLC’s capital expenditures in connection with our Advanced Manufacturing Plant 2 in Saudi Arabia (“AMP-2”). The remaining SAR 350 million (approximately $93.1 million) was available for general corporate purposes (the “Working Capital Facility”). Loans under the Bridge Facility and the Working Capital Facility had a maturity of no more than 12 months. The Bridge Facility incurred interest at a rate of 1.25% per annum over 3-month SAIBOR and the Working Capital Facility incurred interest at a rate of 1.70% per annum over 1- to 3-month SAIBOR and associated fees.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On March 12, 2023, Lucid LLC entered into an amendment of the GIB Facility Agreement (together with the GIB Facility Agreement, the “Amended GIB Facility Agreement”) to combine the Bridge Facility and the Working Capital Facility into a committed SAR 1 billion (approximately $266.7million) revolving credit facility (the “GIB Credit Facility”) which may be used for general corporate purposes. Loans under the Amended GIB Credit Facility Agreement have a maturity of no more than 12 months and bear interest at a rate of 1.40% per annum over SAIBOR (based on the term of borrowing) and associated fees.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largest aggregate amount of principal outstanding under the Amended GIB Facility Agreement during fiscal year 2023 was SAR 272 million (approximately $72.5 million). During fiscal year 2023, we paid SAR 7.1 million (approximately $1.9 million) of interest under the Amended GIB Facility Agreement. As of December 31, 2023, we had outstanding borrowings of SAR 272 million (approximately $72.5 million) with weighted average interest rate of 7.49%. As of December 31, 2023, availability under the GIB Credit Facility was SAR 727 million (approximately $193.9 million), after giving effect to the outstanding letters of credit.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Construction Service Contract</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On July 1, 2022, Lucid LLC entered into a master services agreement and related agreements with Al Bawani Company Limited (“Al Bawani”) for certain design and construction services in connection with the development of AMP-2. PIF owns an approximately 30% interest in Al Bawani. The capital expenditures incurred under these agreements were SAR 444.6 million (approximately $118.6 million) for fiscal year 2023. Amounts due to Al Bawani under these agreements were SAR 74.0 million (approximately $19.7 million) as of December 31, 2023.</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May 2023 Subscription Agreement</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On May 31, 2023, we entered into a subscription agreement (the “May 2023 Subscription Agreement”) with Ayar, pursuant to which Ayar agreed to purchase from us 265,693,703 shares of our Common Stock at a price per share of  $6.83 in a private </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77</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84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placement for aggregate net proceeds of approximately $1.8 billion. In June 2023, we issued the shares to Ayar pursuant to the May 2023 Subscription Agreement and received aggregate net proceeds of  $1.8 billion after deducting issuance costs of approximately $2.0 million. Ayar agreed not to sell, transfer, pledge or otherwise dispose of shares of Common Stock they hold or receive for a period of six months after the date of the private placement.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March 2024 Subscription Agreement</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On March 24, 2024, we entered into a subscription agreement (the “March 2024 Subscription Agreement”) with Ayar, pursuant to which Ayar agreed to purchase 100,000 shares of our Series A Convertible Preferred Stock, par value $0.0001 per share (the “Convertible Preferred Stock”), for an aggregate purchase price of  $1,000,000,000 in a private placement. On March, 29, 2024, we issued the shares of Convertible Preferred Stock pursuant to the March 2024 Subscription Agreement and received aggregate proceeds of  $1,000,000,000. Ayar agreed not to sell, transfer, pledge or otherwise dispose of shares of Common Stock they hold or receive for a period of 12 months after the date of the private placement.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Second Amendment to Investor Rights Agreement</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On May 31, 2023, we entered into an amendment to the Investor Rights Agreement (the “Second IRA Amendment”). Pursuant to the Second IRA Amendment, Ayar is entitled to certain registration rights, including demand, piggy-back and shelf registration rights, with respect to the shares of Common Stock purchased pursuant to the May 2023 Subscription Agreement.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Third Amendment to Investor Rights Agreement</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On March 29, 2024, we entered into an amendment to the Investor Rights Agreement (the “Third IRA Amendment”). Pursuant to the Third IRA Amendment, Ayar is entitled to certain registration rights, including demand, piggy-back and shelf registration rights, with respect to the shares of Convertible Preferred Stock purchased pursuant to the March 2024 Subscription Agreement and any shares of Common Stock issuable upon conversion thereof.</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Agreements with Aston Martin</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In June 2023, we entered into an agreement (the “Implementation Agreement”) with Aston Martin Lagonda Global Holdings plc (together with its subsidiaries, “Aston Martin”), under which we and Aston Martin have established a long-term strategic technology and supply arrangement. Pursuant to the terms of the Implementation Agreement, we entered into integration and supply arrangements with Aston Martin under which we will provide Aston Martin access to our powertrain, battery system, and software technologies, work with Aston Martin to integrate our powertrain and battery components with Aston Martin’s battery electric vehicle chassis, and supply powertrain and battery components to Aston Martin (collectively, the “Strategic Technology Arrangement”). PIF owns an approximately 18% interest in Aston Martin.</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During the fiscal year ended December 31, 2023, in connection with the commencement of the Strategic Technology Arrangement, we received technology access fees in 28,352,273 ordinary shares of Aston Martin and the first cash installment of  $33 million. These shares were initially measured at a fair value of  $73.2 million and subsequently remeasured to a fair value of  $81.5 million as of December 31, 2023. We will receive the remaining cash payments of  $99 million phased over a period of three years. In connection with the Strategic Technology Arrangement, we will also receive an aggregate of  $10 million for integration service fees phased over a period of three years, of which we received $1.6 million during the year ended December 31, 2023. Aston Martin has also committed to an effective minimum spend with us on powertrain components of  $225 million.</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Saudi Arabia Corporate Office Lease</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In July 2023, the Company entered into a lease agreement with King Abdullah Financial District Development and Management Company, a wholly-owned subsidiary of PIF, which is an affiliate of Ayar, for its corporate office in Saudi Arabia. The lease has an initial term of six years expiring in fiscal year 2029. We expect to make payments under the agreement in the aggregate amount of approximately SAR 7.6 million ($2.0 million) (exclusive of VAT and service charges).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EV Purchase Agreement</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In August 2023, Lucid LLC entered into an EV purchase agreement with the Government of Saudi Arabia, a related party of PIF, which is an affiliate of Ayar, as represented by the Ministry of Finance (the “EV Purchase Agreement”). The EV Purchase Agreement supersedes the Letter of Undertaking that Lucid LLC entered into in April 2022. Pursuant to the terms of the EV Purchase Agreement, the Government of Saudi Arabia and its entities and corporate subsidiaries and other beneficiaries (collectively, the “Purchaser”) may purchase up to 100,000 vehicles, with a minimum purchase quantity of 50,000 vehicles and an option to purchase </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78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84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up to an additional 50,000 vehicles during a ten-year period. Under the EV Purchase Agreement, the Purchaser may reduce the minimum vehicle purchase quantity by the number of vehicles set out in any purchase order not accepted by us or by the number of vehicles that Lucid LLC fails to deliver within six months from the date of the applicable purchase order. The Purchaser also has absolute discretion to decide whether to exercise the option to purchase the additional 50,000 vehicles. The Company recognized net vehicle sales amount of  $43.7 million during the year ended December 31, 2023.</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Other Transactions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During fiscal year 2023, the Company repurchased the Lucid Air vehicle, which Sherry House personally purchased and owned, at a cost of  $141,258 and provided Ms. House with a Company-owned Lucid Air vehicle for her personal usage. In connection with Ms. House’s separation on December 31, 2023, the Company transferred the Company-owned Lucid Air vehicle to Ms. House. The value of the vehicle, plus a tax gross-up, is approximately $185,522.</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Executive Officer and Director Compensation Arrangements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See “Executive Compensation” and “Director Compensation” for information regarding compensation arrangements with our executive officers and directors, respectively, which include, among other things, employment, termination of employment and change in control arrangements, stock awards, stock options and certain other benefits.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Director and Executive Officer Indemnification</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Our certificate of incorporation provides for indemnification for directors and certain officers to the fullest extent permitted by law. We entered into indemnification agreements with each director and executive officer and certain other officers. Such agreements provide among other things, our officers and directors with contractual rights to indemnification, expense advancement and reimbursement, to the fullest extent permitted by law, including to the extent they serve at our request as directors, officers, employees or other agents of any other affiliated entity, to the fullest extent permitted by law.</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Policies and Procedures for Related Party Transactions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Our Board has adopted a written related person transaction policy that sets forth the following policies and procedures for the review and approval or ratification of related person transactions. A “related person transaction” is a transaction, arrangement or relationship in which we or any of our subsidiaries was, is or will be a participant, the amount of which involved exceeds $120,000, and in which any related person had, has or will have a direct or indirect material interest. A “related person” means: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146"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any person who is, or at any time during the applicable period was, one of our executive officers or directors;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2710" distB="0" distL="0" distR="0" simplePos="0" locked="0" layoutInCell="1" allowOverlap="1" relativeHeight="291">
                <wp:simplePos x="0" y="0"/>
                <wp:positionH relativeFrom="column">
                  <wp:align>left</wp:align>
                </wp:positionH>
                <wp:positionV relativeFrom="line">
                  <wp:align>top</wp:align>
                </wp:positionV>
                <wp:extent cx="114300" cy="525780"/>
                <wp:effectExtent l="0" t="0" r="0" b="0"/>
                <wp:wrapSquare wrapText="right"/>
                <wp:docPr id="295" name="Frame224"/>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any person who is known by us to be the beneficial owner of more than 5% of our voting stock;</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2710" distB="0" distL="0" distR="0" simplePos="0" locked="0" layoutInCell="1" allowOverlap="1" relativeHeight="292">
                <wp:simplePos x="0" y="0"/>
                <wp:positionH relativeFrom="column">
                  <wp:align>left</wp:align>
                </wp:positionH>
                <wp:positionV relativeFrom="line">
                  <wp:align>top</wp:align>
                </wp:positionV>
                <wp:extent cx="114300" cy="525780"/>
                <wp:effectExtent l="0" t="0" r="0" b="0"/>
                <wp:wrapSquare wrapText="right"/>
                <wp:docPr id="296" name="Frame225"/>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any immediate family member of any of the foregoing persons, which means any child, stepchild, parent, step-parent, spouse, sibling, mother-in-law, father-in-law, son-in-law, daughter-in-law, brother-in-law or sister-in-law of a director, executive officer or a beneficial owner of more than 5% of our voting stock, and any person (other than a tenant or employee) sharing the household of such director, executive officer or beneficial owner of more than 5% of our voting stock; and</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2710" distB="0" distL="0" distR="0" simplePos="0" locked="0" layoutInCell="1" allowOverlap="1" relativeHeight="293">
                <wp:simplePos x="0" y="0"/>
                <wp:positionH relativeFrom="column">
                  <wp:align>left</wp:align>
                </wp:positionH>
                <wp:positionV relativeFrom="line">
                  <wp:align>top</wp:align>
                </wp:positionV>
                <wp:extent cx="114300" cy="525780"/>
                <wp:effectExtent l="0" t="0" r="0" b="0"/>
                <wp:wrapSquare wrapText="right"/>
                <wp:docPr id="297" name="Frame226"/>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90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any firm, corporation or other entity in which any of the foregoing persons is a partner or principal, or in a similar position, or in which such person has a 10% or greater beneficial ownership interest.</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92710" distB="0" distL="0" distR="0" simplePos="0" locked="0" layoutInCell="1" allowOverlap="1" relativeHeight="294">
                <wp:simplePos x="0" y="0"/>
                <wp:positionH relativeFrom="column">
                  <wp:align>left</wp:align>
                </wp:positionH>
                <wp:positionV relativeFrom="line">
                  <wp:align>top</wp:align>
                </wp:positionV>
                <wp:extent cx="114300" cy="525780"/>
                <wp:effectExtent l="0" t="0" r="0" b="0"/>
                <wp:wrapSquare wrapText="right"/>
                <wp:docPr id="298" name="Frame227"/>
                <a:graphic xmlns:a="http://schemas.openxmlformats.org/drawingml/2006/main">
                  <a:graphicData uri="http://schemas.microsoft.com/office/word/2010/wordprocessingShape">
                    <wps:wsp>
                      <wps:cNvSpPr txBox="1"/>
                      <wps:spPr>
                        <a:xfrm>
                          <a:off x="0" y="0"/>
                          <a:ext cx="114300" cy="525780"/>
                        </a:xfrm>
                        <a:prstGeom prst="rect"/>
                        <a:solidFill>
                          <a:srgbClr val="FFFFFF"/>
                        </a:solidFill>
                      </wps:spPr>
                      <wps:txbx>
                        <w:txbxContent>
                          <w:p>
                            <w:pPr>
                              <w:pStyle w:val="TextBody"/>
                              <w:bidi w:val="0"/>
                              <w:spacing w:lineRule="atLeast" w:line="240" w:before="0" w:after="283"/>
                              <w:jc w:val="left"/>
                              <w:rPr/>
                            </w:pPr>
                            <w:r>
                              <w:rPr>
                                <w:color w:val="8A6B24"/>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8A6B24"/>
                        </w:rPr>
                        <w:t>■</w:t>
                      </w:r>
                      <w:r>
                        <w:rPr/>
                        <w:t xml:space="preserve"> </w:t>
                      </w:r>
                      <w:r>
                        <w:rPr/>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We have policies and procedures designed to minimize potential conflicts of interest arising from any dealings we may have with our affiliates and to provide appropriate procedures for the disclosure of any actual or potential conflicts of interest that may exist from time to time. Specifically, pursuant to our Audit Committee charter, our Audit Committee has the responsibility to review related person transactions.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Our Audit Committee has also established standing pre-approvals for certain classes of related party transactions, such as sales of our vehicles, parts, services, merchandise, and other Lucid products and services purchased by related persons at market prices.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8A6B24"/>
          <w:sz w:val="16"/>
        </w:rPr>
      </w:pPr>
      <w:r>
        <w:rPr>
          <w:rFonts w:ascii="Helvetica;Arial;sans-serif" w:hAnsi="Helvetica;Arial;sans-serif"/>
          <w:b/>
          <w:i w:val="false"/>
          <w:caps w:val="false"/>
          <w:smallCaps w:val="false"/>
          <w:color w:val="8A6B24"/>
          <w:sz w:val="16"/>
        </w:rPr>
        <w:t>Delinquent Section 16(a) Reports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SEC regulations require us to identify in this Proxy Statement anyone who filed a required report late during the most recent fiscal year. Based on our review of forms, all Section 16(a) filing requirements were satisfied on a timely basis, except with respect to the following report: a Form 4 reporting one transaction for Sherif Marakby relating to his initial annual director equity grant </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79</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lineRule="atLeast" w:line="240" w:before="84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(filed with the SEC on April 27, 2023). Mr. Marakby timely signed and authorized the Form 4 filing, but the Form 4 was inadvertently filed late due to a clerical error. </w:t>
      </w:r>
    </w:p>
    <w:tbl>
      <w:tblPr>
        <w:tblW w:w="3048" w:type="dxa"/>
        <w:jc w:val="left"/>
        <w:tblInd w:w="720" w:type="dxa"/>
        <w:tblLayout w:type="fixed"/>
        <w:tblCellMar>
          <w:top w:w="0" w:type="dxa"/>
          <w:left w:w="0" w:type="dxa"/>
          <w:bottom w:w="0" w:type="dxa"/>
          <w:right w:w="0" w:type="dxa"/>
        </w:tblCellMar>
      </w:tblPr>
      <w:tblGrid>
        <w:gridCol w:w="124"/>
        <w:gridCol w:w="346"/>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80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HOPM"/>
      <w:bookmarkEnd w:id="26"/>
      <w:r>
        <w:rPr>
          <w:rFonts w:ascii="calibri;arial;sans-serif" w:hAnsi="calibri;arial;sans-serif"/>
          <w:b w:val="false"/>
          <w:i w:val="false"/>
          <w:caps w:val="false"/>
          <w:smallCaps w:val="false"/>
          <w:color w:val="000000"/>
          <w:sz w:val="16"/>
        </w:rPr>
        <w:t>​</w:t>
      </w:r>
      <w:bookmarkStart w:id="27" w:name="tOTMA"/>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283"/>
        <w:ind w:left="720" w:right="0" w:hanging="0"/>
        <w:jc w:val="left"/>
        <w:rPr>
          <w:rFonts w:ascii="Times New Roman;Garamond;serif" w:hAnsi="Times New Roman;Garamond;serif"/>
          <w:b/>
          <w:i w:val="false"/>
          <w:caps w:val="false"/>
          <w:smallCaps w:val="false"/>
          <w:color w:val="000000"/>
          <w:sz w:val="40"/>
        </w:rPr>
      </w:pPr>
      <w:r>
        <w:rPr>
          <w:rFonts w:ascii="Times New Roman;Garamond;serif" w:hAnsi="Times New Roman;Garamond;serif"/>
          <w:b/>
          <w:i w:val="false"/>
          <w:caps w:val="false"/>
          <w:smallCaps w:val="false"/>
          <w:color w:val="000000"/>
          <w:sz w:val="40"/>
        </w:rPr>
        <w:t>Householding of Proxy Materials; Availability of Annual Report</w:t>
      </w:r>
      <w:r>
        <w:rPr>
          <w:rFonts w:ascii="Times New Roman;Garamond;serif" w:hAnsi="Times New Roman;Garamond;serif"/>
          <w:b/>
          <w:i w:val="false"/>
          <w:caps w:val="false"/>
          <w:smallCaps w:val="false"/>
          <w:color w:val="000000"/>
          <w:spacing w:val="8"/>
          <w:sz w:val="40"/>
        </w:rPr>
        <w:t xml:space="preserve"> </w:t>
      </w:r>
    </w:p>
    <w:p>
      <w:pPr>
        <w:pStyle w:val="TextBody"/>
        <w:bidi w:val="0"/>
        <w:spacing w:lineRule="atLeast" w:line="240" w:before="40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SEC has adopted rules that permit companies and intermediaries (e.g., brokers) to satisfy the delivery requirements for Proxy Availability Notice or other proxy materials with respect to two or more stockholders sharing the same address by delivering a single Proxy Availability Notice or other proxy materials addressed to those stockholders. This process, which is commonly referred to as householding, potentially provides extra convenience for stockholders and cost savings for companies. Stockholders who participate in householding will continue to be able to access and receive separate proxy cards.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This year, a number of brokers with account holders who are our stockholders will be “householding” our proxy materials. A Proxy Availability Notice or proxy materials will be delivered in a single envelope to multiple stockholders sharing an address unless contrary instructions have been received from one or more of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Availability Notice or proxy materials, please notify your broker, bank or other institution where you hold your shares. Stockholders who currently receive multiple copies of the Proxy Availability Notice or proxy materials at their address and would like to request householding of their communications should contact their broker, bank or other institution where they hold their shares. In addition, we will promptly deliver, upon written or oral request to Lucid Investor Relations at 7373 Gateway Boulevard, Newark, CA 94560, by email: investor@lucidmotors.com, or by telephone: (510) 648-3553, a separate copy of the Proxy Availability Notice or proxy materials to a stockholder at a shared address to which a single copy of the documents was delivered.</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 copy of our Annual Report on Form 10-K for the year ended December 31, 2023, as filed with the SEC on February 27, 2024, is available without charge upon written request to Investor Relations, Lucid Group, Inc., 7373 Gateway Boulevard, Newark, CA 94560 or by accessing a copy on our website at ir.lucidmotors.com/financials/sec-filings in the Investors section under “SEC Filings.” Information on or accessible through our website is not incorporated by reference in this Proxy Statement.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440" w:before="1320" w:after="283"/>
        <w:jc w:val="left"/>
        <w:rPr>
          <w:rFonts w:ascii="Times New Roman;Garamond;serif" w:hAnsi="Times New Roman;Garamond;serif"/>
          <w:b/>
          <w:i w:val="false"/>
          <w:caps w:val="false"/>
          <w:smallCaps w:val="false"/>
          <w:color w:val="000000"/>
          <w:sz w:val="40"/>
        </w:rPr>
      </w:pPr>
      <w:r>
        <w:rPr>
          <w:rFonts w:ascii="Times New Roman;Garamond;serif" w:hAnsi="Times New Roman;Garamond;serif"/>
          <w:b/>
          <w:i w:val="false"/>
          <w:caps w:val="false"/>
          <w:smallCaps w:val="false"/>
          <w:color w:val="000000"/>
          <w:sz w:val="40"/>
        </w:rPr>
        <w:t>Other Matters</w:t>
      </w:r>
      <w:r>
        <w:rPr>
          <w:rFonts w:ascii="Times New Roman;Garamond;serif" w:hAnsi="Times New Roman;Garamond;serif"/>
          <w:b/>
          <w:i w:val="false"/>
          <w:caps w:val="false"/>
          <w:smallCaps w:val="false"/>
          <w:color w:val="000000"/>
          <w:spacing w:val="8"/>
          <w:sz w:val="40"/>
        </w:rPr>
        <w:t xml:space="preserve"> </w:t>
      </w:r>
    </w:p>
    <w:p>
      <w:pPr>
        <w:pStyle w:val="TextBody"/>
        <w:bidi w:val="0"/>
        <w:spacing w:lineRule="atLeast" w:line="240" w:before="40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Board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tbl>
      <w:tblPr>
        <w:tblW w:w="3048" w:type="dxa"/>
        <w:jc w:val="left"/>
        <w:tblInd w:w="720" w:type="dxa"/>
        <w:tblLayout w:type="fixed"/>
        <w:tblCellMar>
          <w:top w:w="0" w:type="dxa"/>
          <w:left w:w="0" w:type="dxa"/>
          <w:bottom w:w="0" w:type="dxa"/>
          <w:right w:w="0" w:type="dxa"/>
        </w:tblCellMar>
      </w:tblPr>
      <w:tblGrid>
        <w:gridCol w:w="124"/>
        <w:gridCol w:w="220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b/>
              </w:rPr>
            </w:pPr>
            <w:r>
              <w:rPr>
                <w:b/>
              </w:rPr>
              <w:t>81</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ANXA"/>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840" w:after="283"/>
        <w:ind w:left="720" w:right="0" w:hanging="0"/>
        <w:jc w:val="right"/>
        <w:rPr>
          <w:rFonts w:ascii="Helvetica;Arial;sans-serif" w:hAnsi="Helvetica;Arial;sans-serif"/>
          <w:b/>
          <w:i w:val="false"/>
          <w:caps w:val="false"/>
          <w:smallCaps w:val="false"/>
          <w:color w:val="000000"/>
          <w:sz w:val="18"/>
        </w:rPr>
      </w:pPr>
      <w:r>
        <w:rPr>
          <w:rFonts w:ascii="Helvetica;Arial;sans-serif" w:hAnsi="Helvetica;Arial;sans-serif"/>
          <w:b/>
          <w:i w:val="false"/>
          <w:caps w:val="false"/>
          <w:smallCaps w:val="false"/>
          <w:color w:val="000000"/>
          <w:sz w:val="18"/>
        </w:rPr>
        <w:t>Annex A​</w:t>
      </w:r>
    </w:p>
    <w:p>
      <w:pPr>
        <w:pStyle w:val="TextBody"/>
        <w:bidi w:val="0"/>
        <w:spacing w:lineRule="atLeast" w:line="440" w:before="5280" w:after="283"/>
        <w:jc w:val="left"/>
        <w:rPr>
          <w:rFonts w:ascii="Times New Roman;Garamond;serif" w:hAnsi="Times New Roman;Garamond;serif"/>
          <w:b/>
          <w:i w:val="false"/>
          <w:caps w:val="false"/>
          <w:smallCaps w:val="false"/>
          <w:color w:val="000000"/>
          <w:sz w:val="40"/>
        </w:rPr>
      </w:pPr>
      <w:r>
        <w:rPr>
          <w:rFonts w:ascii="Times New Roman;Garamond;serif" w:hAnsi="Times New Roman;Garamond;serif"/>
          <w:b/>
          <w:i w:val="false"/>
          <w:caps w:val="false"/>
          <w:smallCaps w:val="false"/>
          <w:color w:val="000000"/>
          <w:sz w:val="40"/>
        </w:rPr>
        <w:t xml:space="preserve">LUCID GROUP, INC. </w:t>
        <w:br/>
        <w:t xml:space="preserve">AMENDED AND RESTATED 2021 STOCK </w:t>
        <w:br/>
        <w:t>INCENTIVE PLAN</w:t>
      </w:r>
    </w:p>
    <w:tbl>
      <w:tblPr>
        <w:tblW w:w="2811" w:type="dxa"/>
        <w:jc w:val="left"/>
        <w:tblInd w:w="720" w:type="dxa"/>
        <w:tblLayout w:type="fixed"/>
        <w:tblCellMar>
          <w:top w:w="0" w:type="dxa"/>
          <w:left w:w="0" w:type="dxa"/>
          <w:bottom w:w="0" w:type="dxa"/>
          <w:right w:w="0" w:type="dxa"/>
        </w:tblCellMar>
      </w:tblPr>
      <w:tblGrid>
        <w:gridCol w:w="124"/>
        <w:gridCol w:w="109"/>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pPr>
            <w:r>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OC3"/>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440" w:before="840" w:after="283"/>
        <w:ind w:left="720" w:right="0" w:hanging="0"/>
        <w:jc w:val="left"/>
        <w:rPr>
          <w:rFonts w:ascii="Times New Roman;Garamond;serif" w:hAnsi="Times New Roman;Garamond;serif"/>
          <w:b/>
          <w:i w:val="false"/>
          <w:caps w:val="false"/>
          <w:smallCaps w:val="false"/>
          <w:color w:val="000000"/>
          <w:sz w:val="40"/>
        </w:rPr>
      </w:pPr>
      <w:r>
        <w:rPr>
          <w:rFonts w:ascii="Times New Roman;Garamond;serif" w:hAnsi="Times New Roman;Garamond;serif"/>
          <w:b/>
          <w:i w:val="false"/>
          <w:caps w:val="false"/>
          <w:smallCaps w:val="false"/>
          <w:color w:val="000000"/>
          <w:sz w:val="40"/>
        </w:rPr>
        <w:t>T</w:t>
      </w:r>
      <w:r>
        <w:rPr>
          <w:rFonts w:ascii="Times New Roman;Garamond;serif" w:hAnsi="Times New Roman;Garamond;serif"/>
          <w:b/>
          <w:i w:val="false"/>
          <w:caps w:val="false"/>
          <w:smallCaps w:val="false"/>
          <w:color w:val="000000"/>
          <w:sz w:val="40"/>
        </w:rPr>
        <w:t>ABLE OF</w:t>
      </w:r>
      <w:r>
        <w:rPr>
          <w:rFonts w:ascii="Times New Roman;Garamond;serif" w:hAnsi="Times New Roman;Garamond;serif"/>
          <w:b/>
          <w:i w:val="false"/>
          <w:caps w:val="false"/>
          <w:smallCaps w:val="false"/>
          <w:color w:val="000000"/>
          <w:sz w:val="40"/>
        </w:rPr>
        <w:t xml:space="preserve"> C</w:t>
      </w:r>
      <w:r>
        <w:rPr>
          <w:rFonts w:ascii="Times New Roman;Garamond;serif" w:hAnsi="Times New Roman;Garamond;serif"/>
          <w:b/>
          <w:i w:val="false"/>
          <w:caps w:val="false"/>
          <w:smallCaps w:val="false"/>
          <w:color w:val="000000"/>
          <w:sz w:val="40"/>
        </w:rPr>
        <w:t>ONTENTS</w:t>
      </w:r>
      <w:r>
        <w:rPr>
          <w:rFonts w:ascii="Times New Roman;Garamond;serif" w:hAnsi="Times New Roman;Garamond;serif"/>
          <w:b/>
          <w:i w:val="false"/>
          <w:caps w:val="false"/>
          <w:smallCaps w:val="false"/>
          <w:color w:val="000000"/>
          <w:spacing w:val="8"/>
          <w:sz w:val="40"/>
        </w:rPr>
        <w:t xml:space="preserve"> </w:t>
      </w:r>
    </w:p>
    <w:tbl>
      <w:tblPr>
        <w:tblW w:w="6626" w:type="dxa"/>
        <w:jc w:val="left"/>
        <w:tblInd w:w="720" w:type="dxa"/>
        <w:tblLayout w:type="fixed"/>
        <w:tblCellMar>
          <w:top w:w="0" w:type="dxa"/>
          <w:left w:w="0" w:type="dxa"/>
          <w:bottom w:w="28" w:type="dxa"/>
          <w:right w:w="0" w:type="dxa"/>
        </w:tblCellMar>
      </w:tblPr>
      <w:tblGrid>
        <w:gridCol w:w="5386"/>
        <w:gridCol w:w="109"/>
        <w:gridCol w:w="109"/>
        <w:gridCol w:w="109"/>
        <w:gridCol w:w="109"/>
        <w:gridCol w:w="541"/>
        <w:gridCol w:w="109"/>
        <w:gridCol w:w="154"/>
      </w:tblGrid>
      <w:tr>
        <w:trPr/>
        <w:tc>
          <w:tcPr>
            <w:tcW w:w="5386"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868" w:type="dxa"/>
            <w:gridSpan w:val="4"/>
            <w:tcBorders>
              <w:bottom w:val="single" w:sz="12" w:space="0" w:color="000000"/>
            </w:tcBorders>
            <w:tcMar>
              <w:bottom w:w="80" w:type="dxa"/>
            </w:tcMar>
            <w:vAlign w:val="center"/>
          </w:tcPr>
          <w:p>
            <w:pPr>
              <w:pStyle w:val="TableContents"/>
              <w:bidi w:val="0"/>
              <w:spacing w:before="0" w:after="0"/>
              <w:jc w:val="center"/>
              <w:rPr/>
            </w:pPr>
            <w:r>
              <w:rPr/>
              <w:t xml:space="preserve">Page </w:t>
            </w:r>
          </w:p>
        </w:tc>
        <w:tc>
          <w:tcPr>
            <w:tcW w:w="154" w:type="dxa"/>
            <w:tcBorders>
              <w:bottom w:val="single" w:sz="12" w:space="0" w:color="FFFFFF"/>
            </w:tcBorders>
            <w:vAlign w:val="center"/>
          </w:tcPr>
          <w:p>
            <w:pPr>
              <w:pStyle w:val="TableContents"/>
              <w:bidi w:val="0"/>
              <w:spacing w:before="0" w:after="283"/>
              <w:jc w:val="left"/>
              <w:rPr/>
            </w:pPr>
            <w:r>
              <w:rPr/>
              <w:t>​</w:t>
            </w:r>
          </w:p>
        </w:tc>
      </w:tr>
      <w:tr>
        <w:trPr/>
        <w:tc>
          <w:tcPr>
            <w:tcW w:w="5386" w:type="dxa"/>
            <w:tcBorders/>
            <w:shd w:fill="CCEEFF" w:val="clear"/>
            <w:tcMar>
              <w:bottom w:w="0" w:type="dxa"/>
            </w:tcMar>
            <w:vAlign w:val="center"/>
          </w:tcPr>
          <w:p>
            <w:pPr>
              <w:pStyle w:val="TableContents"/>
              <w:bidi w:val="0"/>
              <w:spacing w:before="0" w:after="0"/>
              <w:jc w:val="left"/>
              <w:rPr/>
            </w:pPr>
            <w:hyperlink w:anchor="tS1AP">
              <w:r>
                <w:rPr>
                  <w:rStyle w:val="InternetLink"/>
                </w:rPr>
                <w:t xml:space="preserve">SECTION 1.   ESTABLISHMENT AND PURPOSE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hyperlink w:anchor="tS1AP">
              <w:r>
                <w:rPr>
                  <w:rStyle w:val="InternetLink"/>
                </w:rPr>
                <w:t>A-1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86" w:type="dxa"/>
            <w:tcBorders/>
            <w:tcMar>
              <w:bottom w:w="0" w:type="dxa"/>
            </w:tcMar>
            <w:vAlign w:val="center"/>
          </w:tcPr>
          <w:p>
            <w:pPr>
              <w:pStyle w:val="TableContents"/>
              <w:bidi w:val="0"/>
              <w:spacing w:before="0" w:after="0"/>
              <w:jc w:val="left"/>
              <w:rPr/>
            </w:pPr>
            <w:hyperlink w:anchor="tSE2D">
              <w:r>
                <w:rPr>
                  <w:rStyle w:val="InternetLink"/>
                </w:rPr>
                <w:t xml:space="preserve">SECTION 2.   DEFINITIONS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SE2D">
              <w:r>
                <w:rPr>
                  <w:rStyle w:val="InternetLink"/>
                </w:rPr>
                <w:t>A-1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8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APMT">
              <w:r>
                <w:rPr>
                  <w:rStyle w:val="InternetLink"/>
                </w:rPr>
                <w:t>“</w:t>
              </w:r>
              <w:r>
                <w:rPr>
                  <w:rStyle w:val="InternetLink"/>
                </w:rPr>
                <w:t xml:space="preserve">2009 Plan” </w:t>
              </w:r>
            </w:hyperlink>
            <w:r>
              <mc:AlternateContent>
                <mc:Choice Requires="wps">
                  <w:drawing>
                    <wp:anchor behindDoc="0" distT="0" distB="0" distL="114300" distR="0" simplePos="0" locked="0" layoutInCell="1" allowOverlap="1" relativeHeight="295">
                      <wp:simplePos x="0" y="0"/>
                      <wp:positionH relativeFrom="column">
                        <wp:align>left</wp:align>
                      </wp:positionH>
                      <wp:positionV relativeFrom="line">
                        <wp:posOffset>635</wp:posOffset>
                      </wp:positionV>
                      <wp:extent cx="317500" cy="350520"/>
                      <wp:effectExtent l="0" t="0" r="0" b="0"/>
                      <wp:wrapSquare wrapText="right"/>
                      <wp:docPr id="299" name="Frame228"/>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APMT">
                                    <w:r>
                                      <w:rPr>
                                        <w:rStyle w:val="InternetLink"/>
                                      </w:rPr>
                                      <w:t>(a)</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APMT">
                              <w:r>
                                <w:rPr>
                                  <w:rStyle w:val="InternetLink"/>
                                </w:rPr>
                                <w:t>(a)</w:t>
                                <w:br/>
                              </w:r>
                            </w:hyperlink>
                          </w:p>
                        </w:txbxContent>
                      </v:textbox>
                      <w10:wrap type="square" side="right"/>
                    </v:rect>
                  </w:pict>
                </mc:Fallback>
              </mc:AlternateContent>
            </w:r>
          </w:p>
          <w:p>
            <w:pPr>
              <w:pStyle w:val="TableContents"/>
              <w:bidi w:val="0"/>
              <w:spacing w:before="0" w:after="0"/>
              <w:ind w:left="0" w:right="0" w:hanging="0"/>
              <w:jc w:val="left"/>
              <w:rPr/>
            </w:pPr>
            <w:hyperlink w:anchor="tAPM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hyperlink w:anchor="tAPMT">
              <w:r>
                <w:rPr>
                  <w:rStyle w:val="InternetLink"/>
                </w:rPr>
                <w:t xml:space="preserve">A-1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86" w:type="dxa"/>
            <w:tcBorders/>
            <w:tcMar>
              <w:bottom w:w="0" w:type="dxa"/>
            </w:tcMar>
            <w:vAlign w:val="center"/>
          </w:tcPr>
          <w:p>
            <w:pPr>
              <w:pStyle w:val="TableContents"/>
              <w:bidi w:val="0"/>
              <w:spacing w:lineRule="atLeast" w:line="180" w:before="0" w:after="0"/>
              <w:ind w:left="680" w:right="0" w:hanging="0"/>
              <w:jc w:val="left"/>
              <w:rPr/>
            </w:pPr>
            <w:hyperlink w:anchor="tBPMT">
              <w:r>
                <w:rPr>
                  <w:rStyle w:val="InternetLink"/>
                </w:rPr>
                <w:t>“</w:t>
              </w:r>
              <w:r>
                <w:rPr>
                  <w:rStyle w:val="InternetLink"/>
                </w:rPr>
                <w:t xml:space="preserve">2014 Plan” </w:t>
              </w:r>
            </w:hyperlink>
            <w:r>
              <mc:AlternateContent>
                <mc:Choice Requires="wps">
                  <w:drawing>
                    <wp:anchor behindDoc="0" distT="0" distB="0" distL="114300" distR="0" simplePos="0" locked="0" layoutInCell="1" allowOverlap="1" relativeHeight="296">
                      <wp:simplePos x="0" y="0"/>
                      <wp:positionH relativeFrom="column">
                        <wp:align>left</wp:align>
                      </wp:positionH>
                      <wp:positionV relativeFrom="line">
                        <wp:posOffset>635</wp:posOffset>
                      </wp:positionV>
                      <wp:extent cx="317500" cy="350520"/>
                      <wp:effectExtent l="0" t="0" r="0" b="0"/>
                      <wp:wrapSquare wrapText="right"/>
                      <wp:docPr id="300" name="Frame229"/>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BPMT">
                                    <w:r>
                                      <w:rPr>
                                        <w:rStyle w:val="InternetLink"/>
                                      </w:rPr>
                                      <w:t>(b)</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BPMT">
                              <w:r>
                                <w:rPr>
                                  <w:rStyle w:val="InternetLink"/>
                                </w:rPr>
                                <w:t>(b)</w:t>
                                <w:br/>
                              </w:r>
                            </w:hyperlink>
                          </w:p>
                        </w:txbxContent>
                      </v:textbox>
                      <w10:wrap type="square" side="right"/>
                    </v:rect>
                  </w:pict>
                </mc:Fallback>
              </mc:AlternateContent>
            </w:r>
          </w:p>
          <w:p>
            <w:pPr>
              <w:pStyle w:val="TableContents"/>
              <w:bidi w:val="0"/>
              <w:spacing w:before="0" w:after="0"/>
              <w:ind w:left="0" w:right="0" w:hanging="0"/>
              <w:jc w:val="left"/>
              <w:rPr/>
            </w:pPr>
            <w:hyperlink w:anchor="tBPM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BPMT">
              <w:r>
                <w:rPr>
                  <w:rStyle w:val="InternetLink"/>
                </w:rPr>
                <w:t xml:space="preserve">A-1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8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CPMT">
              <w:r>
                <w:rPr>
                  <w:rStyle w:val="InternetLink"/>
                </w:rPr>
                <w:t>“</w:t>
              </w:r>
              <w:r>
                <w:rPr>
                  <w:rStyle w:val="InternetLink"/>
                </w:rPr>
                <w:t xml:space="preserve">2021 Plan” </w:t>
              </w:r>
            </w:hyperlink>
            <w:r>
              <mc:AlternateContent>
                <mc:Choice Requires="wps">
                  <w:drawing>
                    <wp:anchor behindDoc="0" distT="0" distB="0" distL="114300" distR="0" simplePos="0" locked="0" layoutInCell="1" allowOverlap="1" relativeHeight="297">
                      <wp:simplePos x="0" y="0"/>
                      <wp:positionH relativeFrom="column">
                        <wp:align>left</wp:align>
                      </wp:positionH>
                      <wp:positionV relativeFrom="line">
                        <wp:posOffset>635</wp:posOffset>
                      </wp:positionV>
                      <wp:extent cx="317500" cy="350520"/>
                      <wp:effectExtent l="0" t="0" r="0" b="0"/>
                      <wp:wrapSquare wrapText="right"/>
                      <wp:docPr id="301" name="Frame230"/>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CPMT">
                                    <w:r>
                                      <w:rPr>
                                        <w:rStyle w:val="InternetLink"/>
                                      </w:rPr>
                                      <w:t>(c)</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CPMT">
                              <w:r>
                                <w:rPr>
                                  <w:rStyle w:val="InternetLink"/>
                                </w:rPr>
                                <w:t>(c)</w:t>
                                <w:br/>
                              </w:r>
                            </w:hyperlink>
                          </w:p>
                        </w:txbxContent>
                      </v:textbox>
                      <w10:wrap type="square" side="right"/>
                    </v:rect>
                  </w:pict>
                </mc:Fallback>
              </mc:AlternateContent>
            </w:r>
          </w:p>
          <w:p>
            <w:pPr>
              <w:pStyle w:val="TableContents"/>
              <w:bidi w:val="0"/>
              <w:spacing w:before="0" w:after="0"/>
              <w:ind w:left="0" w:right="0" w:hanging="0"/>
              <w:jc w:val="left"/>
              <w:rPr/>
            </w:pPr>
            <w:hyperlink w:anchor="tCPM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hyperlink w:anchor="tCPMT">
              <w:r>
                <w:rPr>
                  <w:rStyle w:val="InternetLink"/>
                </w:rPr>
                <w:t xml:space="preserve">A-1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86" w:type="dxa"/>
            <w:tcBorders/>
            <w:tcMar>
              <w:bottom w:w="0" w:type="dxa"/>
            </w:tcMar>
            <w:vAlign w:val="center"/>
          </w:tcPr>
          <w:p>
            <w:pPr>
              <w:pStyle w:val="TableContents"/>
              <w:bidi w:val="0"/>
              <w:spacing w:lineRule="atLeast" w:line="180" w:before="0" w:after="0"/>
              <w:ind w:left="680" w:right="0" w:hanging="0"/>
              <w:jc w:val="left"/>
              <w:rPr/>
            </w:pPr>
            <w:hyperlink w:anchor="tDMAE">
              <w:r>
                <w:rPr>
                  <w:rStyle w:val="InternetLink"/>
                </w:rPr>
                <w:t>“</w:t>
              </w:r>
              <w:r>
                <w:rPr>
                  <w:rStyle w:val="InternetLink"/>
                </w:rPr>
                <w:t xml:space="preserve">Affiliate” </w:t>
              </w:r>
            </w:hyperlink>
            <w:r>
              <mc:AlternateContent>
                <mc:Choice Requires="wps">
                  <w:drawing>
                    <wp:anchor behindDoc="0" distT="0" distB="0" distL="114300" distR="0" simplePos="0" locked="0" layoutInCell="1" allowOverlap="1" relativeHeight="298">
                      <wp:simplePos x="0" y="0"/>
                      <wp:positionH relativeFrom="column">
                        <wp:align>left</wp:align>
                      </wp:positionH>
                      <wp:positionV relativeFrom="line">
                        <wp:posOffset>635</wp:posOffset>
                      </wp:positionV>
                      <wp:extent cx="317500" cy="350520"/>
                      <wp:effectExtent l="0" t="0" r="0" b="0"/>
                      <wp:wrapSquare wrapText="right"/>
                      <wp:docPr id="302" name="Frame231"/>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DMAE">
                                    <w:r>
                                      <w:rPr>
                                        <w:rStyle w:val="InternetLink"/>
                                      </w:rPr>
                                      <w:t>(d)</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DMAE">
                              <w:r>
                                <w:rPr>
                                  <w:rStyle w:val="InternetLink"/>
                                </w:rPr>
                                <w:t>(d)</w:t>
                                <w:br/>
                              </w:r>
                            </w:hyperlink>
                          </w:p>
                        </w:txbxContent>
                      </v:textbox>
                      <w10:wrap type="square" side="right"/>
                    </v:rect>
                  </w:pict>
                </mc:Fallback>
              </mc:AlternateContent>
            </w:r>
          </w:p>
          <w:p>
            <w:pPr>
              <w:pStyle w:val="TableContents"/>
              <w:bidi w:val="0"/>
              <w:spacing w:before="0" w:after="0"/>
              <w:ind w:left="0" w:right="0" w:hanging="0"/>
              <w:jc w:val="left"/>
              <w:rPr/>
            </w:pPr>
            <w:hyperlink w:anchor="tDMA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DMAE">
              <w:r>
                <w:rPr>
                  <w:rStyle w:val="InternetLink"/>
                </w:rPr>
                <w:t xml:space="preserve">A-1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8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EMAA">
              <w:r>
                <w:rPr>
                  <w:rStyle w:val="InternetLink"/>
                </w:rPr>
                <w:t>“</w:t>
              </w:r>
              <w:r>
                <w:rPr>
                  <w:rStyle w:val="InternetLink"/>
                </w:rPr>
                <w:t xml:space="preserve">Award” </w:t>
              </w:r>
            </w:hyperlink>
            <w:r>
              <mc:AlternateContent>
                <mc:Choice Requires="wps">
                  <w:drawing>
                    <wp:anchor behindDoc="0" distT="0" distB="0" distL="114300" distR="0" simplePos="0" locked="0" layoutInCell="1" allowOverlap="1" relativeHeight="299">
                      <wp:simplePos x="0" y="0"/>
                      <wp:positionH relativeFrom="column">
                        <wp:align>left</wp:align>
                      </wp:positionH>
                      <wp:positionV relativeFrom="line">
                        <wp:posOffset>635</wp:posOffset>
                      </wp:positionV>
                      <wp:extent cx="317500" cy="350520"/>
                      <wp:effectExtent l="0" t="0" r="0" b="0"/>
                      <wp:wrapSquare wrapText="right"/>
                      <wp:docPr id="303" name="Frame232"/>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EMAA">
                                    <w:r>
                                      <w:rPr>
                                        <w:rStyle w:val="InternetLink"/>
                                      </w:rPr>
                                      <w:t>(e)</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EMAA">
                              <w:r>
                                <w:rPr>
                                  <w:rStyle w:val="InternetLink"/>
                                </w:rPr>
                                <w:t>(e)</w:t>
                                <w:br/>
                              </w:r>
                            </w:hyperlink>
                          </w:p>
                        </w:txbxContent>
                      </v:textbox>
                      <w10:wrap type="square" side="right"/>
                    </v:rect>
                  </w:pict>
                </mc:Fallback>
              </mc:AlternateContent>
            </w:r>
          </w:p>
          <w:p>
            <w:pPr>
              <w:pStyle w:val="TableContents"/>
              <w:bidi w:val="0"/>
              <w:spacing w:before="0" w:after="0"/>
              <w:ind w:left="0" w:right="0" w:hanging="0"/>
              <w:jc w:val="left"/>
              <w:rPr/>
            </w:pPr>
            <w:hyperlink w:anchor="tEMA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hyperlink w:anchor="tEMAA">
              <w:r>
                <w:rPr>
                  <w:rStyle w:val="InternetLink"/>
                </w:rPr>
                <w:t xml:space="preserve">A-1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86" w:type="dxa"/>
            <w:tcBorders/>
            <w:tcMar>
              <w:bottom w:w="0" w:type="dxa"/>
            </w:tcMar>
            <w:vAlign w:val="center"/>
          </w:tcPr>
          <w:p>
            <w:pPr>
              <w:pStyle w:val="TableContents"/>
              <w:bidi w:val="0"/>
              <w:spacing w:lineRule="atLeast" w:line="180" w:before="0" w:after="0"/>
              <w:ind w:left="680" w:right="0" w:hanging="0"/>
              <w:jc w:val="left"/>
              <w:rPr/>
            </w:pPr>
            <w:hyperlink w:anchor="tFAMT">
              <w:r>
                <w:rPr>
                  <w:rStyle w:val="InternetLink"/>
                </w:rPr>
                <w:t>“</w:t>
              </w:r>
              <w:r>
                <w:rPr>
                  <w:rStyle w:val="InternetLink"/>
                </w:rPr>
                <w:t xml:space="preserve">Award Agreement” </w:t>
              </w:r>
            </w:hyperlink>
            <w:r>
              <mc:AlternateContent>
                <mc:Choice Requires="wps">
                  <w:drawing>
                    <wp:anchor behindDoc="0" distT="0" distB="0" distL="114300" distR="0" simplePos="0" locked="0" layoutInCell="1" allowOverlap="1" relativeHeight="300">
                      <wp:simplePos x="0" y="0"/>
                      <wp:positionH relativeFrom="column">
                        <wp:align>left</wp:align>
                      </wp:positionH>
                      <wp:positionV relativeFrom="line">
                        <wp:posOffset>635</wp:posOffset>
                      </wp:positionV>
                      <wp:extent cx="317500" cy="350520"/>
                      <wp:effectExtent l="0" t="0" r="0" b="0"/>
                      <wp:wrapSquare wrapText="right"/>
                      <wp:docPr id="304" name="Frame233"/>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FAMT">
                                    <w:r>
                                      <w:rPr>
                                        <w:rStyle w:val="InternetLink"/>
                                      </w:rPr>
                                      <w:t>(f)</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FAMT">
                              <w:r>
                                <w:rPr>
                                  <w:rStyle w:val="InternetLink"/>
                                </w:rPr>
                                <w:t>(f)</w:t>
                                <w:br/>
                              </w:r>
                            </w:hyperlink>
                          </w:p>
                        </w:txbxContent>
                      </v:textbox>
                      <w10:wrap type="square" side="right"/>
                    </v:rect>
                  </w:pict>
                </mc:Fallback>
              </mc:AlternateContent>
            </w:r>
          </w:p>
          <w:p>
            <w:pPr>
              <w:pStyle w:val="TableContents"/>
              <w:bidi w:val="0"/>
              <w:spacing w:before="0" w:after="0"/>
              <w:ind w:left="0" w:right="0" w:hanging="0"/>
              <w:jc w:val="left"/>
              <w:rPr/>
            </w:pPr>
            <w:hyperlink w:anchor="tFAM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FAMT">
              <w:r>
                <w:rPr>
                  <w:rStyle w:val="InternetLink"/>
                </w:rPr>
                <w:t xml:space="preserve">A-1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8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GODO">
              <w:r>
                <w:rPr>
                  <w:rStyle w:val="InternetLink"/>
                </w:rPr>
                <w:t>“</w:t>
              </w:r>
              <w:r>
                <w:rPr>
                  <w:rStyle w:val="InternetLink"/>
                </w:rPr>
                <w:t xml:space="preserve">Board of Directors” or “Board” </w:t>
              </w:r>
            </w:hyperlink>
            <w:r>
              <mc:AlternateContent>
                <mc:Choice Requires="wps">
                  <w:drawing>
                    <wp:anchor behindDoc="0" distT="0" distB="0" distL="114300" distR="0" simplePos="0" locked="0" layoutInCell="1" allowOverlap="1" relativeHeight="301">
                      <wp:simplePos x="0" y="0"/>
                      <wp:positionH relativeFrom="column">
                        <wp:align>left</wp:align>
                      </wp:positionH>
                      <wp:positionV relativeFrom="line">
                        <wp:posOffset>635</wp:posOffset>
                      </wp:positionV>
                      <wp:extent cx="317500" cy="350520"/>
                      <wp:effectExtent l="0" t="0" r="0" b="0"/>
                      <wp:wrapSquare wrapText="right"/>
                      <wp:docPr id="305" name="Frame234"/>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GODO">
                                    <w:r>
                                      <w:rPr>
                                        <w:rStyle w:val="InternetLink"/>
                                      </w:rPr>
                                      <w:t>(g)</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GODO">
                              <w:r>
                                <w:rPr>
                                  <w:rStyle w:val="InternetLink"/>
                                </w:rPr>
                                <w:t>(g)</w:t>
                                <w:br/>
                              </w:r>
                            </w:hyperlink>
                          </w:p>
                        </w:txbxContent>
                      </v:textbox>
                      <w10:wrap type="square" side="right"/>
                    </v:rect>
                  </w:pict>
                </mc:Fallback>
              </mc:AlternateContent>
            </w:r>
          </w:p>
          <w:p>
            <w:pPr>
              <w:pStyle w:val="TableContents"/>
              <w:bidi w:val="0"/>
              <w:spacing w:before="0" w:after="0"/>
              <w:ind w:left="0" w:right="0" w:hanging="0"/>
              <w:jc w:val="left"/>
              <w:rPr/>
            </w:pPr>
            <w:hyperlink w:anchor="tGOD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hyperlink w:anchor="tGODO">
              <w:r>
                <w:rPr>
                  <w:rStyle w:val="InternetLink"/>
                </w:rPr>
                <w:t xml:space="preserve">A-1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86" w:type="dxa"/>
            <w:tcBorders/>
            <w:tcMar>
              <w:bottom w:w="0" w:type="dxa"/>
            </w:tcMar>
            <w:vAlign w:val="center"/>
          </w:tcPr>
          <w:p>
            <w:pPr>
              <w:pStyle w:val="TableContents"/>
              <w:bidi w:val="0"/>
              <w:spacing w:lineRule="atLeast" w:line="180" w:before="0" w:after="0"/>
              <w:ind w:left="680" w:right="0" w:hanging="0"/>
              <w:jc w:val="left"/>
              <w:rPr/>
            </w:pPr>
            <w:hyperlink w:anchor="tHAMA">
              <w:r>
                <w:rPr>
                  <w:rStyle w:val="InternetLink"/>
                </w:rPr>
                <w:t>“</w:t>
              </w:r>
              <w:r>
                <w:rPr>
                  <w:rStyle w:val="InternetLink"/>
                </w:rPr>
                <w:t xml:space="preserve">Cash-Based Award” </w:t>
              </w:r>
            </w:hyperlink>
            <w:r>
              <mc:AlternateContent>
                <mc:Choice Requires="wps">
                  <w:drawing>
                    <wp:anchor behindDoc="0" distT="0" distB="0" distL="114300" distR="0" simplePos="0" locked="0" layoutInCell="1" allowOverlap="1" relativeHeight="302">
                      <wp:simplePos x="0" y="0"/>
                      <wp:positionH relativeFrom="column">
                        <wp:align>left</wp:align>
                      </wp:positionH>
                      <wp:positionV relativeFrom="line">
                        <wp:posOffset>635</wp:posOffset>
                      </wp:positionV>
                      <wp:extent cx="317500" cy="350520"/>
                      <wp:effectExtent l="0" t="0" r="0" b="0"/>
                      <wp:wrapSquare wrapText="right"/>
                      <wp:docPr id="306" name="Frame235"/>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HAMA">
                                    <w:r>
                                      <w:rPr>
                                        <w:rStyle w:val="InternetLink"/>
                                      </w:rPr>
                                      <w:t>(h)</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HAMA">
                              <w:r>
                                <w:rPr>
                                  <w:rStyle w:val="InternetLink"/>
                                </w:rPr>
                                <w:t>(h)</w:t>
                                <w:br/>
                              </w:r>
                            </w:hyperlink>
                          </w:p>
                        </w:txbxContent>
                      </v:textbox>
                      <w10:wrap type="square" side="right"/>
                    </v:rect>
                  </w:pict>
                </mc:Fallback>
              </mc:AlternateContent>
            </w:r>
          </w:p>
          <w:p>
            <w:pPr>
              <w:pStyle w:val="TableContents"/>
              <w:bidi w:val="0"/>
              <w:spacing w:before="0" w:after="0"/>
              <w:ind w:left="0" w:right="0" w:hanging="0"/>
              <w:jc w:val="left"/>
              <w:rPr/>
            </w:pPr>
            <w:hyperlink w:anchor="tHAM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HAMA">
              <w:r>
                <w:rPr>
                  <w:rStyle w:val="InternetLink"/>
                </w:rPr>
                <w:t xml:space="preserve">A-1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8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IMUS">
              <w:r>
                <w:rPr>
                  <w:rStyle w:val="InternetLink"/>
                </w:rPr>
                <w:t>“</w:t>
              </w:r>
              <w:r>
                <w:rPr>
                  <w:rStyle w:val="InternetLink"/>
                </w:rPr>
                <w:t xml:space="preserve">Cause” </w:t>
              </w:r>
            </w:hyperlink>
            <w:r>
              <mc:AlternateContent>
                <mc:Choice Requires="wps">
                  <w:drawing>
                    <wp:anchor behindDoc="0" distT="0" distB="0" distL="114300" distR="0" simplePos="0" locked="0" layoutInCell="1" allowOverlap="1" relativeHeight="303">
                      <wp:simplePos x="0" y="0"/>
                      <wp:positionH relativeFrom="column">
                        <wp:align>left</wp:align>
                      </wp:positionH>
                      <wp:positionV relativeFrom="line">
                        <wp:posOffset>635</wp:posOffset>
                      </wp:positionV>
                      <wp:extent cx="317500" cy="350520"/>
                      <wp:effectExtent l="0" t="0" r="0" b="0"/>
                      <wp:wrapSquare wrapText="right"/>
                      <wp:docPr id="307" name="Frame236"/>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IMUS">
                                    <w:r>
                                      <w:rPr>
                                        <w:rStyle w:val="InternetLink"/>
                                      </w:rPr>
                                      <w:t>(i)</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IMUS">
                              <w:r>
                                <w:rPr>
                                  <w:rStyle w:val="InternetLink"/>
                                </w:rPr>
                                <w:t>(i)</w:t>
                                <w:br/>
                              </w:r>
                            </w:hyperlink>
                          </w:p>
                        </w:txbxContent>
                      </v:textbox>
                      <w10:wrap type="square" side="right"/>
                    </v:rect>
                  </w:pict>
                </mc:Fallback>
              </mc:AlternateContent>
            </w:r>
          </w:p>
          <w:p>
            <w:pPr>
              <w:pStyle w:val="TableContents"/>
              <w:bidi w:val="0"/>
              <w:spacing w:before="0" w:after="0"/>
              <w:ind w:left="0" w:right="0" w:hanging="0"/>
              <w:jc w:val="left"/>
              <w:rPr/>
            </w:pPr>
            <w:hyperlink w:anchor="tIMU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hyperlink w:anchor="tIMUS">
              <w:r>
                <w:rPr>
                  <w:rStyle w:val="InternetLink"/>
                </w:rPr>
                <w:t xml:space="preserve">A-1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86" w:type="dxa"/>
            <w:tcBorders/>
            <w:tcMar>
              <w:bottom w:w="0" w:type="dxa"/>
            </w:tcMar>
            <w:vAlign w:val="center"/>
          </w:tcPr>
          <w:p>
            <w:pPr>
              <w:pStyle w:val="TableContents"/>
              <w:bidi w:val="0"/>
              <w:spacing w:lineRule="atLeast" w:line="180" w:before="0" w:after="0"/>
              <w:ind w:left="680" w:right="0" w:hanging="0"/>
              <w:jc w:val="left"/>
              <w:rPr/>
            </w:pPr>
            <w:hyperlink w:anchor="tJICM">
              <w:r>
                <w:rPr>
                  <w:rStyle w:val="InternetLink"/>
                </w:rPr>
                <w:t>“</w:t>
              </w:r>
              <w:r>
                <w:rPr>
                  <w:rStyle w:val="InternetLink"/>
                </w:rPr>
                <w:t xml:space="preserve">Change in Control” </w:t>
              </w:r>
            </w:hyperlink>
            <w:r>
              <mc:AlternateContent>
                <mc:Choice Requires="wps">
                  <w:drawing>
                    <wp:anchor behindDoc="0" distT="0" distB="0" distL="114300" distR="0" simplePos="0" locked="0" layoutInCell="1" allowOverlap="1" relativeHeight="304">
                      <wp:simplePos x="0" y="0"/>
                      <wp:positionH relativeFrom="column">
                        <wp:align>left</wp:align>
                      </wp:positionH>
                      <wp:positionV relativeFrom="line">
                        <wp:posOffset>635</wp:posOffset>
                      </wp:positionV>
                      <wp:extent cx="317500" cy="350520"/>
                      <wp:effectExtent l="0" t="0" r="0" b="0"/>
                      <wp:wrapSquare wrapText="right"/>
                      <wp:docPr id="308" name="Frame237"/>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JICM">
                                    <w:r>
                                      <w:rPr>
                                        <w:rStyle w:val="InternetLink"/>
                                      </w:rPr>
                                      <w:t>(j)</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JICM">
                              <w:r>
                                <w:rPr>
                                  <w:rStyle w:val="InternetLink"/>
                                </w:rPr>
                                <w:t>(j)</w:t>
                                <w:br/>
                              </w:r>
                            </w:hyperlink>
                          </w:p>
                        </w:txbxContent>
                      </v:textbox>
                      <w10:wrap type="square" side="right"/>
                    </v:rect>
                  </w:pict>
                </mc:Fallback>
              </mc:AlternateContent>
            </w:r>
          </w:p>
          <w:p>
            <w:pPr>
              <w:pStyle w:val="TableContents"/>
              <w:bidi w:val="0"/>
              <w:spacing w:before="0" w:after="0"/>
              <w:ind w:left="0" w:right="0" w:hanging="0"/>
              <w:jc w:val="left"/>
              <w:rPr/>
            </w:pPr>
            <w:hyperlink w:anchor="tJIC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JICM">
              <w:r>
                <w:rPr>
                  <w:rStyle w:val="InternetLink"/>
                </w:rPr>
                <w:t xml:space="preserve">A-2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8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KMTU">
              <w:r>
                <w:rPr>
                  <w:rStyle w:val="InternetLink"/>
                </w:rPr>
                <w:t>“</w:t>
              </w:r>
              <w:r>
                <w:rPr>
                  <w:rStyle w:val="InternetLink"/>
                </w:rPr>
                <w:t xml:space="preserve">Code” </w:t>
              </w:r>
            </w:hyperlink>
            <w:r>
              <mc:AlternateContent>
                <mc:Choice Requires="wps">
                  <w:drawing>
                    <wp:anchor behindDoc="0" distT="0" distB="0" distL="114300" distR="0" simplePos="0" locked="0" layoutInCell="1" allowOverlap="1" relativeHeight="305">
                      <wp:simplePos x="0" y="0"/>
                      <wp:positionH relativeFrom="column">
                        <wp:align>left</wp:align>
                      </wp:positionH>
                      <wp:positionV relativeFrom="line">
                        <wp:posOffset>635</wp:posOffset>
                      </wp:positionV>
                      <wp:extent cx="317500" cy="350520"/>
                      <wp:effectExtent l="0" t="0" r="0" b="0"/>
                      <wp:wrapSquare wrapText="right"/>
                      <wp:docPr id="309" name="Frame238"/>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KMTU">
                                    <w:r>
                                      <w:rPr>
                                        <w:rStyle w:val="InternetLink"/>
                                      </w:rPr>
                                      <w:t>(k)</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KMTU">
                              <w:r>
                                <w:rPr>
                                  <w:rStyle w:val="InternetLink"/>
                                </w:rPr>
                                <w:t>(k)</w:t>
                                <w:br/>
                              </w:r>
                            </w:hyperlink>
                          </w:p>
                        </w:txbxContent>
                      </v:textbox>
                      <w10:wrap type="square" side="right"/>
                    </v:rect>
                  </w:pict>
                </mc:Fallback>
              </mc:AlternateContent>
            </w:r>
          </w:p>
          <w:p>
            <w:pPr>
              <w:pStyle w:val="TableContents"/>
              <w:bidi w:val="0"/>
              <w:spacing w:before="0" w:after="0"/>
              <w:ind w:left="0" w:right="0" w:hanging="0"/>
              <w:jc w:val="left"/>
              <w:rPr/>
            </w:pPr>
            <w:hyperlink w:anchor="tKMTU">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hyperlink w:anchor="tKMTU">
              <w:r>
                <w:rPr>
                  <w:rStyle w:val="InternetLink"/>
                </w:rPr>
                <w:t xml:space="preserve">A-2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86" w:type="dxa"/>
            <w:tcBorders/>
            <w:tcMar>
              <w:bottom w:w="0" w:type="dxa"/>
            </w:tcMar>
            <w:vAlign w:val="center"/>
          </w:tcPr>
          <w:p>
            <w:pPr>
              <w:pStyle w:val="TableContents"/>
              <w:bidi w:val="0"/>
              <w:spacing w:lineRule="atLeast" w:line="180" w:before="0" w:after="0"/>
              <w:ind w:left="680" w:right="0" w:hanging="0"/>
              <w:jc w:val="left"/>
              <w:rPr/>
            </w:pPr>
            <w:hyperlink w:anchor="tLMTC">
              <w:r>
                <w:rPr>
                  <w:rStyle w:val="InternetLink"/>
                </w:rPr>
                <w:t>“</w:t>
              </w:r>
              <w:r>
                <w:rPr>
                  <w:rStyle w:val="InternetLink"/>
                </w:rPr>
                <w:t xml:space="preserve">Committee” </w:t>
              </w:r>
            </w:hyperlink>
            <w:r>
              <mc:AlternateContent>
                <mc:Choice Requires="wps">
                  <w:drawing>
                    <wp:anchor behindDoc="0" distT="0" distB="0" distL="114300" distR="0" simplePos="0" locked="0" layoutInCell="1" allowOverlap="1" relativeHeight="306">
                      <wp:simplePos x="0" y="0"/>
                      <wp:positionH relativeFrom="column">
                        <wp:align>left</wp:align>
                      </wp:positionH>
                      <wp:positionV relativeFrom="line">
                        <wp:posOffset>635</wp:posOffset>
                      </wp:positionV>
                      <wp:extent cx="317500" cy="350520"/>
                      <wp:effectExtent l="0" t="0" r="0" b="0"/>
                      <wp:wrapSquare wrapText="right"/>
                      <wp:docPr id="310" name="Frame239"/>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LMTC">
                                    <w:r>
                                      <w:rPr>
                                        <w:rStyle w:val="InternetLink"/>
                                      </w:rPr>
                                      <w:t>(l)</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LMTC">
                              <w:r>
                                <w:rPr>
                                  <w:rStyle w:val="InternetLink"/>
                                </w:rPr>
                                <w:t>(l)</w:t>
                                <w:br/>
                              </w:r>
                            </w:hyperlink>
                          </w:p>
                        </w:txbxContent>
                      </v:textbox>
                      <w10:wrap type="square" side="right"/>
                    </v:rect>
                  </w:pict>
                </mc:Fallback>
              </mc:AlternateContent>
            </w:r>
          </w:p>
          <w:p>
            <w:pPr>
              <w:pStyle w:val="TableContents"/>
              <w:bidi w:val="0"/>
              <w:spacing w:before="0" w:after="0"/>
              <w:ind w:left="0" w:right="0" w:hanging="0"/>
              <w:jc w:val="left"/>
              <w:rPr/>
            </w:pPr>
            <w:hyperlink w:anchor="tLMT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LMTC">
              <w:r>
                <w:rPr>
                  <w:rStyle w:val="InternetLink"/>
                </w:rPr>
                <w:t xml:space="preserve">A-2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8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MMLG">
              <w:r>
                <w:rPr>
                  <w:rStyle w:val="InternetLink"/>
                </w:rPr>
                <w:t>“</w:t>
              </w:r>
              <w:r>
                <w:rPr>
                  <w:rStyle w:val="InternetLink"/>
                </w:rPr>
                <w:t xml:space="preserve">Company” </w:t>
              </w:r>
            </w:hyperlink>
            <w:r>
              <mc:AlternateContent>
                <mc:Choice Requires="wps">
                  <w:drawing>
                    <wp:anchor behindDoc="0" distT="0" distB="0" distL="114300" distR="0" simplePos="0" locked="0" layoutInCell="1" allowOverlap="1" relativeHeight="307">
                      <wp:simplePos x="0" y="0"/>
                      <wp:positionH relativeFrom="column">
                        <wp:align>left</wp:align>
                      </wp:positionH>
                      <wp:positionV relativeFrom="line">
                        <wp:posOffset>635</wp:posOffset>
                      </wp:positionV>
                      <wp:extent cx="317500" cy="350520"/>
                      <wp:effectExtent l="0" t="0" r="0" b="0"/>
                      <wp:wrapSquare wrapText="right"/>
                      <wp:docPr id="311" name="Frame240"/>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MMLG">
                                    <w:r>
                                      <w:rPr>
                                        <w:rStyle w:val="InternetLink"/>
                                      </w:rPr>
                                      <w:t>(m)</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MMLG">
                              <w:r>
                                <w:rPr>
                                  <w:rStyle w:val="InternetLink"/>
                                </w:rPr>
                                <w:t>(m)</w:t>
                                <w:br/>
                              </w:r>
                            </w:hyperlink>
                          </w:p>
                        </w:txbxContent>
                      </v:textbox>
                      <w10:wrap type="square" side="right"/>
                    </v:rect>
                  </w:pict>
                </mc:Fallback>
              </mc:AlternateContent>
            </w:r>
          </w:p>
          <w:p>
            <w:pPr>
              <w:pStyle w:val="TableContents"/>
              <w:bidi w:val="0"/>
              <w:spacing w:before="0" w:after="0"/>
              <w:ind w:left="0" w:right="0" w:hanging="0"/>
              <w:jc w:val="left"/>
              <w:rPr/>
            </w:pPr>
            <w:hyperlink w:anchor="tMMLG">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hyperlink w:anchor="tMMLG">
              <w:r>
                <w:rPr>
                  <w:rStyle w:val="InternetLink"/>
                </w:rPr>
                <w:t xml:space="preserve">A-3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86" w:type="dxa"/>
            <w:tcBorders/>
            <w:tcMar>
              <w:bottom w:w="0" w:type="dxa"/>
            </w:tcMar>
            <w:vAlign w:val="center"/>
          </w:tcPr>
          <w:p>
            <w:pPr>
              <w:pStyle w:val="TableContents"/>
              <w:bidi w:val="0"/>
              <w:spacing w:lineRule="atLeast" w:line="180" w:before="0" w:after="0"/>
              <w:ind w:left="680" w:right="0" w:hanging="0"/>
              <w:jc w:val="left"/>
              <w:rPr/>
            </w:pPr>
            <w:hyperlink w:anchor="tNMAI">
              <w:r>
                <w:rPr>
                  <w:rStyle w:val="InternetLink"/>
                </w:rPr>
                <w:t>“</w:t>
              </w:r>
              <w:r>
                <w:rPr>
                  <w:rStyle w:val="InternetLink"/>
                </w:rPr>
                <w:t xml:space="preserve">Consultant” </w:t>
              </w:r>
            </w:hyperlink>
            <w:r>
              <mc:AlternateContent>
                <mc:Choice Requires="wps">
                  <w:drawing>
                    <wp:anchor behindDoc="0" distT="0" distB="0" distL="114300" distR="0" simplePos="0" locked="0" layoutInCell="1" allowOverlap="1" relativeHeight="308">
                      <wp:simplePos x="0" y="0"/>
                      <wp:positionH relativeFrom="column">
                        <wp:align>left</wp:align>
                      </wp:positionH>
                      <wp:positionV relativeFrom="line">
                        <wp:posOffset>635</wp:posOffset>
                      </wp:positionV>
                      <wp:extent cx="317500" cy="350520"/>
                      <wp:effectExtent l="0" t="0" r="0" b="0"/>
                      <wp:wrapSquare wrapText="right"/>
                      <wp:docPr id="312" name="Frame241"/>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NMAI">
                                    <w:r>
                                      <w:rPr>
                                        <w:rStyle w:val="InternetLink"/>
                                      </w:rPr>
                                      <w:t>(n)</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NMAI">
                              <w:r>
                                <w:rPr>
                                  <w:rStyle w:val="InternetLink"/>
                                </w:rPr>
                                <w:t>(n)</w:t>
                                <w:br/>
                              </w:r>
                            </w:hyperlink>
                          </w:p>
                        </w:txbxContent>
                      </v:textbox>
                      <w10:wrap type="square" side="right"/>
                    </v:rect>
                  </w:pict>
                </mc:Fallback>
              </mc:AlternateContent>
            </w:r>
          </w:p>
          <w:p>
            <w:pPr>
              <w:pStyle w:val="TableContents"/>
              <w:bidi w:val="0"/>
              <w:spacing w:before="0" w:after="0"/>
              <w:ind w:left="0" w:right="0" w:hanging="0"/>
              <w:jc w:val="left"/>
              <w:rPr/>
            </w:pPr>
            <w:hyperlink w:anchor="tNMA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NMAI">
              <w:r>
                <w:rPr>
                  <w:rStyle w:val="InternetLink"/>
                </w:rPr>
                <w:t xml:space="preserve">A-3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8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OMAP">
              <w:r>
                <w:rPr>
                  <w:rStyle w:val="InternetLink"/>
                </w:rPr>
                <w:t>“</w:t>
              </w:r>
              <w:r>
                <w:rPr>
                  <w:rStyle w:val="InternetLink"/>
                </w:rPr>
                <w:t xml:space="preserve">Disability” </w:t>
              </w:r>
            </w:hyperlink>
            <w:r>
              <mc:AlternateContent>
                <mc:Choice Requires="wps">
                  <w:drawing>
                    <wp:anchor behindDoc="0" distT="0" distB="0" distL="114300" distR="0" simplePos="0" locked="0" layoutInCell="1" allowOverlap="1" relativeHeight="309">
                      <wp:simplePos x="0" y="0"/>
                      <wp:positionH relativeFrom="column">
                        <wp:align>left</wp:align>
                      </wp:positionH>
                      <wp:positionV relativeFrom="line">
                        <wp:posOffset>635</wp:posOffset>
                      </wp:positionV>
                      <wp:extent cx="317500" cy="350520"/>
                      <wp:effectExtent l="0" t="0" r="0" b="0"/>
                      <wp:wrapSquare wrapText="right"/>
                      <wp:docPr id="313" name="Frame242"/>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OMAP">
                                    <w:r>
                                      <w:rPr>
                                        <w:rStyle w:val="InternetLink"/>
                                      </w:rPr>
                                      <w:t>(o)</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OMAP">
                              <w:r>
                                <w:rPr>
                                  <w:rStyle w:val="InternetLink"/>
                                </w:rPr>
                                <w:t>(o)</w:t>
                                <w:br/>
                              </w:r>
                            </w:hyperlink>
                          </w:p>
                        </w:txbxContent>
                      </v:textbox>
                      <w10:wrap type="square" side="right"/>
                    </v:rect>
                  </w:pict>
                </mc:Fallback>
              </mc:AlternateContent>
            </w:r>
          </w:p>
          <w:p>
            <w:pPr>
              <w:pStyle w:val="TableContents"/>
              <w:bidi w:val="0"/>
              <w:spacing w:before="0" w:after="0"/>
              <w:ind w:left="0" w:right="0" w:hanging="0"/>
              <w:jc w:val="left"/>
              <w:rPr/>
            </w:pPr>
            <w:hyperlink w:anchor="tOMA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hyperlink w:anchor="tOMAP">
              <w:r>
                <w:rPr>
                  <w:rStyle w:val="InternetLink"/>
                </w:rPr>
                <w:t xml:space="preserve">A-3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86" w:type="dxa"/>
            <w:tcBorders/>
            <w:tcMar>
              <w:bottom w:w="0" w:type="dxa"/>
            </w:tcMar>
            <w:vAlign w:val="center"/>
          </w:tcPr>
          <w:p>
            <w:pPr>
              <w:pStyle w:val="TableContents"/>
              <w:bidi w:val="0"/>
              <w:spacing w:lineRule="atLeast" w:line="180" w:before="0" w:after="0"/>
              <w:ind w:left="680" w:right="0" w:hanging="0"/>
              <w:jc w:val="left"/>
              <w:rPr/>
            </w:pPr>
            <w:hyperlink w:anchor="tPDMT">
              <w:r>
                <w:rPr>
                  <w:rStyle w:val="InternetLink"/>
                </w:rPr>
                <w:t>“</w:t>
              </w:r>
              <w:r>
                <w:rPr>
                  <w:rStyle w:val="InternetLink"/>
                </w:rPr>
                <w:t xml:space="preserve">Effective Date” </w:t>
              </w:r>
            </w:hyperlink>
            <w:r>
              <mc:AlternateContent>
                <mc:Choice Requires="wps">
                  <w:drawing>
                    <wp:anchor behindDoc="0" distT="0" distB="0" distL="114300" distR="0" simplePos="0" locked="0" layoutInCell="1" allowOverlap="1" relativeHeight="310">
                      <wp:simplePos x="0" y="0"/>
                      <wp:positionH relativeFrom="column">
                        <wp:align>left</wp:align>
                      </wp:positionH>
                      <wp:positionV relativeFrom="line">
                        <wp:posOffset>635</wp:posOffset>
                      </wp:positionV>
                      <wp:extent cx="317500" cy="350520"/>
                      <wp:effectExtent l="0" t="0" r="0" b="0"/>
                      <wp:wrapSquare wrapText="right"/>
                      <wp:docPr id="314" name="Frame243"/>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PDMT">
                                    <w:r>
                                      <w:rPr>
                                        <w:rStyle w:val="InternetLink"/>
                                      </w:rPr>
                                      <w:t>(p)</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PDMT">
                              <w:r>
                                <w:rPr>
                                  <w:rStyle w:val="InternetLink"/>
                                </w:rPr>
                                <w:t>(p)</w:t>
                                <w:br/>
                              </w:r>
                            </w:hyperlink>
                          </w:p>
                        </w:txbxContent>
                      </v:textbox>
                      <w10:wrap type="square" side="right"/>
                    </v:rect>
                  </w:pict>
                </mc:Fallback>
              </mc:AlternateContent>
            </w:r>
          </w:p>
          <w:p>
            <w:pPr>
              <w:pStyle w:val="TableContents"/>
              <w:bidi w:val="0"/>
              <w:spacing w:before="0" w:after="0"/>
              <w:ind w:left="0" w:right="0" w:hanging="0"/>
              <w:jc w:val="left"/>
              <w:rPr/>
            </w:pPr>
            <w:hyperlink w:anchor="tPDM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PDMT">
              <w:r>
                <w:rPr>
                  <w:rStyle w:val="InternetLink"/>
                </w:rPr>
                <w:t xml:space="preserve">A-3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8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QMAI">
              <w:r>
                <w:rPr>
                  <w:rStyle w:val="InternetLink"/>
                </w:rPr>
                <w:t>“</w:t>
              </w:r>
              <w:r>
                <w:rPr>
                  <w:rStyle w:val="InternetLink"/>
                </w:rPr>
                <w:t xml:space="preserve">Employee” </w:t>
              </w:r>
            </w:hyperlink>
            <w:r>
              <mc:AlternateContent>
                <mc:Choice Requires="wps">
                  <w:drawing>
                    <wp:anchor behindDoc="0" distT="0" distB="0" distL="114300" distR="0" simplePos="0" locked="0" layoutInCell="1" allowOverlap="1" relativeHeight="311">
                      <wp:simplePos x="0" y="0"/>
                      <wp:positionH relativeFrom="column">
                        <wp:align>left</wp:align>
                      </wp:positionH>
                      <wp:positionV relativeFrom="line">
                        <wp:posOffset>635</wp:posOffset>
                      </wp:positionV>
                      <wp:extent cx="317500" cy="350520"/>
                      <wp:effectExtent l="0" t="0" r="0" b="0"/>
                      <wp:wrapSquare wrapText="right"/>
                      <wp:docPr id="315" name="Frame244"/>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QMAI">
                                    <w:r>
                                      <w:rPr>
                                        <w:rStyle w:val="InternetLink"/>
                                      </w:rPr>
                                      <w:t>(q)</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QMAI">
                              <w:r>
                                <w:rPr>
                                  <w:rStyle w:val="InternetLink"/>
                                </w:rPr>
                                <w:t>(q)</w:t>
                                <w:br/>
                              </w:r>
                            </w:hyperlink>
                          </w:p>
                        </w:txbxContent>
                      </v:textbox>
                      <w10:wrap type="square" side="right"/>
                    </v:rect>
                  </w:pict>
                </mc:Fallback>
              </mc:AlternateContent>
            </w:r>
          </w:p>
          <w:p>
            <w:pPr>
              <w:pStyle w:val="TableContents"/>
              <w:bidi w:val="0"/>
              <w:spacing w:before="0" w:after="0"/>
              <w:ind w:left="0" w:right="0" w:hanging="0"/>
              <w:jc w:val="left"/>
              <w:rPr/>
            </w:pPr>
            <w:hyperlink w:anchor="tQMA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hyperlink w:anchor="tQMAI">
              <w:r>
                <w:rPr>
                  <w:rStyle w:val="InternetLink"/>
                </w:rPr>
                <w:t xml:space="preserve">A-3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86" w:type="dxa"/>
            <w:tcBorders/>
            <w:tcMar>
              <w:bottom w:w="0" w:type="dxa"/>
            </w:tcMar>
            <w:vAlign w:val="center"/>
          </w:tcPr>
          <w:p>
            <w:pPr>
              <w:pStyle w:val="TableContents"/>
              <w:bidi w:val="0"/>
              <w:spacing w:lineRule="atLeast" w:line="180" w:before="0" w:after="0"/>
              <w:ind w:left="680" w:right="0" w:hanging="0"/>
              <w:jc w:val="left"/>
              <w:rPr/>
            </w:pPr>
            <w:hyperlink w:anchor="tRAMT">
              <w:r>
                <w:rPr>
                  <w:rStyle w:val="InternetLink"/>
                </w:rPr>
                <w:t>“</w:t>
              </w:r>
              <w:r>
                <w:rPr>
                  <w:rStyle w:val="InternetLink"/>
                </w:rPr>
                <w:t xml:space="preserve">ESPP Addendum” </w:t>
              </w:r>
            </w:hyperlink>
            <w:r>
              <mc:AlternateContent>
                <mc:Choice Requires="wps">
                  <w:drawing>
                    <wp:anchor behindDoc="0" distT="0" distB="0" distL="114300" distR="0" simplePos="0" locked="0" layoutInCell="1" allowOverlap="1" relativeHeight="312">
                      <wp:simplePos x="0" y="0"/>
                      <wp:positionH relativeFrom="column">
                        <wp:align>left</wp:align>
                      </wp:positionH>
                      <wp:positionV relativeFrom="line">
                        <wp:posOffset>635</wp:posOffset>
                      </wp:positionV>
                      <wp:extent cx="317500" cy="350520"/>
                      <wp:effectExtent l="0" t="0" r="0" b="0"/>
                      <wp:wrapSquare wrapText="right"/>
                      <wp:docPr id="316" name="Frame245"/>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RAMT">
                                    <w:r>
                                      <w:rPr>
                                        <w:rStyle w:val="InternetLink"/>
                                      </w:rPr>
                                      <w:t>(r)</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RAMT">
                              <w:r>
                                <w:rPr>
                                  <w:rStyle w:val="InternetLink"/>
                                </w:rPr>
                                <w:t>(r)</w:t>
                                <w:br/>
                              </w:r>
                            </w:hyperlink>
                          </w:p>
                        </w:txbxContent>
                      </v:textbox>
                      <w10:wrap type="square" side="right"/>
                    </v:rect>
                  </w:pict>
                </mc:Fallback>
              </mc:AlternateContent>
            </w:r>
          </w:p>
          <w:p>
            <w:pPr>
              <w:pStyle w:val="TableContents"/>
              <w:bidi w:val="0"/>
              <w:spacing w:before="0" w:after="0"/>
              <w:ind w:left="0" w:right="0" w:hanging="0"/>
              <w:jc w:val="left"/>
              <w:rPr/>
            </w:pPr>
            <w:hyperlink w:anchor="tRAM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RAMT">
              <w:r>
                <w:rPr>
                  <w:rStyle w:val="InternetLink"/>
                </w:rPr>
                <w:t xml:space="preserve">A-3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8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SAMT">
              <w:r>
                <w:rPr>
                  <w:rStyle w:val="InternetLink"/>
                </w:rPr>
                <w:t>“</w:t>
              </w:r>
              <w:r>
                <w:rPr>
                  <w:rStyle w:val="InternetLink"/>
                </w:rPr>
                <w:t xml:space="preserve">Exchange Act” </w:t>
              </w:r>
            </w:hyperlink>
            <w:r>
              <mc:AlternateContent>
                <mc:Choice Requires="wps">
                  <w:drawing>
                    <wp:anchor behindDoc="0" distT="0" distB="0" distL="114300" distR="0" simplePos="0" locked="0" layoutInCell="1" allowOverlap="1" relativeHeight="313">
                      <wp:simplePos x="0" y="0"/>
                      <wp:positionH relativeFrom="column">
                        <wp:align>left</wp:align>
                      </wp:positionH>
                      <wp:positionV relativeFrom="line">
                        <wp:posOffset>635</wp:posOffset>
                      </wp:positionV>
                      <wp:extent cx="317500" cy="350520"/>
                      <wp:effectExtent l="0" t="0" r="0" b="0"/>
                      <wp:wrapSquare wrapText="right"/>
                      <wp:docPr id="317" name="Frame246"/>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SAMT">
                                    <w:r>
                                      <w:rPr>
                                        <w:rStyle w:val="InternetLink"/>
                                      </w:rPr>
                                      <w:t>(s)</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SAMT">
                              <w:r>
                                <w:rPr>
                                  <w:rStyle w:val="InternetLink"/>
                                </w:rPr>
                                <w:t>(s)</w:t>
                                <w:br/>
                              </w:r>
                            </w:hyperlink>
                          </w:p>
                        </w:txbxContent>
                      </v:textbox>
                      <w10:wrap type="square" side="right"/>
                    </v:rect>
                  </w:pict>
                </mc:Fallback>
              </mc:AlternateContent>
            </w:r>
          </w:p>
          <w:p>
            <w:pPr>
              <w:pStyle w:val="TableContents"/>
              <w:bidi w:val="0"/>
              <w:spacing w:before="0" w:after="0"/>
              <w:ind w:left="0" w:right="0" w:hanging="0"/>
              <w:jc w:val="left"/>
              <w:rPr/>
            </w:pPr>
            <w:hyperlink w:anchor="tSAM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hyperlink w:anchor="tSAMT">
              <w:r>
                <w:rPr>
                  <w:rStyle w:val="InternetLink"/>
                </w:rPr>
                <w:t xml:space="preserve">A-3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86" w:type="dxa"/>
            <w:tcBorders/>
            <w:tcMar>
              <w:bottom w:w="0" w:type="dxa"/>
            </w:tcMar>
            <w:vAlign w:val="center"/>
          </w:tcPr>
          <w:p>
            <w:pPr>
              <w:pStyle w:val="TableContents"/>
              <w:bidi w:val="0"/>
              <w:spacing w:lineRule="atLeast" w:line="180" w:before="0" w:after="0"/>
              <w:ind w:left="680" w:right="0" w:hanging="0"/>
              <w:jc w:val="left"/>
              <w:rPr/>
            </w:pPr>
            <w:hyperlink w:anchor="tTPMI">
              <w:r>
                <w:rPr>
                  <w:rStyle w:val="InternetLink"/>
                </w:rPr>
                <w:t>“</w:t>
              </w:r>
              <w:r>
                <w:rPr>
                  <w:rStyle w:val="InternetLink"/>
                </w:rPr>
                <w:t xml:space="preserve">Exercise Price” </w:t>
              </w:r>
            </w:hyperlink>
            <w:r>
              <mc:AlternateContent>
                <mc:Choice Requires="wps">
                  <w:drawing>
                    <wp:anchor behindDoc="0" distT="0" distB="0" distL="114300" distR="0" simplePos="0" locked="0" layoutInCell="1" allowOverlap="1" relativeHeight="314">
                      <wp:simplePos x="0" y="0"/>
                      <wp:positionH relativeFrom="column">
                        <wp:align>left</wp:align>
                      </wp:positionH>
                      <wp:positionV relativeFrom="line">
                        <wp:posOffset>635</wp:posOffset>
                      </wp:positionV>
                      <wp:extent cx="317500" cy="350520"/>
                      <wp:effectExtent l="0" t="0" r="0" b="0"/>
                      <wp:wrapSquare wrapText="right"/>
                      <wp:docPr id="318" name="Frame247"/>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TPMI">
                                    <w:r>
                                      <w:rPr>
                                        <w:rStyle w:val="InternetLink"/>
                                      </w:rPr>
                                      <w:t>(t)</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TPMI">
                              <w:r>
                                <w:rPr>
                                  <w:rStyle w:val="InternetLink"/>
                                </w:rPr>
                                <w:t>(t)</w:t>
                                <w:br/>
                              </w:r>
                            </w:hyperlink>
                          </w:p>
                        </w:txbxContent>
                      </v:textbox>
                      <w10:wrap type="square" side="right"/>
                    </v:rect>
                  </w:pict>
                </mc:Fallback>
              </mc:AlternateContent>
            </w:r>
          </w:p>
          <w:p>
            <w:pPr>
              <w:pStyle w:val="TableContents"/>
              <w:bidi w:val="0"/>
              <w:spacing w:before="0" w:after="0"/>
              <w:ind w:left="0" w:right="0" w:hanging="0"/>
              <w:jc w:val="left"/>
              <w:rPr/>
            </w:pPr>
            <w:hyperlink w:anchor="tTPM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TPMI">
              <w:r>
                <w:rPr>
                  <w:rStyle w:val="InternetLink"/>
                </w:rPr>
                <w:t xml:space="preserve">A-3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8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UMVW">
              <w:r>
                <w:rPr>
                  <w:rStyle w:val="InternetLink"/>
                </w:rPr>
                <w:t>“</w:t>
              </w:r>
              <w:r>
                <w:rPr>
                  <w:rStyle w:val="InternetLink"/>
                </w:rPr>
                <w:t xml:space="preserve">Fair Market Value” </w:t>
              </w:r>
            </w:hyperlink>
            <w:r>
              <mc:AlternateContent>
                <mc:Choice Requires="wps">
                  <w:drawing>
                    <wp:anchor behindDoc="0" distT="0" distB="0" distL="114300" distR="0" simplePos="0" locked="0" layoutInCell="1" allowOverlap="1" relativeHeight="315">
                      <wp:simplePos x="0" y="0"/>
                      <wp:positionH relativeFrom="column">
                        <wp:align>left</wp:align>
                      </wp:positionH>
                      <wp:positionV relativeFrom="line">
                        <wp:posOffset>635</wp:posOffset>
                      </wp:positionV>
                      <wp:extent cx="317500" cy="350520"/>
                      <wp:effectExtent l="0" t="0" r="0" b="0"/>
                      <wp:wrapSquare wrapText="right"/>
                      <wp:docPr id="319" name="Frame248"/>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UMVW">
                                    <w:r>
                                      <w:rPr>
                                        <w:rStyle w:val="InternetLink"/>
                                      </w:rPr>
                                      <w:t>(u)</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UMVW">
                              <w:r>
                                <w:rPr>
                                  <w:rStyle w:val="InternetLink"/>
                                </w:rPr>
                                <w:t>(u)</w:t>
                                <w:br/>
                              </w:r>
                            </w:hyperlink>
                          </w:p>
                        </w:txbxContent>
                      </v:textbox>
                      <w10:wrap type="square" side="right"/>
                    </v:rect>
                  </w:pict>
                </mc:Fallback>
              </mc:AlternateContent>
            </w:r>
          </w:p>
          <w:p>
            <w:pPr>
              <w:pStyle w:val="TableContents"/>
              <w:bidi w:val="0"/>
              <w:spacing w:before="0" w:after="0"/>
              <w:ind w:left="0" w:right="0" w:hanging="0"/>
              <w:jc w:val="left"/>
              <w:rPr/>
            </w:pPr>
            <w:hyperlink w:anchor="tUMVW">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hyperlink w:anchor="tUMVW">
              <w:r>
                <w:rPr>
                  <w:rStyle w:val="InternetLink"/>
                </w:rPr>
                <w:t xml:space="preserve">A-3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86" w:type="dxa"/>
            <w:tcBorders/>
            <w:tcMar>
              <w:bottom w:w="0" w:type="dxa"/>
            </w:tcMar>
            <w:vAlign w:val="center"/>
          </w:tcPr>
          <w:p>
            <w:pPr>
              <w:pStyle w:val="TableContents"/>
              <w:bidi w:val="0"/>
              <w:spacing w:lineRule="atLeast" w:line="180" w:before="0" w:after="0"/>
              <w:ind w:left="680" w:right="0" w:hanging="0"/>
              <w:jc w:val="left"/>
              <w:rPr/>
            </w:pPr>
            <w:hyperlink w:anchor="tVMAE">
              <w:r>
                <w:rPr>
                  <w:rStyle w:val="InternetLink"/>
                </w:rPr>
                <w:t>“</w:t>
              </w:r>
              <w:r>
                <w:rPr>
                  <w:rStyle w:val="InternetLink"/>
                </w:rPr>
                <w:t xml:space="preserve">ISO” </w:t>
              </w:r>
            </w:hyperlink>
            <w:r>
              <mc:AlternateContent>
                <mc:Choice Requires="wps">
                  <w:drawing>
                    <wp:anchor behindDoc="0" distT="0" distB="0" distL="114300" distR="0" simplePos="0" locked="0" layoutInCell="1" allowOverlap="1" relativeHeight="316">
                      <wp:simplePos x="0" y="0"/>
                      <wp:positionH relativeFrom="column">
                        <wp:align>left</wp:align>
                      </wp:positionH>
                      <wp:positionV relativeFrom="line">
                        <wp:posOffset>635</wp:posOffset>
                      </wp:positionV>
                      <wp:extent cx="317500" cy="350520"/>
                      <wp:effectExtent l="0" t="0" r="0" b="0"/>
                      <wp:wrapSquare wrapText="right"/>
                      <wp:docPr id="320" name="Frame249"/>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VMAE">
                                    <w:r>
                                      <w:rPr>
                                        <w:rStyle w:val="InternetLink"/>
                                      </w:rPr>
                                      <w:t>(v)</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VMAE">
                              <w:r>
                                <w:rPr>
                                  <w:rStyle w:val="InternetLink"/>
                                </w:rPr>
                                <w:t>(v)</w:t>
                                <w:br/>
                              </w:r>
                            </w:hyperlink>
                          </w:p>
                        </w:txbxContent>
                      </v:textbox>
                      <w10:wrap type="square" side="right"/>
                    </v:rect>
                  </w:pict>
                </mc:Fallback>
              </mc:AlternateContent>
            </w:r>
          </w:p>
          <w:p>
            <w:pPr>
              <w:pStyle w:val="TableContents"/>
              <w:bidi w:val="0"/>
              <w:spacing w:before="0" w:after="0"/>
              <w:ind w:left="0" w:right="0" w:hanging="0"/>
              <w:jc w:val="left"/>
              <w:rPr/>
            </w:pPr>
            <w:hyperlink w:anchor="tVMA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VMAE">
              <w:r>
                <w:rPr>
                  <w:rStyle w:val="InternetLink"/>
                </w:rPr>
                <w:t xml:space="preserve">A-3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8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WOON">
              <w:r>
                <w:rPr>
                  <w:rStyle w:val="InternetLink"/>
                </w:rPr>
                <w:t>“</w:t>
              </w:r>
              <w:r>
                <w:rPr>
                  <w:rStyle w:val="InternetLink"/>
                </w:rPr>
                <w:t xml:space="preserve">Nonstatutory Option” or “NSO” </w:t>
              </w:r>
            </w:hyperlink>
            <w:r>
              <mc:AlternateContent>
                <mc:Choice Requires="wps">
                  <w:drawing>
                    <wp:anchor behindDoc="0" distT="0" distB="0" distL="114300" distR="0" simplePos="0" locked="0" layoutInCell="1" allowOverlap="1" relativeHeight="317">
                      <wp:simplePos x="0" y="0"/>
                      <wp:positionH relativeFrom="column">
                        <wp:align>left</wp:align>
                      </wp:positionH>
                      <wp:positionV relativeFrom="line">
                        <wp:posOffset>635</wp:posOffset>
                      </wp:positionV>
                      <wp:extent cx="317500" cy="350520"/>
                      <wp:effectExtent l="0" t="0" r="0" b="0"/>
                      <wp:wrapSquare wrapText="right"/>
                      <wp:docPr id="321" name="Frame250"/>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WOON">
                                    <w:r>
                                      <w:rPr>
                                        <w:rStyle w:val="InternetLink"/>
                                      </w:rPr>
                                      <w:t>(w)</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WOON">
                              <w:r>
                                <w:rPr>
                                  <w:rStyle w:val="InternetLink"/>
                                </w:rPr>
                                <w:t>(w)</w:t>
                                <w:br/>
                              </w:r>
                            </w:hyperlink>
                          </w:p>
                        </w:txbxContent>
                      </v:textbox>
                      <w10:wrap type="square" side="right"/>
                    </v:rect>
                  </w:pict>
                </mc:Fallback>
              </mc:AlternateContent>
            </w:r>
          </w:p>
          <w:p>
            <w:pPr>
              <w:pStyle w:val="TableContents"/>
              <w:bidi w:val="0"/>
              <w:spacing w:before="0" w:after="0"/>
              <w:ind w:left="0" w:right="0" w:hanging="0"/>
              <w:jc w:val="left"/>
              <w:rPr/>
            </w:pPr>
            <w:hyperlink w:anchor="tWOON">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hyperlink w:anchor="tWOON">
              <w:r>
                <w:rPr>
                  <w:rStyle w:val="InternetLink"/>
                </w:rPr>
                <w:t xml:space="preserve">A-3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86" w:type="dxa"/>
            <w:tcBorders/>
            <w:tcMar>
              <w:bottom w:w="0" w:type="dxa"/>
            </w:tcMar>
            <w:vAlign w:val="center"/>
          </w:tcPr>
          <w:p>
            <w:pPr>
              <w:pStyle w:val="TableContents"/>
              <w:bidi w:val="0"/>
              <w:spacing w:lineRule="atLeast" w:line="180" w:before="0" w:after="0"/>
              <w:ind w:left="680" w:right="0" w:hanging="0"/>
              <w:jc w:val="left"/>
              <w:rPr/>
            </w:pPr>
            <w:hyperlink w:anchor="tXMAI">
              <w:r>
                <w:rPr>
                  <w:rStyle w:val="InternetLink"/>
                </w:rPr>
                <w:t>“</w:t>
              </w:r>
              <w:r>
                <w:rPr>
                  <w:rStyle w:val="InternetLink"/>
                </w:rPr>
                <w:t xml:space="preserve">Option” </w:t>
              </w:r>
            </w:hyperlink>
            <w:r>
              <mc:AlternateContent>
                <mc:Choice Requires="wps">
                  <w:drawing>
                    <wp:anchor behindDoc="0" distT="0" distB="0" distL="114300" distR="0" simplePos="0" locked="0" layoutInCell="1" allowOverlap="1" relativeHeight="318">
                      <wp:simplePos x="0" y="0"/>
                      <wp:positionH relativeFrom="column">
                        <wp:align>left</wp:align>
                      </wp:positionH>
                      <wp:positionV relativeFrom="line">
                        <wp:posOffset>635</wp:posOffset>
                      </wp:positionV>
                      <wp:extent cx="317500" cy="350520"/>
                      <wp:effectExtent l="0" t="0" r="0" b="0"/>
                      <wp:wrapSquare wrapText="right"/>
                      <wp:docPr id="322" name="Frame251"/>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XMAI">
                                    <w:r>
                                      <w:rPr>
                                        <w:rStyle w:val="InternetLink"/>
                                      </w:rPr>
                                      <w:t>(x)</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XMAI">
                              <w:r>
                                <w:rPr>
                                  <w:rStyle w:val="InternetLink"/>
                                </w:rPr>
                                <w:t>(x)</w:t>
                                <w:br/>
                              </w:r>
                            </w:hyperlink>
                          </w:p>
                        </w:txbxContent>
                      </v:textbox>
                      <w10:wrap type="square" side="right"/>
                    </v:rect>
                  </w:pict>
                </mc:Fallback>
              </mc:AlternateContent>
            </w:r>
          </w:p>
          <w:p>
            <w:pPr>
              <w:pStyle w:val="TableContents"/>
              <w:bidi w:val="0"/>
              <w:spacing w:before="0" w:after="0"/>
              <w:ind w:left="0" w:right="0" w:hanging="0"/>
              <w:jc w:val="left"/>
              <w:rPr/>
            </w:pPr>
            <w:hyperlink w:anchor="tXMA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XMAI">
              <w:r>
                <w:rPr>
                  <w:rStyle w:val="InternetLink"/>
                </w:rPr>
                <w:t xml:space="preserve">A-3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8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YDMA">
              <w:r>
                <w:rPr>
                  <w:rStyle w:val="InternetLink"/>
                </w:rPr>
                <w:t>“</w:t>
              </w:r>
              <w:r>
                <w:rPr>
                  <w:rStyle w:val="InternetLink"/>
                </w:rPr>
                <w:t xml:space="preserve">Outside Director” </w:t>
              </w:r>
            </w:hyperlink>
            <w:r>
              <mc:AlternateContent>
                <mc:Choice Requires="wps">
                  <w:drawing>
                    <wp:anchor behindDoc="0" distT="0" distB="0" distL="114300" distR="0" simplePos="0" locked="0" layoutInCell="1" allowOverlap="1" relativeHeight="319">
                      <wp:simplePos x="0" y="0"/>
                      <wp:positionH relativeFrom="column">
                        <wp:align>left</wp:align>
                      </wp:positionH>
                      <wp:positionV relativeFrom="line">
                        <wp:posOffset>635</wp:posOffset>
                      </wp:positionV>
                      <wp:extent cx="317500" cy="350520"/>
                      <wp:effectExtent l="0" t="0" r="0" b="0"/>
                      <wp:wrapSquare wrapText="right"/>
                      <wp:docPr id="323" name="Frame252"/>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YDMA">
                                    <w:r>
                                      <w:rPr>
                                        <w:rStyle w:val="InternetLink"/>
                                      </w:rPr>
                                      <w:t>(y)</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YDMA">
                              <w:r>
                                <w:rPr>
                                  <w:rStyle w:val="InternetLink"/>
                                </w:rPr>
                                <w:t>(y)</w:t>
                                <w:br/>
                              </w:r>
                            </w:hyperlink>
                          </w:p>
                        </w:txbxContent>
                      </v:textbox>
                      <w10:wrap type="square" side="right"/>
                    </v:rect>
                  </w:pict>
                </mc:Fallback>
              </mc:AlternateContent>
            </w:r>
          </w:p>
          <w:p>
            <w:pPr>
              <w:pStyle w:val="TableContents"/>
              <w:bidi w:val="0"/>
              <w:spacing w:before="0" w:after="0"/>
              <w:ind w:left="0" w:right="0" w:hanging="0"/>
              <w:jc w:val="left"/>
              <w:rPr/>
            </w:pPr>
            <w:hyperlink w:anchor="tYDM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hyperlink w:anchor="tYDMA">
              <w:r>
                <w:rPr>
                  <w:rStyle w:val="InternetLink"/>
                </w:rPr>
                <w:t xml:space="preserve">A-3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86" w:type="dxa"/>
            <w:tcBorders/>
            <w:tcMar>
              <w:bottom w:w="0" w:type="dxa"/>
            </w:tcMar>
            <w:vAlign w:val="center"/>
          </w:tcPr>
          <w:p>
            <w:pPr>
              <w:pStyle w:val="TableContents"/>
              <w:bidi w:val="0"/>
              <w:spacing w:lineRule="atLeast" w:line="180" w:before="0" w:after="0"/>
              <w:ind w:left="680" w:right="0" w:hanging="0"/>
              <w:jc w:val="left"/>
              <w:rPr/>
            </w:pPr>
            <w:hyperlink w:anchor="tZMAC">
              <w:r>
                <w:rPr>
                  <w:rStyle w:val="InternetLink"/>
                </w:rPr>
                <w:t>“</w:t>
              </w:r>
              <w:r>
                <w:rPr>
                  <w:rStyle w:val="InternetLink"/>
                </w:rPr>
                <w:t xml:space="preserve">Parent” </w:t>
              </w:r>
            </w:hyperlink>
            <w:r>
              <mc:AlternateContent>
                <mc:Choice Requires="wps">
                  <w:drawing>
                    <wp:anchor behindDoc="0" distT="0" distB="0" distL="114300" distR="0" simplePos="0" locked="0" layoutInCell="1" allowOverlap="1" relativeHeight="320">
                      <wp:simplePos x="0" y="0"/>
                      <wp:positionH relativeFrom="column">
                        <wp:align>left</wp:align>
                      </wp:positionH>
                      <wp:positionV relativeFrom="line">
                        <wp:posOffset>635</wp:posOffset>
                      </wp:positionV>
                      <wp:extent cx="317500" cy="350520"/>
                      <wp:effectExtent l="0" t="0" r="0" b="0"/>
                      <wp:wrapSquare wrapText="right"/>
                      <wp:docPr id="324" name="Frame253"/>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ZMAC">
                                    <w:r>
                                      <w:rPr>
                                        <w:rStyle w:val="InternetLink"/>
                                      </w:rPr>
                                      <w:t>(z)</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ZMAC">
                              <w:r>
                                <w:rPr>
                                  <w:rStyle w:val="InternetLink"/>
                                </w:rPr>
                                <w:t>(z)</w:t>
                                <w:br/>
                              </w:r>
                            </w:hyperlink>
                          </w:p>
                        </w:txbxContent>
                      </v:textbox>
                      <w10:wrap type="square" side="right"/>
                    </v:rect>
                  </w:pict>
                </mc:Fallback>
              </mc:AlternateContent>
            </w:r>
          </w:p>
          <w:p>
            <w:pPr>
              <w:pStyle w:val="TableContents"/>
              <w:bidi w:val="0"/>
              <w:spacing w:before="0" w:after="0"/>
              <w:ind w:left="0" w:right="0" w:hanging="0"/>
              <w:jc w:val="left"/>
              <w:rPr/>
            </w:pPr>
            <w:hyperlink w:anchor="tZMA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ZMAC">
              <w:r>
                <w:rPr>
                  <w:rStyle w:val="InternetLink"/>
                </w:rPr>
                <w:t xml:space="preserve">A-3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8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AMAP">
              <w:r>
                <w:rPr>
                  <w:rStyle w:val="InternetLink"/>
                </w:rPr>
                <w:t>“</w:t>
              </w:r>
              <w:r>
                <w:rPr>
                  <w:rStyle w:val="InternetLink"/>
                </w:rPr>
                <w:t xml:space="preserve">Participant” </w:t>
              </w:r>
            </w:hyperlink>
            <w:r>
              <mc:AlternateContent>
                <mc:Choice Requires="wps">
                  <w:drawing>
                    <wp:anchor behindDoc="0" distT="0" distB="0" distL="114300" distR="0" simplePos="0" locked="0" layoutInCell="1" allowOverlap="1" relativeHeight="321">
                      <wp:simplePos x="0" y="0"/>
                      <wp:positionH relativeFrom="column">
                        <wp:align>left</wp:align>
                      </wp:positionH>
                      <wp:positionV relativeFrom="line">
                        <wp:posOffset>635</wp:posOffset>
                      </wp:positionV>
                      <wp:extent cx="317500" cy="350520"/>
                      <wp:effectExtent l="0" t="0" r="0" b="0"/>
                      <wp:wrapSquare wrapText="right"/>
                      <wp:docPr id="325" name="Frame254"/>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AMAP">
                                    <w:r>
                                      <w:rPr>
                                        <w:rStyle w:val="InternetLink"/>
                                      </w:rPr>
                                      <w:t>(aa)</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AMAP">
                              <w:r>
                                <w:rPr>
                                  <w:rStyle w:val="InternetLink"/>
                                </w:rPr>
                                <w:t>(aa)</w:t>
                                <w:br/>
                              </w:r>
                            </w:hyperlink>
                          </w:p>
                        </w:txbxContent>
                      </v:textbox>
                      <w10:wrap type="square" side="right"/>
                    </v:rect>
                  </w:pict>
                </mc:Fallback>
              </mc:AlternateContent>
            </w:r>
          </w:p>
          <w:p>
            <w:pPr>
              <w:pStyle w:val="TableContents"/>
              <w:bidi w:val="0"/>
              <w:spacing w:before="0" w:after="0"/>
              <w:ind w:left="0" w:right="0" w:hanging="0"/>
              <w:jc w:val="left"/>
              <w:rPr/>
            </w:pPr>
            <w:hyperlink w:anchor="tAMA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hyperlink w:anchor="tAMAP">
              <w:r>
                <w:rPr>
                  <w:rStyle w:val="InternetLink"/>
                </w:rPr>
                <w:t xml:space="preserve">A-3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86" w:type="dxa"/>
            <w:tcBorders/>
            <w:tcMar>
              <w:bottom w:w="0" w:type="dxa"/>
            </w:tcMar>
            <w:vAlign w:val="center"/>
          </w:tcPr>
          <w:p>
            <w:pPr>
              <w:pStyle w:val="TableContents"/>
              <w:bidi w:val="0"/>
              <w:spacing w:lineRule="atLeast" w:line="180" w:before="0" w:after="0"/>
              <w:ind w:left="680" w:right="0" w:hanging="0"/>
              <w:jc w:val="left"/>
              <w:rPr/>
            </w:pPr>
            <w:hyperlink w:anchor="tBMTA">
              <w:r>
                <w:rPr>
                  <w:rStyle w:val="InternetLink"/>
                </w:rPr>
                <w:t>“</w:t>
              </w:r>
              <w:r>
                <w:rPr>
                  <w:rStyle w:val="InternetLink"/>
                </w:rPr>
                <w:t xml:space="preserve">Plan” </w:t>
              </w:r>
            </w:hyperlink>
            <w:r>
              <mc:AlternateContent>
                <mc:Choice Requires="wps">
                  <w:drawing>
                    <wp:anchor behindDoc="0" distT="0" distB="0" distL="114300" distR="0" simplePos="0" locked="0" layoutInCell="1" allowOverlap="1" relativeHeight="322">
                      <wp:simplePos x="0" y="0"/>
                      <wp:positionH relativeFrom="column">
                        <wp:align>left</wp:align>
                      </wp:positionH>
                      <wp:positionV relativeFrom="line">
                        <wp:posOffset>635</wp:posOffset>
                      </wp:positionV>
                      <wp:extent cx="317500" cy="350520"/>
                      <wp:effectExtent l="0" t="0" r="0" b="0"/>
                      <wp:wrapSquare wrapText="right"/>
                      <wp:docPr id="326" name="Frame255"/>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BMTA">
                                    <w:r>
                                      <w:rPr>
                                        <w:rStyle w:val="InternetLink"/>
                                      </w:rPr>
                                      <w:t>(bb)</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BMTA">
                              <w:r>
                                <w:rPr>
                                  <w:rStyle w:val="InternetLink"/>
                                </w:rPr>
                                <w:t>(bb)</w:t>
                                <w:br/>
                              </w:r>
                            </w:hyperlink>
                          </w:p>
                        </w:txbxContent>
                      </v:textbox>
                      <w10:wrap type="square" side="right"/>
                    </v:rect>
                  </w:pict>
                </mc:Fallback>
              </mc:AlternateContent>
            </w:r>
          </w:p>
          <w:p>
            <w:pPr>
              <w:pStyle w:val="TableContents"/>
              <w:bidi w:val="0"/>
              <w:spacing w:before="0" w:after="0"/>
              <w:ind w:left="0" w:right="0" w:hanging="0"/>
              <w:jc w:val="left"/>
              <w:rPr/>
            </w:pPr>
            <w:hyperlink w:anchor="tBMT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BMTA">
              <w:r>
                <w:rPr>
                  <w:rStyle w:val="InternetLink"/>
                </w:rPr>
                <w:t xml:space="preserve">A-4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8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CPMT1">
              <w:r>
                <w:rPr>
                  <w:rStyle w:val="InternetLink"/>
                </w:rPr>
                <w:t>“</w:t>
              </w:r>
              <w:r>
                <w:rPr>
                  <w:rStyle w:val="InternetLink"/>
                </w:rPr>
                <w:t xml:space="preserve">Purchase Price” </w:t>
              </w:r>
            </w:hyperlink>
            <w:r>
              <mc:AlternateContent>
                <mc:Choice Requires="wps">
                  <w:drawing>
                    <wp:anchor behindDoc="0" distT="0" distB="0" distL="114300" distR="0" simplePos="0" locked="0" layoutInCell="1" allowOverlap="1" relativeHeight="323">
                      <wp:simplePos x="0" y="0"/>
                      <wp:positionH relativeFrom="column">
                        <wp:align>left</wp:align>
                      </wp:positionH>
                      <wp:positionV relativeFrom="line">
                        <wp:posOffset>635</wp:posOffset>
                      </wp:positionV>
                      <wp:extent cx="317500" cy="350520"/>
                      <wp:effectExtent l="0" t="0" r="0" b="0"/>
                      <wp:wrapSquare wrapText="right"/>
                      <wp:docPr id="327" name="Frame256"/>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CPMT1">
                                    <w:r>
                                      <w:rPr>
                                        <w:rStyle w:val="InternetLink"/>
                                      </w:rPr>
                                      <w:t>(cc)</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CPMT1">
                              <w:r>
                                <w:rPr>
                                  <w:rStyle w:val="InternetLink"/>
                                </w:rPr>
                                <w:t>(cc)</w:t>
                                <w:br/>
                              </w:r>
                            </w:hyperlink>
                          </w:p>
                        </w:txbxContent>
                      </v:textbox>
                      <w10:wrap type="square" side="right"/>
                    </v:rect>
                  </w:pict>
                </mc:Fallback>
              </mc:AlternateContent>
            </w:r>
          </w:p>
          <w:p>
            <w:pPr>
              <w:pStyle w:val="TableContents"/>
              <w:bidi w:val="0"/>
              <w:spacing w:before="0" w:after="0"/>
              <w:ind w:left="0" w:right="0" w:hanging="0"/>
              <w:jc w:val="left"/>
              <w:rPr/>
            </w:pPr>
            <w:hyperlink w:anchor="tCPMT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hyperlink w:anchor="tCPMT1">
              <w:r>
                <w:rPr>
                  <w:rStyle w:val="InternetLink"/>
                </w:rPr>
                <w:t xml:space="preserve">A-4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86" w:type="dxa"/>
            <w:tcBorders/>
            <w:tcMar>
              <w:bottom w:w="0" w:type="dxa"/>
            </w:tcMar>
            <w:vAlign w:val="center"/>
          </w:tcPr>
          <w:p>
            <w:pPr>
              <w:pStyle w:val="TableContents"/>
              <w:bidi w:val="0"/>
              <w:spacing w:lineRule="atLeast" w:line="180" w:before="0" w:after="0"/>
              <w:ind w:left="680" w:right="0" w:hanging="0"/>
              <w:jc w:val="left"/>
              <w:rPr/>
            </w:pPr>
            <w:hyperlink w:anchor="tDDMT">
              <w:r>
                <w:rPr>
                  <w:rStyle w:val="InternetLink"/>
                </w:rPr>
                <w:t>“</w:t>
              </w:r>
              <w:r>
                <w:rPr>
                  <w:rStyle w:val="InternetLink"/>
                </w:rPr>
                <w:t xml:space="preserve">Restatement Date” </w:t>
              </w:r>
            </w:hyperlink>
            <w:r>
              <mc:AlternateContent>
                <mc:Choice Requires="wps">
                  <w:drawing>
                    <wp:anchor behindDoc="0" distT="0" distB="0" distL="114300" distR="0" simplePos="0" locked="0" layoutInCell="1" allowOverlap="1" relativeHeight="324">
                      <wp:simplePos x="0" y="0"/>
                      <wp:positionH relativeFrom="column">
                        <wp:align>left</wp:align>
                      </wp:positionH>
                      <wp:positionV relativeFrom="line">
                        <wp:posOffset>635</wp:posOffset>
                      </wp:positionV>
                      <wp:extent cx="317500" cy="350520"/>
                      <wp:effectExtent l="0" t="0" r="0" b="0"/>
                      <wp:wrapSquare wrapText="right"/>
                      <wp:docPr id="328" name="Frame257"/>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DDMT">
                                    <w:r>
                                      <w:rPr>
                                        <w:rStyle w:val="InternetLink"/>
                                      </w:rPr>
                                      <w:t>(dd)</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DDMT">
                              <w:r>
                                <w:rPr>
                                  <w:rStyle w:val="InternetLink"/>
                                </w:rPr>
                                <w:t>(dd)</w:t>
                                <w:br/>
                              </w:r>
                            </w:hyperlink>
                          </w:p>
                        </w:txbxContent>
                      </v:textbox>
                      <w10:wrap type="square" side="right"/>
                    </v:rect>
                  </w:pict>
                </mc:Fallback>
              </mc:AlternateContent>
            </w:r>
          </w:p>
          <w:p>
            <w:pPr>
              <w:pStyle w:val="TableContents"/>
              <w:bidi w:val="0"/>
              <w:spacing w:before="0" w:after="0"/>
              <w:ind w:left="0" w:right="0" w:hanging="0"/>
              <w:jc w:val="left"/>
              <w:rPr/>
            </w:pPr>
            <w:hyperlink w:anchor="tDDM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DDMT">
              <w:r>
                <w:rPr>
                  <w:rStyle w:val="InternetLink"/>
                </w:rPr>
                <w:t xml:space="preserve">A-4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8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ESMA">
              <w:r>
                <w:rPr>
                  <w:rStyle w:val="InternetLink"/>
                </w:rPr>
                <w:t>“</w:t>
              </w:r>
              <w:r>
                <w:rPr>
                  <w:rStyle w:val="InternetLink"/>
                </w:rPr>
                <w:t xml:space="preserve">Restricted Share” </w:t>
              </w:r>
            </w:hyperlink>
            <w:r>
              <mc:AlternateContent>
                <mc:Choice Requires="wps">
                  <w:drawing>
                    <wp:anchor behindDoc="0" distT="0" distB="0" distL="114300" distR="0" simplePos="0" locked="0" layoutInCell="1" allowOverlap="1" relativeHeight="325">
                      <wp:simplePos x="0" y="0"/>
                      <wp:positionH relativeFrom="column">
                        <wp:align>left</wp:align>
                      </wp:positionH>
                      <wp:positionV relativeFrom="line">
                        <wp:posOffset>635</wp:posOffset>
                      </wp:positionV>
                      <wp:extent cx="317500" cy="350520"/>
                      <wp:effectExtent l="0" t="0" r="0" b="0"/>
                      <wp:wrapSquare wrapText="right"/>
                      <wp:docPr id="329" name="Frame258"/>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ESMA">
                                    <w:r>
                                      <w:rPr>
                                        <w:rStyle w:val="InternetLink"/>
                                      </w:rPr>
                                      <w:t>(ee)</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ESMA">
                              <w:r>
                                <w:rPr>
                                  <w:rStyle w:val="InternetLink"/>
                                </w:rPr>
                                <w:t>(ee)</w:t>
                                <w:br/>
                              </w:r>
                            </w:hyperlink>
                          </w:p>
                        </w:txbxContent>
                      </v:textbox>
                      <w10:wrap type="square" side="right"/>
                    </v:rect>
                  </w:pict>
                </mc:Fallback>
              </mc:AlternateContent>
            </w:r>
          </w:p>
          <w:p>
            <w:pPr>
              <w:pStyle w:val="TableContents"/>
              <w:bidi w:val="0"/>
              <w:spacing w:before="0" w:after="0"/>
              <w:ind w:left="0" w:right="0" w:hanging="0"/>
              <w:jc w:val="left"/>
              <w:rPr/>
            </w:pPr>
            <w:hyperlink w:anchor="tESM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hyperlink w:anchor="tESMA">
              <w:r>
                <w:rPr>
                  <w:rStyle w:val="InternetLink"/>
                </w:rPr>
                <w:t xml:space="preserve">A-4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86" w:type="dxa"/>
            <w:tcBorders/>
            <w:tcMar>
              <w:bottom w:w="0" w:type="dxa"/>
            </w:tcMar>
            <w:vAlign w:val="center"/>
          </w:tcPr>
          <w:p>
            <w:pPr>
              <w:pStyle w:val="TableContents"/>
              <w:bidi w:val="0"/>
              <w:spacing w:lineRule="atLeast" w:line="180" w:before="0" w:after="0"/>
              <w:ind w:left="680" w:right="0" w:hanging="0"/>
              <w:jc w:val="left"/>
              <w:rPr/>
            </w:pPr>
            <w:hyperlink w:anchor="tFSUM">
              <w:r>
                <w:rPr>
                  <w:rStyle w:val="InternetLink"/>
                </w:rPr>
                <w:t>“</w:t>
              </w:r>
              <w:r>
                <w:rPr>
                  <w:rStyle w:val="InternetLink"/>
                </w:rPr>
                <w:t xml:space="preserve">Restricted Stock Unit” </w:t>
              </w:r>
            </w:hyperlink>
            <w:r>
              <mc:AlternateContent>
                <mc:Choice Requires="wps">
                  <w:drawing>
                    <wp:anchor behindDoc="0" distT="0" distB="0" distL="114300" distR="0" simplePos="0" locked="0" layoutInCell="1" allowOverlap="1" relativeHeight="326">
                      <wp:simplePos x="0" y="0"/>
                      <wp:positionH relativeFrom="column">
                        <wp:align>left</wp:align>
                      </wp:positionH>
                      <wp:positionV relativeFrom="line">
                        <wp:posOffset>635</wp:posOffset>
                      </wp:positionV>
                      <wp:extent cx="317500" cy="350520"/>
                      <wp:effectExtent l="0" t="0" r="0" b="0"/>
                      <wp:wrapSquare wrapText="right"/>
                      <wp:docPr id="330" name="Frame259"/>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FSUM">
                                    <w:r>
                                      <w:rPr>
                                        <w:rStyle w:val="InternetLink"/>
                                      </w:rPr>
                                      <w:t>(ff)</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FSUM">
                              <w:r>
                                <w:rPr>
                                  <w:rStyle w:val="InternetLink"/>
                                </w:rPr>
                                <w:t>(ff)</w:t>
                                <w:br/>
                              </w:r>
                            </w:hyperlink>
                          </w:p>
                        </w:txbxContent>
                      </v:textbox>
                      <w10:wrap type="square" side="right"/>
                    </v:rect>
                  </w:pict>
                </mc:Fallback>
              </mc:AlternateContent>
            </w:r>
          </w:p>
          <w:p>
            <w:pPr>
              <w:pStyle w:val="TableContents"/>
              <w:bidi w:val="0"/>
              <w:spacing w:before="0" w:after="0"/>
              <w:ind w:left="0" w:right="0" w:hanging="0"/>
              <w:jc w:val="left"/>
              <w:rPr/>
            </w:pPr>
            <w:hyperlink w:anchor="tFSU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FSUM">
              <w:r>
                <w:rPr>
                  <w:rStyle w:val="InternetLink"/>
                </w:rPr>
                <w:t xml:space="preserve">A-4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8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GMAS">
              <w:r>
                <w:rPr>
                  <w:rStyle w:val="InternetLink"/>
                </w:rPr>
                <w:t>“</w:t>
              </w:r>
              <w:r>
                <w:rPr>
                  <w:rStyle w:val="InternetLink"/>
                </w:rPr>
                <w:t xml:space="preserve">SAR” </w:t>
              </w:r>
            </w:hyperlink>
            <w:r>
              <mc:AlternateContent>
                <mc:Choice Requires="wps">
                  <w:drawing>
                    <wp:anchor behindDoc="0" distT="0" distB="0" distL="114300" distR="0" simplePos="0" locked="0" layoutInCell="1" allowOverlap="1" relativeHeight="327">
                      <wp:simplePos x="0" y="0"/>
                      <wp:positionH relativeFrom="column">
                        <wp:align>left</wp:align>
                      </wp:positionH>
                      <wp:positionV relativeFrom="line">
                        <wp:posOffset>635</wp:posOffset>
                      </wp:positionV>
                      <wp:extent cx="317500" cy="350520"/>
                      <wp:effectExtent l="0" t="0" r="0" b="0"/>
                      <wp:wrapSquare wrapText="right"/>
                      <wp:docPr id="331" name="Frame260"/>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GMAS">
                                    <w:r>
                                      <w:rPr>
                                        <w:rStyle w:val="InternetLink"/>
                                      </w:rPr>
                                      <w:t>(gg)</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GMAS">
                              <w:r>
                                <w:rPr>
                                  <w:rStyle w:val="InternetLink"/>
                                </w:rPr>
                                <w:t>(gg)</w:t>
                                <w:br/>
                              </w:r>
                            </w:hyperlink>
                          </w:p>
                        </w:txbxContent>
                      </v:textbox>
                      <w10:wrap type="square" side="right"/>
                    </v:rect>
                  </w:pict>
                </mc:Fallback>
              </mc:AlternateContent>
            </w:r>
          </w:p>
          <w:p>
            <w:pPr>
              <w:pStyle w:val="TableContents"/>
              <w:bidi w:val="0"/>
              <w:spacing w:before="0" w:after="0"/>
              <w:ind w:left="0" w:right="0" w:hanging="0"/>
              <w:jc w:val="left"/>
              <w:rPr/>
            </w:pPr>
            <w:hyperlink w:anchor="tGMA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hyperlink w:anchor="tGMAS">
              <w:r>
                <w:rPr>
                  <w:rStyle w:val="InternetLink"/>
                </w:rPr>
                <w:t xml:space="preserve">A-4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86" w:type="dxa"/>
            <w:tcBorders/>
            <w:tcMar>
              <w:bottom w:w="0" w:type="dxa"/>
            </w:tcMar>
            <w:vAlign w:val="center"/>
          </w:tcPr>
          <w:p>
            <w:pPr>
              <w:pStyle w:val="TableContents"/>
              <w:bidi w:val="0"/>
              <w:spacing w:lineRule="atLeast" w:line="180" w:before="0" w:after="0"/>
              <w:ind w:left="680" w:right="0" w:hanging="0"/>
              <w:jc w:val="left"/>
              <w:rPr/>
            </w:pPr>
            <w:hyperlink w:anchor="tH4MS">
              <w:r>
                <w:rPr>
                  <w:rStyle w:val="InternetLink"/>
                </w:rPr>
                <w:t>“</w:t>
              </w:r>
              <w:r>
                <w:rPr>
                  <w:rStyle w:val="InternetLink"/>
                </w:rPr>
                <w:t xml:space="preserve">Section 409A” </w:t>
              </w:r>
            </w:hyperlink>
            <w:r>
              <mc:AlternateContent>
                <mc:Choice Requires="wps">
                  <w:drawing>
                    <wp:anchor behindDoc="0" distT="0" distB="0" distL="114300" distR="0" simplePos="0" locked="0" layoutInCell="1" allowOverlap="1" relativeHeight="328">
                      <wp:simplePos x="0" y="0"/>
                      <wp:positionH relativeFrom="column">
                        <wp:align>left</wp:align>
                      </wp:positionH>
                      <wp:positionV relativeFrom="line">
                        <wp:posOffset>635</wp:posOffset>
                      </wp:positionV>
                      <wp:extent cx="317500" cy="350520"/>
                      <wp:effectExtent l="0" t="0" r="0" b="0"/>
                      <wp:wrapSquare wrapText="right"/>
                      <wp:docPr id="332" name="Frame261"/>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H4MS">
                                    <w:r>
                                      <w:rPr>
                                        <w:rStyle w:val="InternetLink"/>
                                      </w:rPr>
                                      <w:t>(hh)</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H4MS">
                              <w:r>
                                <w:rPr>
                                  <w:rStyle w:val="InternetLink"/>
                                </w:rPr>
                                <w:t>(hh)</w:t>
                                <w:br/>
                              </w:r>
                            </w:hyperlink>
                          </w:p>
                        </w:txbxContent>
                      </v:textbox>
                      <w10:wrap type="square" side="right"/>
                    </v:rect>
                  </w:pict>
                </mc:Fallback>
              </mc:AlternateContent>
            </w:r>
          </w:p>
          <w:p>
            <w:pPr>
              <w:pStyle w:val="TableContents"/>
              <w:bidi w:val="0"/>
              <w:spacing w:before="0" w:after="0"/>
              <w:ind w:left="0" w:right="0" w:hanging="0"/>
              <w:jc w:val="left"/>
              <w:rPr/>
            </w:pPr>
            <w:hyperlink w:anchor="tH4M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H4MS">
              <w:r>
                <w:rPr>
                  <w:rStyle w:val="InternetLink"/>
                </w:rPr>
                <w:t xml:space="preserve">A-4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8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IAMT">
              <w:r>
                <w:rPr>
                  <w:rStyle w:val="InternetLink"/>
                </w:rPr>
                <w:t>“</w:t>
              </w:r>
              <w:r>
                <w:rPr>
                  <w:rStyle w:val="InternetLink"/>
                </w:rPr>
                <w:t xml:space="preserve">Securities Act” </w:t>
              </w:r>
            </w:hyperlink>
            <w:r>
              <mc:AlternateContent>
                <mc:Choice Requires="wps">
                  <w:drawing>
                    <wp:anchor behindDoc="0" distT="0" distB="0" distL="114300" distR="0" simplePos="0" locked="0" layoutInCell="1" allowOverlap="1" relativeHeight="329">
                      <wp:simplePos x="0" y="0"/>
                      <wp:positionH relativeFrom="column">
                        <wp:align>left</wp:align>
                      </wp:positionH>
                      <wp:positionV relativeFrom="line">
                        <wp:posOffset>635</wp:posOffset>
                      </wp:positionV>
                      <wp:extent cx="317500" cy="350520"/>
                      <wp:effectExtent l="0" t="0" r="0" b="0"/>
                      <wp:wrapSquare wrapText="right"/>
                      <wp:docPr id="333" name="Frame262"/>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IAMT">
                                    <w:r>
                                      <w:rPr>
                                        <w:rStyle w:val="InternetLink"/>
                                      </w:rPr>
                                      <w:t>(ii)</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IAMT">
                              <w:r>
                                <w:rPr>
                                  <w:rStyle w:val="InternetLink"/>
                                </w:rPr>
                                <w:t>(ii)</w:t>
                                <w:br/>
                              </w:r>
                            </w:hyperlink>
                          </w:p>
                        </w:txbxContent>
                      </v:textbox>
                      <w10:wrap type="square" side="right"/>
                    </v:rect>
                  </w:pict>
                </mc:Fallback>
              </mc:AlternateContent>
            </w:r>
          </w:p>
          <w:p>
            <w:pPr>
              <w:pStyle w:val="TableContents"/>
              <w:bidi w:val="0"/>
              <w:spacing w:before="0" w:after="0"/>
              <w:ind w:left="0" w:right="0" w:hanging="0"/>
              <w:jc w:val="left"/>
              <w:rPr/>
            </w:pPr>
            <w:hyperlink w:anchor="tIAM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hyperlink w:anchor="tIAMT">
              <w:r>
                <w:rPr>
                  <w:rStyle w:val="InternetLink"/>
                </w:rPr>
                <w:t xml:space="preserve">A-4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86" w:type="dxa"/>
            <w:tcBorders/>
            <w:tcMar>
              <w:bottom w:w="0" w:type="dxa"/>
            </w:tcMar>
            <w:vAlign w:val="center"/>
          </w:tcPr>
          <w:p>
            <w:pPr>
              <w:pStyle w:val="TableContents"/>
              <w:bidi w:val="0"/>
              <w:spacing w:lineRule="atLeast" w:line="180" w:before="0" w:after="0"/>
              <w:ind w:left="680" w:right="0" w:hanging="0"/>
              <w:jc w:val="left"/>
              <w:rPr/>
            </w:pPr>
            <w:hyperlink w:anchor="tJMSA">
              <w:r>
                <w:rPr>
                  <w:rStyle w:val="InternetLink"/>
                </w:rPr>
                <w:t>“</w:t>
              </w:r>
              <w:r>
                <w:rPr>
                  <w:rStyle w:val="InternetLink"/>
                </w:rPr>
                <w:t xml:space="preserve">Service” </w:t>
              </w:r>
            </w:hyperlink>
            <w:r>
              <mc:AlternateContent>
                <mc:Choice Requires="wps">
                  <w:drawing>
                    <wp:anchor behindDoc="0" distT="0" distB="0" distL="114300" distR="0" simplePos="0" locked="0" layoutInCell="1" allowOverlap="1" relativeHeight="330">
                      <wp:simplePos x="0" y="0"/>
                      <wp:positionH relativeFrom="column">
                        <wp:align>left</wp:align>
                      </wp:positionH>
                      <wp:positionV relativeFrom="line">
                        <wp:posOffset>635</wp:posOffset>
                      </wp:positionV>
                      <wp:extent cx="317500" cy="350520"/>
                      <wp:effectExtent l="0" t="0" r="0" b="0"/>
                      <wp:wrapSquare wrapText="right"/>
                      <wp:docPr id="334" name="Frame263"/>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JMSA">
                                    <w:r>
                                      <w:rPr>
                                        <w:rStyle w:val="InternetLink"/>
                                      </w:rPr>
                                      <w:t>(jj)</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JMSA">
                              <w:r>
                                <w:rPr>
                                  <w:rStyle w:val="InternetLink"/>
                                </w:rPr>
                                <w:t>(jj)</w:t>
                                <w:br/>
                              </w:r>
                            </w:hyperlink>
                          </w:p>
                        </w:txbxContent>
                      </v:textbox>
                      <w10:wrap type="square" side="right"/>
                    </v:rect>
                  </w:pict>
                </mc:Fallback>
              </mc:AlternateContent>
            </w:r>
          </w:p>
          <w:p>
            <w:pPr>
              <w:pStyle w:val="TableContents"/>
              <w:bidi w:val="0"/>
              <w:spacing w:before="0" w:after="0"/>
              <w:ind w:left="0" w:right="0" w:hanging="0"/>
              <w:jc w:val="left"/>
              <w:rPr/>
            </w:pPr>
            <w:hyperlink w:anchor="tJMS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JMSA">
              <w:r>
                <w:rPr>
                  <w:rStyle w:val="InternetLink"/>
                </w:rPr>
                <w:t xml:space="preserve">A-4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tbl>
      <w:tblPr>
        <w:tblW w:w="3123" w:type="dxa"/>
        <w:jc w:val="left"/>
        <w:tblInd w:w="720" w:type="dxa"/>
        <w:tblLayout w:type="fixed"/>
        <w:tblCellMar>
          <w:top w:w="0" w:type="dxa"/>
          <w:left w:w="0" w:type="dxa"/>
          <w:bottom w:w="0" w:type="dxa"/>
          <w:right w:w="0" w:type="dxa"/>
        </w:tblCellMar>
      </w:tblPr>
      <w:tblGrid>
        <w:gridCol w:w="124"/>
        <w:gridCol w:w="2206"/>
        <w:gridCol w:w="109"/>
        <w:gridCol w:w="109"/>
        <w:gridCol w:w="421"/>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21" w:type="dxa"/>
            <w:tcBorders/>
            <w:vAlign w:val="center"/>
          </w:tcPr>
          <w:p>
            <w:pPr>
              <w:pStyle w:val="TableContents"/>
              <w:bidi w:val="0"/>
              <w:spacing w:before="0" w:after="0"/>
              <w:jc w:val="right"/>
              <w:rPr>
                <w:b/>
              </w:rPr>
            </w:pPr>
            <w:r>
              <w:rPr>
                <w:b/>
              </w:rPr>
              <w:t>A-i</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OC4"/>
      <w:bookmarkEnd w:id="30"/>
      <w:r>
        <w:rPr>
          <w:rFonts w:ascii="calibri;arial;sans-serif" w:hAnsi="calibri;arial;sans-serif"/>
          <w:b w:val="false"/>
          <w:i w:val="false"/>
          <w:caps w:val="false"/>
          <w:smallCaps w:val="false"/>
          <w:color w:val="000000"/>
          <w:sz w:val="16"/>
        </w:rPr>
        <w:t xml:space="preserve">​ </w:t>
      </w:r>
    </w:p>
    <w:tbl>
      <w:tblPr>
        <w:tblW w:w="9485" w:type="dxa"/>
        <w:jc w:val="left"/>
        <w:tblInd w:w="720" w:type="dxa"/>
        <w:tblLayout w:type="fixed"/>
        <w:tblCellMar>
          <w:top w:w="0" w:type="dxa"/>
          <w:left w:w="0" w:type="dxa"/>
          <w:bottom w:w="28" w:type="dxa"/>
          <w:right w:w="0" w:type="dxa"/>
        </w:tblCellMar>
      </w:tblPr>
      <w:tblGrid>
        <w:gridCol w:w="8257"/>
        <w:gridCol w:w="109"/>
        <w:gridCol w:w="109"/>
        <w:gridCol w:w="109"/>
        <w:gridCol w:w="109"/>
        <w:gridCol w:w="528"/>
        <w:gridCol w:w="109"/>
        <w:gridCol w:w="155"/>
      </w:tblGrid>
      <w:tr>
        <w:trPr/>
        <w:tc>
          <w:tcPr>
            <w:tcW w:w="8257"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855" w:type="dxa"/>
            <w:gridSpan w:val="4"/>
            <w:tcBorders>
              <w:bottom w:val="single" w:sz="12" w:space="0" w:color="000000"/>
            </w:tcBorders>
            <w:tcMar>
              <w:bottom w:w="80" w:type="dxa"/>
            </w:tcMar>
            <w:vAlign w:val="center"/>
          </w:tcPr>
          <w:p>
            <w:pPr>
              <w:pStyle w:val="TableContents"/>
              <w:bidi w:val="0"/>
              <w:spacing w:before="0" w:after="0"/>
              <w:jc w:val="center"/>
              <w:rPr/>
            </w:pPr>
            <w:r>
              <w:rPr/>
              <w:t xml:space="preserve">Page </w:t>
            </w:r>
          </w:p>
        </w:tc>
        <w:tc>
          <w:tcPr>
            <w:tcW w:w="155" w:type="dxa"/>
            <w:tcBorders>
              <w:bottom w:val="single" w:sz="12" w:space="0" w:color="FFFFFF"/>
            </w:tcBorders>
            <w:vAlign w:val="center"/>
          </w:tcPr>
          <w:p>
            <w:pPr>
              <w:pStyle w:val="TableContents"/>
              <w:bidi w:val="0"/>
              <w:spacing w:before="0" w:after="283"/>
              <w:jc w:val="left"/>
              <w:rPr/>
            </w:pPr>
            <w:r>
              <w:rPr/>
              <w:t>​</w:t>
            </w:r>
          </w:p>
        </w:tc>
      </w:tr>
      <w:tr>
        <w:trPr/>
        <w:tc>
          <w:tcPr>
            <w:tcW w:w="8257"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KMOS">
              <w:r>
                <w:rPr>
                  <w:rStyle w:val="InternetLink"/>
                </w:rPr>
                <w:t>“</w:t>
              </w:r>
              <w:r>
                <w:rPr>
                  <w:rStyle w:val="InternetLink"/>
                </w:rPr>
                <w:t xml:space="preserve">Share” </w:t>
              </w:r>
            </w:hyperlink>
            <w:r>
              <mc:AlternateContent>
                <mc:Choice Requires="wps">
                  <w:drawing>
                    <wp:anchor behindDoc="0" distT="0" distB="0" distL="114300" distR="0" simplePos="0" locked="0" layoutInCell="1" allowOverlap="1" relativeHeight="331">
                      <wp:simplePos x="0" y="0"/>
                      <wp:positionH relativeFrom="column">
                        <wp:align>left</wp:align>
                      </wp:positionH>
                      <wp:positionV relativeFrom="line">
                        <wp:posOffset>635</wp:posOffset>
                      </wp:positionV>
                      <wp:extent cx="317500" cy="350520"/>
                      <wp:effectExtent l="0" t="0" r="0" b="0"/>
                      <wp:wrapSquare wrapText="right"/>
                      <wp:docPr id="335" name="Frame264"/>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KMOS">
                                    <w:r>
                                      <w:rPr>
                                        <w:rStyle w:val="InternetLink"/>
                                      </w:rPr>
                                      <w:t>(kk)</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KMOS">
                              <w:r>
                                <w:rPr>
                                  <w:rStyle w:val="InternetLink"/>
                                </w:rPr>
                                <w:t>(kk)</w:t>
                                <w:br/>
                              </w:r>
                            </w:hyperlink>
                          </w:p>
                        </w:txbxContent>
                      </v:textbox>
                      <w10:wrap type="square" side="right"/>
                    </v:rect>
                  </w:pict>
                </mc:Fallback>
              </mc:AlternateContent>
            </w:r>
          </w:p>
          <w:p>
            <w:pPr>
              <w:pStyle w:val="TableContents"/>
              <w:bidi w:val="0"/>
              <w:spacing w:before="0" w:after="0"/>
              <w:ind w:left="0" w:right="0" w:hanging="0"/>
              <w:jc w:val="left"/>
              <w:rPr/>
            </w:pPr>
            <w:hyperlink w:anchor="tKMO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8" w:type="dxa"/>
            <w:tcBorders/>
            <w:shd w:fill="CCEEFF" w:val="clear"/>
            <w:tcMar>
              <w:bottom w:w="0" w:type="dxa"/>
            </w:tcMar>
            <w:vAlign w:val="center"/>
          </w:tcPr>
          <w:p>
            <w:pPr>
              <w:pStyle w:val="TableContents"/>
              <w:bidi w:val="0"/>
              <w:spacing w:before="0" w:after="283"/>
              <w:jc w:val="right"/>
              <w:rPr/>
            </w:pPr>
            <w:hyperlink w:anchor="tKMOS">
              <w:r>
                <w:rPr>
                  <w:rStyle w:val="InternetLink"/>
                </w:rPr>
                <w:t xml:space="preserve">A-4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257" w:type="dxa"/>
            <w:tcBorders/>
            <w:tcMar>
              <w:bottom w:w="0" w:type="dxa"/>
            </w:tcMar>
            <w:vAlign w:val="center"/>
          </w:tcPr>
          <w:p>
            <w:pPr>
              <w:pStyle w:val="TableContents"/>
              <w:bidi w:val="0"/>
              <w:spacing w:lineRule="atLeast" w:line="180" w:before="0" w:after="0"/>
              <w:ind w:left="680" w:right="0" w:hanging="0"/>
              <w:jc w:val="left"/>
              <w:rPr/>
            </w:pPr>
            <w:hyperlink w:anchor="tLMTC1">
              <w:r>
                <w:rPr>
                  <w:rStyle w:val="InternetLink"/>
                </w:rPr>
                <w:t>“</w:t>
              </w:r>
              <w:r>
                <w:rPr>
                  <w:rStyle w:val="InternetLink"/>
                </w:rPr>
                <w:t xml:space="preserve">Stock” </w:t>
              </w:r>
            </w:hyperlink>
            <w:r>
              <mc:AlternateContent>
                <mc:Choice Requires="wps">
                  <w:drawing>
                    <wp:anchor behindDoc="0" distT="0" distB="0" distL="114300" distR="0" simplePos="0" locked="0" layoutInCell="1" allowOverlap="1" relativeHeight="332">
                      <wp:simplePos x="0" y="0"/>
                      <wp:positionH relativeFrom="column">
                        <wp:align>left</wp:align>
                      </wp:positionH>
                      <wp:positionV relativeFrom="line">
                        <wp:posOffset>635</wp:posOffset>
                      </wp:positionV>
                      <wp:extent cx="317500" cy="350520"/>
                      <wp:effectExtent l="0" t="0" r="0" b="0"/>
                      <wp:wrapSquare wrapText="right"/>
                      <wp:docPr id="336" name="Frame265"/>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LMTC1">
                                    <w:r>
                                      <w:rPr>
                                        <w:rStyle w:val="InternetLink"/>
                                      </w:rPr>
                                      <w:t>(ll)</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LMTC1">
                              <w:r>
                                <w:rPr>
                                  <w:rStyle w:val="InternetLink"/>
                                </w:rPr>
                                <w:t>(ll)</w:t>
                                <w:br/>
                              </w:r>
                            </w:hyperlink>
                          </w:p>
                        </w:txbxContent>
                      </v:textbox>
                      <w10:wrap type="square" side="right"/>
                    </v:rect>
                  </w:pict>
                </mc:Fallback>
              </mc:AlternateContent>
            </w:r>
          </w:p>
          <w:p>
            <w:pPr>
              <w:pStyle w:val="TableContents"/>
              <w:bidi w:val="0"/>
              <w:spacing w:before="0" w:after="0"/>
              <w:ind w:left="0" w:right="0" w:hanging="0"/>
              <w:jc w:val="left"/>
              <w:rPr/>
            </w:pPr>
            <w:hyperlink w:anchor="tLMTC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8" w:type="dxa"/>
            <w:tcBorders/>
            <w:tcMar>
              <w:bottom w:w="0" w:type="dxa"/>
            </w:tcMar>
            <w:vAlign w:val="center"/>
          </w:tcPr>
          <w:p>
            <w:pPr>
              <w:pStyle w:val="TableContents"/>
              <w:bidi w:val="0"/>
              <w:spacing w:before="0" w:after="283"/>
              <w:jc w:val="right"/>
              <w:rPr/>
            </w:pPr>
            <w:hyperlink w:anchor="tLMTC1">
              <w:r>
                <w:rPr>
                  <w:rStyle w:val="InternetLink"/>
                </w:rPr>
                <w:t xml:space="preserve">A-4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257"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MPRM">
              <w:r>
                <w:rPr>
                  <w:rStyle w:val="InternetLink"/>
                </w:rPr>
                <w:t>“</w:t>
              </w:r>
              <w:r>
                <w:rPr>
                  <w:rStyle w:val="InternetLink"/>
                </w:rPr>
                <w:t xml:space="preserve">Stock Purchase Right” </w:t>
              </w:r>
            </w:hyperlink>
            <w:r>
              <mc:AlternateContent>
                <mc:Choice Requires="wps">
                  <w:drawing>
                    <wp:anchor behindDoc="0" distT="0" distB="0" distL="114300" distR="0" simplePos="0" locked="0" layoutInCell="1" allowOverlap="1" relativeHeight="333">
                      <wp:simplePos x="0" y="0"/>
                      <wp:positionH relativeFrom="column">
                        <wp:align>left</wp:align>
                      </wp:positionH>
                      <wp:positionV relativeFrom="line">
                        <wp:posOffset>635</wp:posOffset>
                      </wp:positionV>
                      <wp:extent cx="317500" cy="525780"/>
                      <wp:effectExtent l="0" t="0" r="0" b="0"/>
                      <wp:wrapSquare wrapText="right"/>
                      <wp:docPr id="337" name="Frame266"/>
                      <a:graphic xmlns:a="http://schemas.openxmlformats.org/drawingml/2006/main">
                        <a:graphicData uri="http://schemas.microsoft.com/office/word/2010/wordprocessingShape">
                          <wps:wsp>
                            <wps:cNvSpPr txBox="1"/>
                            <wps:spPr>
                              <a:xfrm>
                                <a:off x="0" y="0"/>
                                <a:ext cx="317500" cy="525780"/>
                              </a:xfrm>
                              <a:prstGeom prst="rect"/>
                              <a:solidFill>
                                <a:srgbClr val="FFFFFF"/>
                              </a:solidFill>
                            </wps:spPr>
                            <wps:txbx>
                              <w:txbxContent>
                                <w:p>
                                  <w:pPr>
                                    <w:pStyle w:val="TextBody"/>
                                    <w:bidi w:val="0"/>
                                    <w:spacing w:lineRule="atLeast" w:line="180" w:before="0" w:after="283"/>
                                    <w:jc w:val="left"/>
                                    <w:rPr/>
                                  </w:pPr>
                                  <w:hyperlink w:anchor="tMPRM">
                                    <w:r>
                                      <w:rPr>
                                        <w:rStyle w:val="InternetLink"/>
                                      </w:rPr>
                                      <w:t>(mm)</w:t>
                                      <w:br/>
                                    </w:r>
                                  </w:hyperlink>
                                </w:p>
                              </w:txbxContent>
                            </wps:txbx>
                            <wps:bodyPr anchor="t" lIns="0" tIns="0" rIns="0" bIns="0">
                              <a:noAutofit/>
                            </wps:bodyPr>
                          </wps:wsp>
                        </a:graphicData>
                      </a:graphic>
                    </wp:anchor>
                  </w:drawing>
                </mc:Choice>
                <mc:Fallback>
                  <w:pict>
                    <v:rect style="position:absolute;rotation:-0;width:25pt;height:41.4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MPRM">
                              <w:r>
                                <w:rPr>
                                  <w:rStyle w:val="InternetLink"/>
                                </w:rPr>
                                <w:t>(mm)</w:t>
                                <w:br/>
                              </w:r>
                            </w:hyperlink>
                          </w:p>
                        </w:txbxContent>
                      </v:textbox>
                      <w10:wrap type="square" side="right"/>
                    </v:rect>
                  </w:pict>
                </mc:Fallback>
              </mc:AlternateContent>
            </w:r>
          </w:p>
          <w:p>
            <w:pPr>
              <w:pStyle w:val="TableContents"/>
              <w:bidi w:val="0"/>
              <w:spacing w:before="0" w:after="0"/>
              <w:ind w:left="0" w:right="0" w:hanging="0"/>
              <w:jc w:val="left"/>
              <w:rPr/>
            </w:pPr>
            <w:hyperlink w:anchor="tMPR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8" w:type="dxa"/>
            <w:tcBorders/>
            <w:shd w:fill="CCEEFF" w:val="clear"/>
            <w:tcMar>
              <w:bottom w:w="0" w:type="dxa"/>
            </w:tcMar>
            <w:vAlign w:val="center"/>
          </w:tcPr>
          <w:p>
            <w:pPr>
              <w:pStyle w:val="TableContents"/>
              <w:bidi w:val="0"/>
              <w:spacing w:before="0" w:after="283"/>
              <w:jc w:val="right"/>
              <w:rPr/>
            </w:pPr>
            <w:hyperlink w:anchor="tMPRM">
              <w:r>
                <w:rPr>
                  <w:rStyle w:val="InternetLink"/>
                </w:rPr>
                <w:t xml:space="preserve">A-4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257" w:type="dxa"/>
            <w:tcBorders/>
            <w:tcMar>
              <w:bottom w:w="0" w:type="dxa"/>
            </w:tcMar>
            <w:vAlign w:val="center"/>
          </w:tcPr>
          <w:p>
            <w:pPr>
              <w:pStyle w:val="TableContents"/>
              <w:bidi w:val="0"/>
              <w:spacing w:lineRule="atLeast" w:line="180" w:before="0" w:after="0"/>
              <w:ind w:left="680" w:right="0" w:hanging="0"/>
              <w:jc w:val="left"/>
              <w:rPr/>
            </w:pPr>
            <w:hyperlink w:anchor="tNMAC">
              <w:r>
                <w:rPr>
                  <w:rStyle w:val="InternetLink"/>
                </w:rPr>
                <w:t>“</w:t>
              </w:r>
              <w:r>
                <w:rPr>
                  <w:rStyle w:val="InternetLink"/>
                </w:rPr>
                <w:t xml:space="preserve">Subsidiary” </w:t>
              </w:r>
            </w:hyperlink>
            <w:r>
              <mc:AlternateContent>
                <mc:Choice Requires="wps">
                  <w:drawing>
                    <wp:anchor behindDoc="0" distT="0" distB="0" distL="114300" distR="0" simplePos="0" locked="0" layoutInCell="1" allowOverlap="1" relativeHeight="334">
                      <wp:simplePos x="0" y="0"/>
                      <wp:positionH relativeFrom="column">
                        <wp:align>left</wp:align>
                      </wp:positionH>
                      <wp:positionV relativeFrom="line">
                        <wp:posOffset>635</wp:posOffset>
                      </wp:positionV>
                      <wp:extent cx="317500" cy="350520"/>
                      <wp:effectExtent l="0" t="0" r="0" b="0"/>
                      <wp:wrapSquare wrapText="right"/>
                      <wp:docPr id="338" name="Frame267"/>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NMAC">
                                    <w:r>
                                      <w:rPr>
                                        <w:rStyle w:val="InternetLink"/>
                                      </w:rPr>
                                      <w:t>(nn)</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NMAC">
                              <w:r>
                                <w:rPr>
                                  <w:rStyle w:val="InternetLink"/>
                                </w:rPr>
                                <w:t>(nn)</w:t>
                                <w:br/>
                              </w:r>
                            </w:hyperlink>
                          </w:p>
                        </w:txbxContent>
                      </v:textbox>
                      <w10:wrap type="square" side="right"/>
                    </v:rect>
                  </w:pict>
                </mc:Fallback>
              </mc:AlternateContent>
            </w:r>
          </w:p>
          <w:p>
            <w:pPr>
              <w:pStyle w:val="TableContents"/>
              <w:bidi w:val="0"/>
              <w:spacing w:before="0" w:after="0"/>
              <w:ind w:left="0" w:right="0" w:hanging="0"/>
              <w:jc w:val="left"/>
              <w:rPr/>
            </w:pPr>
            <w:hyperlink w:anchor="tNMA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8" w:type="dxa"/>
            <w:tcBorders/>
            <w:tcMar>
              <w:bottom w:w="0" w:type="dxa"/>
            </w:tcMar>
            <w:vAlign w:val="center"/>
          </w:tcPr>
          <w:p>
            <w:pPr>
              <w:pStyle w:val="TableContents"/>
              <w:bidi w:val="0"/>
              <w:spacing w:before="0" w:after="283"/>
              <w:jc w:val="right"/>
              <w:rPr/>
            </w:pPr>
            <w:hyperlink w:anchor="tNMAC">
              <w:r>
                <w:rPr>
                  <w:rStyle w:val="InternetLink"/>
                </w:rPr>
                <w:t xml:space="preserve">A-4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257" w:type="dxa"/>
            <w:tcBorders/>
            <w:shd w:fill="CCEEFF" w:val="clear"/>
            <w:tcMar>
              <w:bottom w:w="0" w:type="dxa"/>
            </w:tcMar>
            <w:vAlign w:val="center"/>
          </w:tcPr>
          <w:p>
            <w:pPr>
              <w:pStyle w:val="TableContents"/>
              <w:bidi w:val="0"/>
              <w:spacing w:before="0" w:after="0"/>
              <w:jc w:val="left"/>
              <w:rPr/>
            </w:pPr>
            <w:hyperlink w:anchor="tSE3A">
              <w:r>
                <w:rPr>
                  <w:rStyle w:val="InternetLink"/>
                </w:rPr>
                <w:t xml:space="preserve">SECTION 3.   ADMINISTRATION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8" w:type="dxa"/>
            <w:tcBorders/>
            <w:shd w:fill="CCEEFF" w:val="clear"/>
            <w:tcMar>
              <w:bottom w:w="0" w:type="dxa"/>
            </w:tcMar>
            <w:vAlign w:val="center"/>
          </w:tcPr>
          <w:p>
            <w:pPr>
              <w:pStyle w:val="TableContents"/>
              <w:bidi w:val="0"/>
              <w:spacing w:before="0" w:after="283"/>
              <w:jc w:val="right"/>
              <w:rPr/>
            </w:pPr>
            <w:hyperlink w:anchor="tSE3A">
              <w:r>
                <w:rPr>
                  <w:rStyle w:val="InternetLink"/>
                </w:rPr>
                <w:t>A-4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257" w:type="dxa"/>
            <w:tcBorders/>
            <w:tcMar>
              <w:bottom w:w="0" w:type="dxa"/>
            </w:tcMar>
            <w:vAlign w:val="center"/>
          </w:tcPr>
          <w:p>
            <w:pPr>
              <w:pStyle w:val="TableContents"/>
              <w:bidi w:val="0"/>
              <w:spacing w:lineRule="atLeast" w:line="180" w:before="0" w:after="0"/>
              <w:ind w:left="680" w:right="0" w:hanging="0"/>
              <w:jc w:val="left"/>
              <w:rPr/>
            </w:pPr>
            <w:hyperlink w:anchor="tACTP">
              <w:r>
                <w:rPr>
                  <w:rStyle w:val="InternetLink"/>
                </w:rPr>
                <w:t xml:space="preserve">Committee Composition </w:t>
              </w:r>
            </w:hyperlink>
            <w:r>
              <mc:AlternateContent>
                <mc:Choice Requires="wps">
                  <w:drawing>
                    <wp:anchor behindDoc="0" distT="0" distB="0" distL="114300" distR="0" simplePos="0" locked="0" layoutInCell="1" allowOverlap="1" relativeHeight="335">
                      <wp:simplePos x="0" y="0"/>
                      <wp:positionH relativeFrom="column">
                        <wp:align>left</wp:align>
                      </wp:positionH>
                      <wp:positionV relativeFrom="line">
                        <wp:posOffset>635</wp:posOffset>
                      </wp:positionV>
                      <wp:extent cx="317500" cy="350520"/>
                      <wp:effectExtent l="0" t="0" r="0" b="0"/>
                      <wp:wrapSquare wrapText="right"/>
                      <wp:docPr id="339" name="Frame268"/>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ACTP">
                                    <w:r>
                                      <w:rPr>
                                        <w:rStyle w:val="InternetLink"/>
                                      </w:rPr>
                                      <w:t>(a)</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ACTP">
                              <w:r>
                                <w:rPr>
                                  <w:rStyle w:val="InternetLink"/>
                                </w:rPr>
                                <w:t>(a)</w:t>
                                <w:br/>
                              </w:r>
                            </w:hyperlink>
                          </w:p>
                        </w:txbxContent>
                      </v:textbox>
                      <w10:wrap type="square" side="right"/>
                    </v:rect>
                  </w:pict>
                </mc:Fallback>
              </mc:AlternateContent>
            </w:r>
          </w:p>
          <w:p>
            <w:pPr>
              <w:pStyle w:val="TableContents"/>
              <w:bidi w:val="0"/>
              <w:spacing w:before="0" w:after="0"/>
              <w:ind w:left="0" w:right="0" w:hanging="0"/>
              <w:jc w:val="left"/>
              <w:rPr/>
            </w:pPr>
            <w:hyperlink w:anchor="tACT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8" w:type="dxa"/>
            <w:tcBorders/>
            <w:tcMar>
              <w:bottom w:w="0" w:type="dxa"/>
            </w:tcMar>
            <w:vAlign w:val="center"/>
          </w:tcPr>
          <w:p>
            <w:pPr>
              <w:pStyle w:val="TableContents"/>
              <w:bidi w:val="0"/>
              <w:spacing w:before="0" w:after="283"/>
              <w:jc w:val="right"/>
              <w:rPr/>
            </w:pPr>
            <w:hyperlink w:anchor="tACTP">
              <w:r>
                <w:rPr>
                  <w:rStyle w:val="InternetLink"/>
                </w:rPr>
                <w:t xml:space="preserve">A-4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257"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BATB">
              <w:r>
                <w:rPr>
                  <w:rStyle w:val="InternetLink"/>
                </w:rPr>
                <w:t xml:space="preserve">Committee Appointment </w:t>
              </w:r>
            </w:hyperlink>
            <w:r>
              <mc:AlternateContent>
                <mc:Choice Requires="wps">
                  <w:drawing>
                    <wp:anchor behindDoc="0" distT="0" distB="0" distL="114300" distR="0" simplePos="0" locked="0" layoutInCell="1" allowOverlap="1" relativeHeight="336">
                      <wp:simplePos x="0" y="0"/>
                      <wp:positionH relativeFrom="column">
                        <wp:align>left</wp:align>
                      </wp:positionH>
                      <wp:positionV relativeFrom="line">
                        <wp:posOffset>635</wp:posOffset>
                      </wp:positionV>
                      <wp:extent cx="317500" cy="350520"/>
                      <wp:effectExtent l="0" t="0" r="0" b="0"/>
                      <wp:wrapSquare wrapText="right"/>
                      <wp:docPr id="340" name="Frame269"/>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BATB">
                                    <w:r>
                                      <w:rPr>
                                        <w:rStyle w:val="InternetLink"/>
                                      </w:rPr>
                                      <w:t>(b)</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BATB">
                              <w:r>
                                <w:rPr>
                                  <w:rStyle w:val="InternetLink"/>
                                </w:rPr>
                                <w:t>(b)</w:t>
                                <w:br/>
                              </w:r>
                            </w:hyperlink>
                          </w:p>
                        </w:txbxContent>
                      </v:textbox>
                      <w10:wrap type="square" side="right"/>
                    </v:rect>
                  </w:pict>
                </mc:Fallback>
              </mc:AlternateContent>
            </w:r>
          </w:p>
          <w:p>
            <w:pPr>
              <w:pStyle w:val="TableContents"/>
              <w:bidi w:val="0"/>
              <w:spacing w:before="0" w:after="0"/>
              <w:ind w:left="0" w:right="0" w:hanging="0"/>
              <w:jc w:val="left"/>
              <w:rPr/>
            </w:pPr>
            <w:hyperlink w:anchor="tBATB">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8" w:type="dxa"/>
            <w:tcBorders/>
            <w:shd w:fill="CCEEFF" w:val="clear"/>
            <w:tcMar>
              <w:bottom w:w="0" w:type="dxa"/>
            </w:tcMar>
            <w:vAlign w:val="center"/>
          </w:tcPr>
          <w:p>
            <w:pPr>
              <w:pStyle w:val="TableContents"/>
              <w:bidi w:val="0"/>
              <w:spacing w:before="0" w:after="283"/>
              <w:jc w:val="right"/>
              <w:rPr/>
            </w:pPr>
            <w:hyperlink w:anchor="tBATB">
              <w:r>
                <w:rPr>
                  <w:rStyle w:val="InternetLink"/>
                </w:rPr>
                <w:t xml:space="preserve">A-4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257" w:type="dxa"/>
            <w:tcBorders/>
            <w:tcMar>
              <w:bottom w:w="0" w:type="dxa"/>
            </w:tcMar>
            <w:vAlign w:val="center"/>
          </w:tcPr>
          <w:p>
            <w:pPr>
              <w:pStyle w:val="TableContents"/>
              <w:bidi w:val="0"/>
              <w:spacing w:lineRule="atLeast" w:line="180" w:before="0" w:after="0"/>
              <w:ind w:left="680" w:right="0" w:hanging="0"/>
              <w:jc w:val="left"/>
              <w:rPr/>
            </w:pPr>
            <w:hyperlink w:anchor="tCRST">
              <w:r>
                <w:rPr>
                  <w:rStyle w:val="InternetLink"/>
                </w:rPr>
                <w:t xml:space="preserve">Committee Responsibilities </w:t>
              </w:r>
            </w:hyperlink>
            <w:r>
              <mc:AlternateContent>
                <mc:Choice Requires="wps">
                  <w:drawing>
                    <wp:anchor behindDoc="0" distT="0" distB="0" distL="114300" distR="0" simplePos="0" locked="0" layoutInCell="1" allowOverlap="1" relativeHeight="337">
                      <wp:simplePos x="0" y="0"/>
                      <wp:positionH relativeFrom="column">
                        <wp:align>left</wp:align>
                      </wp:positionH>
                      <wp:positionV relativeFrom="line">
                        <wp:posOffset>635</wp:posOffset>
                      </wp:positionV>
                      <wp:extent cx="317500" cy="350520"/>
                      <wp:effectExtent l="0" t="0" r="0" b="0"/>
                      <wp:wrapSquare wrapText="right"/>
                      <wp:docPr id="341" name="Frame270"/>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CRST">
                                    <w:r>
                                      <w:rPr>
                                        <w:rStyle w:val="InternetLink"/>
                                      </w:rPr>
                                      <w:t>(c)</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CRST">
                              <w:r>
                                <w:rPr>
                                  <w:rStyle w:val="InternetLink"/>
                                </w:rPr>
                                <w:t>(c)</w:t>
                                <w:br/>
                              </w:r>
                            </w:hyperlink>
                          </w:p>
                        </w:txbxContent>
                      </v:textbox>
                      <w10:wrap type="square" side="right"/>
                    </v:rect>
                  </w:pict>
                </mc:Fallback>
              </mc:AlternateContent>
            </w:r>
          </w:p>
          <w:p>
            <w:pPr>
              <w:pStyle w:val="TableContents"/>
              <w:bidi w:val="0"/>
              <w:spacing w:before="0" w:after="0"/>
              <w:ind w:left="0" w:right="0" w:hanging="0"/>
              <w:jc w:val="left"/>
              <w:rPr/>
            </w:pPr>
            <w:hyperlink w:anchor="tCRS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8" w:type="dxa"/>
            <w:tcBorders/>
            <w:tcMar>
              <w:bottom w:w="0" w:type="dxa"/>
            </w:tcMar>
            <w:vAlign w:val="center"/>
          </w:tcPr>
          <w:p>
            <w:pPr>
              <w:pStyle w:val="TableContents"/>
              <w:bidi w:val="0"/>
              <w:spacing w:before="0" w:after="283"/>
              <w:jc w:val="right"/>
              <w:rPr/>
            </w:pPr>
            <w:hyperlink w:anchor="tCRST">
              <w:r>
                <w:rPr>
                  <w:rStyle w:val="InternetLink"/>
                </w:rPr>
                <w:t xml:space="preserve">A-5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257" w:type="dxa"/>
            <w:tcBorders/>
            <w:shd w:fill="CCEEFF" w:val="clear"/>
            <w:tcMar>
              <w:bottom w:w="0" w:type="dxa"/>
            </w:tcMar>
            <w:vAlign w:val="center"/>
          </w:tcPr>
          <w:p>
            <w:pPr>
              <w:pStyle w:val="TableContents"/>
              <w:bidi w:val="0"/>
              <w:spacing w:before="0" w:after="0"/>
              <w:jc w:val="left"/>
              <w:rPr/>
            </w:pPr>
            <w:hyperlink w:anchor="tSE4E">
              <w:r>
                <w:rPr>
                  <w:rStyle w:val="InternetLink"/>
                </w:rPr>
                <w:t xml:space="preserve">SECTION 4.   ELIGIBILITY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8" w:type="dxa"/>
            <w:tcBorders/>
            <w:shd w:fill="CCEEFF" w:val="clear"/>
            <w:tcMar>
              <w:bottom w:w="0" w:type="dxa"/>
            </w:tcMar>
            <w:vAlign w:val="center"/>
          </w:tcPr>
          <w:p>
            <w:pPr>
              <w:pStyle w:val="TableContents"/>
              <w:bidi w:val="0"/>
              <w:spacing w:before="0" w:after="283"/>
              <w:jc w:val="right"/>
              <w:rPr/>
            </w:pPr>
            <w:hyperlink w:anchor="tSE4E">
              <w:r>
                <w:rPr>
                  <w:rStyle w:val="InternetLink"/>
                </w:rPr>
                <w:t>A-6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257" w:type="dxa"/>
            <w:tcBorders/>
            <w:tcMar>
              <w:bottom w:w="0" w:type="dxa"/>
            </w:tcMar>
            <w:vAlign w:val="center"/>
          </w:tcPr>
          <w:p>
            <w:pPr>
              <w:pStyle w:val="TableContents"/>
              <w:bidi w:val="0"/>
              <w:spacing w:lineRule="atLeast" w:line="180" w:before="0" w:after="0"/>
              <w:ind w:left="680" w:right="0" w:hanging="0"/>
              <w:jc w:val="left"/>
              <w:rPr/>
            </w:pPr>
            <w:hyperlink w:anchor="tAROE">
              <w:r>
                <w:rPr>
                  <w:rStyle w:val="InternetLink"/>
                </w:rPr>
                <w:t xml:space="preserve">General Rule </w:t>
              </w:r>
            </w:hyperlink>
            <w:r>
              <mc:AlternateContent>
                <mc:Choice Requires="wps">
                  <w:drawing>
                    <wp:anchor behindDoc="0" distT="0" distB="0" distL="114300" distR="0" simplePos="0" locked="0" layoutInCell="1" allowOverlap="1" relativeHeight="338">
                      <wp:simplePos x="0" y="0"/>
                      <wp:positionH relativeFrom="column">
                        <wp:align>left</wp:align>
                      </wp:positionH>
                      <wp:positionV relativeFrom="line">
                        <wp:posOffset>635</wp:posOffset>
                      </wp:positionV>
                      <wp:extent cx="317500" cy="350520"/>
                      <wp:effectExtent l="0" t="0" r="0" b="0"/>
                      <wp:wrapSquare wrapText="right"/>
                      <wp:docPr id="342" name="Frame271"/>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AROE">
                                    <w:r>
                                      <w:rPr>
                                        <w:rStyle w:val="InternetLink"/>
                                      </w:rPr>
                                      <w:t>(a)</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AROE">
                              <w:r>
                                <w:rPr>
                                  <w:rStyle w:val="InternetLink"/>
                                </w:rPr>
                                <w:t>(a)</w:t>
                                <w:br/>
                              </w:r>
                            </w:hyperlink>
                          </w:p>
                        </w:txbxContent>
                      </v:textbox>
                      <w10:wrap type="square" side="right"/>
                    </v:rect>
                  </w:pict>
                </mc:Fallback>
              </mc:AlternateContent>
            </w:r>
          </w:p>
          <w:p>
            <w:pPr>
              <w:pStyle w:val="TableContents"/>
              <w:bidi w:val="0"/>
              <w:spacing w:before="0" w:after="0"/>
              <w:ind w:left="0" w:right="0" w:hanging="0"/>
              <w:jc w:val="left"/>
              <w:rPr/>
            </w:pPr>
            <w:hyperlink w:anchor="tARO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8" w:type="dxa"/>
            <w:tcBorders/>
            <w:tcMar>
              <w:bottom w:w="0" w:type="dxa"/>
            </w:tcMar>
            <w:vAlign w:val="center"/>
          </w:tcPr>
          <w:p>
            <w:pPr>
              <w:pStyle w:val="TableContents"/>
              <w:bidi w:val="0"/>
              <w:spacing w:before="0" w:after="283"/>
              <w:jc w:val="right"/>
              <w:rPr/>
            </w:pPr>
            <w:hyperlink w:anchor="tAROE">
              <w:r>
                <w:rPr>
                  <w:rStyle w:val="InternetLink"/>
                </w:rPr>
                <w:t xml:space="preserve">A-6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257"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BSAE">
              <w:r>
                <w:rPr>
                  <w:rStyle w:val="InternetLink"/>
                </w:rPr>
                <w:t xml:space="preserve">Ten-Percent Stockholders </w:t>
              </w:r>
            </w:hyperlink>
            <w:r>
              <mc:AlternateContent>
                <mc:Choice Requires="wps">
                  <w:drawing>
                    <wp:anchor behindDoc="0" distT="0" distB="0" distL="114300" distR="0" simplePos="0" locked="0" layoutInCell="1" allowOverlap="1" relativeHeight="339">
                      <wp:simplePos x="0" y="0"/>
                      <wp:positionH relativeFrom="column">
                        <wp:align>left</wp:align>
                      </wp:positionH>
                      <wp:positionV relativeFrom="line">
                        <wp:posOffset>635</wp:posOffset>
                      </wp:positionV>
                      <wp:extent cx="317500" cy="350520"/>
                      <wp:effectExtent l="0" t="0" r="0" b="0"/>
                      <wp:wrapSquare wrapText="right"/>
                      <wp:docPr id="343" name="Frame272"/>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BSAE">
                                    <w:r>
                                      <w:rPr>
                                        <w:rStyle w:val="InternetLink"/>
                                      </w:rPr>
                                      <w:t>(b)</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BSAE">
                              <w:r>
                                <w:rPr>
                                  <w:rStyle w:val="InternetLink"/>
                                </w:rPr>
                                <w:t>(b)</w:t>
                                <w:br/>
                              </w:r>
                            </w:hyperlink>
                          </w:p>
                        </w:txbxContent>
                      </v:textbox>
                      <w10:wrap type="square" side="right"/>
                    </v:rect>
                  </w:pict>
                </mc:Fallback>
              </mc:AlternateContent>
            </w:r>
          </w:p>
          <w:p>
            <w:pPr>
              <w:pStyle w:val="TableContents"/>
              <w:bidi w:val="0"/>
              <w:spacing w:before="0" w:after="0"/>
              <w:ind w:left="0" w:right="0" w:hanging="0"/>
              <w:jc w:val="left"/>
              <w:rPr/>
            </w:pPr>
            <w:hyperlink w:anchor="tBSA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8" w:type="dxa"/>
            <w:tcBorders/>
            <w:shd w:fill="CCEEFF" w:val="clear"/>
            <w:tcMar>
              <w:bottom w:w="0" w:type="dxa"/>
            </w:tcMar>
            <w:vAlign w:val="center"/>
          </w:tcPr>
          <w:p>
            <w:pPr>
              <w:pStyle w:val="TableContents"/>
              <w:bidi w:val="0"/>
              <w:spacing w:before="0" w:after="283"/>
              <w:jc w:val="right"/>
              <w:rPr/>
            </w:pPr>
            <w:hyperlink w:anchor="tBSAE">
              <w:r>
                <w:rPr>
                  <w:rStyle w:val="InternetLink"/>
                </w:rPr>
                <w:t xml:space="preserve">A-6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257" w:type="dxa"/>
            <w:tcBorders/>
            <w:tcMar>
              <w:bottom w:w="0" w:type="dxa"/>
            </w:tcMar>
            <w:vAlign w:val="center"/>
          </w:tcPr>
          <w:p>
            <w:pPr>
              <w:pStyle w:val="TableContents"/>
              <w:bidi w:val="0"/>
              <w:spacing w:lineRule="atLeast" w:line="180" w:before="0" w:after="0"/>
              <w:ind w:left="680" w:right="0" w:hanging="0"/>
              <w:jc w:val="left"/>
              <w:rPr/>
            </w:pPr>
            <w:hyperlink w:anchor="tCRFP">
              <w:r>
                <w:rPr>
                  <w:rStyle w:val="InternetLink"/>
                </w:rPr>
                <w:t xml:space="preserve">Attribution Rules </w:t>
              </w:r>
            </w:hyperlink>
            <w:r>
              <mc:AlternateContent>
                <mc:Choice Requires="wps">
                  <w:drawing>
                    <wp:anchor behindDoc="0" distT="0" distB="0" distL="114300" distR="0" simplePos="0" locked="0" layoutInCell="1" allowOverlap="1" relativeHeight="340">
                      <wp:simplePos x="0" y="0"/>
                      <wp:positionH relativeFrom="column">
                        <wp:align>left</wp:align>
                      </wp:positionH>
                      <wp:positionV relativeFrom="line">
                        <wp:posOffset>635</wp:posOffset>
                      </wp:positionV>
                      <wp:extent cx="317500" cy="350520"/>
                      <wp:effectExtent l="0" t="0" r="0" b="0"/>
                      <wp:wrapSquare wrapText="right"/>
                      <wp:docPr id="344" name="Frame273"/>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CRFP">
                                    <w:r>
                                      <w:rPr>
                                        <w:rStyle w:val="InternetLink"/>
                                      </w:rPr>
                                      <w:t>(c)</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CRFP">
                              <w:r>
                                <w:rPr>
                                  <w:rStyle w:val="InternetLink"/>
                                </w:rPr>
                                <w:t>(c)</w:t>
                                <w:br/>
                              </w:r>
                            </w:hyperlink>
                          </w:p>
                        </w:txbxContent>
                      </v:textbox>
                      <w10:wrap type="square" side="right"/>
                    </v:rect>
                  </w:pict>
                </mc:Fallback>
              </mc:AlternateContent>
            </w:r>
          </w:p>
          <w:p>
            <w:pPr>
              <w:pStyle w:val="TableContents"/>
              <w:bidi w:val="0"/>
              <w:spacing w:before="0" w:after="0"/>
              <w:ind w:left="0" w:right="0" w:hanging="0"/>
              <w:jc w:val="left"/>
              <w:rPr/>
            </w:pPr>
            <w:hyperlink w:anchor="tCRF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8" w:type="dxa"/>
            <w:tcBorders/>
            <w:tcMar>
              <w:bottom w:w="0" w:type="dxa"/>
            </w:tcMar>
            <w:vAlign w:val="center"/>
          </w:tcPr>
          <w:p>
            <w:pPr>
              <w:pStyle w:val="TableContents"/>
              <w:bidi w:val="0"/>
              <w:spacing w:before="0" w:after="283"/>
              <w:jc w:val="right"/>
              <w:rPr/>
            </w:pPr>
            <w:hyperlink w:anchor="tCRFP">
              <w:r>
                <w:rPr>
                  <w:rStyle w:val="InternetLink"/>
                </w:rPr>
                <w:t xml:space="preserve">A-6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257"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DSFP">
              <w:r>
                <w:rPr>
                  <w:rStyle w:val="InternetLink"/>
                </w:rPr>
                <w:t xml:space="preserve">Outstanding Stock </w:t>
              </w:r>
            </w:hyperlink>
            <w:r>
              <mc:AlternateContent>
                <mc:Choice Requires="wps">
                  <w:drawing>
                    <wp:anchor behindDoc="0" distT="0" distB="0" distL="114300" distR="0" simplePos="0" locked="0" layoutInCell="1" allowOverlap="1" relativeHeight="341">
                      <wp:simplePos x="0" y="0"/>
                      <wp:positionH relativeFrom="column">
                        <wp:align>left</wp:align>
                      </wp:positionH>
                      <wp:positionV relativeFrom="line">
                        <wp:posOffset>635</wp:posOffset>
                      </wp:positionV>
                      <wp:extent cx="317500" cy="350520"/>
                      <wp:effectExtent l="0" t="0" r="0" b="0"/>
                      <wp:wrapSquare wrapText="right"/>
                      <wp:docPr id="345" name="Frame274"/>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DSFP">
                                    <w:r>
                                      <w:rPr>
                                        <w:rStyle w:val="InternetLink"/>
                                      </w:rPr>
                                      <w:t>(d)</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DSFP">
                              <w:r>
                                <w:rPr>
                                  <w:rStyle w:val="InternetLink"/>
                                </w:rPr>
                                <w:t>(d)</w:t>
                                <w:br/>
                              </w:r>
                            </w:hyperlink>
                          </w:p>
                        </w:txbxContent>
                      </v:textbox>
                      <w10:wrap type="square" side="right"/>
                    </v:rect>
                  </w:pict>
                </mc:Fallback>
              </mc:AlternateContent>
            </w:r>
          </w:p>
          <w:p>
            <w:pPr>
              <w:pStyle w:val="TableContents"/>
              <w:bidi w:val="0"/>
              <w:spacing w:before="0" w:after="0"/>
              <w:ind w:left="0" w:right="0" w:hanging="0"/>
              <w:jc w:val="left"/>
              <w:rPr/>
            </w:pPr>
            <w:hyperlink w:anchor="tDSF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8" w:type="dxa"/>
            <w:tcBorders/>
            <w:shd w:fill="CCEEFF" w:val="clear"/>
            <w:tcMar>
              <w:bottom w:w="0" w:type="dxa"/>
            </w:tcMar>
            <w:vAlign w:val="center"/>
          </w:tcPr>
          <w:p>
            <w:pPr>
              <w:pStyle w:val="TableContents"/>
              <w:bidi w:val="0"/>
              <w:spacing w:before="0" w:after="283"/>
              <w:jc w:val="right"/>
              <w:rPr/>
            </w:pPr>
            <w:hyperlink w:anchor="tDSFP">
              <w:r>
                <w:rPr>
                  <w:rStyle w:val="InternetLink"/>
                </w:rPr>
                <w:t xml:space="preserve">A-6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257" w:type="dxa"/>
            <w:tcBorders/>
            <w:tcMar>
              <w:bottom w:w="0" w:type="dxa"/>
            </w:tcMar>
            <w:vAlign w:val="center"/>
          </w:tcPr>
          <w:p>
            <w:pPr>
              <w:pStyle w:val="TableContents"/>
              <w:bidi w:val="0"/>
              <w:spacing w:before="0" w:after="0"/>
              <w:jc w:val="left"/>
              <w:rPr/>
            </w:pPr>
            <w:hyperlink w:anchor="tS5ST">
              <w:r>
                <w:rPr>
                  <w:rStyle w:val="InternetLink"/>
                </w:rPr>
                <w:t xml:space="preserve">SECTION 5.   STOCK SUBJECT TO PLAN; DIRECTOR COMPENSATION LIMIT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8" w:type="dxa"/>
            <w:tcBorders/>
            <w:tcMar>
              <w:bottom w:w="0" w:type="dxa"/>
            </w:tcMar>
            <w:vAlign w:val="center"/>
          </w:tcPr>
          <w:p>
            <w:pPr>
              <w:pStyle w:val="TableContents"/>
              <w:bidi w:val="0"/>
              <w:spacing w:before="0" w:after="283"/>
              <w:jc w:val="right"/>
              <w:rPr/>
            </w:pPr>
            <w:hyperlink w:anchor="tS5ST">
              <w:r>
                <w:rPr>
                  <w:rStyle w:val="InternetLink"/>
                </w:rPr>
                <w:t>A-6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257"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ALSO">
              <w:r>
                <w:rPr>
                  <w:rStyle w:val="InternetLink"/>
                </w:rPr>
                <w:t xml:space="preserve">Basic Limitation </w:t>
              </w:r>
            </w:hyperlink>
            <w:r>
              <mc:AlternateContent>
                <mc:Choice Requires="wps">
                  <w:drawing>
                    <wp:anchor behindDoc="0" distT="0" distB="0" distL="114300" distR="0" simplePos="0" locked="0" layoutInCell="1" allowOverlap="1" relativeHeight="342">
                      <wp:simplePos x="0" y="0"/>
                      <wp:positionH relativeFrom="column">
                        <wp:align>left</wp:align>
                      </wp:positionH>
                      <wp:positionV relativeFrom="line">
                        <wp:posOffset>635</wp:posOffset>
                      </wp:positionV>
                      <wp:extent cx="317500" cy="350520"/>
                      <wp:effectExtent l="0" t="0" r="0" b="0"/>
                      <wp:wrapSquare wrapText="right"/>
                      <wp:docPr id="346" name="Frame275"/>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ALSO">
                                    <w:r>
                                      <w:rPr>
                                        <w:rStyle w:val="InternetLink"/>
                                      </w:rPr>
                                      <w:t>(a)</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ALSO">
                              <w:r>
                                <w:rPr>
                                  <w:rStyle w:val="InternetLink"/>
                                </w:rPr>
                                <w:t>(a)</w:t>
                                <w:br/>
                              </w:r>
                            </w:hyperlink>
                          </w:p>
                        </w:txbxContent>
                      </v:textbox>
                      <w10:wrap type="square" side="right"/>
                    </v:rect>
                  </w:pict>
                </mc:Fallback>
              </mc:AlternateContent>
            </w:r>
          </w:p>
          <w:p>
            <w:pPr>
              <w:pStyle w:val="TableContents"/>
              <w:bidi w:val="0"/>
              <w:spacing w:before="0" w:after="0"/>
              <w:ind w:left="0" w:right="0" w:hanging="0"/>
              <w:jc w:val="left"/>
              <w:rPr/>
            </w:pPr>
            <w:hyperlink w:anchor="tALS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8" w:type="dxa"/>
            <w:tcBorders/>
            <w:shd w:fill="CCEEFF" w:val="clear"/>
            <w:tcMar>
              <w:bottom w:w="0" w:type="dxa"/>
            </w:tcMar>
            <w:vAlign w:val="center"/>
          </w:tcPr>
          <w:p>
            <w:pPr>
              <w:pStyle w:val="TableContents"/>
              <w:bidi w:val="0"/>
              <w:spacing w:before="0" w:after="283"/>
              <w:jc w:val="right"/>
              <w:rPr/>
            </w:pPr>
            <w:hyperlink w:anchor="tALSO">
              <w:r>
                <w:rPr>
                  <w:rStyle w:val="InternetLink"/>
                </w:rPr>
                <w:t xml:space="preserve">A-6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257" w:type="dxa"/>
            <w:tcBorders/>
            <w:tcMar>
              <w:bottom w:w="0" w:type="dxa"/>
            </w:tcMar>
            <w:vAlign w:val="center"/>
          </w:tcPr>
          <w:p>
            <w:pPr>
              <w:pStyle w:val="TableContents"/>
              <w:bidi w:val="0"/>
              <w:spacing w:lineRule="atLeast" w:line="180" w:before="0" w:after="0"/>
              <w:ind w:left="680" w:right="0" w:hanging="0"/>
              <w:jc w:val="left"/>
              <w:rPr/>
            </w:pPr>
            <w:hyperlink w:anchor="tBSIR">
              <w:r>
                <w:rPr>
                  <w:rStyle w:val="InternetLink"/>
                </w:rPr>
                <w:t xml:space="preserve">Additional Shares </w:t>
              </w:r>
            </w:hyperlink>
            <w:r>
              <mc:AlternateContent>
                <mc:Choice Requires="wps">
                  <w:drawing>
                    <wp:anchor behindDoc="0" distT="0" distB="0" distL="114300" distR="0" simplePos="0" locked="0" layoutInCell="1" allowOverlap="1" relativeHeight="343">
                      <wp:simplePos x="0" y="0"/>
                      <wp:positionH relativeFrom="column">
                        <wp:align>left</wp:align>
                      </wp:positionH>
                      <wp:positionV relativeFrom="line">
                        <wp:posOffset>635</wp:posOffset>
                      </wp:positionV>
                      <wp:extent cx="317500" cy="350520"/>
                      <wp:effectExtent l="0" t="0" r="0" b="0"/>
                      <wp:wrapSquare wrapText="right"/>
                      <wp:docPr id="347" name="Frame276"/>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BSIR">
                                    <w:r>
                                      <w:rPr>
                                        <w:rStyle w:val="InternetLink"/>
                                      </w:rPr>
                                      <w:t>(b)</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BSIR">
                              <w:r>
                                <w:rPr>
                                  <w:rStyle w:val="InternetLink"/>
                                </w:rPr>
                                <w:t>(b)</w:t>
                                <w:br/>
                              </w:r>
                            </w:hyperlink>
                          </w:p>
                        </w:txbxContent>
                      </v:textbox>
                      <w10:wrap type="square" side="right"/>
                    </v:rect>
                  </w:pict>
                </mc:Fallback>
              </mc:AlternateContent>
            </w:r>
          </w:p>
          <w:p>
            <w:pPr>
              <w:pStyle w:val="TableContents"/>
              <w:bidi w:val="0"/>
              <w:spacing w:before="0" w:after="0"/>
              <w:ind w:left="0" w:right="0" w:hanging="0"/>
              <w:jc w:val="left"/>
              <w:rPr/>
            </w:pPr>
            <w:hyperlink w:anchor="tBSI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8" w:type="dxa"/>
            <w:tcBorders/>
            <w:tcMar>
              <w:bottom w:w="0" w:type="dxa"/>
            </w:tcMar>
            <w:vAlign w:val="center"/>
          </w:tcPr>
          <w:p>
            <w:pPr>
              <w:pStyle w:val="TableContents"/>
              <w:bidi w:val="0"/>
              <w:spacing w:before="0" w:after="283"/>
              <w:jc w:val="right"/>
              <w:rPr/>
            </w:pPr>
            <w:hyperlink w:anchor="tBSIR">
              <w:r>
                <w:rPr>
                  <w:rStyle w:val="InternetLink"/>
                </w:rPr>
                <w:t xml:space="preserve">A-6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257"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CAAO">
              <w:r>
                <w:rPr>
                  <w:rStyle w:val="InternetLink"/>
                </w:rPr>
                <w:t xml:space="preserve">Substitution and Assumption of Awards </w:t>
              </w:r>
            </w:hyperlink>
            <w:r>
              <mc:AlternateContent>
                <mc:Choice Requires="wps">
                  <w:drawing>
                    <wp:anchor behindDoc="0" distT="0" distB="0" distL="114300" distR="0" simplePos="0" locked="0" layoutInCell="1" allowOverlap="1" relativeHeight="344">
                      <wp:simplePos x="0" y="0"/>
                      <wp:positionH relativeFrom="column">
                        <wp:align>left</wp:align>
                      </wp:positionH>
                      <wp:positionV relativeFrom="line">
                        <wp:posOffset>635</wp:posOffset>
                      </wp:positionV>
                      <wp:extent cx="317500" cy="350520"/>
                      <wp:effectExtent l="0" t="0" r="0" b="0"/>
                      <wp:wrapSquare wrapText="right"/>
                      <wp:docPr id="348" name="Frame277"/>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CAAO">
                                    <w:r>
                                      <w:rPr>
                                        <w:rStyle w:val="InternetLink"/>
                                      </w:rPr>
                                      <w:t>(c)</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CAAO">
                              <w:r>
                                <w:rPr>
                                  <w:rStyle w:val="InternetLink"/>
                                </w:rPr>
                                <w:t>(c)</w:t>
                                <w:br/>
                              </w:r>
                            </w:hyperlink>
                          </w:p>
                        </w:txbxContent>
                      </v:textbox>
                      <w10:wrap type="square" side="right"/>
                    </v:rect>
                  </w:pict>
                </mc:Fallback>
              </mc:AlternateContent>
            </w:r>
          </w:p>
          <w:p>
            <w:pPr>
              <w:pStyle w:val="TableContents"/>
              <w:bidi w:val="0"/>
              <w:spacing w:before="0" w:after="0"/>
              <w:ind w:left="0" w:right="0" w:hanging="0"/>
              <w:jc w:val="left"/>
              <w:rPr/>
            </w:pPr>
            <w:hyperlink w:anchor="tCAA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8" w:type="dxa"/>
            <w:tcBorders/>
            <w:shd w:fill="CCEEFF" w:val="clear"/>
            <w:tcMar>
              <w:bottom w:w="0" w:type="dxa"/>
            </w:tcMar>
            <w:vAlign w:val="center"/>
          </w:tcPr>
          <w:p>
            <w:pPr>
              <w:pStyle w:val="TableContents"/>
              <w:bidi w:val="0"/>
              <w:spacing w:before="0" w:after="283"/>
              <w:jc w:val="right"/>
              <w:rPr/>
            </w:pPr>
            <w:hyperlink w:anchor="tCAAO">
              <w:r>
                <w:rPr>
                  <w:rStyle w:val="InternetLink"/>
                </w:rPr>
                <w:t xml:space="preserve">A-6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257" w:type="dxa"/>
            <w:tcBorders/>
            <w:tcMar>
              <w:bottom w:w="0" w:type="dxa"/>
            </w:tcMar>
            <w:vAlign w:val="center"/>
          </w:tcPr>
          <w:p>
            <w:pPr>
              <w:pStyle w:val="TableContents"/>
              <w:bidi w:val="0"/>
              <w:spacing w:lineRule="atLeast" w:line="180" w:before="0" w:after="0"/>
              <w:ind w:left="680" w:right="0" w:hanging="0"/>
              <w:jc w:val="left"/>
              <w:rPr/>
            </w:pPr>
            <w:hyperlink w:anchor="tDDCL">
              <w:r>
                <w:rPr>
                  <w:rStyle w:val="InternetLink"/>
                </w:rPr>
                <w:t xml:space="preserve">Outside Director Compensation Limit </w:t>
              </w:r>
            </w:hyperlink>
            <w:r>
              <mc:AlternateContent>
                <mc:Choice Requires="wps">
                  <w:drawing>
                    <wp:anchor behindDoc="0" distT="0" distB="0" distL="114300" distR="0" simplePos="0" locked="0" layoutInCell="1" allowOverlap="1" relativeHeight="345">
                      <wp:simplePos x="0" y="0"/>
                      <wp:positionH relativeFrom="column">
                        <wp:align>left</wp:align>
                      </wp:positionH>
                      <wp:positionV relativeFrom="line">
                        <wp:posOffset>635</wp:posOffset>
                      </wp:positionV>
                      <wp:extent cx="317500" cy="350520"/>
                      <wp:effectExtent l="0" t="0" r="0" b="0"/>
                      <wp:wrapSquare wrapText="right"/>
                      <wp:docPr id="349" name="Frame278"/>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DDCL">
                                    <w:r>
                                      <w:rPr>
                                        <w:rStyle w:val="InternetLink"/>
                                      </w:rPr>
                                      <w:t>(d)</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DDCL">
                              <w:r>
                                <w:rPr>
                                  <w:rStyle w:val="InternetLink"/>
                                </w:rPr>
                                <w:t>(d)</w:t>
                                <w:br/>
                              </w:r>
                            </w:hyperlink>
                          </w:p>
                        </w:txbxContent>
                      </v:textbox>
                      <w10:wrap type="square" side="right"/>
                    </v:rect>
                  </w:pict>
                </mc:Fallback>
              </mc:AlternateContent>
            </w:r>
          </w:p>
          <w:p>
            <w:pPr>
              <w:pStyle w:val="TableContents"/>
              <w:bidi w:val="0"/>
              <w:spacing w:before="0" w:after="0"/>
              <w:ind w:left="0" w:right="0" w:hanging="0"/>
              <w:jc w:val="left"/>
              <w:rPr/>
            </w:pPr>
            <w:hyperlink w:anchor="tDDC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8" w:type="dxa"/>
            <w:tcBorders/>
            <w:tcMar>
              <w:bottom w:w="0" w:type="dxa"/>
            </w:tcMar>
            <w:vAlign w:val="center"/>
          </w:tcPr>
          <w:p>
            <w:pPr>
              <w:pStyle w:val="TableContents"/>
              <w:bidi w:val="0"/>
              <w:spacing w:before="0" w:after="283"/>
              <w:jc w:val="right"/>
              <w:rPr/>
            </w:pPr>
            <w:hyperlink w:anchor="tDDCL">
              <w:r>
                <w:rPr>
                  <w:rStyle w:val="InternetLink"/>
                </w:rPr>
                <w:t xml:space="preserve">A-7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257"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ERNA">
              <w:r>
                <w:rPr>
                  <w:rStyle w:val="InternetLink"/>
                </w:rPr>
                <w:t xml:space="preserve">No Repricing </w:t>
              </w:r>
            </w:hyperlink>
            <w:r>
              <mc:AlternateContent>
                <mc:Choice Requires="wps">
                  <w:drawing>
                    <wp:anchor behindDoc="0" distT="0" distB="0" distL="114300" distR="0" simplePos="0" locked="0" layoutInCell="1" allowOverlap="1" relativeHeight="346">
                      <wp:simplePos x="0" y="0"/>
                      <wp:positionH relativeFrom="column">
                        <wp:align>left</wp:align>
                      </wp:positionH>
                      <wp:positionV relativeFrom="line">
                        <wp:posOffset>635</wp:posOffset>
                      </wp:positionV>
                      <wp:extent cx="317500" cy="350520"/>
                      <wp:effectExtent l="0" t="0" r="0" b="0"/>
                      <wp:wrapSquare wrapText="right"/>
                      <wp:docPr id="350" name="Frame279"/>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ERNA">
                                    <w:r>
                                      <w:rPr>
                                        <w:rStyle w:val="InternetLink"/>
                                      </w:rPr>
                                      <w:t>(e)</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ERNA">
                              <w:r>
                                <w:rPr>
                                  <w:rStyle w:val="InternetLink"/>
                                </w:rPr>
                                <w:t>(e)</w:t>
                                <w:br/>
                              </w:r>
                            </w:hyperlink>
                          </w:p>
                        </w:txbxContent>
                      </v:textbox>
                      <w10:wrap type="square" side="right"/>
                    </v:rect>
                  </w:pict>
                </mc:Fallback>
              </mc:AlternateContent>
            </w:r>
          </w:p>
          <w:p>
            <w:pPr>
              <w:pStyle w:val="TableContents"/>
              <w:bidi w:val="0"/>
              <w:spacing w:before="0" w:after="0"/>
              <w:ind w:left="0" w:right="0" w:hanging="0"/>
              <w:jc w:val="left"/>
              <w:rPr/>
            </w:pPr>
            <w:hyperlink w:anchor="tERN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8" w:type="dxa"/>
            <w:tcBorders/>
            <w:shd w:fill="CCEEFF" w:val="clear"/>
            <w:tcMar>
              <w:bottom w:w="0" w:type="dxa"/>
            </w:tcMar>
            <w:vAlign w:val="center"/>
          </w:tcPr>
          <w:p>
            <w:pPr>
              <w:pStyle w:val="TableContents"/>
              <w:bidi w:val="0"/>
              <w:spacing w:before="0" w:after="283"/>
              <w:jc w:val="right"/>
              <w:rPr/>
            </w:pPr>
            <w:hyperlink w:anchor="tERNA">
              <w:r>
                <w:rPr>
                  <w:rStyle w:val="InternetLink"/>
                </w:rPr>
                <w:t xml:space="preserve">A-7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257" w:type="dxa"/>
            <w:tcBorders/>
            <w:tcMar>
              <w:bottom w:w="0" w:type="dxa"/>
            </w:tcMar>
            <w:vAlign w:val="center"/>
          </w:tcPr>
          <w:p>
            <w:pPr>
              <w:pStyle w:val="TableContents"/>
              <w:bidi w:val="0"/>
              <w:spacing w:lineRule="atLeast" w:line="180" w:before="0" w:after="0"/>
              <w:ind w:left="680" w:right="0" w:hanging="0"/>
              <w:jc w:val="left"/>
              <w:rPr/>
            </w:pPr>
            <w:hyperlink w:anchor="tFODO">
              <w:r>
                <w:rPr>
                  <w:rStyle w:val="InternetLink"/>
                </w:rPr>
                <w:t xml:space="preserve">Prohibition on Dividends on Unvested Awards </w:t>
              </w:r>
            </w:hyperlink>
            <w:r>
              <mc:AlternateContent>
                <mc:Choice Requires="wps">
                  <w:drawing>
                    <wp:anchor behindDoc="0" distT="0" distB="0" distL="114300" distR="0" simplePos="0" locked="0" layoutInCell="1" allowOverlap="1" relativeHeight="347">
                      <wp:simplePos x="0" y="0"/>
                      <wp:positionH relativeFrom="column">
                        <wp:align>left</wp:align>
                      </wp:positionH>
                      <wp:positionV relativeFrom="line">
                        <wp:posOffset>635</wp:posOffset>
                      </wp:positionV>
                      <wp:extent cx="317500" cy="350520"/>
                      <wp:effectExtent l="0" t="0" r="0" b="0"/>
                      <wp:wrapSquare wrapText="right"/>
                      <wp:docPr id="351" name="Frame280"/>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FODO">
                                    <w:r>
                                      <w:rPr>
                                        <w:rStyle w:val="InternetLink"/>
                                      </w:rPr>
                                      <w:t>(f)</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FODO">
                              <w:r>
                                <w:rPr>
                                  <w:rStyle w:val="InternetLink"/>
                                </w:rPr>
                                <w:t>(f)</w:t>
                                <w:br/>
                              </w:r>
                            </w:hyperlink>
                          </w:p>
                        </w:txbxContent>
                      </v:textbox>
                      <w10:wrap type="square" side="right"/>
                    </v:rect>
                  </w:pict>
                </mc:Fallback>
              </mc:AlternateContent>
            </w:r>
          </w:p>
          <w:p>
            <w:pPr>
              <w:pStyle w:val="TableContents"/>
              <w:bidi w:val="0"/>
              <w:spacing w:before="0" w:after="0"/>
              <w:ind w:left="0" w:right="0" w:hanging="0"/>
              <w:jc w:val="left"/>
              <w:rPr/>
            </w:pPr>
            <w:hyperlink w:anchor="tFOD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8" w:type="dxa"/>
            <w:tcBorders/>
            <w:tcMar>
              <w:bottom w:w="0" w:type="dxa"/>
            </w:tcMar>
            <w:vAlign w:val="center"/>
          </w:tcPr>
          <w:p>
            <w:pPr>
              <w:pStyle w:val="TableContents"/>
              <w:bidi w:val="0"/>
              <w:spacing w:before="0" w:after="283"/>
              <w:jc w:val="right"/>
              <w:rPr/>
            </w:pPr>
            <w:hyperlink w:anchor="tFODO">
              <w:r>
                <w:rPr>
                  <w:rStyle w:val="InternetLink"/>
                </w:rPr>
                <w:t xml:space="preserve">A-7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257" w:type="dxa"/>
            <w:tcBorders/>
            <w:shd w:fill="CCEEFF" w:val="clear"/>
            <w:tcMar>
              <w:bottom w:w="0" w:type="dxa"/>
            </w:tcMar>
            <w:vAlign w:val="center"/>
          </w:tcPr>
          <w:p>
            <w:pPr>
              <w:pStyle w:val="TableContents"/>
              <w:bidi w:val="0"/>
              <w:spacing w:before="0" w:after="0"/>
              <w:jc w:val="left"/>
              <w:rPr/>
            </w:pPr>
            <w:hyperlink w:anchor="tS6S">
              <w:r>
                <w:rPr>
                  <w:rStyle w:val="InternetLink"/>
                  <w:b/>
                </w:rPr>
                <w:t xml:space="preserve">SECTION 6.   RESTRICTED SHARES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8" w:type="dxa"/>
            <w:tcBorders/>
            <w:shd w:fill="CCEEFF" w:val="clear"/>
            <w:tcMar>
              <w:bottom w:w="0" w:type="dxa"/>
            </w:tcMar>
            <w:vAlign w:val="center"/>
          </w:tcPr>
          <w:p>
            <w:pPr>
              <w:pStyle w:val="TableContents"/>
              <w:bidi w:val="0"/>
              <w:spacing w:before="0" w:after="283"/>
              <w:jc w:val="right"/>
              <w:rPr/>
            </w:pPr>
            <w:hyperlink w:anchor="tS6S">
              <w:r>
                <w:rPr>
                  <w:rStyle w:val="InternetLink"/>
                </w:rPr>
                <w:t xml:space="preserve">A-7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257" w:type="dxa"/>
            <w:tcBorders/>
            <w:tcMar>
              <w:bottom w:w="0" w:type="dxa"/>
            </w:tcMar>
            <w:vAlign w:val="center"/>
          </w:tcPr>
          <w:p>
            <w:pPr>
              <w:pStyle w:val="TableContents"/>
              <w:bidi w:val="0"/>
              <w:spacing w:lineRule="atLeast" w:line="180" w:before="0" w:after="0"/>
              <w:ind w:left="680" w:right="0" w:hanging="0"/>
              <w:jc w:val="left"/>
              <w:rPr/>
            </w:pPr>
            <w:hyperlink w:anchor="tASAA">
              <w:r>
                <w:rPr>
                  <w:rStyle w:val="InternetLink"/>
                </w:rPr>
                <w:t xml:space="preserve">Restricted Share Award Agreement </w:t>
              </w:r>
            </w:hyperlink>
            <w:r>
              <mc:AlternateContent>
                <mc:Choice Requires="wps">
                  <w:drawing>
                    <wp:anchor behindDoc="0" distT="0" distB="0" distL="114300" distR="0" simplePos="0" locked="0" layoutInCell="1" allowOverlap="1" relativeHeight="348">
                      <wp:simplePos x="0" y="0"/>
                      <wp:positionH relativeFrom="column">
                        <wp:align>left</wp:align>
                      </wp:positionH>
                      <wp:positionV relativeFrom="line">
                        <wp:posOffset>635</wp:posOffset>
                      </wp:positionV>
                      <wp:extent cx="317500" cy="350520"/>
                      <wp:effectExtent l="0" t="0" r="0" b="0"/>
                      <wp:wrapSquare wrapText="right"/>
                      <wp:docPr id="352" name="Frame281"/>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ASAA">
                                    <w:r>
                                      <w:rPr>
                                        <w:rStyle w:val="InternetLink"/>
                                      </w:rPr>
                                      <w:t>(a)</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ASAA">
                              <w:r>
                                <w:rPr>
                                  <w:rStyle w:val="InternetLink"/>
                                </w:rPr>
                                <w:t>(a)</w:t>
                                <w:br/>
                              </w:r>
                            </w:hyperlink>
                          </w:p>
                        </w:txbxContent>
                      </v:textbox>
                      <w10:wrap type="square" side="right"/>
                    </v:rect>
                  </w:pict>
                </mc:Fallback>
              </mc:AlternateContent>
            </w:r>
          </w:p>
          <w:p>
            <w:pPr>
              <w:pStyle w:val="TableContents"/>
              <w:bidi w:val="0"/>
              <w:spacing w:before="0" w:after="0"/>
              <w:ind w:left="0" w:right="0" w:hanging="0"/>
              <w:jc w:val="left"/>
              <w:rPr/>
            </w:pPr>
            <w:hyperlink w:anchor="tASA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8" w:type="dxa"/>
            <w:tcBorders/>
            <w:tcMar>
              <w:bottom w:w="0" w:type="dxa"/>
            </w:tcMar>
            <w:vAlign w:val="center"/>
          </w:tcPr>
          <w:p>
            <w:pPr>
              <w:pStyle w:val="TableContents"/>
              <w:bidi w:val="0"/>
              <w:spacing w:before="0" w:after="283"/>
              <w:jc w:val="right"/>
              <w:rPr/>
            </w:pPr>
            <w:hyperlink w:anchor="tASAA">
              <w:r>
                <w:rPr>
                  <w:rStyle w:val="InternetLink"/>
                </w:rPr>
                <w:t xml:space="preserve">A-7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257"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BFAR">
              <w:r>
                <w:rPr>
                  <w:rStyle w:val="InternetLink"/>
                </w:rPr>
                <w:t xml:space="preserve">Payment for Awards </w:t>
              </w:r>
            </w:hyperlink>
            <w:r>
              <mc:AlternateContent>
                <mc:Choice Requires="wps">
                  <w:drawing>
                    <wp:anchor behindDoc="0" distT="0" distB="0" distL="114300" distR="0" simplePos="0" locked="0" layoutInCell="1" allowOverlap="1" relativeHeight="349">
                      <wp:simplePos x="0" y="0"/>
                      <wp:positionH relativeFrom="column">
                        <wp:align>left</wp:align>
                      </wp:positionH>
                      <wp:positionV relativeFrom="line">
                        <wp:posOffset>635</wp:posOffset>
                      </wp:positionV>
                      <wp:extent cx="317500" cy="350520"/>
                      <wp:effectExtent l="0" t="0" r="0" b="0"/>
                      <wp:wrapSquare wrapText="right"/>
                      <wp:docPr id="353" name="Frame282"/>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BFAR">
                                    <w:r>
                                      <w:rPr>
                                        <w:rStyle w:val="InternetLink"/>
                                      </w:rPr>
                                      <w:t>(b)</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BFAR">
                              <w:r>
                                <w:rPr>
                                  <w:rStyle w:val="InternetLink"/>
                                </w:rPr>
                                <w:t>(b)</w:t>
                                <w:br/>
                              </w:r>
                            </w:hyperlink>
                          </w:p>
                        </w:txbxContent>
                      </v:textbox>
                      <w10:wrap type="square" side="right"/>
                    </v:rect>
                  </w:pict>
                </mc:Fallback>
              </mc:AlternateContent>
            </w:r>
          </w:p>
          <w:p>
            <w:pPr>
              <w:pStyle w:val="TableContents"/>
              <w:bidi w:val="0"/>
              <w:spacing w:before="0" w:after="0"/>
              <w:ind w:left="0" w:right="0" w:hanging="0"/>
              <w:jc w:val="left"/>
              <w:rPr/>
            </w:pPr>
            <w:hyperlink w:anchor="tBFA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8" w:type="dxa"/>
            <w:tcBorders/>
            <w:shd w:fill="CCEEFF" w:val="clear"/>
            <w:tcMar>
              <w:bottom w:w="0" w:type="dxa"/>
            </w:tcMar>
            <w:vAlign w:val="center"/>
          </w:tcPr>
          <w:p>
            <w:pPr>
              <w:pStyle w:val="TableContents"/>
              <w:bidi w:val="0"/>
              <w:spacing w:before="0" w:after="283"/>
              <w:jc w:val="right"/>
              <w:rPr/>
            </w:pPr>
            <w:hyperlink w:anchor="tBFAR">
              <w:r>
                <w:rPr>
                  <w:rStyle w:val="InternetLink"/>
                </w:rPr>
                <w:t xml:space="preserve">A-7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257" w:type="dxa"/>
            <w:tcBorders/>
            <w:tcMar>
              <w:bottom w:w="0" w:type="dxa"/>
            </w:tcMar>
            <w:vAlign w:val="center"/>
          </w:tcPr>
          <w:p>
            <w:pPr>
              <w:pStyle w:val="TableContents"/>
              <w:bidi w:val="0"/>
              <w:spacing w:lineRule="atLeast" w:line="180" w:before="0" w:after="0"/>
              <w:ind w:left="680" w:right="0" w:hanging="0"/>
              <w:jc w:val="left"/>
              <w:rPr/>
            </w:pPr>
            <w:hyperlink w:anchor="tCEAO">
              <w:r>
                <w:rPr>
                  <w:rStyle w:val="InternetLink"/>
                </w:rPr>
                <w:t xml:space="preserve">Vesting </w:t>
              </w:r>
            </w:hyperlink>
            <w:r>
              <mc:AlternateContent>
                <mc:Choice Requires="wps">
                  <w:drawing>
                    <wp:anchor behindDoc="0" distT="0" distB="0" distL="114300" distR="0" simplePos="0" locked="0" layoutInCell="1" allowOverlap="1" relativeHeight="350">
                      <wp:simplePos x="0" y="0"/>
                      <wp:positionH relativeFrom="column">
                        <wp:align>left</wp:align>
                      </wp:positionH>
                      <wp:positionV relativeFrom="line">
                        <wp:posOffset>635</wp:posOffset>
                      </wp:positionV>
                      <wp:extent cx="317500" cy="350520"/>
                      <wp:effectExtent l="0" t="0" r="0" b="0"/>
                      <wp:wrapSquare wrapText="right"/>
                      <wp:docPr id="354" name="Frame283"/>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CEAO">
                                    <w:r>
                                      <w:rPr>
                                        <w:rStyle w:val="InternetLink"/>
                                      </w:rPr>
                                      <w:t>(c)</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CEAO">
                              <w:r>
                                <w:rPr>
                                  <w:rStyle w:val="InternetLink"/>
                                </w:rPr>
                                <w:t>(c)</w:t>
                                <w:br/>
                              </w:r>
                            </w:hyperlink>
                          </w:p>
                        </w:txbxContent>
                      </v:textbox>
                      <w10:wrap type="square" side="right"/>
                    </v:rect>
                  </w:pict>
                </mc:Fallback>
              </mc:AlternateContent>
            </w:r>
          </w:p>
          <w:p>
            <w:pPr>
              <w:pStyle w:val="TableContents"/>
              <w:bidi w:val="0"/>
              <w:spacing w:before="0" w:after="0"/>
              <w:ind w:left="0" w:right="0" w:hanging="0"/>
              <w:jc w:val="left"/>
              <w:rPr/>
            </w:pPr>
            <w:hyperlink w:anchor="tCEA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8" w:type="dxa"/>
            <w:tcBorders/>
            <w:tcMar>
              <w:bottom w:w="0" w:type="dxa"/>
            </w:tcMar>
            <w:vAlign w:val="center"/>
          </w:tcPr>
          <w:p>
            <w:pPr>
              <w:pStyle w:val="TableContents"/>
              <w:bidi w:val="0"/>
              <w:spacing w:before="0" w:after="283"/>
              <w:jc w:val="right"/>
              <w:rPr/>
            </w:pPr>
            <w:hyperlink w:anchor="tCEAO">
              <w:r>
                <w:rPr>
                  <w:rStyle w:val="InternetLink"/>
                </w:rPr>
                <w:t xml:space="preserve">A-7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257"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DADR">
              <w:r>
                <w:rPr>
                  <w:rStyle w:val="InternetLink"/>
                </w:rPr>
                <w:t xml:space="preserve">Voting and Dividend Rights </w:t>
              </w:r>
            </w:hyperlink>
            <w:r>
              <mc:AlternateContent>
                <mc:Choice Requires="wps">
                  <w:drawing>
                    <wp:anchor behindDoc="0" distT="0" distB="0" distL="114300" distR="0" simplePos="0" locked="0" layoutInCell="1" allowOverlap="1" relativeHeight="351">
                      <wp:simplePos x="0" y="0"/>
                      <wp:positionH relativeFrom="column">
                        <wp:align>left</wp:align>
                      </wp:positionH>
                      <wp:positionV relativeFrom="line">
                        <wp:posOffset>635</wp:posOffset>
                      </wp:positionV>
                      <wp:extent cx="317500" cy="350520"/>
                      <wp:effectExtent l="0" t="0" r="0" b="0"/>
                      <wp:wrapSquare wrapText="right"/>
                      <wp:docPr id="355" name="Frame284"/>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DADR">
                                    <w:r>
                                      <w:rPr>
                                        <w:rStyle w:val="InternetLink"/>
                                      </w:rPr>
                                      <w:t>(d)</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DADR">
                              <w:r>
                                <w:rPr>
                                  <w:rStyle w:val="InternetLink"/>
                                </w:rPr>
                                <w:t>(d)</w:t>
                                <w:br/>
                              </w:r>
                            </w:hyperlink>
                          </w:p>
                        </w:txbxContent>
                      </v:textbox>
                      <w10:wrap type="square" side="right"/>
                    </v:rect>
                  </w:pict>
                </mc:Fallback>
              </mc:AlternateContent>
            </w:r>
          </w:p>
          <w:p>
            <w:pPr>
              <w:pStyle w:val="TableContents"/>
              <w:bidi w:val="0"/>
              <w:spacing w:before="0" w:after="0"/>
              <w:ind w:left="0" w:right="0" w:hanging="0"/>
              <w:jc w:val="left"/>
              <w:rPr/>
            </w:pPr>
            <w:hyperlink w:anchor="tDAD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8" w:type="dxa"/>
            <w:tcBorders/>
            <w:shd w:fill="CCEEFF" w:val="clear"/>
            <w:tcMar>
              <w:bottom w:w="0" w:type="dxa"/>
            </w:tcMar>
            <w:vAlign w:val="center"/>
          </w:tcPr>
          <w:p>
            <w:pPr>
              <w:pStyle w:val="TableContents"/>
              <w:bidi w:val="0"/>
              <w:spacing w:before="0" w:after="283"/>
              <w:jc w:val="right"/>
              <w:rPr/>
            </w:pPr>
            <w:hyperlink w:anchor="tDADR">
              <w:r>
                <w:rPr>
                  <w:rStyle w:val="InternetLink"/>
                </w:rPr>
                <w:t xml:space="preserve">A-7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257" w:type="dxa"/>
            <w:tcBorders/>
            <w:tcMar>
              <w:bottom w:w="0" w:type="dxa"/>
            </w:tcMar>
            <w:vAlign w:val="center"/>
          </w:tcPr>
          <w:p>
            <w:pPr>
              <w:pStyle w:val="TableContents"/>
              <w:bidi w:val="0"/>
              <w:spacing w:lineRule="atLeast" w:line="180" w:before="0" w:after="0"/>
              <w:ind w:left="680" w:right="0" w:hanging="0"/>
              <w:jc w:val="left"/>
              <w:rPr/>
            </w:pPr>
            <w:hyperlink w:anchor="tEOTO">
              <w:r>
                <w:rPr>
                  <w:rStyle w:val="InternetLink"/>
                </w:rPr>
                <w:t xml:space="preserve">Restrictions on Transfer of Shares </w:t>
              </w:r>
            </w:hyperlink>
            <w:r>
              <mc:AlternateContent>
                <mc:Choice Requires="wps">
                  <w:drawing>
                    <wp:anchor behindDoc="0" distT="0" distB="0" distL="114300" distR="0" simplePos="0" locked="0" layoutInCell="1" allowOverlap="1" relativeHeight="352">
                      <wp:simplePos x="0" y="0"/>
                      <wp:positionH relativeFrom="column">
                        <wp:align>left</wp:align>
                      </wp:positionH>
                      <wp:positionV relativeFrom="line">
                        <wp:posOffset>635</wp:posOffset>
                      </wp:positionV>
                      <wp:extent cx="317500" cy="350520"/>
                      <wp:effectExtent l="0" t="0" r="0" b="0"/>
                      <wp:wrapSquare wrapText="right"/>
                      <wp:docPr id="356" name="Frame285"/>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EOTO">
                                    <w:r>
                                      <w:rPr>
                                        <w:rStyle w:val="InternetLink"/>
                                      </w:rPr>
                                      <w:t>(e)</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EOTO">
                              <w:r>
                                <w:rPr>
                                  <w:rStyle w:val="InternetLink"/>
                                </w:rPr>
                                <w:t>(e)</w:t>
                                <w:br/>
                              </w:r>
                            </w:hyperlink>
                          </w:p>
                        </w:txbxContent>
                      </v:textbox>
                      <w10:wrap type="square" side="right"/>
                    </v:rect>
                  </w:pict>
                </mc:Fallback>
              </mc:AlternateContent>
            </w:r>
          </w:p>
          <w:p>
            <w:pPr>
              <w:pStyle w:val="TableContents"/>
              <w:bidi w:val="0"/>
              <w:spacing w:before="0" w:after="0"/>
              <w:ind w:left="0" w:right="0" w:hanging="0"/>
              <w:jc w:val="left"/>
              <w:rPr/>
            </w:pPr>
            <w:hyperlink w:anchor="tEOT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8" w:type="dxa"/>
            <w:tcBorders/>
            <w:tcMar>
              <w:bottom w:w="0" w:type="dxa"/>
            </w:tcMar>
            <w:vAlign w:val="center"/>
          </w:tcPr>
          <w:p>
            <w:pPr>
              <w:pStyle w:val="TableContents"/>
              <w:bidi w:val="0"/>
              <w:spacing w:before="0" w:after="283"/>
              <w:jc w:val="right"/>
              <w:rPr/>
            </w:pPr>
            <w:hyperlink w:anchor="tEOTO">
              <w:r>
                <w:rPr>
                  <w:rStyle w:val="InternetLink"/>
                </w:rPr>
                <w:t xml:space="preserve">A-8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257" w:type="dxa"/>
            <w:tcBorders/>
            <w:shd w:fill="CCEEFF" w:val="clear"/>
            <w:tcMar>
              <w:bottom w:w="0" w:type="dxa"/>
            </w:tcMar>
            <w:vAlign w:val="center"/>
          </w:tcPr>
          <w:p>
            <w:pPr>
              <w:pStyle w:val="TableContents"/>
              <w:bidi w:val="0"/>
              <w:spacing w:before="0" w:after="0"/>
              <w:jc w:val="left"/>
              <w:rPr/>
            </w:pPr>
            <w:hyperlink w:anchor="tS7AC">
              <w:r>
                <w:rPr>
                  <w:rStyle w:val="InternetLink"/>
                </w:rPr>
                <w:t xml:space="preserve">SECTION 7.   TERMS AND CONDITIONS OF OPTIONS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8" w:type="dxa"/>
            <w:tcBorders/>
            <w:shd w:fill="CCEEFF" w:val="clear"/>
            <w:tcMar>
              <w:bottom w:w="0" w:type="dxa"/>
            </w:tcMar>
            <w:vAlign w:val="center"/>
          </w:tcPr>
          <w:p>
            <w:pPr>
              <w:pStyle w:val="TableContents"/>
              <w:bidi w:val="0"/>
              <w:spacing w:before="0" w:after="283"/>
              <w:jc w:val="right"/>
              <w:rPr/>
            </w:pPr>
            <w:hyperlink w:anchor="tS7AC">
              <w:r>
                <w:rPr>
                  <w:rStyle w:val="InternetLink"/>
                </w:rPr>
                <w:t>A-8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257" w:type="dxa"/>
            <w:tcBorders/>
            <w:tcMar>
              <w:bottom w:w="0" w:type="dxa"/>
            </w:tcMar>
            <w:vAlign w:val="center"/>
          </w:tcPr>
          <w:p>
            <w:pPr>
              <w:pStyle w:val="TableContents"/>
              <w:bidi w:val="0"/>
              <w:spacing w:lineRule="atLeast" w:line="180" w:before="0" w:after="0"/>
              <w:ind w:left="680" w:right="0" w:hanging="0"/>
              <w:jc w:val="left"/>
              <w:rPr/>
            </w:pPr>
            <w:hyperlink w:anchor="tAAAE">
              <w:r>
                <w:rPr>
                  <w:rStyle w:val="InternetLink"/>
                </w:rPr>
                <w:t xml:space="preserve">Option Award Agreement </w:t>
              </w:r>
            </w:hyperlink>
            <w:r>
              <mc:AlternateContent>
                <mc:Choice Requires="wps">
                  <w:drawing>
                    <wp:anchor behindDoc="0" distT="0" distB="0" distL="114300" distR="0" simplePos="0" locked="0" layoutInCell="1" allowOverlap="1" relativeHeight="353">
                      <wp:simplePos x="0" y="0"/>
                      <wp:positionH relativeFrom="column">
                        <wp:align>left</wp:align>
                      </wp:positionH>
                      <wp:positionV relativeFrom="line">
                        <wp:posOffset>635</wp:posOffset>
                      </wp:positionV>
                      <wp:extent cx="317500" cy="350520"/>
                      <wp:effectExtent l="0" t="0" r="0" b="0"/>
                      <wp:wrapSquare wrapText="right"/>
                      <wp:docPr id="357" name="Frame286"/>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AAAE">
                                    <w:r>
                                      <w:rPr>
                                        <w:rStyle w:val="InternetLink"/>
                                      </w:rPr>
                                      <w:t>(a)</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AAAE">
                              <w:r>
                                <w:rPr>
                                  <w:rStyle w:val="InternetLink"/>
                                </w:rPr>
                                <w:t>(a)</w:t>
                                <w:br/>
                              </w:r>
                            </w:hyperlink>
                          </w:p>
                        </w:txbxContent>
                      </v:textbox>
                      <w10:wrap type="square" side="right"/>
                    </v:rect>
                  </w:pict>
                </mc:Fallback>
              </mc:AlternateContent>
            </w:r>
          </w:p>
          <w:p>
            <w:pPr>
              <w:pStyle w:val="TableContents"/>
              <w:bidi w:val="0"/>
              <w:spacing w:before="0" w:after="0"/>
              <w:ind w:left="0" w:right="0" w:hanging="0"/>
              <w:jc w:val="left"/>
              <w:rPr/>
            </w:pPr>
            <w:hyperlink w:anchor="tAAA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8" w:type="dxa"/>
            <w:tcBorders/>
            <w:tcMar>
              <w:bottom w:w="0" w:type="dxa"/>
            </w:tcMar>
            <w:vAlign w:val="center"/>
          </w:tcPr>
          <w:p>
            <w:pPr>
              <w:pStyle w:val="TableContents"/>
              <w:bidi w:val="0"/>
              <w:spacing w:before="0" w:after="283"/>
              <w:jc w:val="right"/>
              <w:rPr/>
            </w:pPr>
            <w:hyperlink w:anchor="tAAAE">
              <w:r>
                <w:rPr>
                  <w:rStyle w:val="InternetLink"/>
                </w:rPr>
                <w:t xml:space="preserve">A-8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257"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BOSE">
              <w:r>
                <w:rPr>
                  <w:rStyle w:val="InternetLink"/>
                </w:rPr>
                <w:t xml:space="preserve">Number of Shares </w:t>
              </w:r>
            </w:hyperlink>
            <w:r>
              <mc:AlternateContent>
                <mc:Choice Requires="wps">
                  <w:drawing>
                    <wp:anchor behindDoc="0" distT="0" distB="0" distL="114300" distR="0" simplePos="0" locked="0" layoutInCell="1" allowOverlap="1" relativeHeight="354">
                      <wp:simplePos x="0" y="0"/>
                      <wp:positionH relativeFrom="column">
                        <wp:align>left</wp:align>
                      </wp:positionH>
                      <wp:positionV relativeFrom="line">
                        <wp:posOffset>635</wp:posOffset>
                      </wp:positionV>
                      <wp:extent cx="317500" cy="350520"/>
                      <wp:effectExtent l="0" t="0" r="0" b="0"/>
                      <wp:wrapSquare wrapText="right"/>
                      <wp:docPr id="358" name="Frame287"/>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BOSE">
                                    <w:r>
                                      <w:rPr>
                                        <w:rStyle w:val="InternetLink"/>
                                      </w:rPr>
                                      <w:t>(b)</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BOSE">
                              <w:r>
                                <w:rPr>
                                  <w:rStyle w:val="InternetLink"/>
                                </w:rPr>
                                <w:t>(b)</w:t>
                                <w:br/>
                              </w:r>
                            </w:hyperlink>
                          </w:p>
                        </w:txbxContent>
                      </v:textbox>
                      <w10:wrap type="square" side="right"/>
                    </v:rect>
                  </w:pict>
                </mc:Fallback>
              </mc:AlternateContent>
            </w:r>
          </w:p>
          <w:p>
            <w:pPr>
              <w:pStyle w:val="TableContents"/>
              <w:bidi w:val="0"/>
              <w:spacing w:before="0" w:after="0"/>
              <w:ind w:left="0" w:right="0" w:hanging="0"/>
              <w:jc w:val="left"/>
              <w:rPr/>
            </w:pPr>
            <w:hyperlink w:anchor="tBOS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8" w:type="dxa"/>
            <w:tcBorders/>
            <w:shd w:fill="CCEEFF" w:val="clear"/>
            <w:tcMar>
              <w:bottom w:w="0" w:type="dxa"/>
            </w:tcMar>
            <w:vAlign w:val="center"/>
          </w:tcPr>
          <w:p>
            <w:pPr>
              <w:pStyle w:val="TableContents"/>
              <w:bidi w:val="0"/>
              <w:spacing w:before="0" w:after="283"/>
              <w:jc w:val="right"/>
              <w:rPr/>
            </w:pPr>
            <w:hyperlink w:anchor="tBOSE">
              <w:r>
                <w:rPr>
                  <w:rStyle w:val="InternetLink"/>
                </w:rPr>
                <w:t xml:space="preserve">A-8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257" w:type="dxa"/>
            <w:tcBorders/>
            <w:tcMar>
              <w:bottom w:w="0" w:type="dxa"/>
            </w:tcMar>
            <w:vAlign w:val="center"/>
          </w:tcPr>
          <w:p>
            <w:pPr>
              <w:pStyle w:val="TableContents"/>
              <w:bidi w:val="0"/>
              <w:spacing w:lineRule="atLeast" w:line="180" w:before="0" w:after="0"/>
              <w:ind w:left="680" w:right="0" w:hanging="0"/>
              <w:jc w:val="left"/>
              <w:rPr/>
            </w:pPr>
            <w:hyperlink w:anchor="tCPEO">
              <w:r>
                <w:rPr>
                  <w:rStyle w:val="InternetLink"/>
                </w:rPr>
                <w:t xml:space="preserve">Exercise Price </w:t>
              </w:r>
            </w:hyperlink>
            <w:r>
              <mc:AlternateContent>
                <mc:Choice Requires="wps">
                  <w:drawing>
                    <wp:anchor behindDoc="0" distT="0" distB="0" distL="114300" distR="0" simplePos="0" locked="0" layoutInCell="1" allowOverlap="1" relativeHeight="355">
                      <wp:simplePos x="0" y="0"/>
                      <wp:positionH relativeFrom="column">
                        <wp:align>left</wp:align>
                      </wp:positionH>
                      <wp:positionV relativeFrom="line">
                        <wp:posOffset>635</wp:posOffset>
                      </wp:positionV>
                      <wp:extent cx="317500" cy="350520"/>
                      <wp:effectExtent l="0" t="0" r="0" b="0"/>
                      <wp:wrapSquare wrapText="right"/>
                      <wp:docPr id="359" name="Frame288"/>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CPEO">
                                    <w:r>
                                      <w:rPr>
                                        <w:rStyle w:val="InternetLink"/>
                                      </w:rPr>
                                      <w:t>(c)</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CPEO">
                              <w:r>
                                <w:rPr>
                                  <w:rStyle w:val="InternetLink"/>
                                </w:rPr>
                                <w:t>(c)</w:t>
                                <w:br/>
                              </w:r>
                            </w:hyperlink>
                          </w:p>
                        </w:txbxContent>
                      </v:textbox>
                      <w10:wrap type="square" side="right"/>
                    </v:rect>
                  </w:pict>
                </mc:Fallback>
              </mc:AlternateContent>
            </w:r>
          </w:p>
          <w:p>
            <w:pPr>
              <w:pStyle w:val="TableContents"/>
              <w:bidi w:val="0"/>
              <w:spacing w:before="0" w:after="0"/>
              <w:ind w:left="0" w:right="0" w:hanging="0"/>
              <w:jc w:val="left"/>
              <w:rPr/>
            </w:pPr>
            <w:hyperlink w:anchor="tCPE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8" w:type="dxa"/>
            <w:tcBorders/>
            <w:tcMar>
              <w:bottom w:w="0" w:type="dxa"/>
            </w:tcMar>
            <w:vAlign w:val="center"/>
          </w:tcPr>
          <w:p>
            <w:pPr>
              <w:pStyle w:val="TableContents"/>
              <w:bidi w:val="0"/>
              <w:spacing w:before="0" w:after="283"/>
              <w:jc w:val="right"/>
              <w:rPr/>
            </w:pPr>
            <w:hyperlink w:anchor="tCPEO">
              <w:r>
                <w:rPr>
                  <w:rStyle w:val="InternetLink"/>
                </w:rPr>
                <w:t xml:space="preserve">A-8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257"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DTAA">
              <w:r>
                <w:rPr>
                  <w:rStyle w:val="InternetLink"/>
                </w:rPr>
                <w:t xml:space="preserve">Withholding Taxes </w:t>
              </w:r>
            </w:hyperlink>
            <w:r>
              <mc:AlternateContent>
                <mc:Choice Requires="wps">
                  <w:drawing>
                    <wp:anchor behindDoc="0" distT="0" distB="0" distL="114300" distR="0" simplePos="0" locked="0" layoutInCell="1" allowOverlap="1" relativeHeight="356">
                      <wp:simplePos x="0" y="0"/>
                      <wp:positionH relativeFrom="column">
                        <wp:align>left</wp:align>
                      </wp:positionH>
                      <wp:positionV relativeFrom="line">
                        <wp:posOffset>635</wp:posOffset>
                      </wp:positionV>
                      <wp:extent cx="317500" cy="350520"/>
                      <wp:effectExtent l="0" t="0" r="0" b="0"/>
                      <wp:wrapSquare wrapText="right"/>
                      <wp:docPr id="360" name="Frame289"/>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DTAA">
                                    <w:r>
                                      <w:rPr>
                                        <w:rStyle w:val="InternetLink"/>
                                      </w:rPr>
                                      <w:t>(d)</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DTAA">
                              <w:r>
                                <w:rPr>
                                  <w:rStyle w:val="InternetLink"/>
                                </w:rPr>
                                <w:t>(d)</w:t>
                                <w:br/>
                              </w:r>
                            </w:hyperlink>
                          </w:p>
                        </w:txbxContent>
                      </v:textbox>
                      <w10:wrap type="square" side="right"/>
                    </v:rect>
                  </w:pict>
                </mc:Fallback>
              </mc:AlternateContent>
            </w:r>
          </w:p>
          <w:p>
            <w:pPr>
              <w:pStyle w:val="TableContents"/>
              <w:bidi w:val="0"/>
              <w:spacing w:before="0" w:after="0"/>
              <w:ind w:left="0" w:right="0" w:hanging="0"/>
              <w:jc w:val="left"/>
              <w:rPr/>
            </w:pPr>
            <w:hyperlink w:anchor="tDTA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8" w:type="dxa"/>
            <w:tcBorders/>
            <w:shd w:fill="CCEEFF" w:val="clear"/>
            <w:tcMar>
              <w:bottom w:w="0" w:type="dxa"/>
            </w:tcMar>
            <w:vAlign w:val="center"/>
          </w:tcPr>
          <w:p>
            <w:pPr>
              <w:pStyle w:val="TableContents"/>
              <w:bidi w:val="0"/>
              <w:spacing w:before="0" w:after="283"/>
              <w:jc w:val="right"/>
              <w:rPr/>
            </w:pPr>
            <w:hyperlink w:anchor="tDTAA">
              <w:r>
                <w:rPr>
                  <w:rStyle w:val="InternetLink"/>
                </w:rPr>
                <w:t xml:space="preserve">A-8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257" w:type="dxa"/>
            <w:tcBorders/>
            <w:tcMar>
              <w:bottom w:w="0" w:type="dxa"/>
            </w:tcMar>
            <w:vAlign w:val="center"/>
          </w:tcPr>
          <w:p>
            <w:pPr>
              <w:pStyle w:val="TableContents"/>
              <w:bidi w:val="0"/>
              <w:spacing w:lineRule="atLeast" w:line="180" w:before="0" w:after="0"/>
              <w:ind w:left="680" w:right="0" w:hanging="0"/>
              <w:jc w:val="left"/>
              <w:rPr/>
            </w:pPr>
            <w:hyperlink w:anchor="tEATE">
              <w:r>
                <w:rPr>
                  <w:rStyle w:val="InternetLink"/>
                </w:rPr>
                <w:t xml:space="preserve">Exercisability and Term </w:t>
              </w:r>
            </w:hyperlink>
            <w:r>
              <mc:AlternateContent>
                <mc:Choice Requires="wps">
                  <w:drawing>
                    <wp:anchor behindDoc="0" distT="0" distB="0" distL="114300" distR="0" simplePos="0" locked="0" layoutInCell="1" allowOverlap="1" relativeHeight="357">
                      <wp:simplePos x="0" y="0"/>
                      <wp:positionH relativeFrom="column">
                        <wp:align>left</wp:align>
                      </wp:positionH>
                      <wp:positionV relativeFrom="line">
                        <wp:posOffset>635</wp:posOffset>
                      </wp:positionV>
                      <wp:extent cx="317500" cy="350520"/>
                      <wp:effectExtent l="0" t="0" r="0" b="0"/>
                      <wp:wrapSquare wrapText="right"/>
                      <wp:docPr id="361" name="Frame290"/>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EATE">
                                    <w:r>
                                      <w:rPr>
                                        <w:rStyle w:val="InternetLink"/>
                                      </w:rPr>
                                      <w:t>(e)</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EATE">
                              <w:r>
                                <w:rPr>
                                  <w:rStyle w:val="InternetLink"/>
                                </w:rPr>
                                <w:t>(e)</w:t>
                                <w:br/>
                              </w:r>
                            </w:hyperlink>
                          </w:p>
                        </w:txbxContent>
                      </v:textbox>
                      <w10:wrap type="square" side="right"/>
                    </v:rect>
                  </w:pict>
                </mc:Fallback>
              </mc:AlternateContent>
            </w:r>
          </w:p>
          <w:p>
            <w:pPr>
              <w:pStyle w:val="TableContents"/>
              <w:bidi w:val="0"/>
              <w:spacing w:before="0" w:after="0"/>
              <w:ind w:left="0" w:right="0" w:hanging="0"/>
              <w:jc w:val="left"/>
              <w:rPr/>
            </w:pPr>
            <w:hyperlink w:anchor="tEAT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8" w:type="dxa"/>
            <w:tcBorders/>
            <w:tcMar>
              <w:bottom w:w="0" w:type="dxa"/>
            </w:tcMar>
            <w:vAlign w:val="center"/>
          </w:tcPr>
          <w:p>
            <w:pPr>
              <w:pStyle w:val="TableContents"/>
              <w:bidi w:val="0"/>
              <w:spacing w:before="0" w:after="283"/>
              <w:jc w:val="right"/>
              <w:rPr/>
            </w:pPr>
            <w:hyperlink w:anchor="tEATE">
              <w:r>
                <w:rPr>
                  <w:rStyle w:val="InternetLink"/>
                </w:rPr>
                <w:t xml:space="preserve">A-8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257"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FOOE">
              <w:r>
                <w:rPr>
                  <w:rStyle w:val="InternetLink"/>
                </w:rPr>
                <w:t xml:space="preserve">Exercise of Options </w:t>
              </w:r>
            </w:hyperlink>
            <w:r>
              <mc:AlternateContent>
                <mc:Choice Requires="wps">
                  <w:drawing>
                    <wp:anchor behindDoc="0" distT="0" distB="0" distL="114300" distR="0" simplePos="0" locked="0" layoutInCell="1" allowOverlap="1" relativeHeight="358">
                      <wp:simplePos x="0" y="0"/>
                      <wp:positionH relativeFrom="column">
                        <wp:align>left</wp:align>
                      </wp:positionH>
                      <wp:positionV relativeFrom="line">
                        <wp:posOffset>635</wp:posOffset>
                      </wp:positionV>
                      <wp:extent cx="317500" cy="350520"/>
                      <wp:effectExtent l="0" t="0" r="0" b="0"/>
                      <wp:wrapSquare wrapText="right"/>
                      <wp:docPr id="362" name="Frame291"/>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FOOE">
                                    <w:r>
                                      <w:rPr>
                                        <w:rStyle w:val="InternetLink"/>
                                      </w:rPr>
                                      <w:t>(f)</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FOOE">
                              <w:r>
                                <w:rPr>
                                  <w:rStyle w:val="InternetLink"/>
                                </w:rPr>
                                <w:t>(f)</w:t>
                                <w:br/>
                              </w:r>
                            </w:hyperlink>
                          </w:p>
                        </w:txbxContent>
                      </v:textbox>
                      <w10:wrap type="square" side="right"/>
                    </v:rect>
                  </w:pict>
                </mc:Fallback>
              </mc:AlternateContent>
            </w:r>
          </w:p>
          <w:p>
            <w:pPr>
              <w:pStyle w:val="TableContents"/>
              <w:bidi w:val="0"/>
              <w:spacing w:before="0" w:after="0"/>
              <w:ind w:left="0" w:right="0" w:hanging="0"/>
              <w:jc w:val="left"/>
              <w:rPr/>
            </w:pPr>
            <w:hyperlink w:anchor="tFOO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8" w:type="dxa"/>
            <w:tcBorders/>
            <w:shd w:fill="CCEEFF" w:val="clear"/>
            <w:tcMar>
              <w:bottom w:w="0" w:type="dxa"/>
            </w:tcMar>
            <w:vAlign w:val="center"/>
          </w:tcPr>
          <w:p>
            <w:pPr>
              <w:pStyle w:val="TableContents"/>
              <w:bidi w:val="0"/>
              <w:spacing w:before="0" w:after="283"/>
              <w:jc w:val="right"/>
              <w:rPr/>
            </w:pPr>
            <w:hyperlink w:anchor="tFOOE">
              <w:r>
                <w:rPr>
                  <w:rStyle w:val="InternetLink"/>
                </w:rPr>
                <w:t xml:space="preserve">A-8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257" w:type="dxa"/>
            <w:tcBorders/>
            <w:tcMar>
              <w:bottom w:w="0" w:type="dxa"/>
            </w:tcMar>
            <w:vAlign w:val="center"/>
          </w:tcPr>
          <w:p>
            <w:pPr>
              <w:pStyle w:val="TableContents"/>
              <w:bidi w:val="0"/>
              <w:spacing w:lineRule="atLeast" w:line="180" w:before="0" w:after="0"/>
              <w:ind w:left="680" w:right="0" w:hanging="0"/>
              <w:jc w:val="left"/>
              <w:rPr/>
            </w:pPr>
            <w:hyperlink w:anchor="tGRAA">
              <w:r>
                <w:rPr>
                  <w:rStyle w:val="InternetLink"/>
                </w:rPr>
                <w:t xml:space="preserve">No Rights as a Stockholder </w:t>
              </w:r>
            </w:hyperlink>
            <w:r>
              <mc:AlternateContent>
                <mc:Choice Requires="wps">
                  <w:drawing>
                    <wp:anchor behindDoc="0" distT="0" distB="0" distL="114300" distR="0" simplePos="0" locked="0" layoutInCell="1" allowOverlap="1" relativeHeight="359">
                      <wp:simplePos x="0" y="0"/>
                      <wp:positionH relativeFrom="column">
                        <wp:align>left</wp:align>
                      </wp:positionH>
                      <wp:positionV relativeFrom="line">
                        <wp:posOffset>635</wp:posOffset>
                      </wp:positionV>
                      <wp:extent cx="317500" cy="350520"/>
                      <wp:effectExtent l="0" t="0" r="0" b="0"/>
                      <wp:wrapSquare wrapText="right"/>
                      <wp:docPr id="363" name="Frame292"/>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GRAA">
                                    <w:r>
                                      <w:rPr>
                                        <w:rStyle w:val="InternetLink"/>
                                      </w:rPr>
                                      <w:t>(g)</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GRAA">
                              <w:r>
                                <w:rPr>
                                  <w:rStyle w:val="InternetLink"/>
                                </w:rPr>
                                <w:t>(g)</w:t>
                                <w:br/>
                              </w:r>
                            </w:hyperlink>
                          </w:p>
                        </w:txbxContent>
                      </v:textbox>
                      <w10:wrap type="square" side="right"/>
                    </v:rect>
                  </w:pict>
                </mc:Fallback>
              </mc:AlternateContent>
            </w:r>
          </w:p>
          <w:p>
            <w:pPr>
              <w:pStyle w:val="TableContents"/>
              <w:bidi w:val="0"/>
              <w:spacing w:before="0" w:after="0"/>
              <w:ind w:left="0" w:right="0" w:hanging="0"/>
              <w:jc w:val="left"/>
              <w:rPr/>
            </w:pPr>
            <w:hyperlink w:anchor="tGRA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8" w:type="dxa"/>
            <w:tcBorders/>
            <w:tcMar>
              <w:bottom w:w="0" w:type="dxa"/>
            </w:tcMar>
            <w:vAlign w:val="center"/>
          </w:tcPr>
          <w:p>
            <w:pPr>
              <w:pStyle w:val="TableContents"/>
              <w:bidi w:val="0"/>
              <w:spacing w:before="0" w:after="283"/>
              <w:jc w:val="right"/>
              <w:rPr/>
            </w:pPr>
            <w:hyperlink w:anchor="tGRAA">
              <w:r>
                <w:rPr>
                  <w:rStyle w:val="InternetLink"/>
                </w:rPr>
                <w:t xml:space="preserve">A-8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257"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HEAR">
              <w:r>
                <w:rPr>
                  <w:rStyle w:val="InternetLink"/>
                </w:rPr>
                <w:t xml:space="preserve">Modification, Extension and Renewal of Options </w:t>
              </w:r>
            </w:hyperlink>
            <w:r>
              <mc:AlternateContent>
                <mc:Choice Requires="wps">
                  <w:drawing>
                    <wp:anchor behindDoc="0" distT="0" distB="0" distL="114300" distR="0" simplePos="0" locked="0" layoutInCell="1" allowOverlap="1" relativeHeight="360">
                      <wp:simplePos x="0" y="0"/>
                      <wp:positionH relativeFrom="column">
                        <wp:align>left</wp:align>
                      </wp:positionH>
                      <wp:positionV relativeFrom="line">
                        <wp:posOffset>635</wp:posOffset>
                      </wp:positionV>
                      <wp:extent cx="317500" cy="350520"/>
                      <wp:effectExtent l="0" t="0" r="0" b="0"/>
                      <wp:wrapSquare wrapText="right"/>
                      <wp:docPr id="364" name="Frame293"/>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HEAR">
                                    <w:r>
                                      <w:rPr>
                                        <w:rStyle w:val="InternetLink"/>
                                      </w:rPr>
                                      <w:t>(h)</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HEAR">
                              <w:r>
                                <w:rPr>
                                  <w:rStyle w:val="InternetLink"/>
                                </w:rPr>
                                <w:t>(h)</w:t>
                                <w:br/>
                              </w:r>
                            </w:hyperlink>
                          </w:p>
                        </w:txbxContent>
                      </v:textbox>
                      <w10:wrap type="square" side="right"/>
                    </v:rect>
                  </w:pict>
                </mc:Fallback>
              </mc:AlternateContent>
            </w:r>
          </w:p>
          <w:p>
            <w:pPr>
              <w:pStyle w:val="TableContents"/>
              <w:bidi w:val="0"/>
              <w:spacing w:before="0" w:after="0"/>
              <w:ind w:left="0" w:right="0" w:hanging="0"/>
              <w:jc w:val="left"/>
              <w:rPr/>
            </w:pPr>
            <w:hyperlink w:anchor="tHEA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8" w:type="dxa"/>
            <w:tcBorders/>
            <w:shd w:fill="CCEEFF" w:val="clear"/>
            <w:tcMar>
              <w:bottom w:w="0" w:type="dxa"/>
            </w:tcMar>
            <w:vAlign w:val="center"/>
          </w:tcPr>
          <w:p>
            <w:pPr>
              <w:pStyle w:val="TableContents"/>
              <w:bidi w:val="0"/>
              <w:spacing w:before="0" w:after="283"/>
              <w:jc w:val="right"/>
              <w:rPr/>
            </w:pPr>
            <w:hyperlink w:anchor="tHEAR">
              <w:r>
                <w:rPr>
                  <w:rStyle w:val="InternetLink"/>
                </w:rPr>
                <w:t xml:space="preserve">A-8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257" w:type="dxa"/>
            <w:tcBorders/>
            <w:tcMar>
              <w:bottom w:w="0" w:type="dxa"/>
            </w:tcMar>
            <w:vAlign w:val="center"/>
          </w:tcPr>
          <w:p>
            <w:pPr>
              <w:pStyle w:val="TableContents"/>
              <w:bidi w:val="0"/>
              <w:spacing w:lineRule="atLeast" w:line="180" w:before="0" w:after="0"/>
              <w:ind w:left="680" w:right="0" w:hanging="0"/>
              <w:jc w:val="left"/>
              <w:rPr/>
            </w:pPr>
            <w:hyperlink w:anchor="tIOTO">
              <w:r>
                <w:rPr>
                  <w:rStyle w:val="InternetLink"/>
                </w:rPr>
                <w:t xml:space="preserve">Restrictions on Transfer of Shares </w:t>
              </w:r>
            </w:hyperlink>
            <w:r>
              <mc:AlternateContent>
                <mc:Choice Requires="wps">
                  <w:drawing>
                    <wp:anchor behindDoc="0" distT="0" distB="0" distL="114300" distR="0" simplePos="0" locked="0" layoutInCell="1" allowOverlap="1" relativeHeight="361">
                      <wp:simplePos x="0" y="0"/>
                      <wp:positionH relativeFrom="column">
                        <wp:align>left</wp:align>
                      </wp:positionH>
                      <wp:positionV relativeFrom="line">
                        <wp:posOffset>635</wp:posOffset>
                      </wp:positionV>
                      <wp:extent cx="317500" cy="350520"/>
                      <wp:effectExtent l="0" t="0" r="0" b="0"/>
                      <wp:wrapSquare wrapText="right"/>
                      <wp:docPr id="365" name="Frame294"/>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IOTO">
                                    <w:r>
                                      <w:rPr>
                                        <w:rStyle w:val="InternetLink"/>
                                      </w:rPr>
                                      <w:t>(i)</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IOTO">
                              <w:r>
                                <w:rPr>
                                  <w:rStyle w:val="InternetLink"/>
                                </w:rPr>
                                <w:t>(i)</w:t>
                                <w:br/>
                              </w:r>
                            </w:hyperlink>
                          </w:p>
                        </w:txbxContent>
                      </v:textbox>
                      <w10:wrap type="square" side="right"/>
                    </v:rect>
                  </w:pict>
                </mc:Fallback>
              </mc:AlternateContent>
            </w:r>
          </w:p>
          <w:p>
            <w:pPr>
              <w:pStyle w:val="TableContents"/>
              <w:bidi w:val="0"/>
              <w:spacing w:before="0" w:after="0"/>
              <w:ind w:left="0" w:right="0" w:hanging="0"/>
              <w:jc w:val="left"/>
              <w:rPr/>
            </w:pPr>
            <w:hyperlink w:anchor="tIOT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8" w:type="dxa"/>
            <w:tcBorders/>
            <w:tcMar>
              <w:bottom w:w="0" w:type="dxa"/>
            </w:tcMar>
            <w:vAlign w:val="center"/>
          </w:tcPr>
          <w:p>
            <w:pPr>
              <w:pStyle w:val="TableContents"/>
              <w:bidi w:val="0"/>
              <w:spacing w:before="0" w:after="283"/>
              <w:jc w:val="right"/>
              <w:rPr/>
            </w:pPr>
            <w:hyperlink w:anchor="tIOTO">
              <w:r>
                <w:rPr>
                  <w:rStyle w:val="InternetLink"/>
                </w:rPr>
                <w:t xml:space="preserve">A-9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257"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JPST">
              <w:r>
                <w:rPr>
                  <w:rStyle w:val="InternetLink"/>
                </w:rPr>
                <w:t xml:space="preserve">Buyout Provisions </w:t>
              </w:r>
            </w:hyperlink>
            <w:r>
              <mc:AlternateContent>
                <mc:Choice Requires="wps">
                  <w:drawing>
                    <wp:anchor behindDoc="0" distT="0" distB="0" distL="114300" distR="0" simplePos="0" locked="0" layoutInCell="1" allowOverlap="1" relativeHeight="362">
                      <wp:simplePos x="0" y="0"/>
                      <wp:positionH relativeFrom="column">
                        <wp:align>left</wp:align>
                      </wp:positionH>
                      <wp:positionV relativeFrom="line">
                        <wp:posOffset>635</wp:posOffset>
                      </wp:positionV>
                      <wp:extent cx="317500" cy="350520"/>
                      <wp:effectExtent l="0" t="0" r="0" b="0"/>
                      <wp:wrapSquare wrapText="right"/>
                      <wp:docPr id="366" name="Frame295"/>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JPST">
                                    <w:r>
                                      <w:rPr>
                                        <w:rStyle w:val="InternetLink"/>
                                      </w:rPr>
                                      <w:t>(j)</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JPST">
                              <w:r>
                                <w:rPr>
                                  <w:rStyle w:val="InternetLink"/>
                                </w:rPr>
                                <w:t>(j)</w:t>
                                <w:br/>
                              </w:r>
                            </w:hyperlink>
                          </w:p>
                        </w:txbxContent>
                      </v:textbox>
                      <w10:wrap type="square" side="right"/>
                    </v:rect>
                  </w:pict>
                </mc:Fallback>
              </mc:AlternateContent>
            </w:r>
          </w:p>
          <w:p>
            <w:pPr>
              <w:pStyle w:val="TableContents"/>
              <w:bidi w:val="0"/>
              <w:spacing w:before="0" w:after="0"/>
              <w:ind w:left="0" w:right="0" w:hanging="0"/>
              <w:jc w:val="left"/>
              <w:rPr/>
            </w:pPr>
            <w:hyperlink w:anchor="tJPS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8" w:type="dxa"/>
            <w:tcBorders/>
            <w:shd w:fill="CCEEFF" w:val="clear"/>
            <w:tcMar>
              <w:bottom w:w="0" w:type="dxa"/>
            </w:tcMar>
            <w:vAlign w:val="center"/>
          </w:tcPr>
          <w:p>
            <w:pPr>
              <w:pStyle w:val="TableContents"/>
              <w:bidi w:val="0"/>
              <w:spacing w:before="0" w:after="283"/>
              <w:jc w:val="right"/>
              <w:rPr/>
            </w:pPr>
            <w:hyperlink w:anchor="tJPST">
              <w:r>
                <w:rPr>
                  <w:rStyle w:val="InternetLink"/>
                </w:rPr>
                <w:t xml:space="preserve">A-9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257" w:type="dxa"/>
            <w:tcBorders/>
            <w:tcMar>
              <w:bottom w:w="0" w:type="dxa"/>
            </w:tcMar>
            <w:vAlign w:val="center"/>
          </w:tcPr>
          <w:p>
            <w:pPr>
              <w:pStyle w:val="TableContents"/>
              <w:bidi w:val="0"/>
              <w:spacing w:lineRule="atLeast" w:line="180" w:before="0" w:after="0"/>
              <w:ind w:left="680" w:right="0" w:hanging="0"/>
              <w:jc w:val="left"/>
              <w:rPr/>
            </w:pPr>
            <w:hyperlink w:anchor="tKDEO">
              <w:r>
                <w:rPr>
                  <w:rStyle w:val="InternetLink"/>
                </w:rPr>
                <w:t xml:space="preserve">No Dividend Equivalents on Options </w:t>
              </w:r>
            </w:hyperlink>
            <w:r>
              <mc:AlternateContent>
                <mc:Choice Requires="wps">
                  <w:drawing>
                    <wp:anchor behindDoc="0" distT="0" distB="0" distL="114300" distR="0" simplePos="0" locked="0" layoutInCell="1" allowOverlap="1" relativeHeight="363">
                      <wp:simplePos x="0" y="0"/>
                      <wp:positionH relativeFrom="column">
                        <wp:align>left</wp:align>
                      </wp:positionH>
                      <wp:positionV relativeFrom="line">
                        <wp:posOffset>635</wp:posOffset>
                      </wp:positionV>
                      <wp:extent cx="317500" cy="350520"/>
                      <wp:effectExtent l="0" t="0" r="0" b="0"/>
                      <wp:wrapSquare wrapText="right"/>
                      <wp:docPr id="367" name="Frame296"/>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KDEO">
                                    <w:r>
                                      <w:rPr>
                                        <w:rStyle w:val="InternetLink"/>
                                      </w:rPr>
                                      <w:t>(k)</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KDEO">
                              <w:r>
                                <w:rPr>
                                  <w:rStyle w:val="InternetLink"/>
                                </w:rPr>
                                <w:t>(k)</w:t>
                                <w:br/>
                              </w:r>
                            </w:hyperlink>
                          </w:p>
                        </w:txbxContent>
                      </v:textbox>
                      <w10:wrap type="square" side="right"/>
                    </v:rect>
                  </w:pict>
                </mc:Fallback>
              </mc:AlternateContent>
            </w:r>
          </w:p>
          <w:p>
            <w:pPr>
              <w:pStyle w:val="TableContents"/>
              <w:bidi w:val="0"/>
              <w:spacing w:before="0" w:after="0"/>
              <w:ind w:left="0" w:right="0" w:hanging="0"/>
              <w:jc w:val="left"/>
              <w:rPr/>
            </w:pPr>
            <w:hyperlink w:anchor="tKDE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8" w:type="dxa"/>
            <w:tcBorders/>
            <w:tcMar>
              <w:bottom w:w="0" w:type="dxa"/>
            </w:tcMar>
            <w:vAlign w:val="center"/>
          </w:tcPr>
          <w:p>
            <w:pPr>
              <w:pStyle w:val="TableContents"/>
              <w:bidi w:val="0"/>
              <w:spacing w:before="0" w:after="283"/>
              <w:jc w:val="right"/>
              <w:rPr/>
            </w:pPr>
            <w:hyperlink w:anchor="tKDEO">
              <w:r>
                <w:rPr>
                  <w:rStyle w:val="InternetLink"/>
                </w:rPr>
                <w:t xml:space="preserve">A-9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tbl>
      <w:tblPr>
        <w:tblW w:w="3183" w:type="dxa"/>
        <w:jc w:val="left"/>
        <w:tblInd w:w="720" w:type="dxa"/>
        <w:tblLayout w:type="fixed"/>
        <w:tblCellMar>
          <w:top w:w="0" w:type="dxa"/>
          <w:left w:w="0" w:type="dxa"/>
          <w:bottom w:w="0" w:type="dxa"/>
          <w:right w:w="0" w:type="dxa"/>
        </w:tblCellMar>
      </w:tblPr>
      <w:tblGrid>
        <w:gridCol w:w="124"/>
        <w:gridCol w:w="481"/>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481" w:type="dxa"/>
            <w:tcBorders/>
            <w:vAlign w:val="center"/>
          </w:tcPr>
          <w:p>
            <w:pPr>
              <w:pStyle w:val="TableContents"/>
              <w:bidi w:val="0"/>
              <w:spacing w:before="0" w:after="283"/>
              <w:jc w:val="left"/>
              <w:rPr/>
            </w:pPr>
            <w:r>
              <w:rPr/>
              <w:t>A-ii</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OC5"/>
      <w:bookmarkEnd w:id="31"/>
      <w:r>
        <w:rPr>
          <w:rFonts w:ascii="calibri;arial;sans-serif" w:hAnsi="calibri;arial;sans-serif"/>
          <w:b w:val="false"/>
          <w:i w:val="false"/>
          <w:caps w:val="false"/>
          <w:smallCaps w:val="false"/>
          <w:color w:val="000000"/>
          <w:sz w:val="16"/>
        </w:rPr>
        <w:t xml:space="preserve">​ </w:t>
      </w:r>
    </w:p>
    <w:tbl>
      <w:tblPr>
        <w:tblW w:w="7426" w:type="dxa"/>
        <w:jc w:val="left"/>
        <w:tblInd w:w="720" w:type="dxa"/>
        <w:tblLayout w:type="fixed"/>
        <w:tblCellMar>
          <w:top w:w="0" w:type="dxa"/>
          <w:left w:w="0" w:type="dxa"/>
          <w:bottom w:w="28" w:type="dxa"/>
          <w:right w:w="0" w:type="dxa"/>
        </w:tblCellMar>
      </w:tblPr>
      <w:tblGrid>
        <w:gridCol w:w="6066"/>
        <w:gridCol w:w="109"/>
        <w:gridCol w:w="109"/>
        <w:gridCol w:w="109"/>
        <w:gridCol w:w="109"/>
        <w:gridCol w:w="661"/>
        <w:gridCol w:w="109"/>
        <w:gridCol w:w="154"/>
      </w:tblGrid>
      <w:tr>
        <w:trPr/>
        <w:tc>
          <w:tcPr>
            <w:tcW w:w="6066"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988" w:type="dxa"/>
            <w:gridSpan w:val="4"/>
            <w:tcBorders>
              <w:bottom w:val="single" w:sz="12" w:space="0" w:color="000000"/>
            </w:tcBorders>
            <w:tcMar>
              <w:bottom w:w="80" w:type="dxa"/>
            </w:tcMar>
            <w:vAlign w:val="center"/>
          </w:tcPr>
          <w:p>
            <w:pPr>
              <w:pStyle w:val="TableContents"/>
              <w:bidi w:val="0"/>
              <w:spacing w:before="0" w:after="0"/>
              <w:jc w:val="center"/>
              <w:rPr/>
            </w:pPr>
            <w:r>
              <w:rPr/>
              <w:t xml:space="preserve">Page </w:t>
            </w:r>
          </w:p>
        </w:tc>
        <w:tc>
          <w:tcPr>
            <w:tcW w:w="154" w:type="dxa"/>
            <w:tcBorders>
              <w:bottom w:val="single" w:sz="12" w:space="0" w:color="FFFFFF"/>
            </w:tcBorders>
            <w:vAlign w:val="center"/>
          </w:tcPr>
          <w:p>
            <w:pPr>
              <w:pStyle w:val="TableContents"/>
              <w:bidi w:val="0"/>
              <w:spacing w:before="0" w:after="283"/>
              <w:jc w:val="left"/>
              <w:rPr/>
            </w:pPr>
            <w:r>
              <w:rPr/>
              <w:t>​</w:t>
            </w:r>
          </w:p>
        </w:tc>
      </w:tr>
      <w:tr>
        <w:trPr/>
        <w:tc>
          <w:tcPr>
            <w:tcW w:w="6066" w:type="dxa"/>
            <w:tcBorders/>
            <w:shd w:fill="CCEEFF" w:val="clear"/>
            <w:tcMar>
              <w:bottom w:w="0" w:type="dxa"/>
            </w:tcMar>
            <w:vAlign w:val="center"/>
          </w:tcPr>
          <w:p>
            <w:pPr>
              <w:pStyle w:val="TableContents"/>
              <w:bidi w:val="0"/>
              <w:spacing w:before="0" w:after="0"/>
              <w:jc w:val="left"/>
              <w:rPr/>
            </w:pPr>
            <w:hyperlink w:anchor="tS8FS">
              <w:r>
                <w:rPr>
                  <w:rStyle w:val="InternetLink"/>
                </w:rPr>
                <w:t xml:space="preserve">SECTION 8.   PAYMENT FOR SHARES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tS8FS">
              <w:r>
                <w:rPr>
                  <w:rStyle w:val="InternetLink"/>
                </w:rPr>
                <w:t>A-9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66" w:type="dxa"/>
            <w:tcBorders/>
            <w:tcMar>
              <w:bottom w:w="0" w:type="dxa"/>
            </w:tcMar>
            <w:vAlign w:val="center"/>
          </w:tcPr>
          <w:p>
            <w:pPr>
              <w:pStyle w:val="TableContents"/>
              <w:bidi w:val="0"/>
              <w:spacing w:lineRule="atLeast" w:line="180" w:before="0" w:after="0"/>
              <w:ind w:left="680" w:right="0" w:hanging="0"/>
              <w:jc w:val="left"/>
              <w:rPr/>
            </w:pPr>
            <w:hyperlink w:anchor="tARTE">
              <w:r>
                <w:rPr>
                  <w:rStyle w:val="InternetLink"/>
                </w:rPr>
                <w:t xml:space="preserve">General Rule </w:t>
              </w:r>
            </w:hyperlink>
            <w:r>
              <mc:AlternateContent>
                <mc:Choice Requires="wps">
                  <w:drawing>
                    <wp:anchor behindDoc="0" distT="0" distB="0" distL="114300" distR="0" simplePos="0" locked="0" layoutInCell="1" allowOverlap="1" relativeHeight="364">
                      <wp:simplePos x="0" y="0"/>
                      <wp:positionH relativeFrom="column">
                        <wp:align>left</wp:align>
                      </wp:positionH>
                      <wp:positionV relativeFrom="line">
                        <wp:posOffset>635</wp:posOffset>
                      </wp:positionV>
                      <wp:extent cx="317500" cy="350520"/>
                      <wp:effectExtent l="0" t="0" r="0" b="0"/>
                      <wp:wrapSquare wrapText="right"/>
                      <wp:docPr id="368" name="Frame297"/>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ARTE">
                                    <w:r>
                                      <w:rPr>
                                        <w:rStyle w:val="InternetLink"/>
                                      </w:rPr>
                                      <w:t>(a)</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ARTE">
                              <w:r>
                                <w:rPr>
                                  <w:rStyle w:val="InternetLink"/>
                                </w:rPr>
                                <w:t>(a)</w:t>
                                <w:br/>
                              </w:r>
                            </w:hyperlink>
                          </w:p>
                        </w:txbxContent>
                      </v:textbox>
                      <w10:wrap type="square" side="right"/>
                    </v:rect>
                  </w:pict>
                </mc:Fallback>
              </mc:AlternateContent>
            </w:r>
          </w:p>
          <w:p>
            <w:pPr>
              <w:pStyle w:val="TableContents"/>
              <w:bidi w:val="0"/>
              <w:spacing w:before="0" w:after="0"/>
              <w:ind w:left="0" w:right="0" w:hanging="0"/>
              <w:jc w:val="left"/>
              <w:rPr/>
            </w:pPr>
            <w:hyperlink w:anchor="tART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tARTE">
              <w:r>
                <w:rPr>
                  <w:rStyle w:val="InternetLink"/>
                </w:rPr>
                <w:t xml:space="preserve">A-9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6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BOST">
              <w:r>
                <w:rPr>
                  <w:rStyle w:val="InternetLink"/>
                </w:rPr>
                <w:t xml:space="preserve">Surrender of Stock </w:t>
              </w:r>
            </w:hyperlink>
            <w:r>
              <mc:AlternateContent>
                <mc:Choice Requires="wps">
                  <w:drawing>
                    <wp:anchor behindDoc="0" distT="0" distB="0" distL="114300" distR="0" simplePos="0" locked="0" layoutInCell="1" allowOverlap="1" relativeHeight="365">
                      <wp:simplePos x="0" y="0"/>
                      <wp:positionH relativeFrom="column">
                        <wp:align>left</wp:align>
                      </wp:positionH>
                      <wp:positionV relativeFrom="line">
                        <wp:posOffset>635</wp:posOffset>
                      </wp:positionV>
                      <wp:extent cx="317500" cy="350520"/>
                      <wp:effectExtent l="0" t="0" r="0" b="0"/>
                      <wp:wrapSquare wrapText="right"/>
                      <wp:docPr id="369" name="Frame298"/>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BOST">
                                    <w:r>
                                      <w:rPr>
                                        <w:rStyle w:val="InternetLink"/>
                                      </w:rPr>
                                      <w:t>(b)</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BOST">
                              <w:r>
                                <w:rPr>
                                  <w:rStyle w:val="InternetLink"/>
                                </w:rPr>
                                <w:t>(b)</w:t>
                                <w:br/>
                              </w:r>
                            </w:hyperlink>
                          </w:p>
                        </w:txbxContent>
                      </v:textbox>
                      <w10:wrap type="square" side="right"/>
                    </v:rect>
                  </w:pict>
                </mc:Fallback>
              </mc:AlternateContent>
            </w:r>
          </w:p>
          <w:p>
            <w:pPr>
              <w:pStyle w:val="TableContents"/>
              <w:bidi w:val="0"/>
              <w:spacing w:before="0" w:after="0"/>
              <w:ind w:left="0" w:right="0" w:hanging="0"/>
              <w:jc w:val="left"/>
              <w:rPr/>
            </w:pPr>
            <w:hyperlink w:anchor="tBOS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tBOST">
              <w:r>
                <w:rPr>
                  <w:rStyle w:val="InternetLink"/>
                </w:rPr>
                <w:t xml:space="preserve">A-9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66" w:type="dxa"/>
            <w:tcBorders/>
            <w:tcMar>
              <w:bottom w:w="0" w:type="dxa"/>
            </w:tcMar>
            <w:vAlign w:val="center"/>
          </w:tcPr>
          <w:p>
            <w:pPr>
              <w:pStyle w:val="TableContents"/>
              <w:bidi w:val="0"/>
              <w:spacing w:lineRule="atLeast" w:line="180" w:before="0" w:after="0"/>
              <w:ind w:left="680" w:right="0" w:hanging="0"/>
              <w:jc w:val="left"/>
              <w:rPr/>
            </w:pPr>
            <w:hyperlink w:anchor="tCRAT">
              <w:r>
                <w:rPr>
                  <w:rStyle w:val="InternetLink"/>
                </w:rPr>
                <w:t xml:space="preserve">Services Rendered </w:t>
              </w:r>
            </w:hyperlink>
            <w:r>
              <mc:AlternateContent>
                <mc:Choice Requires="wps">
                  <w:drawing>
                    <wp:anchor behindDoc="0" distT="0" distB="0" distL="114300" distR="0" simplePos="0" locked="0" layoutInCell="1" allowOverlap="1" relativeHeight="366">
                      <wp:simplePos x="0" y="0"/>
                      <wp:positionH relativeFrom="column">
                        <wp:align>left</wp:align>
                      </wp:positionH>
                      <wp:positionV relativeFrom="line">
                        <wp:posOffset>635</wp:posOffset>
                      </wp:positionV>
                      <wp:extent cx="317500" cy="350520"/>
                      <wp:effectExtent l="0" t="0" r="0" b="0"/>
                      <wp:wrapSquare wrapText="right"/>
                      <wp:docPr id="370" name="Frame299"/>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CRAT">
                                    <w:r>
                                      <w:rPr>
                                        <w:rStyle w:val="InternetLink"/>
                                      </w:rPr>
                                      <w:t>(c)</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CRAT">
                              <w:r>
                                <w:rPr>
                                  <w:rStyle w:val="InternetLink"/>
                                </w:rPr>
                                <w:t>(c)</w:t>
                                <w:br/>
                              </w:r>
                            </w:hyperlink>
                          </w:p>
                        </w:txbxContent>
                      </v:textbox>
                      <w10:wrap type="square" side="right"/>
                    </v:rect>
                  </w:pict>
                </mc:Fallback>
              </mc:AlternateContent>
            </w:r>
          </w:p>
          <w:p>
            <w:pPr>
              <w:pStyle w:val="TableContents"/>
              <w:bidi w:val="0"/>
              <w:spacing w:before="0" w:after="0"/>
              <w:ind w:left="0" w:right="0" w:hanging="0"/>
              <w:jc w:val="left"/>
              <w:rPr/>
            </w:pPr>
            <w:hyperlink w:anchor="tCRA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tCRAT">
              <w:r>
                <w:rPr>
                  <w:rStyle w:val="InternetLink"/>
                </w:rPr>
                <w:t xml:space="preserve">A-9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6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DETT">
              <w:r>
                <w:rPr>
                  <w:rStyle w:val="InternetLink"/>
                </w:rPr>
                <w:t xml:space="preserve">Cashless Exercise </w:t>
              </w:r>
            </w:hyperlink>
            <w:r>
              <mc:AlternateContent>
                <mc:Choice Requires="wps">
                  <w:drawing>
                    <wp:anchor behindDoc="0" distT="0" distB="0" distL="114300" distR="0" simplePos="0" locked="0" layoutInCell="1" allowOverlap="1" relativeHeight="367">
                      <wp:simplePos x="0" y="0"/>
                      <wp:positionH relativeFrom="column">
                        <wp:align>left</wp:align>
                      </wp:positionH>
                      <wp:positionV relativeFrom="line">
                        <wp:posOffset>635</wp:posOffset>
                      </wp:positionV>
                      <wp:extent cx="317500" cy="350520"/>
                      <wp:effectExtent l="0" t="0" r="0" b="0"/>
                      <wp:wrapSquare wrapText="right"/>
                      <wp:docPr id="371" name="Frame300"/>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DETT">
                                    <w:r>
                                      <w:rPr>
                                        <w:rStyle w:val="InternetLink"/>
                                      </w:rPr>
                                      <w:t>(d)</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DETT">
                              <w:r>
                                <w:rPr>
                                  <w:rStyle w:val="InternetLink"/>
                                </w:rPr>
                                <w:t>(d)</w:t>
                                <w:br/>
                              </w:r>
                            </w:hyperlink>
                          </w:p>
                        </w:txbxContent>
                      </v:textbox>
                      <w10:wrap type="square" side="right"/>
                    </v:rect>
                  </w:pict>
                </mc:Fallback>
              </mc:AlternateContent>
            </w:r>
          </w:p>
          <w:p>
            <w:pPr>
              <w:pStyle w:val="TableContents"/>
              <w:bidi w:val="0"/>
              <w:spacing w:before="0" w:after="0"/>
              <w:ind w:left="0" w:right="0" w:hanging="0"/>
              <w:jc w:val="left"/>
              <w:rPr/>
            </w:pPr>
            <w:hyperlink w:anchor="tDET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tDETT">
              <w:r>
                <w:rPr>
                  <w:rStyle w:val="InternetLink"/>
                </w:rPr>
                <w:t xml:space="preserve">A-9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66" w:type="dxa"/>
            <w:tcBorders/>
            <w:tcMar>
              <w:bottom w:w="0" w:type="dxa"/>
            </w:tcMar>
            <w:vAlign w:val="center"/>
          </w:tcPr>
          <w:p>
            <w:pPr>
              <w:pStyle w:val="TableContents"/>
              <w:bidi w:val="0"/>
              <w:spacing w:lineRule="atLeast" w:line="180" w:before="0" w:after="0"/>
              <w:ind w:left="680" w:right="0" w:hanging="0"/>
              <w:jc w:val="left"/>
              <w:rPr/>
            </w:pPr>
            <w:hyperlink w:anchor="tETTE">
              <w:r>
                <w:rPr>
                  <w:rStyle w:val="InternetLink"/>
                </w:rPr>
                <w:t xml:space="preserve">Exercise/Pledge </w:t>
              </w:r>
            </w:hyperlink>
            <w:r>
              <mc:AlternateContent>
                <mc:Choice Requires="wps">
                  <w:drawing>
                    <wp:anchor behindDoc="0" distT="0" distB="0" distL="114300" distR="0" simplePos="0" locked="0" layoutInCell="1" allowOverlap="1" relativeHeight="368">
                      <wp:simplePos x="0" y="0"/>
                      <wp:positionH relativeFrom="column">
                        <wp:align>left</wp:align>
                      </wp:positionH>
                      <wp:positionV relativeFrom="line">
                        <wp:posOffset>635</wp:posOffset>
                      </wp:positionV>
                      <wp:extent cx="317500" cy="350520"/>
                      <wp:effectExtent l="0" t="0" r="0" b="0"/>
                      <wp:wrapSquare wrapText="right"/>
                      <wp:docPr id="372" name="Frame301"/>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ETTE">
                                    <w:r>
                                      <w:rPr>
                                        <w:rStyle w:val="InternetLink"/>
                                      </w:rPr>
                                      <w:t>(e)</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ETTE">
                              <w:r>
                                <w:rPr>
                                  <w:rStyle w:val="InternetLink"/>
                                </w:rPr>
                                <w:t>(e)</w:t>
                                <w:br/>
                              </w:r>
                            </w:hyperlink>
                          </w:p>
                        </w:txbxContent>
                      </v:textbox>
                      <w10:wrap type="square" side="right"/>
                    </v:rect>
                  </w:pict>
                </mc:Fallback>
              </mc:AlternateContent>
            </w:r>
          </w:p>
          <w:p>
            <w:pPr>
              <w:pStyle w:val="TableContents"/>
              <w:bidi w:val="0"/>
              <w:spacing w:before="0" w:after="0"/>
              <w:ind w:left="0" w:right="0" w:hanging="0"/>
              <w:jc w:val="left"/>
              <w:rPr/>
            </w:pPr>
            <w:hyperlink w:anchor="tETT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tETTE">
              <w:r>
                <w:rPr>
                  <w:rStyle w:val="InternetLink"/>
                </w:rPr>
                <w:t xml:space="preserve">A-9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6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FETT">
              <w:r>
                <w:rPr>
                  <w:rStyle w:val="InternetLink"/>
                </w:rPr>
                <w:t xml:space="preserve">Net Exercise </w:t>
              </w:r>
            </w:hyperlink>
            <w:r>
              <mc:AlternateContent>
                <mc:Choice Requires="wps">
                  <w:drawing>
                    <wp:anchor behindDoc="0" distT="0" distB="0" distL="114300" distR="0" simplePos="0" locked="0" layoutInCell="1" allowOverlap="1" relativeHeight="369">
                      <wp:simplePos x="0" y="0"/>
                      <wp:positionH relativeFrom="column">
                        <wp:align>left</wp:align>
                      </wp:positionH>
                      <wp:positionV relativeFrom="line">
                        <wp:posOffset>635</wp:posOffset>
                      </wp:positionV>
                      <wp:extent cx="317500" cy="350520"/>
                      <wp:effectExtent l="0" t="0" r="0" b="0"/>
                      <wp:wrapSquare wrapText="right"/>
                      <wp:docPr id="373" name="Frame302"/>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FETT">
                                    <w:r>
                                      <w:rPr>
                                        <w:rStyle w:val="InternetLink"/>
                                      </w:rPr>
                                      <w:t>(f)</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FETT">
                              <w:r>
                                <w:rPr>
                                  <w:rStyle w:val="InternetLink"/>
                                </w:rPr>
                                <w:t>(f)</w:t>
                                <w:br/>
                              </w:r>
                            </w:hyperlink>
                          </w:p>
                        </w:txbxContent>
                      </v:textbox>
                      <w10:wrap type="square" side="right"/>
                    </v:rect>
                  </w:pict>
                </mc:Fallback>
              </mc:AlternateContent>
            </w:r>
          </w:p>
          <w:p>
            <w:pPr>
              <w:pStyle w:val="TableContents"/>
              <w:bidi w:val="0"/>
              <w:spacing w:before="0" w:after="0"/>
              <w:ind w:left="0" w:right="0" w:hanging="0"/>
              <w:jc w:val="left"/>
              <w:rPr/>
            </w:pPr>
            <w:hyperlink w:anchor="tFET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tFETT">
              <w:r>
                <w:rPr>
                  <w:rStyle w:val="InternetLink"/>
                </w:rPr>
                <w:t xml:space="preserve">A-9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66" w:type="dxa"/>
            <w:tcBorders/>
            <w:tcMar>
              <w:bottom w:w="0" w:type="dxa"/>
            </w:tcMar>
            <w:vAlign w:val="center"/>
          </w:tcPr>
          <w:p>
            <w:pPr>
              <w:pStyle w:val="TableContents"/>
              <w:bidi w:val="0"/>
              <w:spacing w:lineRule="atLeast" w:line="180" w:before="0" w:after="0"/>
              <w:ind w:left="680" w:right="0" w:hanging="0"/>
              <w:jc w:val="left"/>
              <w:rPr/>
            </w:pPr>
            <w:hyperlink w:anchor="tGNTT">
              <w:r>
                <w:rPr>
                  <w:rStyle w:val="InternetLink"/>
                </w:rPr>
                <w:t xml:space="preserve">Promissory Note </w:t>
              </w:r>
            </w:hyperlink>
            <w:r>
              <mc:AlternateContent>
                <mc:Choice Requires="wps">
                  <w:drawing>
                    <wp:anchor behindDoc="0" distT="0" distB="0" distL="114300" distR="0" simplePos="0" locked="0" layoutInCell="1" allowOverlap="1" relativeHeight="370">
                      <wp:simplePos x="0" y="0"/>
                      <wp:positionH relativeFrom="column">
                        <wp:align>left</wp:align>
                      </wp:positionH>
                      <wp:positionV relativeFrom="line">
                        <wp:posOffset>635</wp:posOffset>
                      </wp:positionV>
                      <wp:extent cx="317500" cy="350520"/>
                      <wp:effectExtent l="0" t="0" r="0" b="0"/>
                      <wp:wrapSquare wrapText="right"/>
                      <wp:docPr id="374" name="Frame303"/>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GNTT">
                                    <w:r>
                                      <w:rPr>
                                        <w:rStyle w:val="InternetLink"/>
                                      </w:rPr>
                                      <w:t>(g)</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GNTT">
                              <w:r>
                                <w:rPr>
                                  <w:rStyle w:val="InternetLink"/>
                                </w:rPr>
                                <w:t>(g)</w:t>
                                <w:br/>
                              </w:r>
                            </w:hyperlink>
                          </w:p>
                        </w:txbxContent>
                      </v:textbox>
                      <w10:wrap type="square" side="right"/>
                    </v:rect>
                  </w:pict>
                </mc:Fallback>
              </mc:AlternateContent>
            </w:r>
          </w:p>
          <w:p>
            <w:pPr>
              <w:pStyle w:val="TableContents"/>
              <w:bidi w:val="0"/>
              <w:spacing w:before="0" w:after="0"/>
              <w:ind w:left="0" w:right="0" w:hanging="0"/>
              <w:jc w:val="left"/>
              <w:rPr/>
            </w:pPr>
            <w:hyperlink w:anchor="tGNT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tGNTT">
              <w:r>
                <w:rPr>
                  <w:rStyle w:val="InternetLink"/>
                </w:rPr>
                <w:t xml:space="preserve">A-9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6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HFOP">
              <w:r>
                <w:rPr>
                  <w:rStyle w:val="InternetLink"/>
                </w:rPr>
                <w:t xml:space="preserve">Other Forms of Payment </w:t>
              </w:r>
            </w:hyperlink>
            <w:r>
              <mc:AlternateContent>
                <mc:Choice Requires="wps">
                  <w:drawing>
                    <wp:anchor behindDoc="0" distT="0" distB="0" distL="114300" distR="0" simplePos="0" locked="0" layoutInCell="1" allowOverlap="1" relativeHeight="371">
                      <wp:simplePos x="0" y="0"/>
                      <wp:positionH relativeFrom="column">
                        <wp:align>left</wp:align>
                      </wp:positionH>
                      <wp:positionV relativeFrom="line">
                        <wp:posOffset>635</wp:posOffset>
                      </wp:positionV>
                      <wp:extent cx="317500" cy="350520"/>
                      <wp:effectExtent l="0" t="0" r="0" b="0"/>
                      <wp:wrapSquare wrapText="right"/>
                      <wp:docPr id="375" name="Frame304"/>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HFOP">
                                    <w:r>
                                      <w:rPr>
                                        <w:rStyle w:val="InternetLink"/>
                                      </w:rPr>
                                      <w:t>(h)</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HFOP">
                              <w:r>
                                <w:rPr>
                                  <w:rStyle w:val="InternetLink"/>
                                </w:rPr>
                                <w:t>(h)</w:t>
                                <w:br/>
                              </w:r>
                            </w:hyperlink>
                          </w:p>
                        </w:txbxContent>
                      </v:textbox>
                      <w10:wrap type="square" side="right"/>
                    </v:rect>
                  </w:pict>
                </mc:Fallback>
              </mc:AlternateContent>
            </w:r>
          </w:p>
          <w:p>
            <w:pPr>
              <w:pStyle w:val="TableContents"/>
              <w:bidi w:val="0"/>
              <w:spacing w:before="0" w:after="0"/>
              <w:ind w:left="0" w:right="0" w:hanging="0"/>
              <w:jc w:val="left"/>
              <w:rPr/>
            </w:pPr>
            <w:hyperlink w:anchor="tHFO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tHFOP">
              <w:r>
                <w:rPr>
                  <w:rStyle w:val="InternetLink"/>
                </w:rPr>
                <w:t xml:space="preserve">A-9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66" w:type="dxa"/>
            <w:tcBorders/>
            <w:tcMar>
              <w:bottom w:w="0" w:type="dxa"/>
            </w:tcMar>
            <w:vAlign w:val="center"/>
          </w:tcPr>
          <w:p>
            <w:pPr>
              <w:pStyle w:val="TableContents"/>
              <w:bidi w:val="0"/>
              <w:spacing w:lineRule="atLeast" w:line="180" w:before="0" w:after="0"/>
              <w:ind w:left="680" w:right="0" w:hanging="0"/>
              <w:jc w:val="left"/>
              <w:rPr/>
            </w:pPr>
            <w:hyperlink w:anchor="tIUAL">
              <w:r>
                <w:rPr>
                  <w:rStyle w:val="InternetLink"/>
                </w:rPr>
                <w:t xml:space="preserve">Limitations under Applicable Law </w:t>
              </w:r>
            </w:hyperlink>
            <w:r>
              <mc:AlternateContent>
                <mc:Choice Requires="wps">
                  <w:drawing>
                    <wp:anchor behindDoc="0" distT="0" distB="0" distL="114300" distR="0" simplePos="0" locked="0" layoutInCell="1" allowOverlap="1" relativeHeight="372">
                      <wp:simplePos x="0" y="0"/>
                      <wp:positionH relativeFrom="column">
                        <wp:align>left</wp:align>
                      </wp:positionH>
                      <wp:positionV relativeFrom="line">
                        <wp:posOffset>635</wp:posOffset>
                      </wp:positionV>
                      <wp:extent cx="317500" cy="350520"/>
                      <wp:effectExtent l="0" t="0" r="0" b="0"/>
                      <wp:wrapSquare wrapText="right"/>
                      <wp:docPr id="376" name="Frame305"/>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IUAL">
                                    <w:r>
                                      <w:rPr>
                                        <w:rStyle w:val="InternetLink"/>
                                      </w:rPr>
                                      <w:t>(i)</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IUAL">
                              <w:r>
                                <w:rPr>
                                  <w:rStyle w:val="InternetLink"/>
                                </w:rPr>
                                <w:t>(i)</w:t>
                                <w:br/>
                              </w:r>
                            </w:hyperlink>
                          </w:p>
                        </w:txbxContent>
                      </v:textbox>
                      <w10:wrap type="square" side="right"/>
                    </v:rect>
                  </w:pict>
                </mc:Fallback>
              </mc:AlternateContent>
            </w:r>
          </w:p>
          <w:p>
            <w:pPr>
              <w:pStyle w:val="TableContents"/>
              <w:bidi w:val="0"/>
              <w:spacing w:before="0" w:after="0"/>
              <w:ind w:left="0" w:right="0" w:hanging="0"/>
              <w:jc w:val="left"/>
              <w:rPr/>
            </w:pPr>
            <w:hyperlink w:anchor="tIUA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tIUAL">
              <w:r>
                <w:rPr>
                  <w:rStyle w:val="InternetLink"/>
                </w:rPr>
                <w:t xml:space="preserve">A-9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66" w:type="dxa"/>
            <w:tcBorders/>
            <w:shd w:fill="CCEEFF" w:val="clear"/>
            <w:tcMar>
              <w:bottom w:w="0" w:type="dxa"/>
            </w:tcMar>
            <w:vAlign w:val="center"/>
          </w:tcPr>
          <w:p>
            <w:pPr>
              <w:pStyle w:val="TableContents"/>
              <w:bidi w:val="0"/>
              <w:spacing w:before="0" w:after="0"/>
              <w:jc w:val="left"/>
              <w:rPr/>
            </w:pPr>
            <w:hyperlink w:anchor="tS9AR">
              <w:r>
                <w:rPr>
                  <w:rStyle w:val="InternetLink"/>
                </w:rPr>
                <w:t xml:space="preserve">SECTION 9.   STOCK APPRECIATION RIGHTS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tS9AR">
              <w:r>
                <w:rPr>
                  <w:rStyle w:val="InternetLink"/>
                </w:rPr>
                <w:t>A-10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66" w:type="dxa"/>
            <w:tcBorders/>
            <w:tcMar>
              <w:bottom w:w="0" w:type="dxa"/>
            </w:tcMar>
            <w:vAlign w:val="center"/>
          </w:tcPr>
          <w:p>
            <w:pPr>
              <w:pStyle w:val="TableContents"/>
              <w:bidi w:val="0"/>
              <w:spacing w:lineRule="atLeast" w:line="180" w:before="0" w:after="0"/>
              <w:ind w:left="680" w:right="0" w:hanging="0"/>
              <w:jc w:val="left"/>
              <w:rPr/>
            </w:pPr>
            <w:hyperlink w:anchor="tAAAE1">
              <w:r>
                <w:rPr>
                  <w:rStyle w:val="InternetLink"/>
                </w:rPr>
                <w:t xml:space="preserve">SAR Award Agreement </w:t>
              </w:r>
            </w:hyperlink>
            <w:r>
              <mc:AlternateContent>
                <mc:Choice Requires="wps">
                  <w:drawing>
                    <wp:anchor behindDoc="0" distT="0" distB="0" distL="114300" distR="0" simplePos="0" locked="0" layoutInCell="1" allowOverlap="1" relativeHeight="373">
                      <wp:simplePos x="0" y="0"/>
                      <wp:positionH relativeFrom="column">
                        <wp:align>left</wp:align>
                      </wp:positionH>
                      <wp:positionV relativeFrom="line">
                        <wp:posOffset>635</wp:posOffset>
                      </wp:positionV>
                      <wp:extent cx="317500" cy="350520"/>
                      <wp:effectExtent l="0" t="0" r="0" b="0"/>
                      <wp:wrapSquare wrapText="right"/>
                      <wp:docPr id="377" name="Frame306"/>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AAAE1">
                                    <w:r>
                                      <w:rPr>
                                        <w:rStyle w:val="InternetLink"/>
                                      </w:rPr>
                                      <w:t>(a)</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AAAE1">
                              <w:r>
                                <w:rPr>
                                  <w:rStyle w:val="InternetLink"/>
                                </w:rPr>
                                <w:t>(a)</w:t>
                                <w:br/>
                              </w:r>
                            </w:hyperlink>
                          </w:p>
                        </w:txbxContent>
                      </v:textbox>
                      <w10:wrap type="square" side="right"/>
                    </v:rect>
                  </w:pict>
                </mc:Fallback>
              </mc:AlternateContent>
            </w:r>
          </w:p>
          <w:p>
            <w:pPr>
              <w:pStyle w:val="TableContents"/>
              <w:bidi w:val="0"/>
              <w:spacing w:before="0" w:after="0"/>
              <w:ind w:left="0" w:right="0" w:hanging="0"/>
              <w:jc w:val="left"/>
              <w:rPr/>
            </w:pPr>
            <w:hyperlink w:anchor="tAAAE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tAAAE1">
              <w:r>
                <w:rPr>
                  <w:rStyle w:val="InternetLink"/>
                </w:rPr>
                <w:t xml:space="preserve">A-10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6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BOSE1">
              <w:r>
                <w:rPr>
                  <w:rStyle w:val="InternetLink"/>
                </w:rPr>
                <w:t xml:space="preserve">Number of Shares </w:t>
              </w:r>
            </w:hyperlink>
            <w:r>
              <mc:AlternateContent>
                <mc:Choice Requires="wps">
                  <w:drawing>
                    <wp:anchor behindDoc="0" distT="0" distB="0" distL="114300" distR="0" simplePos="0" locked="0" layoutInCell="1" allowOverlap="1" relativeHeight="374">
                      <wp:simplePos x="0" y="0"/>
                      <wp:positionH relativeFrom="column">
                        <wp:align>left</wp:align>
                      </wp:positionH>
                      <wp:positionV relativeFrom="line">
                        <wp:posOffset>635</wp:posOffset>
                      </wp:positionV>
                      <wp:extent cx="317500" cy="350520"/>
                      <wp:effectExtent l="0" t="0" r="0" b="0"/>
                      <wp:wrapSquare wrapText="right"/>
                      <wp:docPr id="378" name="Frame307"/>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BOSE1">
                                    <w:r>
                                      <w:rPr>
                                        <w:rStyle w:val="InternetLink"/>
                                      </w:rPr>
                                      <w:t>(b)</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BOSE1">
                              <w:r>
                                <w:rPr>
                                  <w:rStyle w:val="InternetLink"/>
                                </w:rPr>
                                <w:t>(b)</w:t>
                                <w:br/>
                              </w:r>
                            </w:hyperlink>
                          </w:p>
                        </w:txbxContent>
                      </v:textbox>
                      <w10:wrap type="square" side="right"/>
                    </v:rect>
                  </w:pict>
                </mc:Fallback>
              </mc:AlternateContent>
            </w:r>
          </w:p>
          <w:p>
            <w:pPr>
              <w:pStyle w:val="TableContents"/>
              <w:bidi w:val="0"/>
              <w:spacing w:before="0" w:after="0"/>
              <w:ind w:left="0" w:right="0" w:hanging="0"/>
              <w:jc w:val="left"/>
              <w:rPr/>
            </w:pPr>
            <w:hyperlink w:anchor="tBOSE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tBOSE1">
              <w:r>
                <w:rPr>
                  <w:rStyle w:val="InternetLink"/>
                </w:rPr>
                <w:t xml:space="preserve">A-10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66" w:type="dxa"/>
            <w:tcBorders/>
            <w:tcMar>
              <w:bottom w:w="0" w:type="dxa"/>
            </w:tcMar>
            <w:vAlign w:val="center"/>
          </w:tcPr>
          <w:p>
            <w:pPr>
              <w:pStyle w:val="TableContents"/>
              <w:bidi w:val="0"/>
              <w:spacing w:lineRule="atLeast" w:line="180" w:before="0" w:after="0"/>
              <w:ind w:left="680" w:right="0" w:hanging="0"/>
              <w:jc w:val="left"/>
              <w:rPr/>
            </w:pPr>
            <w:hyperlink w:anchor="tCPES">
              <w:r>
                <w:rPr>
                  <w:rStyle w:val="InternetLink"/>
                </w:rPr>
                <w:t xml:space="preserve">Exercise Price </w:t>
              </w:r>
            </w:hyperlink>
            <w:r>
              <mc:AlternateContent>
                <mc:Choice Requires="wps">
                  <w:drawing>
                    <wp:anchor behindDoc="0" distT="0" distB="0" distL="114300" distR="0" simplePos="0" locked="0" layoutInCell="1" allowOverlap="1" relativeHeight="375">
                      <wp:simplePos x="0" y="0"/>
                      <wp:positionH relativeFrom="column">
                        <wp:align>left</wp:align>
                      </wp:positionH>
                      <wp:positionV relativeFrom="line">
                        <wp:posOffset>635</wp:posOffset>
                      </wp:positionV>
                      <wp:extent cx="317500" cy="350520"/>
                      <wp:effectExtent l="0" t="0" r="0" b="0"/>
                      <wp:wrapSquare wrapText="right"/>
                      <wp:docPr id="379" name="Frame308"/>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CPES">
                                    <w:r>
                                      <w:rPr>
                                        <w:rStyle w:val="InternetLink"/>
                                      </w:rPr>
                                      <w:t>(c)</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CPES">
                              <w:r>
                                <w:rPr>
                                  <w:rStyle w:val="InternetLink"/>
                                </w:rPr>
                                <w:t>(c)</w:t>
                                <w:br/>
                              </w:r>
                            </w:hyperlink>
                          </w:p>
                        </w:txbxContent>
                      </v:textbox>
                      <w10:wrap type="square" side="right"/>
                    </v:rect>
                  </w:pict>
                </mc:Fallback>
              </mc:AlternateContent>
            </w:r>
          </w:p>
          <w:p>
            <w:pPr>
              <w:pStyle w:val="TableContents"/>
              <w:bidi w:val="0"/>
              <w:spacing w:before="0" w:after="0"/>
              <w:ind w:left="0" w:right="0" w:hanging="0"/>
              <w:jc w:val="left"/>
              <w:rPr/>
            </w:pPr>
            <w:hyperlink w:anchor="tCPE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tCPES">
              <w:r>
                <w:rPr>
                  <w:rStyle w:val="InternetLink"/>
                </w:rPr>
                <w:t xml:space="preserve">A-10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6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DATE">
              <w:r>
                <w:rPr>
                  <w:rStyle w:val="InternetLink"/>
                </w:rPr>
                <w:t xml:space="preserve">Exercisability and Term </w:t>
              </w:r>
            </w:hyperlink>
            <w:r>
              <mc:AlternateContent>
                <mc:Choice Requires="wps">
                  <w:drawing>
                    <wp:anchor behindDoc="0" distT="0" distB="0" distL="114300" distR="0" simplePos="0" locked="0" layoutInCell="1" allowOverlap="1" relativeHeight="376">
                      <wp:simplePos x="0" y="0"/>
                      <wp:positionH relativeFrom="column">
                        <wp:align>left</wp:align>
                      </wp:positionH>
                      <wp:positionV relativeFrom="line">
                        <wp:posOffset>635</wp:posOffset>
                      </wp:positionV>
                      <wp:extent cx="317500" cy="350520"/>
                      <wp:effectExtent l="0" t="0" r="0" b="0"/>
                      <wp:wrapSquare wrapText="right"/>
                      <wp:docPr id="380" name="Frame309"/>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DATE">
                                    <w:r>
                                      <w:rPr>
                                        <w:rStyle w:val="InternetLink"/>
                                      </w:rPr>
                                      <w:t>(d)</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DATE">
                              <w:r>
                                <w:rPr>
                                  <w:rStyle w:val="InternetLink"/>
                                </w:rPr>
                                <w:t>(d)</w:t>
                                <w:br/>
                              </w:r>
                            </w:hyperlink>
                          </w:p>
                        </w:txbxContent>
                      </v:textbox>
                      <w10:wrap type="square" side="right"/>
                    </v:rect>
                  </w:pict>
                </mc:Fallback>
              </mc:AlternateContent>
            </w:r>
          </w:p>
          <w:p>
            <w:pPr>
              <w:pStyle w:val="TableContents"/>
              <w:bidi w:val="0"/>
              <w:spacing w:before="0" w:after="0"/>
              <w:ind w:left="0" w:right="0" w:hanging="0"/>
              <w:jc w:val="left"/>
              <w:rPr/>
            </w:pPr>
            <w:hyperlink w:anchor="tDAT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tDATE">
              <w:r>
                <w:rPr>
                  <w:rStyle w:val="InternetLink"/>
                </w:rPr>
                <w:t xml:space="preserve">A-10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66" w:type="dxa"/>
            <w:tcBorders/>
            <w:tcMar>
              <w:bottom w:w="0" w:type="dxa"/>
            </w:tcMar>
            <w:vAlign w:val="center"/>
          </w:tcPr>
          <w:p>
            <w:pPr>
              <w:pStyle w:val="TableContents"/>
              <w:bidi w:val="0"/>
              <w:spacing w:lineRule="atLeast" w:line="180" w:before="0" w:after="0"/>
              <w:ind w:left="680" w:right="0" w:hanging="0"/>
              <w:jc w:val="left"/>
              <w:rPr/>
            </w:pPr>
            <w:hyperlink w:anchor="tEOSU">
              <w:r>
                <w:rPr>
                  <w:rStyle w:val="InternetLink"/>
                </w:rPr>
                <w:t xml:space="preserve">Exercise of SARs </w:t>
              </w:r>
            </w:hyperlink>
            <w:r>
              <mc:AlternateContent>
                <mc:Choice Requires="wps">
                  <w:drawing>
                    <wp:anchor behindDoc="0" distT="0" distB="0" distL="114300" distR="0" simplePos="0" locked="0" layoutInCell="1" allowOverlap="1" relativeHeight="377">
                      <wp:simplePos x="0" y="0"/>
                      <wp:positionH relativeFrom="column">
                        <wp:align>left</wp:align>
                      </wp:positionH>
                      <wp:positionV relativeFrom="line">
                        <wp:posOffset>635</wp:posOffset>
                      </wp:positionV>
                      <wp:extent cx="317500" cy="350520"/>
                      <wp:effectExtent l="0" t="0" r="0" b="0"/>
                      <wp:wrapSquare wrapText="right"/>
                      <wp:docPr id="381" name="Frame310"/>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EOSU">
                                    <w:r>
                                      <w:rPr>
                                        <w:rStyle w:val="InternetLink"/>
                                      </w:rPr>
                                      <w:t>(e)</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EOSU">
                              <w:r>
                                <w:rPr>
                                  <w:rStyle w:val="InternetLink"/>
                                </w:rPr>
                                <w:t>(e)</w:t>
                                <w:br/>
                              </w:r>
                            </w:hyperlink>
                          </w:p>
                        </w:txbxContent>
                      </v:textbox>
                      <w10:wrap type="square" side="right"/>
                    </v:rect>
                  </w:pict>
                </mc:Fallback>
              </mc:AlternateContent>
            </w:r>
          </w:p>
          <w:p>
            <w:pPr>
              <w:pStyle w:val="TableContents"/>
              <w:bidi w:val="0"/>
              <w:spacing w:before="0" w:after="0"/>
              <w:ind w:left="0" w:right="0" w:hanging="0"/>
              <w:jc w:val="left"/>
              <w:rPr/>
            </w:pPr>
            <w:hyperlink w:anchor="tEOSU">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tEOSU">
              <w:r>
                <w:rPr>
                  <w:rStyle w:val="InternetLink"/>
                </w:rPr>
                <w:t xml:space="preserve">A-10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6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FEOA">
              <w:r>
                <w:rPr>
                  <w:rStyle w:val="InternetLink"/>
                </w:rPr>
                <w:t xml:space="preserve">Modification, Extension or Assumption of SARs </w:t>
              </w:r>
            </w:hyperlink>
            <w:r>
              <mc:AlternateContent>
                <mc:Choice Requires="wps">
                  <w:drawing>
                    <wp:anchor behindDoc="0" distT="0" distB="0" distL="114300" distR="0" simplePos="0" locked="0" layoutInCell="1" allowOverlap="1" relativeHeight="378">
                      <wp:simplePos x="0" y="0"/>
                      <wp:positionH relativeFrom="column">
                        <wp:align>left</wp:align>
                      </wp:positionH>
                      <wp:positionV relativeFrom="line">
                        <wp:posOffset>635</wp:posOffset>
                      </wp:positionV>
                      <wp:extent cx="317500" cy="350520"/>
                      <wp:effectExtent l="0" t="0" r="0" b="0"/>
                      <wp:wrapSquare wrapText="right"/>
                      <wp:docPr id="382" name="Frame311"/>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FEOA">
                                    <w:r>
                                      <w:rPr>
                                        <w:rStyle w:val="InternetLink"/>
                                      </w:rPr>
                                      <w:t>(f)</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FEOA">
                              <w:r>
                                <w:rPr>
                                  <w:rStyle w:val="InternetLink"/>
                                </w:rPr>
                                <w:t>(f)</w:t>
                                <w:br/>
                              </w:r>
                            </w:hyperlink>
                          </w:p>
                        </w:txbxContent>
                      </v:textbox>
                      <w10:wrap type="square" side="right"/>
                    </v:rect>
                  </w:pict>
                </mc:Fallback>
              </mc:AlternateContent>
            </w:r>
          </w:p>
          <w:p>
            <w:pPr>
              <w:pStyle w:val="TableContents"/>
              <w:bidi w:val="0"/>
              <w:spacing w:before="0" w:after="0"/>
              <w:ind w:left="0" w:right="0" w:hanging="0"/>
              <w:jc w:val="left"/>
              <w:rPr/>
            </w:pPr>
            <w:hyperlink w:anchor="tFEO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tFEOA">
              <w:r>
                <w:rPr>
                  <w:rStyle w:val="InternetLink"/>
                </w:rPr>
                <w:t xml:space="preserve">A-10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66" w:type="dxa"/>
            <w:tcBorders/>
            <w:tcMar>
              <w:bottom w:w="0" w:type="dxa"/>
            </w:tcMar>
            <w:vAlign w:val="center"/>
          </w:tcPr>
          <w:p>
            <w:pPr>
              <w:pStyle w:val="TableContents"/>
              <w:bidi w:val="0"/>
              <w:spacing w:lineRule="atLeast" w:line="180" w:before="0" w:after="0"/>
              <w:ind w:left="680" w:right="0" w:hanging="0"/>
              <w:jc w:val="left"/>
              <w:rPr/>
            </w:pPr>
            <w:hyperlink w:anchor="tGPST">
              <w:r>
                <w:rPr>
                  <w:rStyle w:val="InternetLink"/>
                </w:rPr>
                <w:t xml:space="preserve">Buyout Provisions </w:t>
              </w:r>
            </w:hyperlink>
            <w:r>
              <mc:AlternateContent>
                <mc:Choice Requires="wps">
                  <w:drawing>
                    <wp:anchor behindDoc="0" distT="0" distB="0" distL="114300" distR="0" simplePos="0" locked="0" layoutInCell="1" allowOverlap="1" relativeHeight="379">
                      <wp:simplePos x="0" y="0"/>
                      <wp:positionH relativeFrom="column">
                        <wp:align>left</wp:align>
                      </wp:positionH>
                      <wp:positionV relativeFrom="line">
                        <wp:posOffset>635</wp:posOffset>
                      </wp:positionV>
                      <wp:extent cx="317500" cy="350520"/>
                      <wp:effectExtent l="0" t="0" r="0" b="0"/>
                      <wp:wrapSquare wrapText="right"/>
                      <wp:docPr id="383" name="Frame312"/>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GPST">
                                    <w:r>
                                      <w:rPr>
                                        <w:rStyle w:val="InternetLink"/>
                                      </w:rPr>
                                      <w:t>(g)</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GPST">
                              <w:r>
                                <w:rPr>
                                  <w:rStyle w:val="InternetLink"/>
                                </w:rPr>
                                <w:t>(g)</w:t>
                                <w:br/>
                              </w:r>
                            </w:hyperlink>
                          </w:p>
                        </w:txbxContent>
                      </v:textbox>
                      <w10:wrap type="square" side="right"/>
                    </v:rect>
                  </w:pict>
                </mc:Fallback>
              </mc:AlternateContent>
            </w:r>
          </w:p>
          <w:p>
            <w:pPr>
              <w:pStyle w:val="TableContents"/>
              <w:bidi w:val="0"/>
              <w:spacing w:before="0" w:after="0"/>
              <w:ind w:left="0" w:right="0" w:hanging="0"/>
              <w:jc w:val="left"/>
              <w:rPr/>
            </w:pPr>
            <w:hyperlink w:anchor="tGPS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tGPST">
              <w:r>
                <w:rPr>
                  <w:rStyle w:val="InternetLink"/>
                </w:rPr>
                <w:t xml:space="preserve">A-10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6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HDEO">
              <w:r>
                <w:rPr>
                  <w:rStyle w:val="InternetLink"/>
                </w:rPr>
                <w:t xml:space="preserve">No Dividend Equivalents on SARs </w:t>
              </w:r>
            </w:hyperlink>
            <w:r>
              <mc:AlternateContent>
                <mc:Choice Requires="wps">
                  <w:drawing>
                    <wp:anchor behindDoc="0" distT="0" distB="0" distL="114300" distR="0" simplePos="0" locked="0" layoutInCell="1" allowOverlap="1" relativeHeight="380">
                      <wp:simplePos x="0" y="0"/>
                      <wp:positionH relativeFrom="column">
                        <wp:align>left</wp:align>
                      </wp:positionH>
                      <wp:positionV relativeFrom="line">
                        <wp:posOffset>635</wp:posOffset>
                      </wp:positionV>
                      <wp:extent cx="317500" cy="350520"/>
                      <wp:effectExtent l="0" t="0" r="0" b="0"/>
                      <wp:wrapSquare wrapText="right"/>
                      <wp:docPr id="384" name="Frame313"/>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HDEO">
                                    <w:r>
                                      <w:rPr>
                                        <w:rStyle w:val="InternetLink"/>
                                      </w:rPr>
                                      <w:t>(h)</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HDEO">
                              <w:r>
                                <w:rPr>
                                  <w:rStyle w:val="InternetLink"/>
                                </w:rPr>
                                <w:t>(h)</w:t>
                                <w:br/>
                              </w:r>
                            </w:hyperlink>
                          </w:p>
                        </w:txbxContent>
                      </v:textbox>
                      <w10:wrap type="square" side="right"/>
                    </v:rect>
                  </w:pict>
                </mc:Fallback>
              </mc:AlternateContent>
            </w:r>
          </w:p>
          <w:p>
            <w:pPr>
              <w:pStyle w:val="TableContents"/>
              <w:bidi w:val="0"/>
              <w:spacing w:before="0" w:after="0"/>
              <w:ind w:left="0" w:right="0" w:hanging="0"/>
              <w:jc w:val="left"/>
              <w:rPr/>
            </w:pPr>
            <w:hyperlink w:anchor="tHDE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tHDEO">
              <w:r>
                <w:rPr>
                  <w:rStyle w:val="InternetLink"/>
                </w:rPr>
                <w:t xml:space="preserve">A-10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66" w:type="dxa"/>
            <w:tcBorders/>
            <w:tcMar>
              <w:bottom w:w="0" w:type="dxa"/>
            </w:tcMar>
            <w:vAlign w:val="center"/>
          </w:tcPr>
          <w:p>
            <w:pPr>
              <w:pStyle w:val="TableContents"/>
              <w:bidi w:val="0"/>
              <w:spacing w:before="0" w:after="0"/>
              <w:jc w:val="left"/>
              <w:rPr/>
            </w:pPr>
            <w:hyperlink w:anchor="tS1SU">
              <w:r>
                <w:rPr>
                  <w:rStyle w:val="InternetLink"/>
                </w:rPr>
                <w:t xml:space="preserve">SECTION 10.   RESTRICTED STOCK UNITS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tS1SU">
              <w:r>
                <w:rPr>
                  <w:rStyle w:val="InternetLink"/>
                </w:rPr>
                <w:t>A-10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6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ASUA">
              <w:r>
                <w:rPr>
                  <w:rStyle w:val="InternetLink"/>
                </w:rPr>
                <w:t xml:space="preserve">Restricted Stock Unit Award Agreement </w:t>
              </w:r>
            </w:hyperlink>
            <w:r>
              <mc:AlternateContent>
                <mc:Choice Requires="wps">
                  <w:drawing>
                    <wp:anchor behindDoc="0" distT="0" distB="0" distL="114300" distR="0" simplePos="0" locked="0" layoutInCell="1" allowOverlap="1" relativeHeight="381">
                      <wp:simplePos x="0" y="0"/>
                      <wp:positionH relativeFrom="column">
                        <wp:align>left</wp:align>
                      </wp:positionH>
                      <wp:positionV relativeFrom="line">
                        <wp:posOffset>635</wp:posOffset>
                      </wp:positionV>
                      <wp:extent cx="317500" cy="350520"/>
                      <wp:effectExtent l="0" t="0" r="0" b="0"/>
                      <wp:wrapSquare wrapText="right"/>
                      <wp:docPr id="385" name="Frame314"/>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ASUA">
                                    <w:r>
                                      <w:rPr>
                                        <w:rStyle w:val="InternetLink"/>
                                      </w:rPr>
                                      <w:t>(a)</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ASUA">
                              <w:r>
                                <w:rPr>
                                  <w:rStyle w:val="InternetLink"/>
                                </w:rPr>
                                <w:t>(a)</w:t>
                                <w:br/>
                              </w:r>
                            </w:hyperlink>
                          </w:p>
                        </w:txbxContent>
                      </v:textbox>
                      <w10:wrap type="square" side="right"/>
                    </v:rect>
                  </w:pict>
                </mc:Fallback>
              </mc:AlternateContent>
            </w:r>
          </w:p>
          <w:p>
            <w:pPr>
              <w:pStyle w:val="TableContents"/>
              <w:bidi w:val="0"/>
              <w:spacing w:before="0" w:after="0"/>
              <w:ind w:left="0" w:right="0" w:hanging="0"/>
              <w:jc w:val="left"/>
              <w:rPr/>
            </w:pPr>
            <w:hyperlink w:anchor="tASU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tASUA">
              <w:r>
                <w:rPr>
                  <w:rStyle w:val="InternetLink"/>
                </w:rPr>
                <w:t xml:space="preserve">A-10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66" w:type="dxa"/>
            <w:tcBorders/>
            <w:tcMar>
              <w:bottom w:w="0" w:type="dxa"/>
            </w:tcMar>
            <w:vAlign w:val="center"/>
          </w:tcPr>
          <w:p>
            <w:pPr>
              <w:pStyle w:val="TableContents"/>
              <w:bidi w:val="0"/>
              <w:spacing w:lineRule="atLeast" w:line="180" w:before="0" w:after="0"/>
              <w:ind w:left="680" w:right="0" w:hanging="0"/>
              <w:jc w:val="left"/>
              <w:rPr/>
            </w:pPr>
            <w:hyperlink w:anchor="tBFAT">
              <w:r>
                <w:rPr>
                  <w:rStyle w:val="InternetLink"/>
                </w:rPr>
                <w:t xml:space="preserve">Payment for Awards </w:t>
              </w:r>
            </w:hyperlink>
            <w:r>
              <mc:AlternateContent>
                <mc:Choice Requires="wps">
                  <w:drawing>
                    <wp:anchor behindDoc="0" distT="0" distB="0" distL="114300" distR="0" simplePos="0" locked="0" layoutInCell="1" allowOverlap="1" relativeHeight="382">
                      <wp:simplePos x="0" y="0"/>
                      <wp:positionH relativeFrom="column">
                        <wp:align>left</wp:align>
                      </wp:positionH>
                      <wp:positionV relativeFrom="line">
                        <wp:posOffset>635</wp:posOffset>
                      </wp:positionV>
                      <wp:extent cx="317500" cy="350520"/>
                      <wp:effectExtent l="0" t="0" r="0" b="0"/>
                      <wp:wrapSquare wrapText="right"/>
                      <wp:docPr id="386" name="Frame315"/>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BFAT">
                                    <w:r>
                                      <w:rPr>
                                        <w:rStyle w:val="InternetLink"/>
                                      </w:rPr>
                                      <w:t>(b)</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BFAT">
                              <w:r>
                                <w:rPr>
                                  <w:rStyle w:val="InternetLink"/>
                                </w:rPr>
                                <w:t>(b)</w:t>
                                <w:br/>
                              </w:r>
                            </w:hyperlink>
                          </w:p>
                        </w:txbxContent>
                      </v:textbox>
                      <w10:wrap type="square" side="right"/>
                    </v:rect>
                  </w:pict>
                </mc:Fallback>
              </mc:AlternateContent>
            </w:r>
          </w:p>
          <w:p>
            <w:pPr>
              <w:pStyle w:val="TableContents"/>
              <w:bidi w:val="0"/>
              <w:spacing w:before="0" w:after="0"/>
              <w:ind w:left="0" w:right="0" w:hanging="0"/>
              <w:jc w:val="left"/>
              <w:rPr/>
            </w:pPr>
            <w:hyperlink w:anchor="tBFA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tBFAT">
              <w:r>
                <w:rPr>
                  <w:rStyle w:val="InternetLink"/>
                </w:rPr>
                <w:t xml:space="preserve">A-10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6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CCEA">
              <w:r>
                <w:rPr>
                  <w:rStyle w:val="InternetLink"/>
                </w:rPr>
                <w:t xml:space="preserve">Vesting Conditions </w:t>
              </w:r>
            </w:hyperlink>
            <w:r>
              <mc:AlternateContent>
                <mc:Choice Requires="wps">
                  <w:drawing>
                    <wp:anchor behindDoc="0" distT="0" distB="0" distL="114300" distR="0" simplePos="0" locked="0" layoutInCell="1" allowOverlap="1" relativeHeight="383">
                      <wp:simplePos x="0" y="0"/>
                      <wp:positionH relativeFrom="column">
                        <wp:align>left</wp:align>
                      </wp:positionH>
                      <wp:positionV relativeFrom="line">
                        <wp:posOffset>635</wp:posOffset>
                      </wp:positionV>
                      <wp:extent cx="317500" cy="350520"/>
                      <wp:effectExtent l="0" t="0" r="0" b="0"/>
                      <wp:wrapSquare wrapText="right"/>
                      <wp:docPr id="387" name="Frame316"/>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CCEA">
                                    <w:r>
                                      <w:rPr>
                                        <w:rStyle w:val="InternetLink"/>
                                      </w:rPr>
                                      <w:t>(c)</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CCEA">
                              <w:r>
                                <w:rPr>
                                  <w:rStyle w:val="InternetLink"/>
                                </w:rPr>
                                <w:t>(c)</w:t>
                                <w:br/>
                              </w:r>
                            </w:hyperlink>
                          </w:p>
                        </w:txbxContent>
                      </v:textbox>
                      <w10:wrap type="square" side="right"/>
                    </v:rect>
                  </w:pict>
                </mc:Fallback>
              </mc:AlternateContent>
            </w:r>
          </w:p>
          <w:p>
            <w:pPr>
              <w:pStyle w:val="TableContents"/>
              <w:bidi w:val="0"/>
              <w:spacing w:before="0" w:after="0"/>
              <w:ind w:left="0" w:right="0" w:hanging="0"/>
              <w:jc w:val="left"/>
              <w:rPr/>
            </w:pPr>
            <w:hyperlink w:anchor="tCCE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tCCEA">
              <w:r>
                <w:rPr>
                  <w:rStyle w:val="InternetLink"/>
                </w:rPr>
                <w:t xml:space="preserve">A-10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66" w:type="dxa"/>
            <w:tcBorders/>
            <w:tcMar>
              <w:bottom w:w="0" w:type="dxa"/>
            </w:tcMar>
            <w:vAlign w:val="center"/>
          </w:tcPr>
          <w:p>
            <w:pPr>
              <w:pStyle w:val="TableContents"/>
              <w:bidi w:val="0"/>
              <w:spacing w:lineRule="atLeast" w:line="180" w:before="0" w:after="0"/>
              <w:ind w:left="680" w:right="0" w:hanging="0"/>
              <w:jc w:val="left"/>
              <w:rPr/>
            </w:pPr>
            <w:hyperlink w:anchor="tDADR1">
              <w:r>
                <w:rPr>
                  <w:rStyle w:val="InternetLink"/>
                </w:rPr>
                <w:t xml:space="preserve">Voting and Dividend Rights </w:t>
              </w:r>
            </w:hyperlink>
            <w:r>
              <mc:AlternateContent>
                <mc:Choice Requires="wps">
                  <w:drawing>
                    <wp:anchor behindDoc="0" distT="0" distB="0" distL="114300" distR="0" simplePos="0" locked="0" layoutInCell="1" allowOverlap="1" relativeHeight="384">
                      <wp:simplePos x="0" y="0"/>
                      <wp:positionH relativeFrom="column">
                        <wp:align>left</wp:align>
                      </wp:positionH>
                      <wp:positionV relativeFrom="line">
                        <wp:posOffset>635</wp:posOffset>
                      </wp:positionV>
                      <wp:extent cx="317500" cy="350520"/>
                      <wp:effectExtent l="0" t="0" r="0" b="0"/>
                      <wp:wrapSquare wrapText="right"/>
                      <wp:docPr id="388" name="Frame317"/>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DADR1">
                                    <w:r>
                                      <w:rPr>
                                        <w:rStyle w:val="InternetLink"/>
                                      </w:rPr>
                                      <w:t>(d)</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DADR1">
                              <w:r>
                                <w:rPr>
                                  <w:rStyle w:val="InternetLink"/>
                                </w:rPr>
                                <w:t>(d)</w:t>
                                <w:br/>
                              </w:r>
                            </w:hyperlink>
                          </w:p>
                        </w:txbxContent>
                      </v:textbox>
                      <w10:wrap type="square" side="right"/>
                    </v:rect>
                  </w:pict>
                </mc:Fallback>
              </mc:AlternateContent>
            </w:r>
          </w:p>
          <w:p>
            <w:pPr>
              <w:pStyle w:val="TableContents"/>
              <w:bidi w:val="0"/>
              <w:spacing w:before="0" w:after="0"/>
              <w:ind w:left="0" w:right="0" w:hanging="0"/>
              <w:jc w:val="left"/>
              <w:rPr/>
            </w:pPr>
            <w:hyperlink w:anchor="tDADR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tDADR1">
              <w:r>
                <w:rPr>
                  <w:rStyle w:val="InternetLink"/>
                </w:rPr>
                <w:t xml:space="preserve">A-11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6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EATO">
              <w:r>
                <w:rPr>
                  <w:rStyle w:val="InternetLink"/>
                </w:rPr>
                <w:t xml:space="preserve">Form and Time of Settlement of Restricted Stock Units </w:t>
              </w:r>
            </w:hyperlink>
            <w:r>
              <mc:AlternateContent>
                <mc:Choice Requires="wps">
                  <w:drawing>
                    <wp:anchor behindDoc="0" distT="0" distB="0" distL="114300" distR="0" simplePos="0" locked="0" layoutInCell="1" allowOverlap="1" relativeHeight="385">
                      <wp:simplePos x="0" y="0"/>
                      <wp:positionH relativeFrom="column">
                        <wp:align>left</wp:align>
                      </wp:positionH>
                      <wp:positionV relativeFrom="line">
                        <wp:posOffset>635</wp:posOffset>
                      </wp:positionV>
                      <wp:extent cx="317500" cy="350520"/>
                      <wp:effectExtent l="0" t="0" r="0" b="0"/>
                      <wp:wrapSquare wrapText="right"/>
                      <wp:docPr id="389" name="Frame318"/>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EATO">
                                    <w:r>
                                      <w:rPr>
                                        <w:rStyle w:val="InternetLink"/>
                                      </w:rPr>
                                      <w:t>(e)</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EATO">
                              <w:r>
                                <w:rPr>
                                  <w:rStyle w:val="InternetLink"/>
                                </w:rPr>
                                <w:t>(e)</w:t>
                                <w:br/>
                              </w:r>
                            </w:hyperlink>
                          </w:p>
                        </w:txbxContent>
                      </v:textbox>
                      <w10:wrap type="square" side="right"/>
                    </v:rect>
                  </w:pict>
                </mc:Fallback>
              </mc:AlternateContent>
            </w:r>
          </w:p>
          <w:p>
            <w:pPr>
              <w:pStyle w:val="TableContents"/>
              <w:bidi w:val="0"/>
              <w:spacing w:before="0" w:after="0"/>
              <w:ind w:left="0" w:right="0" w:hanging="0"/>
              <w:jc w:val="left"/>
              <w:rPr/>
            </w:pPr>
            <w:hyperlink w:anchor="tEAT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tEATO">
              <w:r>
                <w:rPr>
                  <w:rStyle w:val="InternetLink"/>
                </w:rPr>
                <w:t xml:space="preserve">A-11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66" w:type="dxa"/>
            <w:tcBorders/>
            <w:tcMar>
              <w:bottom w:w="0" w:type="dxa"/>
            </w:tcMar>
            <w:vAlign w:val="center"/>
          </w:tcPr>
          <w:p>
            <w:pPr>
              <w:pStyle w:val="TableContents"/>
              <w:bidi w:val="0"/>
              <w:spacing w:lineRule="atLeast" w:line="180" w:before="0" w:after="0"/>
              <w:ind w:left="680" w:right="0" w:hanging="0"/>
              <w:jc w:val="left"/>
              <w:rPr/>
            </w:pPr>
            <w:hyperlink w:anchor="tFOPA">
              <w:r>
                <w:rPr>
                  <w:rStyle w:val="InternetLink"/>
                </w:rPr>
                <w:t xml:space="preserve">Death of Participant </w:t>
              </w:r>
            </w:hyperlink>
            <w:r>
              <mc:AlternateContent>
                <mc:Choice Requires="wps">
                  <w:drawing>
                    <wp:anchor behindDoc="0" distT="0" distB="0" distL="114300" distR="0" simplePos="0" locked="0" layoutInCell="1" allowOverlap="1" relativeHeight="386">
                      <wp:simplePos x="0" y="0"/>
                      <wp:positionH relativeFrom="column">
                        <wp:align>left</wp:align>
                      </wp:positionH>
                      <wp:positionV relativeFrom="line">
                        <wp:posOffset>635</wp:posOffset>
                      </wp:positionV>
                      <wp:extent cx="317500" cy="350520"/>
                      <wp:effectExtent l="0" t="0" r="0" b="0"/>
                      <wp:wrapSquare wrapText="right"/>
                      <wp:docPr id="390" name="Frame319"/>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FOPA">
                                    <w:r>
                                      <w:rPr>
                                        <w:rStyle w:val="InternetLink"/>
                                      </w:rPr>
                                      <w:t>(f)</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FOPA">
                              <w:r>
                                <w:rPr>
                                  <w:rStyle w:val="InternetLink"/>
                                </w:rPr>
                                <w:t>(f)</w:t>
                                <w:br/>
                              </w:r>
                            </w:hyperlink>
                          </w:p>
                        </w:txbxContent>
                      </v:textbox>
                      <w10:wrap type="square" side="right"/>
                    </v:rect>
                  </w:pict>
                </mc:Fallback>
              </mc:AlternateContent>
            </w:r>
          </w:p>
          <w:p>
            <w:pPr>
              <w:pStyle w:val="TableContents"/>
              <w:bidi w:val="0"/>
              <w:spacing w:before="0" w:after="0"/>
              <w:ind w:left="0" w:right="0" w:hanging="0"/>
              <w:jc w:val="left"/>
              <w:rPr/>
            </w:pPr>
            <w:hyperlink w:anchor="tFOP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tFOPA">
              <w:r>
                <w:rPr>
                  <w:rStyle w:val="InternetLink"/>
                </w:rPr>
                <w:t xml:space="preserve">A-11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6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GRAH">
              <w:r>
                <w:rPr>
                  <w:rStyle w:val="InternetLink"/>
                </w:rPr>
                <w:t xml:space="preserve">Creditors’ Rights </w:t>
              </w:r>
            </w:hyperlink>
            <w:r>
              <mc:AlternateContent>
                <mc:Choice Requires="wps">
                  <w:drawing>
                    <wp:anchor behindDoc="0" distT="0" distB="0" distL="114300" distR="0" simplePos="0" locked="0" layoutInCell="1" allowOverlap="1" relativeHeight="387">
                      <wp:simplePos x="0" y="0"/>
                      <wp:positionH relativeFrom="column">
                        <wp:align>left</wp:align>
                      </wp:positionH>
                      <wp:positionV relativeFrom="line">
                        <wp:posOffset>635</wp:posOffset>
                      </wp:positionV>
                      <wp:extent cx="317500" cy="350520"/>
                      <wp:effectExtent l="0" t="0" r="0" b="0"/>
                      <wp:wrapSquare wrapText="right"/>
                      <wp:docPr id="391" name="Frame320"/>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GRAH">
                                    <w:r>
                                      <w:rPr>
                                        <w:rStyle w:val="InternetLink"/>
                                      </w:rPr>
                                      <w:t>(g)</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GRAH">
                              <w:r>
                                <w:rPr>
                                  <w:rStyle w:val="InternetLink"/>
                                </w:rPr>
                                <w:t>(g)</w:t>
                                <w:br/>
                              </w:r>
                            </w:hyperlink>
                          </w:p>
                        </w:txbxContent>
                      </v:textbox>
                      <w10:wrap type="square" side="right"/>
                    </v:rect>
                  </w:pict>
                </mc:Fallback>
              </mc:AlternateContent>
            </w:r>
          </w:p>
          <w:p>
            <w:pPr>
              <w:pStyle w:val="TableContents"/>
              <w:bidi w:val="0"/>
              <w:spacing w:before="0" w:after="0"/>
              <w:ind w:left="0" w:right="0" w:hanging="0"/>
              <w:jc w:val="left"/>
              <w:rPr/>
            </w:pPr>
            <w:hyperlink w:anchor="tGRAH">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tGRAH">
              <w:r>
                <w:rPr>
                  <w:rStyle w:val="InternetLink"/>
                </w:rPr>
                <w:t xml:space="preserve">A-11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66" w:type="dxa"/>
            <w:tcBorders/>
            <w:tcMar>
              <w:bottom w:w="0" w:type="dxa"/>
            </w:tcMar>
            <w:vAlign w:val="center"/>
          </w:tcPr>
          <w:p>
            <w:pPr>
              <w:pStyle w:val="TableContents"/>
              <w:bidi w:val="0"/>
              <w:spacing w:before="0" w:after="0"/>
              <w:jc w:val="left"/>
              <w:rPr/>
            </w:pPr>
            <w:hyperlink w:anchor="tS1A">
              <w:r>
                <w:rPr>
                  <w:rStyle w:val="InternetLink"/>
                </w:rPr>
                <w:t xml:space="preserve">SECTION 11.   CASH-BASED AWARDS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tS1A">
              <w:r>
                <w:rPr>
                  <w:rStyle w:val="InternetLink"/>
                </w:rPr>
                <w:t>A-11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66" w:type="dxa"/>
            <w:tcBorders/>
            <w:shd w:fill="CCEEFF" w:val="clear"/>
            <w:tcMar>
              <w:bottom w:w="0" w:type="dxa"/>
            </w:tcMar>
            <w:vAlign w:val="center"/>
          </w:tcPr>
          <w:p>
            <w:pPr>
              <w:pStyle w:val="TableContents"/>
              <w:bidi w:val="0"/>
              <w:spacing w:before="0" w:after="0"/>
              <w:jc w:val="left"/>
              <w:rPr/>
            </w:pPr>
            <w:hyperlink w:anchor="tS1PR">
              <w:r>
                <w:rPr>
                  <w:rStyle w:val="InternetLink"/>
                </w:rPr>
                <w:t xml:space="preserve">SECTION 12.   STOCK PURCHASE RIGHTS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tS1PR">
              <w:r>
                <w:rPr>
                  <w:rStyle w:val="InternetLink"/>
                </w:rPr>
                <w:t>A-11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66" w:type="dxa"/>
            <w:tcBorders/>
            <w:tcMar>
              <w:bottom w:w="0" w:type="dxa"/>
            </w:tcMar>
            <w:vAlign w:val="center"/>
          </w:tcPr>
          <w:p>
            <w:pPr>
              <w:pStyle w:val="TableContents"/>
              <w:bidi w:val="0"/>
              <w:spacing w:before="0" w:after="0"/>
              <w:jc w:val="left"/>
              <w:rPr/>
            </w:pPr>
            <w:hyperlink w:anchor="tS1OS">
              <w:r>
                <w:rPr>
                  <w:rStyle w:val="InternetLink"/>
                </w:rPr>
                <w:t xml:space="preserve">SECTION 13.   ADJUSTMENT OF SHARES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tS1OS">
              <w:r>
                <w:rPr>
                  <w:rStyle w:val="InternetLink"/>
                </w:rPr>
                <w:t>A-12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6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AITE">
              <w:r>
                <w:rPr>
                  <w:rStyle w:val="InternetLink"/>
                </w:rPr>
                <w:t xml:space="preserve">Adjustments </w:t>
              </w:r>
            </w:hyperlink>
            <w:r>
              <mc:AlternateContent>
                <mc:Choice Requires="wps">
                  <w:drawing>
                    <wp:anchor behindDoc="0" distT="0" distB="0" distL="114300" distR="0" simplePos="0" locked="0" layoutInCell="1" allowOverlap="1" relativeHeight="388">
                      <wp:simplePos x="0" y="0"/>
                      <wp:positionH relativeFrom="column">
                        <wp:align>left</wp:align>
                      </wp:positionH>
                      <wp:positionV relativeFrom="line">
                        <wp:posOffset>635</wp:posOffset>
                      </wp:positionV>
                      <wp:extent cx="317500" cy="350520"/>
                      <wp:effectExtent l="0" t="0" r="0" b="0"/>
                      <wp:wrapSquare wrapText="right"/>
                      <wp:docPr id="392" name="Frame321"/>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AITE">
                                    <w:r>
                                      <w:rPr>
                                        <w:rStyle w:val="InternetLink"/>
                                      </w:rPr>
                                      <w:t>(a)</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AITE">
                              <w:r>
                                <w:rPr>
                                  <w:rStyle w:val="InternetLink"/>
                                </w:rPr>
                                <w:t>(a)</w:t>
                                <w:br/>
                              </w:r>
                            </w:hyperlink>
                          </w:p>
                        </w:txbxContent>
                      </v:textbox>
                      <w10:wrap type="square" side="right"/>
                    </v:rect>
                  </w:pict>
                </mc:Fallback>
              </mc:AlternateContent>
            </w:r>
          </w:p>
          <w:p>
            <w:pPr>
              <w:pStyle w:val="TableContents"/>
              <w:bidi w:val="0"/>
              <w:spacing w:before="0" w:after="0"/>
              <w:ind w:left="0" w:right="0" w:hanging="0"/>
              <w:jc w:val="left"/>
              <w:rPr/>
            </w:pPr>
            <w:hyperlink w:anchor="tAIT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tAITE">
              <w:r>
                <w:rPr>
                  <w:rStyle w:val="InternetLink"/>
                </w:rPr>
                <w:t xml:space="preserve">A-12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66" w:type="dxa"/>
            <w:tcBorders/>
            <w:tcMar>
              <w:bottom w:w="0" w:type="dxa"/>
            </w:tcMar>
            <w:vAlign w:val="center"/>
          </w:tcPr>
          <w:p>
            <w:pPr>
              <w:pStyle w:val="TableContents"/>
              <w:bidi w:val="0"/>
              <w:spacing w:lineRule="atLeast" w:line="180" w:before="0" w:after="0"/>
              <w:ind w:left="680" w:right="0" w:hanging="0"/>
              <w:jc w:val="left"/>
              <w:rPr/>
            </w:pPr>
            <w:hyperlink w:anchor="tBOLT">
              <w:r>
                <w:rPr>
                  <w:rStyle w:val="InternetLink"/>
                </w:rPr>
                <w:t xml:space="preserve">Dissolution or Liquidation </w:t>
              </w:r>
            </w:hyperlink>
            <w:r>
              <mc:AlternateContent>
                <mc:Choice Requires="wps">
                  <w:drawing>
                    <wp:anchor behindDoc="0" distT="0" distB="0" distL="114300" distR="0" simplePos="0" locked="0" layoutInCell="1" allowOverlap="1" relativeHeight="389">
                      <wp:simplePos x="0" y="0"/>
                      <wp:positionH relativeFrom="column">
                        <wp:align>left</wp:align>
                      </wp:positionH>
                      <wp:positionV relativeFrom="line">
                        <wp:posOffset>635</wp:posOffset>
                      </wp:positionV>
                      <wp:extent cx="317500" cy="350520"/>
                      <wp:effectExtent l="0" t="0" r="0" b="0"/>
                      <wp:wrapSquare wrapText="right"/>
                      <wp:docPr id="393" name="Frame322"/>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BOLT">
                                    <w:r>
                                      <w:rPr>
                                        <w:rStyle w:val="InternetLink"/>
                                      </w:rPr>
                                      <w:t>(b)</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BOLT">
                              <w:r>
                                <w:rPr>
                                  <w:rStyle w:val="InternetLink"/>
                                </w:rPr>
                                <w:t>(b)</w:t>
                                <w:br/>
                              </w:r>
                            </w:hyperlink>
                          </w:p>
                        </w:txbxContent>
                      </v:textbox>
                      <w10:wrap type="square" side="right"/>
                    </v:rect>
                  </w:pict>
                </mc:Fallback>
              </mc:AlternateContent>
            </w:r>
          </w:p>
          <w:p>
            <w:pPr>
              <w:pStyle w:val="TableContents"/>
              <w:bidi w:val="0"/>
              <w:spacing w:before="0" w:after="0"/>
              <w:ind w:left="0" w:right="0" w:hanging="0"/>
              <w:jc w:val="left"/>
              <w:rPr/>
            </w:pPr>
            <w:hyperlink w:anchor="tBOL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tBOLT">
              <w:r>
                <w:rPr>
                  <w:rStyle w:val="InternetLink"/>
                </w:rPr>
                <w:t xml:space="preserve">A-12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6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CORI">
              <w:r>
                <w:rPr>
                  <w:rStyle w:val="InternetLink"/>
                </w:rPr>
                <w:t xml:space="preserve">Merger or Reorganization </w:t>
              </w:r>
            </w:hyperlink>
            <w:r>
              <mc:AlternateContent>
                <mc:Choice Requires="wps">
                  <w:drawing>
                    <wp:anchor behindDoc="0" distT="0" distB="0" distL="114300" distR="0" simplePos="0" locked="0" layoutInCell="1" allowOverlap="1" relativeHeight="390">
                      <wp:simplePos x="0" y="0"/>
                      <wp:positionH relativeFrom="column">
                        <wp:align>left</wp:align>
                      </wp:positionH>
                      <wp:positionV relativeFrom="line">
                        <wp:posOffset>635</wp:posOffset>
                      </wp:positionV>
                      <wp:extent cx="317500" cy="350520"/>
                      <wp:effectExtent l="0" t="0" r="0" b="0"/>
                      <wp:wrapSquare wrapText="right"/>
                      <wp:docPr id="394" name="Frame323"/>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CORI">
                                    <w:r>
                                      <w:rPr>
                                        <w:rStyle w:val="InternetLink"/>
                                      </w:rPr>
                                      <w:t>(c)</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CORI">
                              <w:r>
                                <w:rPr>
                                  <w:rStyle w:val="InternetLink"/>
                                </w:rPr>
                                <w:t>(c)</w:t>
                                <w:br/>
                              </w:r>
                            </w:hyperlink>
                          </w:p>
                        </w:txbxContent>
                      </v:textbox>
                      <w10:wrap type="square" side="right"/>
                    </v:rect>
                  </w:pict>
                </mc:Fallback>
              </mc:AlternateContent>
            </w:r>
          </w:p>
          <w:p>
            <w:pPr>
              <w:pStyle w:val="TableContents"/>
              <w:bidi w:val="0"/>
              <w:spacing w:before="0" w:after="0"/>
              <w:ind w:left="0" w:right="0" w:hanging="0"/>
              <w:jc w:val="left"/>
              <w:rPr/>
            </w:pPr>
            <w:hyperlink w:anchor="tCOR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tCORI">
              <w:r>
                <w:rPr>
                  <w:rStyle w:val="InternetLink"/>
                </w:rPr>
                <w:t xml:space="preserve">A-12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66" w:type="dxa"/>
            <w:tcBorders/>
            <w:tcMar>
              <w:bottom w:w="0" w:type="dxa"/>
            </w:tcMar>
            <w:vAlign w:val="center"/>
          </w:tcPr>
          <w:p>
            <w:pPr>
              <w:pStyle w:val="TableContents"/>
              <w:bidi w:val="0"/>
              <w:spacing w:lineRule="atLeast" w:line="180" w:before="0" w:after="0"/>
              <w:ind w:left="680" w:right="0" w:hanging="0"/>
              <w:jc w:val="left"/>
              <w:rPr/>
            </w:pPr>
            <w:hyperlink w:anchor="tD">
              <w:r>
                <w:rPr>
                  <w:rStyle w:val="InternetLink"/>
                </w:rPr>
                <w:t xml:space="preserve">Change in Control </w:t>
              </w:r>
            </w:hyperlink>
            <w:r>
              <mc:AlternateContent>
                <mc:Choice Requires="wps">
                  <w:drawing>
                    <wp:anchor behindDoc="0" distT="0" distB="0" distL="114300" distR="0" simplePos="0" locked="0" layoutInCell="1" allowOverlap="1" relativeHeight="391">
                      <wp:simplePos x="0" y="0"/>
                      <wp:positionH relativeFrom="column">
                        <wp:align>left</wp:align>
                      </wp:positionH>
                      <wp:positionV relativeFrom="line">
                        <wp:posOffset>635</wp:posOffset>
                      </wp:positionV>
                      <wp:extent cx="317500" cy="350520"/>
                      <wp:effectExtent l="0" t="0" r="0" b="0"/>
                      <wp:wrapSquare wrapText="right"/>
                      <wp:docPr id="395" name="Frame324"/>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D">
                                    <w:r>
                                      <w:rPr>
                                        <w:rStyle w:val="InternetLink"/>
                                      </w:rPr>
                                      <w:t>(d)</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D">
                              <w:r>
                                <w:rPr>
                                  <w:rStyle w:val="InternetLink"/>
                                </w:rPr>
                                <w:t>(d)</w:t>
                                <w:br/>
                              </w:r>
                            </w:hyperlink>
                          </w:p>
                        </w:txbxContent>
                      </v:textbox>
                      <w10:wrap type="square" side="right"/>
                    </v:rect>
                  </w:pict>
                </mc:Fallback>
              </mc:AlternateContent>
            </w:r>
          </w:p>
          <w:p>
            <w:pPr>
              <w:pStyle w:val="TableContents"/>
              <w:bidi w:val="0"/>
              <w:spacing w:before="0" w:after="0"/>
              <w:ind w:left="0" w:right="0" w:hanging="0"/>
              <w:jc w:val="left"/>
              <w:rPr/>
            </w:pPr>
            <w:hyperlink w:anchor="tD">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tD">
              <w:r>
                <w:rPr>
                  <w:rStyle w:val="InternetLink"/>
                </w:rPr>
                <w:t xml:space="preserve">A-13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6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EORE">
              <w:r>
                <w:rPr>
                  <w:rStyle w:val="InternetLink"/>
                </w:rPr>
                <w:t xml:space="preserve">Reservation of Rights </w:t>
              </w:r>
            </w:hyperlink>
            <w:r>
              <mc:AlternateContent>
                <mc:Choice Requires="wps">
                  <w:drawing>
                    <wp:anchor behindDoc="0" distT="0" distB="0" distL="114300" distR="0" simplePos="0" locked="0" layoutInCell="1" allowOverlap="1" relativeHeight="392">
                      <wp:simplePos x="0" y="0"/>
                      <wp:positionH relativeFrom="column">
                        <wp:align>left</wp:align>
                      </wp:positionH>
                      <wp:positionV relativeFrom="line">
                        <wp:posOffset>635</wp:posOffset>
                      </wp:positionV>
                      <wp:extent cx="317500" cy="350520"/>
                      <wp:effectExtent l="0" t="0" r="0" b="0"/>
                      <wp:wrapSquare wrapText="right"/>
                      <wp:docPr id="396" name="Frame325"/>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EORE">
                                    <w:r>
                                      <w:rPr>
                                        <w:rStyle w:val="InternetLink"/>
                                      </w:rPr>
                                      <w:t>(e)</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EORE">
                              <w:r>
                                <w:rPr>
                                  <w:rStyle w:val="InternetLink"/>
                                </w:rPr>
                                <w:t>(e)</w:t>
                                <w:br/>
                              </w:r>
                            </w:hyperlink>
                          </w:p>
                        </w:txbxContent>
                      </v:textbox>
                      <w10:wrap type="square" side="right"/>
                    </v:rect>
                  </w:pict>
                </mc:Fallback>
              </mc:AlternateContent>
            </w:r>
          </w:p>
          <w:p>
            <w:pPr>
              <w:pStyle w:val="TableContents"/>
              <w:bidi w:val="0"/>
              <w:spacing w:before="0" w:after="0"/>
              <w:ind w:left="0" w:right="0" w:hanging="0"/>
              <w:jc w:val="left"/>
              <w:rPr/>
            </w:pPr>
            <w:hyperlink w:anchor="tEOR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tEORE">
              <w:r>
                <w:rPr>
                  <w:rStyle w:val="InternetLink"/>
                </w:rPr>
                <w:t xml:space="preserve">A-13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66" w:type="dxa"/>
            <w:tcBorders/>
            <w:tcMar>
              <w:bottom w:w="0" w:type="dxa"/>
            </w:tcMar>
            <w:vAlign w:val="center"/>
          </w:tcPr>
          <w:p>
            <w:pPr>
              <w:pStyle w:val="TableContents"/>
              <w:bidi w:val="0"/>
              <w:spacing w:before="0" w:after="0"/>
              <w:jc w:val="left"/>
              <w:rPr/>
            </w:pPr>
            <w:hyperlink w:anchor="tS1OA">
              <w:r>
                <w:rPr>
                  <w:rStyle w:val="InternetLink"/>
                </w:rPr>
                <w:t xml:space="preserve">SECTION 14.   DEFERRAL OF AWARDS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tS1OA">
              <w:r>
                <w:rPr>
                  <w:rStyle w:val="InternetLink"/>
                </w:rPr>
                <w:t>A-13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66"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APST">
              <w:r>
                <w:rPr>
                  <w:rStyle w:val="InternetLink"/>
                </w:rPr>
                <w:t xml:space="preserve">Committee Powers </w:t>
              </w:r>
            </w:hyperlink>
            <w:r>
              <mc:AlternateContent>
                <mc:Choice Requires="wps">
                  <w:drawing>
                    <wp:anchor behindDoc="0" distT="0" distB="0" distL="114300" distR="0" simplePos="0" locked="0" layoutInCell="1" allowOverlap="1" relativeHeight="393">
                      <wp:simplePos x="0" y="0"/>
                      <wp:positionH relativeFrom="column">
                        <wp:align>left</wp:align>
                      </wp:positionH>
                      <wp:positionV relativeFrom="line">
                        <wp:posOffset>635</wp:posOffset>
                      </wp:positionV>
                      <wp:extent cx="317500" cy="350520"/>
                      <wp:effectExtent l="0" t="0" r="0" b="0"/>
                      <wp:wrapSquare wrapText="right"/>
                      <wp:docPr id="397" name="Frame326"/>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APST">
                                    <w:r>
                                      <w:rPr>
                                        <w:rStyle w:val="InternetLink"/>
                                      </w:rPr>
                                      <w:t>(a)</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APST">
                              <w:r>
                                <w:rPr>
                                  <w:rStyle w:val="InternetLink"/>
                                </w:rPr>
                                <w:t>(a)</w:t>
                                <w:br/>
                              </w:r>
                            </w:hyperlink>
                          </w:p>
                        </w:txbxContent>
                      </v:textbox>
                      <w10:wrap type="square" side="right"/>
                    </v:rect>
                  </w:pict>
                </mc:Fallback>
              </mc:AlternateContent>
            </w:r>
          </w:p>
          <w:p>
            <w:pPr>
              <w:pStyle w:val="TableContents"/>
              <w:bidi w:val="0"/>
              <w:spacing w:before="0" w:after="0"/>
              <w:ind w:left="0" w:right="0" w:hanging="0"/>
              <w:jc w:val="left"/>
              <w:rPr/>
            </w:pPr>
            <w:hyperlink w:anchor="tAPS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tAPST">
              <w:r>
                <w:rPr>
                  <w:rStyle w:val="InternetLink"/>
                </w:rPr>
                <w:t xml:space="preserve">A-13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066" w:type="dxa"/>
            <w:tcBorders/>
            <w:tcMar>
              <w:bottom w:w="0" w:type="dxa"/>
            </w:tcMar>
            <w:vAlign w:val="center"/>
          </w:tcPr>
          <w:p>
            <w:pPr>
              <w:pStyle w:val="TableContents"/>
              <w:bidi w:val="0"/>
              <w:spacing w:lineRule="atLeast" w:line="180" w:before="0" w:after="0"/>
              <w:ind w:left="680" w:right="0" w:hanging="0"/>
              <w:jc w:val="left"/>
              <w:rPr/>
            </w:pPr>
            <w:hyperlink w:anchor="tBRAD">
              <w:r>
                <w:rPr>
                  <w:rStyle w:val="InternetLink"/>
                </w:rPr>
                <w:t xml:space="preserve">General Rules </w:t>
              </w:r>
            </w:hyperlink>
            <w:r>
              <mc:AlternateContent>
                <mc:Choice Requires="wps">
                  <w:drawing>
                    <wp:anchor behindDoc="0" distT="0" distB="0" distL="114300" distR="0" simplePos="0" locked="0" layoutInCell="1" allowOverlap="1" relativeHeight="394">
                      <wp:simplePos x="0" y="0"/>
                      <wp:positionH relativeFrom="column">
                        <wp:align>left</wp:align>
                      </wp:positionH>
                      <wp:positionV relativeFrom="line">
                        <wp:posOffset>635</wp:posOffset>
                      </wp:positionV>
                      <wp:extent cx="317500" cy="350520"/>
                      <wp:effectExtent l="0" t="0" r="0" b="0"/>
                      <wp:wrapSquare wrapText="right"/>
                      <wp:docPr id="398" name="Frame327"/>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BRAD">
                                    <w:r>
                                      <w:rPr>
                                        <w:rStyle w:val="InternetLink"/>
                                      </w:rPr>
                                      <w:t>(b)</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BRAD">
                              <w:r>
                                <w:rPr>
                                  <w:rStyle w:val="InternetLink"/>
                                </w:rPr>
                                <w:t>(b)</w:t>
                                <w:br/>
                              </w:r>
                            </w:hyperlink>
                          </w:p>
                        </w:txbxContent>
                      </v:textbox>
                      <w10:wrap type="square" side="right"/>
                    </v:rect>
                  </w:pict>
                </mc:Fallback>
              </mc:AlternateContent>
            </w:r>
          </w:p>
          <w:p>
            <w:pPr>
              <w:pStyle w:val="TableContents"/>
              <w:bidi w:val="0"/>
              <w:spacing w:before="0" w:after="0"/>
              <w:ind w:left="0" w:right="0" w:hanging="0"/>
              <w:jc w:val="left"/>
              <w:rPr/>
            </w:pPr>
            <w:hyperlink w:anchor="tBRAD">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hyperlink w:anchor="tBRAD">
              <w:r>
                <w:rPr>
                  <w:rStyle w:val="InternetLink"/>
                </w:rPr>
                <w:t xml:space="preserve">A-13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066" w:type="dxa"/>
            <w:tcBorders/>
            <w:shd w:fill="CCEEFF" w:val="clear"/>
            <w:tcMar>
              <w:bottom w:w="0" w:type="dxa"/>
            </w:tcMar>
            <w:vAlign w:val="center"/>
          </w:tcPr>
          <w:p>
            <w:pPr>
              <w:pStyle w:val="TableContents"/>
              <w:bidi w:val="0"/>
              <w:spacing w:before="0" w:after="0"/>
              <w:jc w:val="left"/>
              <w:rPr/>
            </w:pPr>
            <w:hyperlink w:anchor="tS1UO">
              <w:r>
                <w:rPr>
                  <w:rStyle w:val="InternetLink"/>
                </w:rPr>
                <w:t xml:space="preserve">SECTION 15.   AWARDS UNDER OTHER PLANS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hyperlink w:anchor="tS1UO">
              <w:r>
                <w:rPr>
                  <w:rStyle w:val="InternetLink"/>
                </w:rPr>
                <w:t>A-14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3243" w:type="dxa"/>
        <w:jc w:val="left"/>
        <w:tblInd w:w="720" w:type="dxa"/>
        <w:tblLayout w:type="fixed"/>
        <w:tblCellMar>
          <w:top w:w="0" w:type="dxa"/>
          <w:left w:w="0" w:type="dxa"/>
          <w:bottom w:w="0" w:type="dxa"/>
          <w:right w:w="0" w:type="dxa"/>
        </w:tblCellMar>
      </w:tblPr>
      <w:tblGrid>
        <w:gridCol w:w="124"/>
        <w:gridCol w:w="2206"/>
        <w:gridCol w:w="109"/>
        <w:gridCol w:w="109"/>
        <w:gridCol w:w="541"/>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41" w:type="dxa"/>
            <w:tcBorders/>
            <w:vAlign w:val="center"/>
          </w:tcPr>
          <w:p>
            <w:pPr>
              <w:pStyle w:val="TableContents"/>
              <w:bidi w:val="0"/>
              <w:spacing w:before="0" w:after="0"/>
              <w:jc w:val="right"/>
              <w:rPr>
                <w:b/>
              </w:rPr>
            </w:pPr>
            <w:r>
              <w:rPr>
                <w:b/>
              </w:rPr>
              <w:t>A-iii</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OC6"/>
      <w:bookmarkEnd w:id="32"/>
      <w:r>
        <w:rPr>
          <w:rFonts w:ascii="calibri;arial;sans-serif" w:hAnsi="calibri;arial;sans-serif"/>
          <w:b w:val="false"/>
          <w:i w:val="false"/>
          <w:caps w:val="false"/>
          <w:smallCaps w:val="false"/>
          <w:color w:val="000000"/>
          <w:sz w:val="16"/>
        </w:rPr>
        <w:t xml:space="preserve">​ </w:t>
      </w:r>
    </w:p>
    <w:tbl>
      <w:tblPr>
        <w:tblW w:w="9485" w:type="dxa"/>
        <w:jc w:val="left"/>
        <w:tblInd w:w="720" w:type="dxa"/>
        <w:tblLayout w:type="fixed"/>
        <w:tblCellMar>
          <w:top w:w="0" w:type="dxa"/>
          <w:left w:w="0" w:type="dxa"/>
          <w:bottom w:w="28" w:type="dxa"/>
          <w:right w:w="0" w:type="dxa"/>
        </w:tblCellMar>
      </w:tblPr>
      <w:tblGrid>
        <w:gridCol w:w="8160"/>
        <w:gridCol w:w="109"/>
        <w:gridCol w:w="109"/>
        <w:gridCol w:w="109"/>
        <w:gridCol w:w="109"/>
        <w:gridCol w:w="625"/>
        <w:gridCol w:w="109"/>
        <w:gridCol w:w="155"/>
      </w:tblGrid>
      <w:tr>
        <w:trPr/>
        <w:tc>
          <w:tcPr>
            <w:tcW w:w="8160"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952" w:type="dxa"/>
            <w:gridSpan w:val="4"/>
            <w:tcBorders>
              <w:bottom w:val="single" w:sz="12" w:space="0" w:color="000000"/>
            </w:tcBorders>
            <w:tcMar>
              <w:bottom w:w="80" w:type="dxa"/>
            </w:tcMar>
            <w:vAlign w:val="center"/>
          </w:tcPr>
          <w:p>
            <w:pPr>
              <w:pStyle w:val="TableContents"/>
              <w:bidi w:val="0"/>
              <w:spacing w:before="0" w:after="0"/>
              <w:jc w:val="center"/>
              <w:rPr/>
            </w:pPr>
            <w:r>
              <w:rPr/>
              <w:t xml:space="preserve">Page </w:t>
            </w:r>
          </w:p>
        </w:tc>
        <w:tc>
          <w:tcPr>
            <w:tcW w:w="155" w:type="dxa"/>
            <w:tcBorders>
              <w:bottom w:val="single" w:sz="12" w:space="0" w:color="FFFFFF"/>
            </w:tcBorders>
            <w:vAlign w:val="center"/>
          </w:tcPr>
          <w:p>
            <w:pPr>
              <w:pStyle w:val="TableContents"/>
              <w:bidi w:val="0"/>
              <w:spacing w:before="0" w:after="283"/>
              <w:jc w:val="left"/>
              <w:rPr/>
            </w:pPr>
            <w:r>
              <w:rPr/>
              <w:t>​</w:t>
            </w:r>
          </w:p>
        </w:tc>
      </w:tr>
      <w:tr>
        <w:trPr/>
        <w:tc>
          <w:tcPr>
            <w:tcW w:w="8160" w:type="dxa"/>
            <w:tcBorders/>
            <w:shd w:fill="CCEEFF" w:val="clear"/>
            <w:tcMar>
              <w:bottom w:w="0" w:type="dxa"/>
            </w:tcMar>
            <w:vAlign w:val="center"/>
          </w:tcPr>
          <w:p>
            <w:pPr>
              <w:pStyle w:val="TableContents"/>
              <w:bidi w:val="0"/>
              <w:spacing w:before="0" w:after="0"/>
              <w:jc w:val="left"/>
              <w:rPr/>
            </w:pPr>
            <w:hyperlink w:anchor="tS1OD">
              <w:r>
                <w:rPr>
                  <w:rStyle w:val="InternetLink"/>
                </w:rPr>
                <w:t xml:space="preserve">SECTION 16.   PAYMENT OF DIRECTOR’S FEES IN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5" w:type="dxa"/>
            <w:tcBorders/>
            <w:shd w:fill="CCEEFF" w:val="clear"/>
            <w:tcMar>
              <w:bottom w:w="0" w:type="dxa"/>
            </w:tcMar>
            <w:vAlign w:val="center"/>
          </w:tcPr>
          <w:p>
            <w:pPr>
              <w:pStyle w:val="TableContents"/>
              <w:bidi w:val="0"/>
              <w:spacing w:before="0" w:after="283"/>
              <w:jc w:val="right"/>
              <w:rPr/>
            </w:pPr>
            <w:hyperlink w:anchor="tS1OD">
              <w:r>
                <w:rPr>
                  <w:rStyle w:val="InternetLink"/>
                </w:rPr>
                <w:t>A-14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160" w:type="dxa"/>
            <w:tcBorders/>
            <w:tcMar>
              <w:bottom w:w="0" w:type="dxa"/>
            </w:tcMar>
            <w:vAlign w:val="center"/>
          </w:tcPr>
          <w:p>
            <w:pPr>
              <w:pStyle w:val="TableContents"/>
              <w:bidi w:val="0"/>
              <w:spacing w:lineRule="atLeast" w:line="180" w:before="0" w:after="0"/>
              <w:ind w:left="680" w:right="0" w:hanging="0"/>
              <w:jc w:val="left"/>
              <w:rPr/>
            </w:pPr>
            <w:hyperlink w:anchor="tADNP">
              <w:r>
                <w:rPr>
                  <w:rStyle w:val="InternetLink"/>
                </w:rPr>
                <w:t xml:space="preserve">Effective Date </w:t>
              </w:r>
            </w:hyperlink>
            <w:r>
              <mc:AlternateContent>
                <mc:Choice Requires="wps">
                  <w:drawing>
                    <wp:anchor behindDoc="0" distT="0" distB="0" distL="114300" distR="0" simplePos="0" locked="0" layoutInCell="1" allowOverlap="1" relativeHeight="395">
                      <wp:simplePos x="0" y="0"/>
                      <wp:positionH relativeFrom="column">
                        <wp:align>left</wp:align>
                      </wp:positionH>
                      <wp:positionV relativeFrom="line">
                        <wp:posOffset>635</wp:posOffset>
                      </wp:positionV>
                      <wp:extent cx="317500" cy="350520"/>
                      <wp:effectExtent l="0" t="0" r="0" b="0"/>
                      <wp:wrapSquare wrapText="right"/>
                      <wp:docPr id="399" name="Frame328"/>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ADNP">
                                    <w:r>
                                      <w:rPr>
                                        <w:rStyle w:val="InternetLink"/>
                                      </w:rPr>
                                      <w:t>(a)</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ADNP">
                              <w:r>
                                <w:rPr>
                                  <w:rStyle w:val="InternetLink"/>
                                </w:rPr>
                                <w:t>(a)</w:t>
                                <w:br/>
                              </w:r>
                            </w:hyperlink>
                          </w:p>
                        </w:txbxContent>
                      </v:textbox>
                      <w10:wrap type="square" side="right"/>
                    </v:rect>
                  </w:pict>
                </mc:Fallback>
              </mc:AlternateContent>
            </w:r>
          </w:p>
          <w:p>
            <w:pPr>
              <w:pStyle w:val="TableContents"/>
              <w:bidi w:val="0"/>
              <w:spacing w:before="0" w:after="0"/>
              <w:ind w:left="0" w:right="0" w:hanging="0"/>
              <w:jc w:val="left"/>
              <w:rPr/>
            </w:pPr>
            <w:hyperlink w:anchor="tADN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5" w:type="dxa"/>
            <w:tcBorders/>
            <w:tcMar>
              <w:bottom w:w="0" w:type="dxa"/>
            </w:tcMar>
            <w:vAlign w:val="center"/>
          </w:tcPr>
          <w:p>
            <w:pPr>
              <w:pStyle w:val="TableContents"/>
              <w:bidi w:val="0"/>
              <w:spacing w:before="0" w:after="283"/>
              <w:jc w:val="right"/>
              <w:rPr/>
            </w:pPr>
            <w:hyperlink w:anchor="tADNP">
              <w:r>
                <w:rPr>
                  <w:rStyle w:val="InternetLink"/>
                </w:rPr>
                <w:t xml:space="preserve">A-14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160"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BTRN">
              <w:r>
                <w:rPr>
                  <w:rStyle w:val="InternetLink"/>
                </w:rPr>
                <w:t xml:space="preserve">Elections to Receive NSOs, SARs, Restricted Shares, or Restricted Stock Units </w:t>
              </w:r>
            </w:hyperlink>
            <w:r>
              <mc:AlternateContent>
                <mc:Choice Requires="wps">
                  <w:drawing>
                    <wp:anchor behindDoc="0" distT="0" distB="0" distL="114300" distR="0" simplePos="0" locked="0" layoutInCell="1" allowOverlap="1" relativeHeight="396">
                      <wp:simplePos x="0" y="0"/>
                      <wp:positionH relativeFrom="column">
                        <wp:align>left</wp:align>
                      </wp:positionH>
                      <wp:positionV relativeFrom="line">
                        <wp:posOffset>635</wp:posOffset>
                      </wp:positionV>
                      <wp:extent cx="317500" cy="350520"/>
                      <wp:effectExtent l="0" t="0" r="0" b="0"/>
                      <wp:wrapSquare wrapText="right"/>
                      <wp:docPr id="400" name="Frame329"/>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BTRN">
                                    <w:r>
                                      <w:rPr>
                                        <w:rStyle w:val="InternetLink"/>
                                      </w:rPr>
                                      <w:t>(b)</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BTRN">
                              <w:r>
                                <w:rPr>
                                  <w:rStyle w:val="InternetLink"/>
                                </w:rPr>
                                <w:t>(b)</w:t>
                                <w:br/>
                              </w:r>
                            </w:hyperlink>
                          </w:p>
                        </w:txbxContent>
                      </v:textbox>
                      <w10:wrap type="square" side="right"/>
                    </v:rect>
                  </w:pict>
                </mc:Fallback>
              </mc:AlternateContent>
            </w:r>
          </w:p>
          <w:p>
            <w:pPr>
              <w:pStyle w:val="TableContents"/>
              <w:bidi w:val="0"/>
              <w:spacing w:before="0" w:after="0"/>
              <w:ind w:left="0" w:right="0" w:hanging="0"/>
              <w:jc w:val="left"/>
              <w:rPr/>
            </w:pPr>
            <w:hyperlink w:anchor="tBTRN">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5" w:type="dxa"/>
            <w:tcBorders/>
            <w:shd w:fill="CCEEFF" w:val="clear"/>
            <w:tcMar>
              <w:bottom w:w="0" w:type="dxa"/>
            </w:tcMar>
            <w:vAlign w:val="center"/>
          </w:tcPr>
          <w:p>
            <w:pPr>
              <w:pStyle w:val="TableContents"/>
              <w:bidi w:val="0"/>
              <w:spacing w:before="0" w:after="283"/>
              <w:jc w:val="right"/>
              <w:rPr/>
            </w:pPr>
            <w:hyperlink w:anchor="tBTRN">
              <w:r>
                <w:rPr>
                  <w:rStyle w:val="InternetLink"/>
                </w:rPr>
                <w:t xml:space="preserve">A-14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160" w:type="dxa"/>
            <w:tcBorders/>
            <w:tcMar>
              <w:bottom w:w="0" w:type="dxa"/>
            </w:tcMar>
            <w:vAlign w:val="center"/>
          </w:tcPr>
          <w:p>
            <w:pPr>
              <w:pStyle w:val="TableContents"/>
              <w:bidi w:val="0"/>
              <w:spacing w:lineRule="atLeast" w:line="180" w:before="0" w:after="0"/>
              <w:ind w:left="680" w:right="0" w:hanging="0"/>
              <w:jc w:val="left"/>
              <w:rPr/>
            </w:pPr>
            <w:hyperlink w:anchor="tCATO">
              <w:r>
                <w:rPr>
                  <w:rStyle w:val="InternetLink"/>
                </w:rPr>
                <w:t xml:space="preserve">Number and Terms of NSOs, SARs, Restricted Shares or Restricted Stock Units </w:t>
              </w:r>
            </w:hyperlink>
            <w:r>
              <mc:AlternateContent>
                <mc:Choice Requires="wps">
                  <w:drawing>
                    <wp:anchor behindDoc="0" distT="0" distB="0" distL="114300" distR="0" simplePos="0" locked="0" layoutInCell="1" allowOverlap="1" relativeHeight="397">
                      <wp:simplePos x="0" y="0"/>
                      <wp:positionH relativeFrom="column">
                        <wp:align>left</wp:align>
                      </wp:positionH>
                      <wp:positionV relativeFrom="line">
                        <wp:posOffset>635</wp:posOffset>
                      </wp:positionV>
                      <wp:extent cx="317500" cy="350520"/>
                      <wp:effectExtent l="0" t="0" r="0" b="0"/>
                      <wp:wrapSquare wrapText="right"/>
                      <wp:docPr id="401" name="Frame330"/>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CATO">
                                    <w:r>
                                      <w:rPr>
                                        <w:rStyle w:val="InternetLink"/>
                                      </w:rPr>
                                      <w:t>(c)</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CATO">
                              <w:r>
                                <w:rPr>
                                  <w:rStyle w:val="InternetLink"/>
                                </w:rPr>
                                <w:t>(c)</w:t>
                                <w:br/>
                              </w:r>
                            </w:hyperlink>
                          </w:p>
                        </w:txbxContent>
                      </v:textbox>
                      <w10:wrap type="square" side="right"/>
                    </v:rect>
                  </w:pict>
                </mc:Fallback>
              </mc:AlternateContent>
            </w:r>
          </w:p>
          <w:p>
            <w:pPr>
              <w:pStyle w:val="TableContents"/>
              <w:bidi w:val="0"/>
              <w:spacing w:before="0" w:after="0"/>
              <w:ind w:left="0" w:right="0" w:hanging="0"/>
              <w:jc w:val="left"/>
              <w:rPr/>
            </w:pPr>
            <w:hyperlink w:anchor="tCAT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5" w:type="dxa"/>
            <w:tcBorders/>
            <w:tcMar>
              <w:bottom w:w="0" w:type="dxa"/>
            </w:tcMar>
            <w:vAlign w:val="center"/>
          </w:tcPr>
          <w:p>
            <w:pPr>
              <w:pStyle w:val="TableContents"/>
              <w:bidi w:val="0"/>
              <w:spacing w:before="0" w:after="283"/>
              <w:jc w:val="right"/>
              <w:rPr/>
            </w:pPr>
            <w:hyperlink w:anchor="tCATO">
              <w:r>
                <w:rPr>
                  <w:rStyle w:val="InternetLink"/>
                </w:rPr>
                <w:t xml:space="preserve">A-14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160" w:type="dxa"/>
            <w:tcBorders/>
            <w:shd w:fill="CCEEFF" w:val="clear"/>
            <w:tcMar>
              <w:bottom w:w="0" w:type="dxa"/>
            </w:tcMar>
            <w:vAlign w:val="center"/>
          </w:tcPr>
          <w:p>
            <w:pPr>
              <w:pStyle w:val="TableContents"/>
              <w:bidi w:val="0"/>
              <w:spacing w:before="0" w:after="0"/>
              <w:jc w:val="left"/>
              <w:rPr/>
            </w:pPr>
            <w:hyperlink w:anchor="tS1AR">
              <w:r>
                <w:rPr>
                  <w:rStyle w:val="InternetLink"/>
                </w:rPr>
                <w:t xml:space="preserve">SECTION 17.   LEGAL AND REGULATORY REQUIREMENTS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5" w:type="dxa"/>
            <w:tcBorders/>
            <w:shd w:fill="CCEEFF" w:val="clear"/>
            <w:tcMar>
              <w:bottom w:w="0" w:type="dxa"/>
            </w:tcMar>
            <w:vAlign w:val="center"/>
          </w:tcPr>
          <w:p>
            <w:pPr>
              <w:pStyle w:val="TableContents"/>
              <w:bidi w:val="0"/>
              <w:spacing w:before="0" w:after="283"/>
              <w:jc w:val="right"/>
              <w:rPr/>
            </w:pPr>
            <w:hyperlink w:anchor="tS1AR">
              <w:r>
                <w:rPr>
                  <w:rStyle w:val="InternetLink"/>
                </w:rPr>
                <w:t>A-14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160" w:type="dxa"/>
            <w:tcBorders/>
            <w:tcMar>
              <w:bottom w:w="0" w:type="dxa"/>
            </w:tcMar>
            <w:vAlign w:val="center"/>
          </w:tcPr>
          <w:p>
            <w:pPr>
              <w:pStyle w:val="TableContents"/>
              <w:bidi w:val="0"/>
              <w:spacing w:before="0" w:after="0"/>
              <w:jc w:val="left"/>
              <w:rPr/>
            </w:pPr>
            <w:hyperlink w:anchor="tSE18">
              <w:r>
                <w:rPr>
                  <w:rStyle w:val="InternetLink"/>
                </w:rPr>
                <w:t xml:space="preserve">SECTION 18.   TAXES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5" w:type="dxa"/>
            <w:tcBorders/>
            <w:tcMar>
              <w:bottom w:w="0" w:type="dxa"/>
            </w:tcMar>
            <w:vAlign w:val="center"/>
          </w:tcPr>
          <w:p>
            <w:pPr>
              <w:pStyle w:val="TableContents"/>
              <w:bidi w:val="0"/>
              <w:spacing w:before="0" w:after="283"/>
              <w:jc w:val="right"/>
              <w:rPr/>
            </w:pPr>
            <w:hyperlink w:anchor="tSE18">
              <w:r>
                <w:rPr>
                  <w:rStyle w:val="InternetLink"/>
                </w:rPr>
                <w:t>A-14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160"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ATTT">
              <w:r>
                <w:rPr>
                  <w:rStyle w:val="InternetLink"/>
                </w:rPr>
                <w:t xml:space="preserve">Withholding Taxes </w:t>
              </w:r>
            </w:hyperlink>
            <w:r>
              <mc:AlternateContent>
                <mc:Choice Requires="wps">
                  <w:drawing>
                    <wp:anchor behindDoc="0" distT="0" distB="0" distL="114300" distR="0" simplePos="0" locked="0" layoutInCell="1" allowOverlap="1" relativeHeight="398">
                      <wp:simplePos x="0" y="0"/>
                      <wp:positionH relativeFrom="column">
                        <wp:align>left</wp:align>
                      </wp:positionH>
                      <wp:positionV relativeFrom="line">
                        <wp:posOffset>635</wp:posOffset>
                      </wp:positionV>
                      <wp:extent cx="317500" cy="350520"/>
                      <wp:effectExtent l="0" t="0" r="0" b="0"/>
                      <wp:wrapSquare wrapText="right"/>
                      <wp:docPr id="402" name="Frame331"/>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ATTT">
                                    <w:r>
                                      <w:rPr>
                                        <w:rStyle w:val="InternetLink"/>
                                      </w:rPr>
                                      <w:t>(a)</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ATTT">
                              <w:r>
                                <w:rPr>
                                  <w:rStyle w:val="InternetLink"/>
                                </w:rPr>
                                <w:t>(a)</w:t>
                                <w:br/>
                              </w:r>
                            </w:hyperlink>
                          </w:p>
                        </w:txbxContent>
                      </v:textbox>
                      <w10:wrap type="square" side="right"/>
                    </v:rect>
                  </w:pict>
                </mc:Fallback>
              </mc:AlternateContent>
            </w:r>
          </w:p>
          <w:p>
            <w:pPr>
              <w:pStyle w:val="TableContents"/>
              <w:bidi w:val="0"/>
              <w:spacing w:before="0" w:after="0"/>
              <w:ind w:left="0" w:right="0" w:hanging="0"/>
              <w:jc w:val="left"/>
              <w:rPr/>
            </w:pPr>
            <w:hyperlink w:anchor="tATT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5" w:type="dxa"/>
            <w:tcBorders/>
            <w:shd w:fill="CCEEFF" w:val="clear"/>
            <w:tcMar>
              <w:bottom w:w="0" w:type="dxa"/>
            </w:tcMar>
            <w:vAlign w:val="center"/>
          </w:tcPr>
          <w:p>
            <w:pPr>
              <w:pStyle w:val="TableContents"/>
              <w:bidi w:val="0"/>
              <w:spacing w:before="0" w:after="283"/>
              <w:jc w:val="right"/>
              <w:rPr/>
            </w:pPr>
            <w:hyperlink w:anchor="tATTT">
              <w:r>
                <w:rPr>
                  <w:rStyle w:val="InternetLink"/>
                </w:rPr>
                <w:t xml:space="preserve">A-14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160" w:type="dxa"/>
            <w:tcBorders/>
            <w:tcMar>
              <w:bottom w:w="0" w:type="dxa"/>
            </w:tcMar>
            <w:vAlign w:val="center"/>
          </w:tcPr>
          <w:p>
            <w:pPr>
              <w:pStyle w:val="TableContents"/>
              <w:bidi w:val="0"/>
              <w:spacing w:lineRule="atLeast" w:line="180" w:before="0" w:after="0"/>
              <w:ind w:left="680" w:right="0" w:hanging="0"/>
              <w:jc w:val="left"/>
              <w:rPr/>
            </w:pPr>
            <w:hyperlink w:anchor="tBWTC">
              <w:r>
                <w:rPr>
                  <w:rStyle w:val="InternetLink"/>
                </w:rPr>
                <w:t xml:space="preserve">Share Withholding </w:t>
              </w:r>
            </w:hyperlink>
            <w:r>
              <mc:AlternateContent>
                <mc:Choice Requires="wps">
                  <w:drawing>
                    <wp:anchor behindDoc="0" distT="0" distB="0" distL="114300" distR="0" simplePos="0" locked="0" layoutInCell="1" allowOverlap="1" relativeHeight="399">
                      <wp:simplePos x="0" y="0"/>
                      <wp:positionH relativeFrom="column">
                        <wp:align>left</wp:align>
                      </wp:positionH>
                      <wp:positionV relativeFrom="line">
                        <wp:posOffset>635</wp:posOffset>
                      </wp:positionV>
                      <wp:extent cx="317500" cy="350520"/>
                      <wp:effectExtent l="0" t="0" r="0" b="0"/>
                      <wp:wrapSquare wrapText="right"/>
                      <wp:docPr id="403" name="Frame332"/>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BWTC">
                                    <w:r>
                                      <w:rPr>
                                        <w:rStyle w:val="InternetLink"/>
                                      </w:rPr>
                                      <w:t>(b)</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BWTC">
                              <w:r>
                                <w:rPr>
                                  <w:rStyle w:val="InternetLink"/>
                                </w:rPr>
                                <w:t>(b)</w:t>
                                <w:br/>
                              </w:r>
                            </w:hyperlink>
                          </w:p>
                        </w:txbxContent>
                      </v:textbox>
                      <w10:wrap type="square" side="right"/>
                    </v:rect>
                  </w:pict>
                </mc:Fallback>
              </mc:AlternateContent>
            </w:r>
          </w:p>
          <w:p>
            <w:pPr>
              <w:pStyle w:val="TableContents"/>
              <w:bidi w:val="0"/>
              <w:spacing w:before="0" w:after="0"/>
              <w:ind w:left="0" w:right="0" w:hanging="0"/>
              <w:jc w:val="left"/>
              <w:rPr/>
            </w:pPr>
            <w:hyperlink w:anchor="tBWT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5" w:type="dxa"/>
            <w:tcBorders/>
            <w:tcMar>
              <w:bottom w:w="0" w:type="dxa"/>
            </w:tcMar>
            <w:vAlign w:val="center"/>
          </w:tcPr>
          <w:p>
            <w:pPr>
              <w:pStyle w:val="TableContents"/>
              <w:bidi w:val="0"/>
              <w:spacing w:before="0" w:after="283"/>
              <w:jc w:val="right"/>
              <w:rPr/>
            </w:pPr>
            <w:hyperlink w:anchor="tBWTC">
              <w:r>
                <w:rPr>
                  <w:rStyle w:val="InternetLink"/>
                </w:rPr>
                <w:t xml:space="preserve">A-14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160"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C4AT">
              <w:r>
                <w:rPr>
                  <w:rStyle w:val="InternetLink"/>
                </w:rPr>
                <w:t xml:space="preserve">Section 409A </w:t>
              </w:r>
            </w:hyperlink>
            <w:r>
              <mc:AlternateContent>
                <mc:Choice Requires="wps">
                  <w:drawing>
                    <wp:anchor behindDoc="0" distT="0" distB="0" distL="114300" distR="0" simplePos="0" locked="0" layoutInCell="1" allowOverlap="1" relativeHeight="400">
                      <wp:simplePos x="0" y="0"/>
                      <wp:positionH relativeFrom="column">
                        <wp:align>left</wp:align>
                      </wp:positionH>
                      <wp:positionV relativeFrom="line">
                        <wp:posOffset>635</wp:posOffset>
                      </wp:positionV>
                      <wp:extent cx="317500" cy="350520"/>
                      <wp:effectExtent l="0" t="0" r="0" b="0"/>
                      <wp:wrapSquare wrapText="right"/>
                      <wp:docPr id="404" name="Frame333"/>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C4AT">
                                    <w:r>
                                      <w:rPr>
                                        <w:rStyle w:val="InternetLink"/>
                                      </w:rPr>
                                      <w:t>(c)</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C4AT">
                              <w:r>
                                <w:rPr>
                                  <w:rStyle w:val="InternetLink"/>
                                </w:rPr>
                                <w:t>(c)</w:t>
                                <w:br/>
                              </w:r>
                            </w:hyperlink>
                          </w:p>
                        </w:txbxContent>
                      </v:textbox>
                      <w10:wrap type="square" side="right"/>
                    </v:rect>
                  </w:pict>
                </mc:Fallback>
              </mc:AlternateContent>
            </w:r>
          </w:p>
          <w:p>
            <w:pPr>
              <w:pStyle w:val="TableContents"/>
              <w:bidi w:val="0"/>
              <w:spacing w:before="0" w:after="0"/>
              <w:ind w:left="0" w:right="0" w:hanging="0"/>
              <w:jc w:val="left"/>
              <w:rPr/>
            </w:pPr>
            <w:hyperlink w:anchor="tC4A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5" w:type="dxa"/>
            <w:tcBorders/>
            <w:shd w:fill="CCEEFF" w:val="clear"/>
            <w:tcMar>
              <w:bottom w:w="0" w:type="dxa"/>
            </w:tcMar>
            <w:vAlign w:val="center"/>
          </w:tcPr>
          <w:p>
            <w:pPr>
              <w:pStyle w:val="TableContents"/>
              <w:bidi w:val="0"/>
              <w:spacing w:before="0" w:after="283"/>
              <w:jc w:val="right"/>
              <w:rPr/>
            </w:pPr>
            <w:hyperlink w:anchor="tC4AT">
              <w:r>
                <w:rPr>
                  <w:rStyle w:val="InternetLink"/>
                </w:rPr>
                <w:t xml:space="preserve">A-14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160" w:type="dxa"/>
            <w:tcBorders/>
            <w:tcMar>
              <w:bottom w:w="0" w:type="dxa"/>
            </w:tcMar>
            <w:vAlign w:val="center"/>
          </w:tcPr>
          <w:p>
            <w:pPr>
              <w:pStyle w:val="TableContents"/>
              <w:bidi w:val="0"/>
              <w:spacing w:before="0" w:after="0"/>
              <w:jc w:val="left"/>
              <w:rPr/>
            </w:pPr>
            <w:hyperlink w:anchor="tSE19">
              <w:r>
                <w:rPr>
                  <w:rStyle w:val="InternetLink"/>
                </w:rPr>
                <w:t xml:space="preserve">SECTION 19.   TRANSFERABILITY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5" w:type="dxa"/>
            <w:tcBorders/>
            <w:tcMar>
              <w:bottom w:w="0" w:type="dxa"/>
            </w:tcMar>
            <w:vAlign w:val="center"/>
          </w:tcPr>
          <w:p>
            <w:pPr>
              <w:pStyle w:val="TableContents"/>
              <w:bidi w:val="0"/>
              <w:spacing w:before="0" w:after="283"/>
              <w:jc w:val="right"/>
              <w:rPr/>
            </w:pPr>
            <w:hyperlink w:anchor="tSE19">
              <w:r>
                <w:rPr>
                  <w:rStyle w:val="InternetLink"/>
                </w:rPr>
                <w:t>A-14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160" w:type="dxa"/>
            <w:tcBorders/>
            <w:shd w:fill="CCEEFF" w:val="clear"/>
            <w:tcMar>
              <w:bottom w:w="0" w:type="dxa"/>
            </w:tcMar>
            <w:vAlign w:val="center"/>
          </w:tcPr>
          <w:p>
            <w:pPr>
              <w:pStyle w:val="TableContents"/>
              <w:bidi w:val="0"/>
              <w:spacing w:before="0" w:after="0"/>
              <w:jc w:val="left"/>
              <w:rPr/>
            </w:pPr>
            <w:hyperlink w:anchor="tS2BA">
              <w:r>
                <w:rPr>
                  <w:rStyle w:val="InternetLink"/>
                </w:rPr>
                <w:t xml:space="preserve">SECTION 20.   PERFORMANCE BASED AWARDS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5" w:type="dxa"/>
            <w:tcBorders/>
            <w:shd w:fill="CCEEFF" w:val="clear"/>
            <w:tcMar>
              <w:bottom w:w="0" w:type="dxa"/>
            </w:tcMar>
            <w:vAlign w:val="center"/>
          </w:tcPr>
          <w:p>
            <w:pPr>
              <w:pStyle w:val="TableContents"/>
              <w:bidi w:val="0"/>
              <w:spacing w:before="0" w:after="283"/>
              <w:jc w:val="right"/>
              <w:rPr/>
            </w:pPr>
            <w:hyperlink w:anchor="tS2BA">
              <w:r>
                <w:rPr>
                  <w:rStyle w:val="InternetLink"/>
                </w:rPr>
                <w:t>A-15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160" w:type="dxa"/>
            <w:tcBorders/>
            <w:tcMar>
              <w:bottom w:w="0" w:type="dxa"/>
            </w:tcMar>
            <w:vAlign w:val="center"/>
          </w:tcPr>
          <w:p>
            <w:pPr>
              <w:pStyle w:val="TableContents"/>
              <w:bidi w:val="0"/>
              <w:spacing w:before="0" w:after="0"/>
              <w:jc w:val="left"/>
              <w:rPr/>
            </w:pPr>
            <w:hyperlink w:anchor="tS2CO">
              <w:r>
                <w:rPr>
                  <w:rStyle w:val="InternetLink"/>
                </w:rPr>
                <w:t xml:space="preserve">SECTION 21.   FORFEITURE, CANCELLATION OR RECOUPMENT OF AWARDS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5" w:type="dxa"/>
            <w:tcBorders/>
            <w:tcMar>
              <w:bottom w:w="0" w:type="dxa"/>
            </w:tcMar>
            <w:vAlign w:val="center"/>
          </w:tcPr>
          <w:p>
            <w:pPr>
              <w:pStyle w:val="TableContents"/>
              <w:bidi w:val="0"/>
              <w:spacing w:before="0" w:after="283"/>
              <w:jc w:val="right"/>
              <w:rPr/>
            </w:pPr>
            <w:hyperlink w:anchor="tS2CO">
              <w:r>
                <w:rPr>
                  <w:rStyle w:val="InternetLink"/>
                </w:rPr>
                <w:t>A-15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160" w:type="dxa"/>
            <w:tcBorders/>
            <w:shd w:fill="CCEEFF" w:val="clear"/>
            <w:tcMar>
              <w:bottom w:w="0" w:type="dxa"/>
            </w:tcMar>
            <w:vAlign w:val="center"/>
          </w:tcPr>
          <w:p>
            <w:pPr>
              <w:pStyle w:val="TableContents"/>
              <w:bidi w:val="0"/>
              <w:spacing w:before="0" w:after="0"/>
              <w:jc w:val="left"/>
              <w:rPr/>
            </w:pPr>
            <w:hyperlink w:anchor="tS2ER">
              <w:r>
                <w:rPr>
                  <w:rStyle w:val="InternetLink"/>
                </w:rPr>
                <w:t xml:space="preserve">SECTION 22.   NO EMPLOYMENT RIGHTS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5" w:type="dxa"/>
            <w:tcBorders/>
            <w:shd w:fill="CCEEFF" w:val="clear"/>
            <w:tcMar>
              <w:bottom w:w="0" w:type="dxa"/>
            </w:tcMar>
            <w:vAlign w:val="center"/>
          </w:tcPr>
          <w:p>
            <w:pPr>
              <w:pStyle w:val="TableContents"/>
              <w:bidi w:val="0"/>
              <w:spacing w:before="0" w:after="283"/>
              <w:jc w:val="right"/>
              <w:rPr/>
            </w:pPr>
            <w:hyperlink w:anchor="tS2ER">
              <w:r>
                <w:rPr>
                  <w:rStyle w:val="InternetLink"/>
                </w:rPr>
                <w:t>A-15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160" w:type="dxa"/>
            <w:tcBorders/>
            <w:tcMar>
              <w:bottom w:w="0" w:type="dxa"/>
            </w:tcMar>
            <w:vAlign w:val="center"/>
          </w:tcPr>
          <w:p>
            <w:pPr>
              <w:pStyle w:val="TableContents"/>
              <w:bidi w:val="0"/>
              <w:spacing w:before="0" w:after="0"/>
              <w:jc w:val="left"/>
              <w:rPr/>
            </w:pPr>
            <w:hyperlink w:anchor="tS2AA">
              <w:r>
                <w:rPr>
                  <w:rStyle w:val="InternetLink"/>
                </w:rPr>
                <w:t xml:space="preserve">SECTION 23.   DURATION AND AMENDMENTS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5" w:type="dxa"/>
            <w:tcBorders/>
            <w:tcMar>
              <w:bottom w:w="0" w:type="dxa"/>
            </w:tcMar>
            <w:vAlign w:val="center"/>
          </w:tcPr>
          <w:p>
            <w:pPr>
              <w:pStyle w:val="TableContents"/>
              <w:bidi w:val="0"/>
              <w:spacing w:before="0" w:after="283"/>
              <w:jc w:val="right"/>
              <w:rPr/>
            </w:pPr>
            <w:hyperlink w:anchor="tS2AA">
              <w:r>
                <w:rPr>
                  <w:rStyle w:val="InternetLink"/>
                </w:rPr>
                <w:t>A-15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160"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AOTP">
              <w:r>
                <w:rPr>
                  <w:rStyle w:val="InternetLink"/>
                </w:rPr>
                <w:t xml:space="preserve">Term of the Plan </w:t>
              </w:r>
            </w:hyperlink>
            <w:r>
              <mc:AlternateContent>
                <mc:Choice Requires="wps">
                  <w:drawing>
                    <wp:anchor behindDoc="0" distT="0" distB="0" distL="114300" distR="0" simplePos="0" locked="0" layoutInCell="1" allowOverlap="1" relativeHeight="401">
                      <wp:simplePos x="0" y="0"/>
                      <wp:positionH relativeFrom="column">
                        <wp:align>left</wp:align>
                      </wp:positionH>
                      <wp:positionV relativeFrom="line">
                        <wp:posOffset>635</wp:posOffset>
                      </wp:positionV>
                      <wp:extent cx="317500" cy="350520"/>
                      <wp:effectExtent l="0" t="0" r="0" b="0"/>
                      <wp:wrapSquare wrapText="right"/>
                      <wp:docPr id="405" name="Frame334"/>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AOTP">
                                    <w:r>
                                      <w:rPr>
                                        <w:rStyle w:val="InternetLink"/>
                                      </w:rPr>
                                      <w:t>(a)</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AOTP">
                              <w:r>
                                <w:rPr>
                                  <w:rStyle w:val="InternetLink"/>
                                </w:rPr>
                                <w:t>(a)</w:t>
                                <w:br/>
                              </w:r>
                            </w:hyperlink>
                          </w:p>
                        </w:txbxContent>
                      </v:textbox>
                      <w10:wrap type="square" side="right"/>
                    </v:rect>
                  </w:pict>
                </mc:Fallback>
              </mc:AlternateContent>
            </w:r>
          </w:p>
          <w:p>
            <w:pPr>
              <w:pStyle w:val="TableContents"/>
              <w:bidi w:val="0"/>
              <w:spacing w:before="0" w:after="0"/>
              <w:ind w:left="0" w:right="0" w:hanging="0"/>
              <w:jc w:val="left"/>
              <w:rPr/>
            </w:pPr>
            <w:hyperlink w:anchor="tAOT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5" w:type="dxa"/>
            <w:tcBorders/>
            <w:shd w:fill="CCEEFF" w:val="clear"/>
            <w:tcMar>
              <w:bottom w:w="0" w:type="dxa"/>
            </w:tcMar>
            <w:vAlign w:val="center"/>
          </w:tcPr>
          <w:p>
            <w:pPr>
              <w:pStyle w:val="TableContents"/>
              <w:bidi w:val="0"/>
              <w:spacing w:before="0" w:after="283"/>
              <w:jc w:val="right"/>
              <w:rPr/>
            </w:pPr>
            <w:hyperlink w:anchor="tAOTP">
              <w:r>
                <w:rPr>
                  <w:rStyle w:val="InternetLink"/>
                </w:rPr>
                <w:t xml:space="preserve">A-15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160" w:type="dxa"/>
            <w:tcBorders/>
            <w:tcMar>
              <w:bottom w:w="0" w:type="dxa"/>
            </w:tcMar>
            <w:vAlign w:val="center"/>
          </w:tcPr>
          <w:p>
            <w:pPr>
              <w:pStyle w:val="TableContents"/>
              <w:bidi w:val="0"/>
              <w:spacing w:lineRule="atLeast" w:line="180" w:before="0" w:after="0"/>
              <w:ind w:left="680" w:right="0" w:hanging="0"/>
              <w:jc w:val="left"/>
              <w:rPr/>
            </w:pPr>
            <w:hyperlink w:anchor="tBTAT">
              <w:r>
                <w:rPr>
                  <w:rStyle w:val="InternetLink"/>
                </w:rPr>
                <w:t xml:space="preserve">Right to Amend the Plan </w:t>
              </w:r>
            </w:hyperlink>
            <w:r>
              <mc:AlternateContent>
                <mc:Choice Requires="wps">
                  <w:drawing>
                    <wp:anchor behindDoc="0" distT="0" distB="0" distL="114300" distR="0" simplePos="0" locked="0" layoutInCell="1" allowOverlap="1" relativeHeight="402">
                      <wp:simplePos x="0" y="0"/>
                      <wp:positionH relativeFrom="column">
                        <wp:align>left</wp:align>
                      </wp:positionH>
                      <wp:positionV relativeFrom="line">
                        <wp:posOffset>635</wp:posOffset>
                      </wp:positionV>
                      <wp:extent cx="317500" cy="350520"/>
                      <wp:effectExtent l="0" t="0" r="0" b="0"/>
                      <wp:wrapSquare wrapText="right"/>
                      <wp:docPr id="406" name="Frame335"/>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BTAT">
                                    <w:r>
                                      <w:rPr>
                                        <w:rStyle w:val="InternetLink"/>
                                      </w:rPr>
                                      <w:t>(b)</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BTAT">
                              <w:r>
                                <w:rPr>
                                  <w:rStyle w:val="InternetLink"/>
                                </w:rPr>
                                <w:t>(b)</w:t>
                                <w:br/>
                              </w:r>
                            </w:hyperlink>
                          </w:p>
                        </w:txbxContent>
                      </v:textbox>
                      <w10:wrap type="square" side="right"/>
                    </v:rect>
                  </w:pict>
                </mc:Fallback>
              </mc:AlternateContent>
            </w:r>
          </w:p>
          <w:p>
            <w:pPr>
              <w:pStyle w:val="TableContents"/>
              <w:bidi w:val="0"/>
              <w:spacing w:before="0" w:after="0"/>
              <w:ind w:left="0" w:right="0" w:hanging="0"/>
              <w:jc w:val="left"/>
              <w:rPr/>
            </w:pPr>
            <w:hyperlink w:anchor="tBTA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5" w:type="dxa"/>
            <w:tcBorders/>
            <w:tcMar>
              <w:bottom w:w="0" w:type="dxa"/>
            </w:tcMar>
            <w:vAlign w:val="center"/>
          </w:tcPr>
          <w:p>
            <w:pPr>
              <w:pStyle w:val="TableContents"/>
              <w:bidi w:val="0"/>
              <w:spacing w:before="0" w:after="283"/>
              <w:jc w:val="right"/>
              <w:rPr/>
            </w:pPr>
            <w:hyperlink w:anchor="tBTAT">
              <w:r>
                <w:rPr>
                  <w:rStyle w:val="InternetLink"/>
                </w:rPr>
                <w:t xml:space="preserve">A-15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160" w:type="dxa"/>
            <w:tcBorders/>
            <w:shd w:fill="CCEEFF" w:val="clear"/>
            <w:tcMar>
              <w:bottom w:w="0" w:type="dxa"/>
            </w:tcMar>
            <w:vAlign w:val="center"/>
          </w:tcPr>
          <w:p>
            <w:pPr>
              <w:pStyle w:val="TableContents"/>
              <w:bidi w:val="0"/>
              <w:spacing w:lineRule="atLeast" w:line="180" w:before="0" w:after="0"/>
              <w:ind w:left="680" w:right="0" w:hanging="0"/>
              <w:jc w:val="left"/>
              <w:rPr/>
            </w:pPr>
            <w:hyperlink w:anchor="tCOTN">
              <w:r>
                <w:rPr>
                  <w:rStyle w:val="InternetLink"/>
                </w:rPr>
                <w:t xml:space="preserve">Effect of Termination </w:t>
              </w:r>
            </w:hyperlink>
            <w:r>
              <mc:AlternateContent>
                <mc:Choice Requires="wps">
                  <w:drawing>
                    <wp:anchor behindDoc="0" distT="0" distB="0" distL="114300" distR="0" simplePos="0" locked="0" layoutInCell="1" allowOverlap="1" relativeHeight="403">
                      <wp:simplePos x="0" y="0"/>
                      <wp:positionH relativeFrom="column">
                        <wp:align>left</wp:align>
                      </wp:positionH>
                      <wp:positionV relativeFrom="line">
                        <wp:posOffset>635</wp:posOffset>
                      </wp:positionV>
                      <wp:extent cx="317500" cy="350520"/>
                      <wp:effectExtent l="0" t="0" r="0" b="0"/>
                      <wp:wrapSquare wrapText="right"/>
                      <wp:docPr id="407" name="Frame336"/>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180" w:before="0" w:after="283"/>
                                    <w:jc w:val="left"/>
                                    <w:rPr/>
                                  </w:pPr>
                                  <w:hyperlink w:anchor="tCOTN">
                                    <w:r>
                                      <w:rPr>
                                        <w:rStyle w:val="InternetLink"/>
                                      </w:rPr>
                                      <w:t>(c)</w:t>
                                      <w:br/>
                                    </w:r>
                                  </w:hyperlink>
                                </w:p>
                              </w:txbxContent>
                            </wps:txbx>
                            <wps:bodyPr anchor="t" lIns="0" tIns="0" rIns="0" bIns="0">
                              <a:noAutofit/>
                            </wps:bodyPr>
                          </wps:wsp>
                        </a:graphicData>
                      </a:graphic>
                    </wp:anchor>
                  </w:drawing>
                </mc:Choice>
                <mc:Fallback>
                  <w:pict>
                    <v:rect style="position:absolute;rotation:-0;width:25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hyperlink w:anchor="tCOTN">
                              <w:r>
                                <w:rPr>
                                  <w:rStyle w:val="InternetLink"/>
                                </w:rPr>
                                <w:t>(c)</w:t>
                                <w:br/>
                              </w:r>
                            </w:hyperlink>
                          </w:p>
                        </w:txbxContent>
                      </v:textbox>
                      <w10:wrap type="square" side="right"/>
                    </v:rect>
                  </w:pict>
                </mc:Fallback>
              </mc:AlternateContent>
            </w:r>
          </w:p>
          <w:p>
            <w:pPr>
              <w:pStyle w:val="TableContents"/>
              <w:bidi w:val="0"/>
              <w:spacing w:before="0" w:after="0"/>
              <w:ind w:left="0" w:right="0" w:hanging="0"/>
              <w:jc w:val="left"/>
              <w:rPr/>
            </w:pPr>
            <w:hyperlink w:anchor="tCOTN">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5" w:type="dxa"/>
            <w:tcBorders/>
            <w:shd w:fill="CCEEFF" w:val="clear"/>
            <w:tcMar>
              <w:bottom w:w="0" w:type="dxa"/>
            </w:tcMar>
            <w:vAlign w:val="center"/>
          </w:tcPr>
          <w:p>
            <w:pPr>
              <w:pStyle w:val="TableContents"/>
              <w:bidi w:val="0"/>
              <w:spacing w:before="0" w:after="283"/>
              <w:jc w:val="right"/>
              <w:rPr/>
            </w:pPr>
            <w:hyperlink w:anchor="tCOTN">
              <w:r>
                <w:rPr>
                  <w:rStyle w:val="InternetLink"/>
                </w:rPr>
                <w:t xml:space="preserve">A-15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160" w:type="dxa"/>
            <w:tcBorders/>
            <w:tcMar>
              <w:bottom w:w="0" w:type="dxa"/>
            </w:tcMar>
            <w:vAlign w:val="center"/>
          </w:tcPr>
          <w:p>
            <w:pPr>
              <w:pStyle w:val="TableContents"/>
              <w:bidi w:val="0"/>
              <w:spacing w:before="0" w:after="0"/>
              <w:jc w:val="left"/>
              <w:rPr/>
            </w:pPr>
            <w:hyperlink w:anchor="tS2TN">
              <w:r>
                <w:rPr>
                  <w:rStyle w:val="InternetLink"/>
                </w:rPr>
                <w:t xml:space="preserve">SECTION 24.   AWARDS TO NON-U.S. PARTICIPANTS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5" w:type="dxa"/>
            <w:tcBorders/>
            <w:tcMar>
              <w:bottom w:w="0" w:type="dxa"/>
            </w:tcMar>
            <w:vAlign w:val="center"/>
          </w:tcPr>
          <w:p>
            <w:pPr>
              <w:pStyle w:val="TableContents"/>
              <w:bidi w:val="0"/>
              <w:spacing w:before="0" w:after="283"/>
              <w:jc w:val="right"/>
              <w:rPr/>
            </w:pPr>
            <w:hyperlink w:anchor="tS2TN">
              <w:r>
                <w:rPr>
                  <w:rStyle w:val="InternetLink"/>
                </w:rPr>
                <w:t>A-15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160" w:type="dxa"/>
            <w:tcBorders/>
            <w:shd w:fill="CCEEFF" w:val="clear"/>
            <w:tcMar>
              <w:bottom w:w="0" w:type="dxa"/>
            </w:tcMar>
            <w:vAlign w:val="center"/>
          </w:tcPr>
          <w:p>
            <w:pPr>
              <w:pStyle w:val="TableContents"/>
              <w:bidi w:val="0"/>
              <w:spacing w:before="0" w:after="0"/>
              <w:jc w:val="left"/>
              <w:rPr/>
            </w:pPr>
            <w:hyperlink w:anchor="tS2L">
              <w:r>
                <w:rPr>
                  <w:rStyle w:val="InternetLink"/>
                </w:rPr>
                <w:t xml:space="preserve">SECTION 25.   GOVERNING LAW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5" w:type="dxa"/>
            <w:tcBorders/>
            <w:shd w:fill="CCEEFF" w:val="clear"/>
            <w:tcMar>
              <w:bottom w:w="0" w:type="dxa"/>
            </w:tcMar>
            <w:vAlign w:val="center"/>
          </w:tcPr>
          <w:p>
            <w:pPr>
              <w:pStyle w:val="TableContents"/>
              <w:bidi w:val="0"/>
              <w:spacing w:before="0" w:after="283"/>
              <w:jc w:val="right"/>
              <w:rPr/>
            </w:pPr>
            <w:hyperlink w:anchor="tS2L">
              <w:r>
                <w:rPr>
                  <w:rStyle w:val="InternetLink"/>
                </w:rPr>
                <w:t>A-16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160" w:type="dxa"/>
            <w:tcBorders/>
            <w:tcMar>
              <w:bottom w:w="0" w:type="dxa"/>
            </w:tcMar>
            <w:vAlign w:val="center"/>
          </w:tcPr>
          <w:p>
            <w:pPr>
              <w:pStyle w:val="TableContents"/>
              <w:bidi w:val="0"/>
              <w:spacing w:before="0" w:after="0"/>
              <w:jc w:val="left"/>
              <w:rPr/>
            </w:pPr>
            <w:hyperlink w:anchor="tS2AA1">
              <w:r>
                <w:rPr>
                  <w:rStyle w:val="InternetLink"/>
                </w:rPr>
                <w:t xml:space="preserve">SECTION 26.   SUCCESSORS AND ASSIGNS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5" w:type="dxa"/>
            <w:tcBorders/>
            <w:tcMar>
              <w:bottom w:w="0" w:type="dxa"/>
            </w:tcMar>
            <w:vAlign w:val="center"/>
          </w:tcPr>
          <w:p>
            <w:pPr>
              <w:pStyle w:val="TableContents"/>
              <w:bidi w:val="0"/>
              <w:spacing w:before="0" w:after="283"/>
              <w:jc w:val="right"/>
              <w:rPr/>
            </w:pPr>
            <w:hyperlink w:anchor="tS2AA1">
              <w:r>
                <w:rPr>
                  <w:rStyle w:val="InternetLink"/>
                </w:rPr>
                <w:t>A-16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160" w:type="dxa"/>
            <w:tcBorders/>
            <w:shd w:fill="CCEEFF" w:val="clear"/>
            <w:tcMar>
              <w:bottom w:w="0" w:type="dxa"/>
            </w:tcMar>
            <w:vAlign w:val="center"/>
          </w:tcPr>
          <w:p>
            <w:pPr>
              <w:pStyle w:val="TableContents"/>
              <w:bidi w:val="0"/>
              <w:spacing w:before="0" w:after="0"/>
              <w:jc w:val="left"/>
              <w:rPr/>
            </w:pPr>
            <w:hyperlink w:anchor="tSE27">
              <w:r>
                <w:rPr>
                  <w:rStyle w:val="InternetLink"/>
                </w:rPr>
                <w:t xml:space="preserve">SECTION 27.   EXECUTION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5" w:type="dxa"/>
            <w:tcBorders/>
            <w:shd w:fill="CCEEFF" w:val="clear"/>
            <w:tcMar>
              <w:bottom w:w="0" w:type="dxa"/>
            </w:tcMar>
            <w:vAlign w:val="center"/>
          </w:tcPr>
          <w:p>
            <w:pPr>
              <w:pStyle w:val="TableContents"/>
              <w:bidi w:val="0"/>
              <w:spacing w:before="0" w:after="283"/>
              <w:jc w:val="right"/>
              <w:rPr/>
            </w:pPr>
            <w:hyperlink w:anchor="tSE27">
              <w:r>
                <w:rPr>
                  <w:rStyle w:val="InternetLink"/>
                </w:rPr>
                <w:t>A-16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tbl>
      <w:tblPr>
        <w:tblW w:w="3243" w:type="dxa"/>
        <w:jc w:val="left"/>
        <w:tblInd w:w="720" w:type="dxa"/>
        <w:tblLayout w:type="fixed"/>
        <w:tblCellMar>
          <w:top w:w="0" w:type="dxa"/>
          <w:left w:w="0" w:type="dxa"/>
          <w:bottom w:w="0" w:type="dxa"/>
          <w:right w:w="0" w:type="dxa"/>
        </w:tblCellMar>
      </w:tblPr>
      <w:tblGrid>
        <w:gridCol w:w="124"/>
        <w:gridCol w:w="541"/>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541" w:type="dxa"/>
            <w:tcBorders/>
            <w:vAlign w:val="center"/>
          </w:tcPr>
          <w:p>
            <w:pPr>
              <w:pStyle w:val="TableContents"/>
              <w:bidi w:val="0"/>
              <w:spacing w:before="0" w:after="283"/>
              <w:jc w:val="left"/>
              <w:rPr/>
            </w:pPr>
            <w:r>
              <w:rPr/>
              <w:t>A-iv</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S1AP"/>
      <w:bookmarkEnd w:id="33"/>
      <w:r>
        <w:rPr>
          <w:rFonts w:ascii="calibri;arial;sans-serif" w:hAnsi="calibri;arial;sans-serif"/>
          <w:b w:val="false"/>
          <w:i w:val="false"/>
          <w:caps w:val="false"/>
          <w:smallCaps w:val="false"/>
          <w:color w:val="000000"/>
          <w:sz w:val="16"/>
        </w:rPr>
        <w:t>​</w:t>
      </w:r>
      <w:bookmarkStart w:id="34" w:name="tSE2D"/>
      <w:bookmarkEnd w:id="34"/>
      <w:r>
        <w:rPr>
          <w:rFonts w:ascii="calibri;arial;sans-serif" w:hAnsi="calibri;arial;sans-serif"/>
          <w:b w:val="false"/>
          <w:i w:val="false"/>
          <w:caps w:val="false"/>
          <w:smallCaps w:val="false"/>
          <w:color w:val="000000"/>
          <w:sz w:val="16"/>
        </w:rPr>
        <w:t>​</w:t>
      </w:r>
      <w:bookmarkStart w:id="35" w:name="tAPMT"/>
      <w:bookmarkEnd w:id="35"/>
      <w:r>
        <w:rPr>
          <w:rFonts w:ascii="calibri;arial;sans-serif" w:hAnsi="calibri;arial;sans-serif"/>
          <w:b w:val="false"/>
          <w:i w:val="false"/>
          <w:caps w:val="false"/>
          <w:smallCaps w:val="false"/>
          <w:color w:val="000000"/>
          <w:sz w:val="16"/>
        </w:rPr>
        <w:t>​</w:t>
      </w:r>
      <w:bookmarkStart w:id="36" w:name="tBPMT"/>
      <w:bookmarkEnd w:id="36"/>
      <w:r>
        <w:rPr>
          <w:rFonts w:ascii="calibri;arial;sans-serif" w:hAnsi="calibri;arial;sans-serif"/>
          <w:b w:val="false"/>
          <w:i w:val="false"/>
          <w:caps w:val="false"/>
          <w:smallCaps w:val="false"/>
          <w:color w:val="000000"/>
          <w:sz w:val="16"/>
        </w:rPr>
        <w:t>​</w:t>
      </w:r>
      <w:bookmarkStart w:id="37" w:name="tCPMT"/>
      <w:bookmarkEnd w:id="37"/>
      <w:r>
        <w:rPr>
          <w:rFonts w:ascii="calibri;arial;sans-serif" w:hAnsi="calibri;arial;sans-serif"/>
          <w:b w:val="false"/>
          <w:i w:val="false"/>
          <w:caps w:val="false"/>
          <w:smallCaps w:val="false"/>
          <w:color w:val="000000"/>
          <w:sz w:val="16"/>
        </w:rPr>
        <w:t>​</w:t>
      </w:r>
      <w:bookmarkStart w:id="38" w:name="tDMAE"/>
      <w:bookmarkEnd w:id="38"/>
      <w:r>
        <w:rPr>
          <w:rFonts w:ascii="calibri;arial;sans-serif" w:hAnsi="calibri;arial;sans-serif"/>
          <w:b w:val="false"/>
          <w:i w:val="false"/>
          <w:caps w:val="false"/>
          <w:smallCaps w:val="false"/>
          <w:color w:val="000000"/>
          <w:sz w:val="16"/>
        </w:rPr>
        <w:t>​</w:t>
      </w:r>
      <w:bookmarkStart w:id="39" w:name="tEMAA"/>
      <w:bookmarkEnd w:id="39"/>
      <w:r>
        <w:rPr>
          <w:rFonts w:ascii="calibri;arial;sans-serif" w:hAnsi="calibri;arial;sans-serif"/>
          <w:b w:val="false"/>
          <w:i w:val="false"/>
          <w:caps w:val="false"/>
          <w:smallCaps w:val="false"/>
          <w:color w:val="000000"/>
          <w:sz w:val="16"/>
        </w:rPr>
        <w:t>​</w:t>
      </w:r>
      <w:bookmarkStart w:id="40" w:name="tFAMT"/>
      <w:bookmarkEnd w:id="40"/>
      <w:r>
        <w:rPr>
          <w:rFonts w:ascii="calibri;arial;sans-serif" w:hAnsi="calibri;arial;sans-serif"/>
          <w:b w:val="false"/>
          <w:i w:val="false"/>
          <w:caps w:val="false"/>
          <w:smallCaps w:val="false"/>
          <w:color w:val="000000"/>
          <w:sz w:val="16"/>
        </w:rPr>
        <w:t>​</w:t>
      </w:r>
      <w:bookmarkStart w:id="41" w:name="tGODO"/>
      <w:bookmarkEnd w:id="41"/>
      <w:r>
        <w:rPr>
          <w:rFonts w:ascii="calibri;arial;sans-serif" w:hAnsi="calibri;arial;sans-serif"/>
          <w:b w:val="false"/>
          <w:i w:val="false"/>
          <w:caps w:val="false"/>
          <w:smallCaps w:val="false"/>
          <w:color w:val="000000"/>
          <w:sz w:val="16"/>
        </w:rPr>
        <w:t>​</w:t>
      </w:r>
      <w:bookmarkStart w:id="42" w:name="tHAMA"/>
      <w:bookmarkEnd w:id="42"/>
      <w:r>
        <w:rPr>
          <w:rFonts w:ascii="calibri;arial;sans-serif" w:hAnsi="calibri;arial;sans-serif"/>
          <w:b w:val="false"/>
          <w:i w:val="false"/>
          <w:caps w:val="false"/>
          <w:smallCaps w:val="false"/>
          <w:color w:val="000000"/>
          <w:sz w:val="16"/>
        </w:rPr>
        <w:t>​</w:t>
      </w:r>
      <w:bookmarkStart w:id="43" w:name="tIMUS"/>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430" w:before="840" w:after="283"/>
        <w:ind w:left="720" w:right="0" w:hanging="0"/>
        <w:jc w:val="left"/>
        <w:rPr>
          <w:rFonts w:ascii="Times New Roman;Garamond;serif" w:hAnsi="Times New Roman;Garamond;serif"/>
          <w:b/>
          <w:i w:val="false"/>
          <w:caps w:val="false"/>
          <w:smallCaps w:val="false"/>
          <w:color w:val="000000"/>
          <w:sz w:val="40"/>
        </w:rPr>
      </w:pPr>
      <w:r>
        <w:rPr>
          <w:rFonts w:ascii="Times New Roman;Garamond;serif" w:hAnsi="Times New Roman;Garamond;serif"/>
          <w:b/>
          <w:i w:val="false"/>
          <w:caps w:val="false"/>
          <w:smallCaps w:val="false"/>
          <w:color w:val="000000"/>
          <w:sz w:val="40"/>
        </w:rPr>
        <w:t>L</w:t>
      </w:r>
      <w:r>
        <w:rPr>
          <w:rFonts w:ascii="Times New Roman;Garamond;serif" w:hAnsi="Times New Roman;Garamond;serif"/>
          <w:b/>
          <w:i w:val="false"/>
          <w:caps w:val="false"/>
          <w:smallCaps w:val="false"/>
          <w:color w:val="000000"/>
          <w:sz w:val="40"/>
        </w:rPr>
        <w:t>UCID</w:t>
      </w:r>
      <w:r>
        <w:rPr>
          <w:rFonts w:ascii="Times New Roman;Garamond;serif" w:hAnsi="Times New Roman;Garamond;serif"/>
          <w:b/>
          <w:i w:val="false"/>
          <w:caps w:val="false"/>
          <w:smallCaps w:val="false"/>
          <w:color w:val="000000"/>
          <w:sz w:val="40"/>
        </w:rPr>
        <w:t xml:space="preserve"> G</w:t>
      </w:r>
      <w:r>
        <w:rPr>
          <w:rFonts w:ascii="Times New Roman;Garamond;serif" w:hAnsi="Times New Roman;Garamond;serif"/>
          <w:b/>
          <w:i w:val="false"/>
          <w:caps w:val="false"/>
          <w:smallCaps w:val="false"/>
          <w:color w:val="000000"/>
          <w:sz w:val="40"/>
        </w:rPr>
        <w:t>ROUP</w:t>
      </w:r>
      <w:r>
        <w:rPr>
          <w:rFonts w:ascii="Times New Roman;Garamond;serif" w:hAnsi="Times New Roman;Garamond;serif"/>
          <w:b/>
          <w:i w:val="false"/>
          <w:caps w:val="false"/>
          <w:smallCaps w:val="false"/>
          <w:color w:val="000000"/>
          <w:sz w:val="40"/>
        </w:rPr>
        <w:t>, I</w:t>
      </w:r>
      <w:r>
        <w:rPr>
          <w:rFonts w:ascii="Times New Roman;Garamond;serif" w:hAnsi="Times New Roman;Garamond;serif"/>
          <w:b/>
          <w:i w:val="false"/>
          <w:caps w:val="false"/>
          <w:smallCaps w:val="false"/>
          <w:color w:val="000000"/>
          <w:sz w:val="40"/>
        </w:rPr>
        <w:t>NC</w:t>
      </w:r>
      <w:r>
        <w:rPr>
          <w:rFonts w:ascii="Times New Roman;Garamond;serif" w:hAnsi="Times New Roman;Garamond;serif"/>
          <w:b/>
          <w:i w:val="false"/>
          <w:caps w:val="false"/>
          <w:smallCaps w:val="false"/>
          <w:color w:val="000000"/>
          <w:sz w:val="40"/>
        </w:rPr>
        <w:t xml:space="preserve">. </w:t>
        <w:br/>
        <w:t>A</w:t>
      </w:r>
      <w:r>
        <w:rPr>
          <w:rFonts w:ascii="Times New Roman;Garamond;serif" w:hAnsi="Times New Roman;Garamond;serif"/>
          <w:b/>
          <w:i w:val="false"/>
          <w:caps w:val="false"/>
          <w:smallCaps w:val="false"/>
          <w:color w:val="000000"/>
          <w:sz w:val="40"/>
        </w:rPr>
        <w:t>MENDED AND</w:t>
      </w:r>
      <w:r>
        <w:rPr>
          <w:rFonts w:ascii="Times New Roman;Garamond;serif" w:hAnsi="Times New Roman;Garamond;serif"/>
          <w:b/>
          <w:i w:val="false"/>
          <w:caps w:val="false"/>
          <w:smallCaps w:val="false"/>
          <w:color w:val="000000"/>
          <w:sz w:val="40"/>
        </w:rPr>
        <w:t xml:space="preserve"> R</w:t>
      </w:r>
      <w:r>
        <w:rPr>
          <w:rFonts w:ascii="Times New Roman;Garamond;serif" w:hAnsi="Times New Roman;Garamond;serif"/>
          <w:b/>
          <w:i w:val="false"/>
          <w:caps w:val="false"/>
          <w:smallCaps w:val="false"/>
          <w:color w:val="000000"/>
          <w:sz w:val="40"/>
        </w:rPr>
        <w:t>ESTATED</w:t>
      </w:r>
      <w:r>
        <w:rPr>
          <w:rFonts w:ascii="Times New Roman;Garamond;serif" w:hAnsi="Times New Roman;Garamond;serif"/>
          <w:b/>
          <w:i w:val="false"/>
          <w:caps w:val="false"/>
          <w:smallCaps w:val="false"/>
          <w:color w:val="000000"/>
          <w:sz w:val="40"/>
        </w:rPr>
        <w:t xml:space="preserve"> 2021 S</w:t>
      </w:r>
      <w:r>
        <w:rPr>
          <w:rFonts w:ascii="Times New Roman;Garamond;serif" w:hAnsi="Times New Roman;Garamond;serif"/>
          <w:b/>
          <w:i w:val="false"/>
          <w:caps w:val="false"/>
          <w:smallCaps w:val="false"/>
          <w:color w:val="000000"/>
          <w:sz w:val="40"/>
        </w:rPr>
        <w:t>TOCK</w:t>
      </w:r>
      <w:r>
        <w:rPr>
          <w:rFonts w:ascii="Times New Roman;Garamond;serif" w:hAnsi="Times New Roman;Garamond;serif"/>
          <w:b/>
          <w:i w:val="false"/>
          <w:caps w:val="false"/>
          <w:smallCaps w:val="false"/>
          <w:color w:val="000000"/>
          <w:sz w:val="40"/>
        </w:rPr>
        <w:t xml:space="preserve"> I</w:t>
      </w:r>
      <w:r>
        <w:rPr>
          <w:rFonts w:ascii="Times New Roman;Garamond;serif" w:hAnsi="Times New Roman;Garamond;serif"/>
          <w:b/>
          <w:i w:val="false"/>
          <w:caps w:val="false"/>
          <w:smallCaps w:val="false"/>
          <w:color w:val="000000"/>
          <w:sz w:val="40"/>
        </w:rPr>
        <w:t>NCENTIVE</w:t>
      </w:r>
      <w:r>
        <w:rPr>
          <w:rFonts w:ascii="Times New Roman;Garamond;serif" w:hAnsi="Times New Roman;Garamond;serif"/>
          <w:b/>
          <w:i w:val="false"/>
          <w:caps w:val="false"/>
          <w:smallCaps w:val="false"/>
          <w:color w:val="000000"/>
          <w:sz w:val="40"/>
        </w:rPr>
        <w:t xml:space="preserve"> P</w:t>
      </w:r>
      <w:r>
        <w:rPr>
          <w:rFonts w:ascii="Times New Roman;Garamond;serif" w:hAnsi="Times New Roman;Garamond;serif"/>
          <w:b/>
          <w:i w:val="false"/>
          <w:caps w:val="false"/>
          <w:smallCaps w:val="false"/>
          <w:color w:val="000000"/>
          <w:sz w:val="40"/>
        </w:rPr>
        <w:t>LAN</w:t>
      </w:r>
      <w:r>
        <w:rPr>
          <w:rFonts w:ascii="Times New Roman;Garamond;serif" w:hAnsi="Times New Roman;Garamond;serif"/>
          <w:b/>
          <w:i w:val="false"/>
          <w:caps w:val="false"/>
          <w:smallCaps w:val="false"/>
          <w:color w:val="000000"/>
          <w:spacing w:val="8"/>
          <w:sz w:val="40"/>
        </w:rPr>
        <w:t xml:space="preserve"> </w:t>
      </w:r>
    </w:p>
    <w:p>
      <w:pPr>
        <w:pStyle w:val="TextBody"/>
        <w:bidi w:val="0"/>
        <w:spacing w:lineRule="atLeast" w:line="200" w:before="40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SECTION 1.   ESTABLISHMENT AND PURPOSE.</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Plan was initially adopted by the Board on February 22, 2021. The Plan was amended on June 21, 2021, amended and restated on April 27, 2022, amended and restated on March 2, 2023, and further amended and restated on April 22, 2024. Unless otherwise specifically provided in the Plan, the Plan shall be effective as of the Effective Date. The Plan’s purpose is to enhance the Company’s ability to attract, retain, incent, reward, and motivate persons who make (or are expected to make) important contributions to the Company and its Subsidiaries and Affiliates by providing these individuals with equity ownership and other incentive opportunities.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The Plan is intended as the successor to and continuation of the 2021 Plan. Following the Effective Date, no additional stock awards may be granted under the 2021 Plan, 2014 Plan or 2009 Plan. From and after the Effective Date, all outstanding stock awards granted under the 2021 Plan, 2014 Plan and 2009 Plan will remain subject to the terms of the 2021 Plan, 2014 Plan or 2009 Plan, as applicable; </w:t>
      </w:r>
      <w:r>
        <w:rPr>
          <w:rFonts w:ascii="Helvetica;Arial;sans-serif" w:hAnsi="Helvetica;Arial;sans-serif"/>
          <w:b w:val="false"/>
          <w:i/>
          <w:caps w:val="false"/>
          <w:smallCaps w:val="false"/>
          <w:color w:val="000000"/>
          <w:sz w:val="18"/>
        </w:rPr>
        <w:t>provided, however</w:t>
      </w:r>
      <w:r>
        <w:rPr>
          <w:rFonts w:ascii="Helvetica;Arial;sans-serif" w:hAnsi="Helvetica;Arial;sans-serif"/>
          <w:b w:val="false"/>
          <w:i w:val="false"/>
          <w:caps w:val="false"/>
          <w:smallCaps w:val="false"/>
          <w:color w:val="000000"/>
          <w:sz w:val="18"/>
        </w:rPr>
        <w:t>, that any Shares subject to stock awards granted under the 2021 Plan, 2014 Plan or 2009 Plan outstanding as of the Effective Date that (i) expire or terminate for any reason prior to exercise or settlement; (ii) are forfeited, cancelled or otherwise returned to the Company because of the failure to meet a contingency or condition required to vest such shares; or (iii) are reacquired, withheld (or not issued) to satisfy a tax withholding obligation in connection with an award or to satisfy the purchase price or exercise price of a stock award (the “</w:t>
      </w:r>
      <w:r>
        <w:rPr>
          <w:rFonts w:ascii="Helvetica;Arial;sans-serif" w:hAnsi="Helvetica;Arial;sans-serif"/>
          <w:b/>
          <w:i w:val="false"/>
          <w:caps w:val="false"/>
          <w:smallCaps w:val="false"/>
          <w:color w:val="000000"/>
          <w:sz w:val="18"/>
        </w:rPr>
        <w:t>Returning Shares</w:t>
      </w:r>
      <w:r>
        <w:rPr>
          <w:rFonts w:ascii="Helvetica;Arial;sans-serif" w:hAnsi="Helvetica;Arial;sans-serif"/>
          <w:b w:val="false"/>
          <w:i w:val="false"/>
          <w:caps w:val="false"/>
          <w:smallCaps w:val="false"/>
          <w:color w:val="000000"/>
          <w:sz w:val="18"/>
        </w:rPr>
        <w:t>”) will immediately be added to the Shares available for issuance under this Plan (as further described in Section 5(a) below) as and when such shares become Returning Shares, and become available for issuance pursuant to Awards granted hereunder. All Awards granted on or after the Effective Date will be subject to the terms of this Plan.</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SECTION 2.   DEFINITIONS.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   “2009 Plan” means the 2009 Share Plan of Atieva, Inc., as amended.</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(b)   “2014 Plan” means the 2014 Share Plan of Atieva, Inc., as amended.</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(c)   “2021 Plan” means the Atieva, Inc. 2021 Stock Incentive Plan, as amended.</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(d)   “Affiliate” means any entity other than a Subsidiary, if the Company and/or one or more Subsidiaries own not less than 50% of such entity.</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(e)   “Award” means any award of an Option, a SAR, a Restricted Share, a Restricted Stock Unit, a Cash-Based Award or a Stock Purchase Right under the Plan.</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(f)   “Award Agreement” means the agreement between the Company and the recipient of an Award which contains the terms, conditions and restrictions pertaining to such Award.</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(g)   “Board of Directors” or “Board” means the Board of Directors of the Company, as constituted from time to time.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(h)   “Cash-Based Award” means an Award that entitles the Participant to receive a cash-denominated payment.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(i)   “Cause” means, unless such term or an equivalent term is otherwise defined by the applicable Award Agreement or other written agreement between a Participant and the Company applicable to an Award, any of the following: (i) Participant’s willful failure substantially to perform his or her duties and responsibilities to the Company or deliberate violation of a Company policy; (ii) Participant’s commission of any act of fraud, embezzlement, dishonesty or any other willful misconduct that has caused or is reasonably expected to result in material injury to the Company; (iii) Participant’s conviction of a felony, any crime involving moral turpitude or a misdemeanor where imprisonment is imposed, (iv) Participant’s gross incompetence in performing his or her duties to the Company or any of its Subsidiaries or Affiliates, (v) Participant’s material failure to comply with applicable laws or governmental regulations related to or in the course of Participant’s employment with or providing services to the Company or any of its Subsidiaries or Affiliates, (vi) unauthorized use or disclosure by Participant of any proprietary information or trade secrets of the Company or any other party to whom the Participant owes an obligation of nondisclosure as a result of his or her relationship </w:t>
      </w:r>
    </w:p>
    <w:tbl>
      <w:tblPr>
        <w:tblW w:w="3183" w:type="dxa"/>
        <w:jc w:val="left"/>
        <w:tblInd w:w="720" w:type="dxa"/>
        <w:tblLayout w:type="fixed"/>
        <w:tblCellMar>
          <w:top w:w="0" w:type="dxa"/>
          <w:left w:w="0" w:type="dxa"/>
          <w:bottom w:w="0" w:type="dxa"/>
          <w:right w:w="0" w:type="dxa"/>
        </w:tblCellMar>
      </w:tblPr>
      <w:tblGrid>
        <w:gridCol w:w="124"/>
        <w:gridCol w:w="2206"/>
        <w:gridCol w:w="109"/>
        <w:gridCol w:w="109"/>
        <w:gridCol w:w="481"/>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81" w:type="dxa"/>
            <w:tcBorders/>
            <w:vAlign w:val="center"/>
          </w:tcPr>
          <w:p>
            <w:pPr>
              <w:pStyle w:val="TableContents"/>
              <w:bidi w:val="0"/>
              <w:spacing w:before="0" w:after="0"/>
              <w:jc w:val="right"/>
              <w:rPr>
                <w:b/>
              </w:rPr>
            </w:pPr>
            <w:r>
              <w:rPr>
                <w:b/>
              </w:rPr>
              <w:t>A-1</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JICM"/>
      <w:bookmarkEnd w:id="44"/>
      <w:r>
        <w:rPr>
          <w:rFonts w:ascii="calibri;arial;sans-serif" w:hAnsi="calibri;arial;sans-serif"/>
          <w:b w:val="false"/>
          <w:i w:val="false"/>
          <w:caps w:val="false"/>
          <w:smallCaps w:val="false"/>
          <w:color w:val="000000"/>
          <w:sz w:val="16"/>
        </w:rPr>
        <w:t>​</w:t>
      </w:r>
      <w:bookmarkStart w:id="45" w:name="tKMTU"/>
      <w:bookmarkEnd w:id="45"/>
      <w:r>
        <w:rPr>
          <w:rFonts w:ascii="calibri;arial;sans-serif" w:hAnsi="calibri;arial;sans-serif"/>
          <w:b w:val="false"/>
          <w:i w:val="false"/>
          <w:caps w:val="false"/>
          <w:smallCaps w:val="false"/>
          <w:color w:val="000000"/>
          <w:sz w:val="16"/>
        </w:rPr>
        <w:t>​</w:t>
      </w:r>
      <w:bookmarkStart w:id="46" w:name="tLMTC"/>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84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with the Company; or (vii) Participant’s willful breach of any of his or her obligations under any written agreement or covenant with the Company. The determination as to whether a Participant is being terminated for Cause shall be made in good faith by the Company and shall be final and binding on the Participant. The foregoing definition does not in any way limit the Company’s ability to terminate a Participant’s employment or consulting relationship at any time as provided in Section 5(d) below, and the term “Company” will be interpreted to include any Subsidiary, Parent or Affiliate, as appropriate.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(j)   “Change in Control” means the occurrence of any of the following events: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16" w:after="0"/>
        <w:ind w:left="14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 change in the composition of the Board occurs, as a result of which fewer than one-half of the incumbent directors are directors who either:</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37160" distB="0" distL="190500" distR="0" simplePos="0" locked="0" layoutInCell="1" allowOverlap="1" relativeHeight="404">
                <wp:simplePos x="0" y="0"/>
                <wp:positionH relativeFrom="column">
                  <wp:align>left</wp:align>
                </wp:positionH>
                <wp:positionV relativeFrom="line">
                  <wp:align>top</wp:align>
                </wp:positionV>
                <wp:extent cx="254000" cy="350520"/>
                <wp:effectExtent l="0" t="0" r="0" b="0"/>
                <wp:wrapSquare wrapText="right"/>
                <wp:docPr id="408" name="Frame3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(i)</w:t>
                              <w:br/>
                            </w:r>
                          </w:p>
                        </w:txbxContent>
                      </wps:txbx>
                      <wps:bodyPr anchor="t" lIns="0" tIns="0" rIns="0" bIns="0">
                        <a:noAutofit/>
                      </wps:bodyPr>
                    </wps:wsp>
                  </a:graphicData>
                </a:graphic>
              </wp:anchor>
            </w:drawing>
          </mc:Choice>
          <mc:Fallback>
            <w:pict>
              <v:rect style="position:absolute;rotation:-0;width:20pt;height:27.6pt;mso-wrap-distance-left:15pt;mso-wrap-distance-right:0pt;mso-wrap-distance-top:10.8pt;mso-wrap-distance-bottom:0pt;margin-top:10.8pt;mso-position-vertical:top;mso-position-vertical-relative:text;margin-left:15pt;mso-position-horizontal:left;mso-position-horizontal-relative:text">
                <v:textbox>
                  <w:txbxContent>
                    <w:p>
                      <w:pPr>
                        <w:pStyle w:val="TextBody"/>
                        <w:bidi w:val="0"/>
                        <w:spacing w:lineRule="atLeast" w:line="240" w:before="0" w:after="283"/>
                        <w:jc w:val="left"/>
                        <w:rPr/>
                      </w:pPr>
                      <w:r>
                        <w:rPr/>
                        <w:t>(i)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16" w:after="0"/>
        <w:ind w:left="18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Had been directors of the Company on the “look-back date” ​(as defined below) (the “original directors”); or</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37160" distB="0" distL="444500" distR="0" simplePos="0" locked="0" layoutInCell="1" allowOverlap="1" relativeHeight="405">
                <wp:simplePos x="0" y="0"/>
                <wp:positionH relativeFrom="column">
                  <wp:align>left</wp:align>
                </wp:positionH>
                <wp:positionV relativeFrom="line">
                  <wp:align>top</wp:align>
                </wp:positionV>
                <wp:extent cx="254000" cy="350520"/>
                <wp:effectExtent l="0" t="0" r="0" b="0"/>
                <wp:wrapSquare wrapText="right"/>
                <wp:docPr id="409" name="Frame3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(A)</w:t>
                              <w:br/>
                            </w:r>
                          </w:p>
                        </w:txbxContent>
                      </wps:txbx>
                      <wps:bodyPr anchor="t" lIns="0" tIns="0" rIns="0" bIns="0">
                        <a:noAutofit/>
                      </wps:bodyPr>
                    </wps:wsp>
                  </a:graphicData>
                </a:graphic>
              </wp:anchor>
            </w:drawing>
          </mc:Choice>
          <mc:Fallback>
            <w:pict>
              <v:rect style="position:absolute;rotation:-0;width:20pt;height:27.6pt;mso-wrap-distance-left:35pt;mso-wrap-distance-right:0pt;mso-wrap-distance-top:10.8pt;mso-wrap-distance-bottom:0pt;margin-top:10.8pt;mso-position-vertical:top;mso-position-vertical-relative:text;margin-left:35pt;mso-position-horizontal:left;mso-position-horizontal-relative:text">
                <v:textbox>
                  <w:txbxContent>
                    <w:p>
                      <w:pPr>
                        <w:pStyle w:val="TextBody"/>
                        <w:bidi w:val="0"/>
                        <w:spacing w:lineRule="atLeast" w:line="240" w:before="0" w:after="283"/>
                        <w:jc w:val="left"/>
                        <w:rPr/>
                      </w:pPr>
                      <w:r>
                        <w:rPr/>
                        <w:t>(A)</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16" w:after="0"/>
        <w:ind w:left="18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Were elected, or nominated for election, to the Board with the affirmative votes of at least a majority of the aggregate of the original directors who were still in office at the time of the election or nomination and the directors whose election or nomination was previously so approved (the “continuing directors”);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37160" distB="0" distL="444500" distR="0" simplePos="0" locked="0" layoutInCell="1" allowOverlap="1" relativeHeight="406">
                <wp:simplePos x="0" y="0"/>
                <wp:positionH relativeFrom="column">
                  <wp:align>left</wp:align>
                </wp:positionH>
                <wp:positionV relativeFrom="line">
                  <wp:align>top</wp:align>
                </wp:positionV>
                <wp:extent cx="254000" cy="350520"/>
                <wp:effectExtent l="0" t="0" r="0" b="0"/>
                <wp:wrapSquare wrapText="right"/>
                <wp:docPr id="410" name="Frame3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(B)</w:t>
                              <w:br/>
                            </w:r>
                          </w:p>
                        </w:txbxContent>
                      </wps:txbx>
                      <wps:bodyPr anchor="t" lIns="0" tIns="0" rIns="0" bIns="0">
                        <a:noAutofit/>
                      </wps:bodyPr>
                    </wps:wsp>
                  </a:graphicData>
                </a:graphic>
              </wp:anchor>
            </w:drawing>
          </mc:Choice>
          <mc:Fallback>
            <w:pict>
              <v:rect style="position:absolute;rotation:-0;width:20pt;height:27.6pt;mso-wrap-distance-left:35pt;mso-wrap-distance-right:0pt;mso-wrap-distance-top:10.8pt;mso-wrap-distance-bottom:0pt;margin-top:10.8pt;mso-position-vertical:top;mso-position-vertical-relative:text;margin-left:35pt;mso-position-horizontal:left;mso-position-horizontal-relative:text">
                <v:textbox>
                  <w:txbxContent>
                    <w:p>
                      <w:pPr>
                        <w:pStyle w:val="TextBody"/>
                        <w:bidi w:val="0"/>
                        <w:spacing w:lineRule="atLeast" w:line="240" w:before="0" w:after="283"/>
                        <w:jc w:val="left"/>
                        <w:rPr/>
                      </w:pPr>
                      <w:r>
                        <w:rPr/>
                        <w:t>(B)</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30" w:before="240" w:after="283"/>
        <w:ind w:left="14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provided, however, that for this purpose, the “original directors” and “continuing directors” shall not include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16" w:after="0"/>
        <w:ind w:left="14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Any “person” ​(as defined below) who by the acquisition or aggregation of securities, is or becomes the “beneficial owner” ​(as defined in Rule 13d-3 under the Exchange Act), directly or indirectly, of securities of the Company representing 50% or more of the combined voting power of the Company’s then outstanding securities ordinarily (and apart from rights accruing under special circumstances) having the right to vote at elections of directors (the “Base Capital Stock”); except that any change in the relative beneficial ownership of the Company’s securities by any person resulting solely from a reduction in the aggregate number of outstanding Shares of Base Capital Stock, and any decrease thereafter in such person’s ownership of securities, shall be disregarded until such person increases in any manner, directly or indirectly, such person’s beneficial ownership of any securities of the Company;</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37160" distB="0" distL="190500" distR="0" simplePos="0" locked="0" layoutInCell="1" allowOverlap="1" relativeHeight="407">
                <wp:simplePos x="0" y="0"/>
                <wp:positionH relativeFrom="column">
                  <wp:align>left</wp:align>
                </wp:positionH>
                <wp:positionV relativeFrom="line">
                  <wp:align>top</wp:align>
                </wp:positionV>
                <wp:extent cx="254000" cy="350520"/>
                <wp:effectExtent l="0" t="0" r="0" b="0"/>
                <wp:wrapSquare wrapText="right"/>
                <wp:docPr id="411" name="Frame3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(ii)</w:t>
                              <w:br/>
                            </w:r>
                          </w:p>
                        </w:txbxContent>
                      </wps:txbx>
                      <wps:bodyPr anchor="t" lIns="0" tIns="0" rIns="0" bIns="0">
                        <a:noAutofit/>
                      </wps:bodyPr>
                    </wps:wsp>
                  </a:graphicData>
                </a:graphic>
              </wp:anchor>
            </w:drawing>
          </mc:Choice>
          <mc:Fallback>
            <w:pict>
              <v:rect style="position:absolute;rotation:-0;width:20pt;height:27.6pt;mso-wrap-distance-left:15pt;mso-wrap-distance-right:0pt;mso-wrap-distance-top:10.8pt;mso-wrap-distance-bottom:0pt;margin-top:10.8pt;mso-position-vertical:top;mso-position-vertical-relative:text;margin-left:15pt;mso-position-horizontal:left;mso-position-horizontal-relative:text">
                <v:textbox>
                  <w:txbxContent>
                    <w:p>
                      <w:pPr>
                        <w:pStyle w:val="TextBody"/>
                        <w:bidi w:val="0"/>
                        <w:spacing w:lineRule="atLeast" w:line="240" w:before="0" w:after="283"/>
                        <w:jc w:val="left"/>
                        <w:rPr/>
                      </w:pPr>
                      <w:r>
                        <w:rPr/>
                        <w:t>(ii)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16" w:after="0"/>
        <w:ind w:left="14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consummation of a merger or consolidation of the Company or a Subsidiary of the Company with or into another entity or any other corporate reorganization, if persons who were not stockholders of the Company immediately prior to such merger, consolidation or other reorganization own immediately after such merger, consolidation or other reorganization 50% or more of the voting power of the outstanding securities of each of  (A) the Company (or its successor) and (B) any direct or indirect parent corporation of the Company (or its successor); or</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37160" distB="0" distL="190500" distR="0" simplePos="0" locked="0" layoutInCell="1" allowOverlap="1" relativeHeight="408">
                <wp:simplePos x="0" y="0"/>
                <wp:positionH relativeFrom="column">
                  <wp:align>left</wp:align>
                </wp:positionH>
                <wp:positionV relativeFrom="line">
                  <wp:align>top</wp:align>
                </wp:positionV>
                <wp:extent cx="254000" cy="350520"/>
                <wp:effectExtent l="0" t="0" r="0" b="0"/>
                <wp:wrapSquare wrapText="right"/>
                <wp:docPr id="412" name="Frame3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(iii)</w:t>
                              <w:br/>
                            </w:r>
                          </w:p>
                        </w:txbxContent>
                      </wps:txbx>
                      <wps:bodyPr anchor="t" lIns="0" tIns="0" rIns="0" bIns="0">
                        <a:noAutofit/>
                      </wps:bodyPr>
                    </wps:wsp>
                  </a:graphicData>
                </a:graphic>
              </wp:anchor>
            </w:drawing>
          </mc:Choice>
          <mc:Fallback>
            <w:pict>
              <v:rect style="position:absolute;rotation:-0;width:20pt;height:27.6pt;mso-wrap-distance-left:15pt;mso-wrap-distance-right:0pt;mso-wrap-distance-top:10.8pt;mso-wrap-distance-bottom:0pt;margin-top:10.8pt;mso-position-vertical:top;mso-position-vertical-relative:text;margin-left:15pt;mso-position-horizontal:left;mso-position-horizontal-relative:text">
                <v:textbox>
                  <w:txbxContent>
                    <w:p>
                      <w:pPr>
                        <w:pStyle w:val="TextBody"/>
                        <w:bidi w:val="0"/>
                        <w:spacing w:lineRule="atLeast" w:line="240" w:before="0" w:after="283"/>
                        <w:jc w:val="left"/>
                        <w:rPr/>
                      </w:pPr>
                      <w:r>
                        <w:rPr/>
                        <w:t>(iii)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16" w:after="0"/>
        <w:ind w:left="14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sale, transfer, or other disposition of all or substantially all of the Company’s assets.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37160" distB="0" distL="190500" distR="0" simplePos="0" locked="0" layoutInCell="1" allowOverlap="1" relativeHeight="409">
                <wp:simplePos x="0" y="0"/>
                <wp:positionH relativeFrom="column">
                  <wp:align>left</wp:align>
                </wp:positionH>
                <wp:positionV relativeFrom="line">
                  <wp:align>top</wp:align>
                </wp:positionV>
                <wp:extent cx="254000" cy="350520"/>
                <wp:effectExtent l="0" t="0" r="0" b="0"/>
                <wp:wrapSquare wrapText="right"/>
                <wp:docPr id="413" name="Frame3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(iv)</w:t>
                              <w:br/>
                            </w:r>
                          </w:p>
                        </w:txbxContent>
                      </wps:txbx>
                      <wps:bodyPr anchor="t" lIns="0" tIns="0" rIns="0" bIns="0">
                        <a:noAutofit/>
                      </wps:bodyPr>
                    </wps:wsp>
                  </a:graphicData>
                </a:graphic>
              </wp:anchor>
            </w:drawing>
          </mc:Choice>
          <mc:Fallback>
            <w:pict>
              <v:rect style="position:absolute;rotation:-0;width:20pt;height:27.6pt;mso-wrap-distance-left:15pt;mso-wrap-distance-right:0pt;mso-wrap-distance-top:10.8pt;mso-wrap-distance-bottom:0pt;margin-top:10.8pt;mso-position-vertical:top;mso-position-vertical-relative:text;margin-left:15pt;mso-position-horizontal:left;mso-position-horizontal-relative:text">
                <v:textbox>
                  <w:txbxContent>
                    <w:p>
                      <w:pPr>
                        <w:pStyle w:val="TextBody"/>
                        <w:bidi w:val="0"/>
                        <w:spacing w:lineRule="atLeast" w:line="240" w:before="0" w:after="283"/>
                        <w:jc w:val="left"/>
                        <w:rPr/>
                      </w:pPr>
                      <w:r>
                        <w:rPr/>
                        <w:t>(iv)</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For purposes of subsection (j)(i) above, the term “look-back” date means the later of  (1) the Effective Date and (2) the date that is 24 months prior to the date of the event that may constitute a Change in Control.</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For purposes of subsection (j)(ii) above, the term “person” shall have the same meaning as when used in Sections 13(d) and 14(d) of the Exchange Act, but shall exclude (1) a trustee or other fiduciary holding securities under an employee benefit plan maintained by the Company or a Parent or Subsidiary and (2) a corporation owned directly or indirectly by the stockholders of the Company in substantially the same proportions as their ownership of the Stock.</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Any other provision of this Section 2(j) notwithstanding, 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and a Change in Control shall not be deemed to occur if the Company files a registration statement with the United States Securities and Exchange Commission in connection with an initial or secondary public offering of securities or debt of the Company to the public.</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(k)   “Code” means the United States Internal Revenue Code of 1986, as amended, and the rules and regulations promulgated thereunder.</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(l)   “Committee” means the Compensation and Human Capital Committee as designated by the Board, which is authorized to administer the Plan, as described in Section 3 hereof.</w:t>
      </w:r>
      <w:r>
        <w:rPr>
          <w:rFonts w:ascii="Helvetica;Arial;sans-serif" w:hAnsi="Helvetica;Arial;sans-serif"/>
          <w:b w:val="false"/>
          <w:i w:val="false"/>
          <w:caps w:val="false"/>
          <w:smallCaps w:val="false"/>
          <w:color w:val="000000"/>
          <w:spacing w:val="4"/>
          <w:sz w:val="18"/>
        </w:rPr>
        <w:t xml:space="preserve"> </w:t>
      </w:r>
    </w:p>
    <w:tbl>
      <w:tblPr>
        <w:tblW w:w="3183" w:type="dxa"/>
        <w:jc w:val="left"/>
        <w:tblInd w:w="720" w:type="dxa"/>
        <w:tblLayout w:type="fixed"/>
        <w:tblCellMar>
          <w:top w:w="0" w:type="dxa"/>
          <w:left w:w="0" w:type="dxa"/>
          <w:bottom w:w="0" w:type="dxa"/>
          <w:right w:w="0" w:type="dxa"/>
        </w:tblCellMar>
      </w:tblPr>
      <w:tblGrid>
        <w:gridCol w:w="124"/>
        <w:gridCol w:w="481"/>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481" w:type="dxa"/>
            <w:tcBorders/>
            <w:vAlign w:val="center"/>
          </w:tcPr>
          <w:p>
            <w:pPr>
              <w:pStyle w:val="TableContents"/>
              <w:bidi w:val="0"/>
              <w:spacing w:before="0" w:after="283"/>
              <w:jc w:val="left"/>
              <w:rPr/>
            </w:pPr>
            <w:r>
              <w:rPr/>
              <w:t>A-2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MMLG"/>
      <w:bookmarkEnd w:id="47"/>
      <w:r>
        <w:rPr>
          <w:rFonts w:ascii="calibri;arial;sans-serif" w:hAnsi="calibri;arial;sans-serif"/>
          <w:b w:val="false"/>
          <w:i w:val="false"/>
          <w:caps w:val="false"/>
          <w:smallCaps w:val="false"/>
          <w:color w:val="000000"/>
          <w:sz w:val="16"/>
        </w:rPr>
        <w:t>​</w:t>
      </w:r>
      <w:bookmarkStart w:id="48" w:name="tNMAI"/>
      <w:bookmarkEnd w:id="48"/>
      <w:r>
        <w:rPr>
          <w:rFonts w:ascii="calibri;arial;sans-serif" w:hAnsi="calibri;arial;sans-serif"/>
          <w:b w:val="false"/>
          <w:i w:val="false"/>
          <w:caps w:val="false"/>
          <w:smallCaps w:val="false"/>
          <w:color w:val="000000"/>
          <w:sz w:val="16"/>
        </w:rPr>
        <w:t>​</w:t>
      </w:r>
      <w:bookmarkStart w:id="49" w:name="tOMAP"/>
      <w:bookmarkEnd w:id="49"/>
      <w:r>
        <w:rPr>
          <w:rFonts w:ascii="calibri;arial;sans-serif" w:hAnsi="calibri;arial;sans-serif"/>
          <w:b w:val="false"/>
          <w:i w:val="false"/>
          <w:caps w:val="false"/>
          <w:smallCaps w:val="false"/>
          <w:color w:val="000000"/>
          <w:sz w:val="16"/>
        </w:rPr>
        <w:t>​</w:t>
      </w:r>
      <w:bookmarkStart w:id="50" w:name="tPDMT"/>
      <w:bookmarkEnd w:id="50"/>
      <w:r>
        <w:rPr>
          <w:rFonts w:ascii="calibri;arial;sans-serif" w:hAnsi="calibri;arial;sans-serif"/>
          <w:b w:val="false"/>
          <w:i w:val="false"/>
          <w:caps w:val="false"/>
          <w:smallCaps w:val="false"/>
          <w:color w:val="000000"/>
          <w:sz w:val="16"/>
        </w:rPr>
        <w:t>​</w:t>
      </w:r>
      <w:bookmarkStart w:id="51" w:name="tQMAI"/>
      <w:bookmarkEnd w:id="51"/>
      <w:r>
        <w:rPr>
          <w:rFonts w:ascii="calibri;arial;sans-serif" w:hAnsi="calibri;arial;sans-serif"/>
          <w:b w:val="false"/>
          <w:i w:val="false"/>
          <w:caps w:val="false"/>
          <w:smallCaps w:val="false"/>
          <w:color w:val="000000"/>
          <w:sz w:val="16"/>
        </w:rPr>
        <w:t>​</w:t>
      </w:r>
      <w:bookmarkStart w:id="52" w:name="tRAMT"/>
      <w:bookmarkEnd w:id="52"/>
      <w:r>
        <w:rPr>
          <w:rFonts w:ascii="calibri;arial;sans-serif" w:hAnsi="calibri;arial;sans-serif"/>
          <w:b w:val="false"/>
          <w:i w:val="false"/>
          <w:caps w:val="false"/>
          <w:smallCaps w:val="false"/>
          <w:color w:val="000000"/>
          <w:sz w:val="16"/>
        </w:rPr>
        <w:t>​</w:t>
      </w:r>
      <w:bookmarkStart w:id="53" w:name="tSAMT"/>
      <w:bookmarkEnd w:id="53"/>
      <w:r>
        <w:rPr>
          <w:rFonts w:ascii="calibri;arial;sans-serif" w:hAnsi="calibri;arial;sans-serif"/>
          <w:b w:val="false"/>
          <w:i w:val="false"/>
          <w:caps w:val="false"/>
          <w:smallCaps w:val="false"/>
          <w:color w:val="000000"/>
          <w:sz w:val="16"/>
        </w:rPr>
        <w:t>​</w:t>
      </w:r>
      <w:bookmarkStart w:id="54" w:name="tTPMI"/>
      <w:bookmarkEnd w:id="54"/>
      <w:r>
        <w:rPr>
          <w:rFonts w:ascii="calibri;arial;sans-serif" w:hAnsi="calibri;arial;sans-serif"/>
          <w:b w:val="false"/>
          <w:i w:val="false"/>
          <w:caps w:val="false"/>
          <w:smallCaps w:val="false"/>
          <w:color w:val="000000"/>
          <w:sz w:val="16"/>
        </w:rPr>
        <w:t>​</w:t>
      </w:r>
      <w:bookmarkStart w:id="55" w:name="tUMVW"/>
      <w:bookmarkEnd w:id="55"/>
      <w:r>
        <w:rPr>
          <w:rFonts w:ascii="calibri;arial;sans-serif" w:hAnsi="calibri;arial;sans-serif"/>
          <w:b w:val="false"/>
          <w:i w:val="false"/>
          <w:caps w:val="false"/>
          <w:smallCaps w:val="false"/>
          <w:color w:val="000000"/>
          <w:sz w:val="16"/>
        </w:rPr>
        <w:t>​</w:t>
      </w:r>
      <w:bookmarkStart w:id="56" w:name="tVMAE"/>
      <w:bookmarkEnd w:id="56"/>
      <w:r>
        <w:rPr>
          <w:rFonts w:ascii="calibri;arial;sans-serif" w:hAnsi="calibri;arial;sans-serif"/>
          <w:b w:val="false"/>
          <w:i w:val="false"/>
          <w:caps w:val="false"/>
          <w:smallCaps w:val="false"/>
          <w:color w:val="000000"/>
          <w:sz w:val="16"/>
        </w:rPr>
        <w:t>​</w:t>
      </w:r>
      <w:bookmarkStart w:id="57" w:name="tWOON"/>
      <w:bookmarkEnd w:id="57"/>
      <w:r>
        <w:rPr>
          <w:rFonts w:ascii="calibri;arial;sans-serif" w:hAnsi="calibri;arial;sans-serif"/>
          <w:b w:val="false"/>
          <w:i w:val="false"/>
          <w:caps w:val="false"/>
          <w:smallCaps w:val="false"/>
          <w:color w:val="000000"/>
          <w:sz w:val="16"/>
        </w:rPr>
        <w:t>​</w:t>
      </w:r>
      <w:bookmarkStart w:id="58" w:name="tXMAI"/>
      <w:bookmarkEnd w:id="58"/>
      <w:r>
        <w:rPr>
          <w:rFonts w:ascii="calibri;arial;sans-serif" w:hAnsi="calibri;arial;sans-serif"/>
          <w:b w:val="false"/>
          <w:i w:val="false"/>
          <w:caps w:val="false"/>
          <w:smallCaps w:val="false"/>
          <w:color w:val="000000"/>
          <w:sz w:val="16"/>
        </w:rPr>
        <w:t>​</w:t>
      </w:r>
      <w:bookmarkStart w:id="59" w:name="tYDMA"/>
      <w:bookmarkEnd w:id="59"/>
      <w:r>
        <w:rPr>
          <w:rFonts w:ascii="calibri;arial;sans-serif" w:hAnsi="calibri;arial;sans-serif"/>
          <w:b w:val="false"/>
          <w:i w:val="false"/>
          <w:caps w:val="false"/>
          <w:smallCaps w:val="false"/>
          <w:color w:val="000000"/>
          <w:sz w:val="16"/>
        </w:rPr>
        <w:t>​</w:t>
      </w:r>
      <w:bookmarkStart w:id="60" w:name="tZMAC"/>
      <w:bookmarkEnd w:id="60"/>
      <w:r>
        <w:rPr>
          <w:rFonts w:ascii="calibri;arial;sans-serif" w:hAnsi="calibri;arial;sans-serif"/>
          <w:b w:val="false"/>
          <w:i w:val="false"/>
          <w:caps w:val="false"/>
          <w:smallCaps w:val="false"/>
          <w:color w:val="000000"/>
          <w:sz w:val="16"/>
        </w:rPr>
        <w:t>​</w:t>
      </w:r>
      <w:bookmarkStart w:id="61" w:name="tAMAP"/>
      <w:bookmarkEnd w:id="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84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(m)   “Company” means Lucid Group, Inc., a Delaware corporation, or any successor thereto.</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(n)   “Consultant” means an individual who is a consultant or advisor and who provides bona fide services to the Company, a Parent, a Subsidiary, or an Affiliate as an independent contractor (not including service as a member of the Board) or a member of the Board of a Parent or a Subsidiary, in each case who is not an Employee.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   “Disability” means any permanent and total disability as defined by Section 22(e)(3) of the Code.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(p)   “Effective Date” means the original effective date of this Plan, which was July 23, 2021, the date of the closing of the transactions contemplated by the Agreement and Plan of Merger by and among Churchill Capital Corp IV, a Delaware corporation (the “SPAC”), a new wholly-owned subsidiary of the SPAC and the Company, dated as of February 22, 2021 (the “Merger Agreement”).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(q)   “Employee” means any individual who is a common-law employee of the Company, a Parent, a Subsidiary, or an Affiliate.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(r)   “ESPP Addendum” means the Lucid Group, Inc. 2021 Employee Stock Purchase Plan attached to this Plan as </w:t>
      </w:r>
      <w:r>
        <w:rPr>
          <w:rFonts w:ascii="Helvetica;Arial;sans-serif" w:hAnsi="Helvetica;Arial;sans-serif"/>
          <w:b/>
          <w:i w:val="false"/>
          <w:caps w:val="false"/>
          <w:smallCaps w:val="false"/>
          <w:color w:val="000000"/>
          <w:sz w:val="18"/>
          <w:u w:val="single"/>
        </w:rPr>
        <w:t>Exhibit A</w:t>
      </w:r>
      <w:r>
        <w:rPr>
          <w:rFonts w:ascii="Helvetica;Arial;sans-serif" w:hAnsi="Helvetica;Arial;sans-serif"/>
          <w:b w:val="false"/>
          <w:i w:val="false"/>
          <w:caps w:val="false"/>
          <w:smallCaps w:val="false"/>
          <w:color w:val="000000"/>
          <w:sz w:val="18"/>
          <w:u w:val="single"/>
        </w:rPr>
        <w: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(s)   “Exchange Act” means the United States Securities Exchange Act of 1934, as amended, and the rules and regulations promulgated thereunder.</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   “Exercise Price” means, in the case of an Option, the amount for which one Share may be purchased upon exercise of such Option, as specified in the applicable Option Award Agreement. “Exercise Price” means, in the case of a SAR, an amount, as specified in the applicable SAR Award Agreement, which is subtracted from the Fair Market Value of one Share in determining the amount payable upon exercise of such SAR.</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(u)   “Fair Market Value” with respect to a Share, means the market price of one Share, determined by the Committee as follows: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34" w:after="0"/>
        <w:ind w:left="14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If the Stock was traded over-the-counter on the date in question, then the Fair Market Value shall be equal to the last transaction price quoted for such date by the OTC Bulletin Board or, if not so quoted, shall be equal to the mean between the last reported representative bid and asked prices quoted for such date by the principal automated inter-dealer quotation system on which the Stock is quoted or, if the Stock is not quoted on any such system, by the Pink Quote system;</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48590" distB="0" distL="190500" distR="0" simplePos="0" locked="0" layoutInCell="1" allowOverlap="1" relativeHeight="410">
                <wp:simplePos x="0" y="0"/>
                <wp:positionH relativeFrom="column">
                  <wp:align>left</wp:align>
                </wp:positionH>
                <wp:positionV relativeFrom="line">
                  <wp:align>top</wp:align>
                </wp:positionV>
                <wp:extent cx="254000" cy="350520"/>
                <wp:effectExtent l="0" t="0" r="0" b="0"/>
                <wp:wrapSquare wrapText="right"/>
                <wp:docPr id="414" name="Frame3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(i)</w:t>
                              <w:br/>
                            </w:r>
                          </w:p>
                        </w:txbxContent>
                      </wps:txbx>
                      <wps:bodyPr anchor="t" lIns="0" tIns="0" rIns="0" bIns="0">
                        <a:noAutofit/>
                      </wps:bodyPr>
                    </wps:wsp>
                  </a:graphicData>
                </a:graphic>
              </wp:anchor>
            </w:drawing>
          </mc:Choice>
          <mc:Fallback>
            <w:pict>
              <v:rect style="position:absolute;rotation:-0;width:20pt;height:27.6pt;mso-wrap-distance-left:15pt;mso-wrap-distance-right:0pt;mso-wrap-distance-top:11.7pt;mso-wrap-distance-bottom:0pt;margin-top:11.7pt;mso-position-vertical:top;mso-position-vertical-relative:text;margin-left:15pt;mso-position-horizontal:left;mso-position-horizontal-relative:text">
                <v:textbox>
                  <w:txbxContent>
                    <w:p>
                      <w:pPr>
                        <w:pStyle w:val="TextBody"/>
                        <w:bidi w:val="0"/>
                        <w:spacing w:lineRule="atLeast" w:line="240" w:before="0" w:after="283"/>
                        <w:jc w:val="left"/>
                        <w:rPr/>
                      </w:pPr>
                      <w:r>
                        <w:rPr/>
                        <w:t>(i)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4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If the Stock was traded on any established stock exchange (such as the New York Stock Exchange, The Nasdaq Global Market or The Nasdaq Global Select Market) or national market system on the date in question, then the Fair Market Value shall be equal to the closing price reported for such date by the applicable exchange or system; or</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48590" distB="0" distL="190500" distR="0" simplePos="0" locked="0" layoutInCell="1" allowOverlap="1" relativeHeight="411">
                <wp:simplePos x="0" y="0"/>
                <wp:positionH relativeFrom="column">
                  <wp:align>left</wp:align>
                </wp:positionH>
                <wp:positionV relativeFrom="line">
                  <wp:align>top</wp:align>
                </wp:positionV>
                <wp:extent cx="254000" cy="350520"/>
                <wp:effectExtent l="0" t="0" r="0" b="0"/>
                <wp:wrapSquare wrapText="right"/>
                <wp:docPr id="415" name="Frame3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(ii)</w:t>
                              <w:br/>
                            </w:r>
                          </w:p>
                        </w:txbxContent>
                      </wps:txbx>
                      <wps:bodyPr anchor="t" lIns="0" tIns="0" rIns="0" bIns="0">
                        <a:noAutofit/>
                      </wps:bodyPr>
                    </wps:wsp>
                  </a:graphicData>
                </a:graphic>
              </wp:anchor>
            </w:drawing>
          </mc:Choice>
          <mc:Fallback>
            <w:pict>
              <v:rect style="position:absolute;rotation:-0;width:20pt;height:27.6pt;mso-wrap-distance-left:15pt;mso-wrap-distance-right:0pt;mso-wrap-distance-top:11.7pt;mso-wrap-distance-bottom:0pt;margin-top:11.7pt;mso-position-vertical:top;mso-position-vertical-relative:text;margin-left:15pt;mso-position-horizontal:left;mso-position-horizontal-relative:text">
                <v:textbox>
                  <w:txbxContent>
                    <w:p>
                      <w:pPr>
                        <w:pStyle w:val="TextBody"/>
                        <w:bidi w:val="0"/>
                        <w:spacing w:lineRule="atLeast" w:line="240" w:before="0" w:after="283"/>
                        <w:jc w:val="left"/>
                        <w:rPr/>
                      </w:pPr>
                      <w:r>
                        <w:rPr/>
                        <w:t>(ii)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4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If none of the foregoing provisions is applicable, then the Fair Market Value shall be determined by the Committee in good faith on such basis as it deems appropriate.</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49860" distB="0" distL="190500" distR="0" simplePos="0" locked="0" layoutInCell="1" allowOverlap="1" relativeHeight="412">
                <wp:simplePos x="0" y="0"/>
                <wp:positionH relativeFrom="column">
                  <wp:align>left</wp:align>
                </wp:positionH>
                <wp:positionV relativeFrom="line">
                  <wp:align>top</wp:align>
                </wp:positionV>
                <wp:extent cx="254000" cy="350520"/>
                <wp:effectExtent l="0" t="0" r="0" b="0"/>
                <wp:wrapSquare wrapText="right"/>
                <wp:docPr id="416" name="Frame3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(iii)</w:t>
                              <w:br/>
                            </w:r>
                          </w:p>
                        </w:txbxContent>
                      </wps:txbx>
                      <wps:bodyPr anchor="t" lIns="0" tIns="0" rIns="0" bIns="0">
                        <a:noAutofit/>
                      </wps:bodyPr>
                    </wps:wsp>
                  </a:graphicData>
                </a:graphic>
              </wp:anchor>
            </w:drawing>
          </mc:Choice>
          <mc:Fallback>
            <w:pict>
              <v:rect style="position:absolute;rotation:-0;width:20pt;height:27.6pt;mso-wrap-distance-left:15pt;mso-wrap-distance-right:0pt;mso-wrap-distance-top:11.8pt;mso-wrap-distance-bottom:0pt;margin-top:11.8pt;mso-position-vertical:top;mso-position-vertical-relative:text;margin-left:15pt;mso-position-horizontal:left;mso-position-horizontal-relative:text">
                <v:textbox>
                  <w:txbxContent>
                    <w:p>
                      <w:pPr>
                        <w:pStyle w:val="TextBody"/>
                        <w:bidi w:val="0"/>
                        <w:spacing w:lineRule="atLeast" w:line="240" w:before="0" w:after="283"/>
                        <w:jc w:val="left"/>
                        <w:rPr/>
                      </w:pPr>
                      <w:r>
                        <w:rPr/>
                        <w:t>(iii)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In all cases, the determination of Fair Market Value by the Committee shall be conclusive and binding on all persons.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(v)   “ISO” means an employee incentive stock option described in Section 422 of the Code.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(w)   “Nonstatutory Option” or “NSO” means an employee stock option that is not an ISO or a Stock Purchase Right.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(x)   “Option” means an ISO or NSO granted under the Plan and entitling the holder to purchase Shares.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(y)   “Outside Director” means a member of the Board who is not a common-law employee of, or paid consultant to, the Company, a Parent or a Subsidiary.</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(z)   “Parent”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a Parent commencing as of such date.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(aa)   “Participant” means a person who holds an Award.</w:t>
      </w:r>
      <w:r>
        <w:rPr>
          <w:rFonts w:ascii="Helvetica;Arial;sans-serif" w:hAnsi="Helvetica;Arial;sans-serif"/>
          <w:b w:val="false"/>
          <w:i w:val="false"/>
          <w:caps w:val="false"/>
          <w:smallCaps w:val="false"/>
          <w:color w:val="000000"/>
          <w:spacing w:val="4"/>
          <w:sz w:val="18"/>
        </w:rPr>
        <w:t xml:space="preserve"> </w:t>
      </w:r>
    </w:p>
    <w:tbl>
      <w:tblPr>
        <w:tblW w:w="3183" w:type="dxa"/>
        <w:jc w:val="left"/>
        <w:tblInd w:w="720" w:type="dxa"/>
        <w:tblLayout w:type="fixed"/>
        <w:tblCellMar>
          <w:top w:w="0" w:type="dxa"/>
          <w:left w:w="0" w:type="dxa"/>
          <w:bottom w:w="0" w:type="dxa"/>
          <w:right w:w="0" w:type="dxa"/>
        </w:tblCellMar>
      </w:tblPr>
      <w:tblGrid>
        <w:gridCol w:w="124"/>
        <w:gridCol w:w="2206"/>
        <w:gridCol w:w="109"/>
        <w:gridCol w:w="109"/>
        <w:gridCol w:w="481"/>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81" w:type="dxa"/>
            <w:tcBorders/>
            <w:vAlign w:val="center"/>
          </w:tcPr>
          <w:p>
            <w:pPr>
              <w:pStyle w:val="TableContents"/>
              <w:bidi w:val="0"/>
              <w:spacing w:before="0" w:after="0"/>
              <w:jc w:val="right"/>
              <w:rPr>
                <w:b/>
              </w:rPr>
            </w:pPr>
            <w:r>
              <w:rPr>
                <w:b/>
              </w:rPr>
              <w:t>A-3</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2" w:name="tBMTA"/>
      <w:bookmarkEnd w:id="62"/>
      <w:r>
        <w:rPr>
          <w:rFonts w:ascii="calibri;arial;sans-serif" w:hAnsi="calibri;arial;sans-serif"/>
          <w:b w:val="false"/>
          <w:i w:val="false"/>
          <w:caps w:val="false"/>
          <w:smallCaps w:val="false"/>
          <w:color w:val="000000"/>
          <w:sz w:val="16"/>
        </w:rPr>
        <w:t>​</w:t>
      </w:r>
      <w:bookmarkStart w:id="63" w:name="tCPMT1"/>
      <w:bookmarkEnd w:id="63"/>
      <w:r>
        <w:rPr>
          <w:rFonts w:ascii="calibri;arial;sans-serif" w:hAnsi="calibri;arial;sans-serif"/>
          <w:b w:val="false"/>
          <w:i w:val="false"/>
          <w:caps w:val="false"/>
          <w:smallCaps w:val="false"/>
          <w:color w:val="000000"/>
          <w:sz w:val="16"/>
        </w:rPr>
        <w:t>​</w:t>
      </w:r>
      <w:bookmarkStart w:id="64" w:name="tDDMT"/>
      <w:bookmarkEnd w:id="64"/>
      <w:r>
        <w:rPr>
          <w:rFonts w:ascii="calibri;arial;sans-serif" w:hAnsi="calibri;arial;sans-serif"/>
          <w:b w:val="false"/>
          <w:i w:val="false"/>
          <w:caps w:val="false"/>
          <w:smallCaps w:val="false"/>
          <w:color w:val="000000"/>
          <w:sz w:val="16"/>
        </w:rPr>
        <w:t>​</w:t>
      </w:r>
      <w:bookmarkStart w:id="65" w:name="tESMA"/>
      <w:bookmarkEnd w:id="65"/>
      <w:r>
        <w:rPr>
          <w:rFonts w:ascii="calibri;arial;sans-serif" w:hAnsi="calibri;arial;sans-serif"/>
          <w:b w:val="false"/>
          <w:i w:val="false"/>
          <w:caps w:val="false"/>
          <w:smallCaps w:val="false"/>
          <w:color w:val="000000"/>
          <w:sz w:val="16"/>
        </w:rPr>
        <w:t>​</w:t>
      </w:r>
      <w:bookmarkStart w:id="66" w:name="tFSUM"/>
      <w:bookmarkEnd w:id="66"/>
      <w:r>
        <w:rPr>
          <w:rFonts w:ascii="calibri;arial;sans-serif" w:hAnsi="calibri;arial;sans-serif"/>
          <w:b w:val="false"/>
          <w:i w:val="false"/>
          <w:caps w:val="false"/>
          <w:smallCaps w:val="false"/>
          <w:color w:val="000000"/>
          <w:sz w:val="16"/>
        </w:rPr>
        <w:t>​</w:t>
      </w:r>
      <w:bookmarkStart w:id="67" w:name="tGMAS"/>
      <w:bookmarkEnd w:id="67"/>
      <w:r>
        <w:rPr>
          <w:rFonts w:ascii="calibri;arial;sans-serif" w:hAnsi="calibri;arial;sans-serif"/>
          <w:b w:val="false"/>
          <w:i w:val="false"/>
          <w:caps w:val="false"/>
          <w:smallCaps w:val="false"/>
          <w:color w:val="000000"/>
          <w:sz w:val="16"/>
        </w:rPr>
        <w:t>​</w:t>
      </w:r>
      <w:bookmarkStart w:id="68" w:name="tH4MS"/>
      <w:bookmarkEnd w:id="68"/>
      <w:r>
        <w:rPr>
          <w:rFonts w:ascii="calibri;arial;sans-serif" w:hAnsi="calibri;arial;sans-serif"/>
          <w:b w:val="false"/>
          <w:i w:val="false"/>
          <w:caps w:val="false"/>
          <w:smallCaps w:val="false"/>
          <w:color w:val="000000"/>
          <w:sz w:val="16"/>
        </w:rPr>
        <w:t>​</w:t>
      </w:r>
      <w:bookmarkStart w:id="69" w:name="tIAMT"/>
      <w:bookmarkEnd w:id="69"/>
      <w:r>
        <w:rPr>
          <w:rFonts w:ascii="calibri;arial;sans-serif" w:hAnsi="calibri;arial;sans-serif"/>
          <w:b w:val="false"/>
          <w:i w:val="false"/>
          <w:caps w:val="false"/>
          <w:smallCaps w:val="false"/>
          <w:color w:val="000000"/>
          <w:sz w:val="16"/>
        </w:rPr>
        <w:t>​</w:t>
      </w:r>
      <w:bookmarkStart w:id="70" w:name="tJMSA"/>
      <w:bookmarkEnd w:id="70"/>
      <w:r>
        <w:rPr>
          <w:rFonts w:ascii="calibri;arial;sans-serif" w:hAnsi="calibri;arial;sans-serif"/>
          <w:b w:val="false"/>
          <w:i w:val="false"/>
          <w:caps w:val="false"/>
          <w:smallCaps w:val="false"/>
          <w:color w:val="000000"/>
          <w:sz w:val="16"/>
        </w:rPr>
        <w:t>​</w:t>
      </w:r>
      <w:bookmarkStart w:id="71" w:name="tKMOS"/>
      <w:bookmarkEnd w:id="71"/>
      <w:r>
        <w:rPr>
          <w:rFonts w:ascii="calibri;arial;sans-serif" w:hAnsi="calibri;arial;sans-serif"/>
          <w:b w:val="false"/>
          <w:i w:val="false"/>
          <w:caps w:val="false"/>
          <w:smallCaps w:val="false"/>
          <w:color w:val="000000"/>
          <w:sz w:val="16"/>
        </w:rPr>
        <w:t>​</w:t>
      </w:r>
      <w:bookmarkStart w:id="72" w:name="tLMTC1"/>
      <w:bookmarkEnd w:id="72"/>
      <w:r>
        <w:rPr>
          <w:rFonts w:ascii="calibri;arial;sans-serif" w:hAnsi="calibri;arial;sans-serif"/>
          <w:b w:val="false"/>
          <w:i w:val="false"/>
          <w:caps w:val="false"/>
          <w:smallCaps w:val="false"/>
          <w:color w:val="000000"/>
          <w:sz w:val="16"/>
        </w:rPr>
        <w:t>​</w:t>
      </w:r>
      <w:bookmarkStart w:id="73" w:name="tMPRM"/>
      <w:bookmarkEnd w:id="73"/>
      <w:r>
        <w:rPr>
          <w:rFonts w:ascii="calibri;arial;sans-serif" w:hAnsi="calibri;arial;sans-serif"/>
          <w:b w:val="false"/>
          <w:i w:val="false"/>
          <w:caps w:val="false"/>
          <w:smallCaps w:val="false"/>
          <w:color w:val="000000"/>
          <w:sz w:val="16"/>
        </w:rPr>
        <w:t>​</w:t>
      </w:r>
      <w:bookmarkStart w:id="74" w:name="tNMAC"/>
      <w:bookmarkEnd w:id="74"/>
      <w:r>
        <w:rPr>
          <w:rFonts w:ascii="calibri;arial;sans-serif" w:hAnsi="calibri;arial;sans-serif"/>
          <w:b w:val="false"/>
          <w:i w:val="false"/>
          <w:caps w:val="false"/>
          <w:smallCaps w:val="false"/>
          <w:color w:val="000000"/>
          <w:sz w:val="16"/>
        </w:rPr>
        <w:t>​</w:t>
      </w:r>
      <w:bookmarkStart w:id="75" w:name="tSE3A"/>
      <w:bookmarkEnd w:id="75"/>
      <w:r>
        <w:rPr>
          <w:rFonts w:ascii="calibri;arial;sans-serif" w:hAnsi="calibri;arial;sans-serif"/>
          <w:b w:val="false"/>
          <w:i w:val="false"/>
          <w:caps w:val="false"/>
          <w:smallCaps w:val="false"/>
          <w:color w:val="000000"/>
          <w:sz w:val="16"/>
        </w:rPr>
        <w:t>​</w:t>
      </w:r>
      <w:bookmarkStart w:id="76" w:name="tACTP"/>
      <w:bookmarkEnd w:id="76"/>
      <w:r>
        <w:rPr>
          <w:rFonts w:ascii="calibri;arial;sans-serif" w:hAnsi="calibri;arial;sans-serif"/>
          <w:b w:val="false"/>
          <w:i w:val="false"/>
          <w:caps w:val="false"/>
          <w:smallCaps w:val="false"/>
          <w:color w:val="000000"/>
          <w:sz w:val="16"/>
        </w:rPr>
        <w:t>​</w:t>
      </w:r>
      <w:bookmarkStart w:id="77" w:name="tBATB"/>
      <w:bookmarkEnd w:id="7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84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(bb)   “Plan” means this Amended and Restated 2021 Stock Incentive Plan of Lucid Group, Inc., as amended from time to time.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(cc)   “Purchase Price” means the consideration for which one Share may be acquired under the Plan (other than upon (i) exercise of an Option or (ii) exercise of any Stock Purchase Right under the ESPP Addendum), as specified by the Committee.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(dd)   “Restatement Date” means the date of the Company’s 2022 Annual Meeting of Stockholders, and “Second Restatement Date” means the date of the Company’s 2023 Annual Meeting of Stockholders.”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(ee)   “Restricted Share” means a Share awarded under the Plan.</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(ff)   “Restricted Stock Unit” means a bookkeeping entry representing the Company’s obligation to deliver one Share (or distribute cash) on a future date in accordance with the provisions of a Restricted Stock Unit Award Agreement.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(gg)   “SAR” means a stock appreciation right granted under the Plan.</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(hh)   “Section 409A” means Section 409A of the Code.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(ii)   “Securities Act” means the United States Securities Act of 1933, as amended, the rules and regulations promulgated thereunder.</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(jj)   “Service” means service as an Employee, Consultant or Outside Director, subject to such further limitations as may be set forth in the Plan or the applicable Award Agreement. Service does not terminate when an Employee goes on a bona fide leave of absence that was approved by the Company in writing, if the terms of the leave provide for continued Service crediting, or when continued Service crediting is required by applicable law. However, for purposes of determining whether an Option is entitled to ISO status, an Employee’s employment will be treated as terminating three months after such Employee went on leave, unless such Employee’s right to return to active work is guaranteed by law or by a contract. Service terminates in any event when the approved leave ends, unless such Employee immediately returns to active work. The Company determines which leaves of absence count toward Service, and when Service terminates for all purposes under the Plan.</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(kk)   “Share” means one Share of Stock, as adjusted in accordance with Section 13 (if applicable).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(ll)   “Stock” means the Common Stock of the Company.</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(mm)   “Stock Purchase Right” means an option to purchase Shares granted pursuant to the ESPP Addendum.</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(nn)   “Subsidiary” means any corporation, if the Company owns and/or one or more other Subsidiaries own not less than 50% of the total combined voting power of all classes of outstanding stock of such corporation. A corporation that attains the status of a Subsidiary on a date after the adoption of the Plan shall be considered a Subsidiary commencing as of such date. The determination of whether an entity is a “Subsidiary” shall be made in accordance with Section 424(f) of the code.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SECTION 3.   ADMINISTRATION.</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   </w:t>
      </w:r>
      <w:r>
        <w:rPr>
          <w:rFonts w:ascii="Helvetica;Arial;sans-serif" w:hAnsi="Helvetica;Arial;sans-serif"/>
          <w:b w:val="false"/>
          <w:i/>
          <w:caps w:val="false"/>
          <w:smallCaps w:val="false"/>
          <w:color w:val="000000"/>
          <w:sz w:val="18"/>
        </w:rPr>
        <w:t>Committee Composition</w:t>
      </w:r>
      <w:r>
        <w:rPr>
          <w:rFonts w:ascii="Helvetica;Arial;sans-serif" w:hAnsi="Helvetica;Arial;sans-serif"/>
          <w:b w:val="false"/>
          <w:i w:val="false"/>
          <w:caps w:val="false"/>
          <w:smallCaps w:val="false"/>
          <w:color w:val="000000"/>
          <w:sz w:val="18"/>
        </w:rPr>
        <w:t>.   The Plan shall be administered by a Committee appointed by the Board, or by the Board acting as the Committee. The Committee shall consist of two or more directors of the Company. In addition, to the extent required by the Board, the composition of the Committee shall satisfy such requirements of the New York Stock Exchange (“</w:t>
      </w:r>
      <w:r>
        <w:rPr>
          <w:rFonts w:ascii="Helvetica;Arial;sans-serif" w:hAnsi="Helvetica;Arial;sans-serif"/>
          <w:b/>
          <w:i w:val="false"/>
          <w:caps w:val="false"/>
          <w:smallCaps w:val="false"/>
          <w:color w:val="000000"/>
          <w:sz w:val="18"/>
        </w:rPr>
        <w:t>NYSE</w:t>
      </w:r>
      <w:r>
        <w:rPr>
          <w:rFonts w:ascii="Helvetica;Arial;sans-serif" w:hAnsi="Helvetica;Arial;sans-serif"/>
          <w:b w:val="false"/>
          <w:i w:val="false"/>
          <w:caps w:val="false"/>
          <w:smallCaps w:val="false"/>
          <w:color w:val="000000"/>
          <w:sz w:val="18"/>
        </w:rPr>
        <w:t>”) or the Nasdaq Stock Market (“</w:t>
      </w:r>
      <w:r>
        <w:rPr>
          <w:rFonts w:ascii="Helvetica;Arial;sans-serif" w:hAnsi="Helvetica;Arial;sans-serif"/>
          <w:b/>
          <w:i w:val="false"/>
          <w:caps w:val="false"/>
          <w:smallCaps w:val="false"/>
          <w:color w:val="000000"/>
          <w:sz w:val="18"/>
        </w:rPr>
        <w:t>Nasdaq</w:t>
      </w:r>
      <w:r>
        <w:rPr>
          <w:rFonts w:ascii="Helvetica;Arial;sans-serif" w:hAnsi="Helvetica;Arial;sans-serif"/>
          <w:b w:val="false"/>
          <w:i w:val="false"/>
          <w:caps w:val="false"/>
          <w:smallCaps w:val="false"/>
          <w:color w:val="000000"/>
          <w:sz w:val="18"/>
        </w:rPr>
        <w:t>”), as applicable, and as the Securities and Exchange Commission may establish for administrators acting under plans intended to qualify for exemption under Rule 16b-3 (or its successor) under the Exchange Act.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(b)   </w:t>
      </w:r>
      <w:r>
        <w:rPr>
          <w:rFonts w:ascii="Helvetica;Arial;sans-serif" w:hAnsi="Helvetica;Arial;sans-serif"/>
          <w:b w:val="false"/>
          <w:i/>
          <w:caps w:val="false"/>
          <w:smallCaps w:val="false"/>
          <w:color w:val="000000"/>
          <w:sz w:val="18"/>
        </w:rPr>
        <w:t>Committee Appointment</w:t>
      </w:r>
      <w:r>
        <w:rPr>
          <w:rFonts w:ascii="Helvetica;Arial;sans-serif" w:hAnsi="Helvetica;Arial;sans-serif"/>
          <w:b w:val="false"/>
          <w:i w:val="false"/>
          <w:caps w:val="false"/>
          <w:smallCaps w:val="false"/>
          <w:color w:val="000000"/>
          <w:sz w:val="18"/>
        </w:rPr>
        <w:t xml:space="preserve">.   The Board may also appoint one or more separate committees of the Board, each composed of one or more directors of the Company who need not satisfy the requirements of Section 3(a), who may administer the Plan, grant Awards under the Plan and determine all terms of such grants, in each case with respect to all Employees, Consultants and Outside Directors (except such as may be on such committee), provided that such committee or committees may perform these functions only with respect to Employees who are not considered officers or directors of the Company under Section 16 of the Exchange Act. Within the limitations of the preceding sentence, any reference in the Plan to the Committee shall include such committee or committees appointed pursuant to the preceding sentence. To the extent permitted by applicable laws, the Board or Committee may also authorize one or more officers of the Company to designate Employees, other than officers under Section 16 </w:t>
      </w:r>
    </w:p>
    <w:tbl>
      <w:tblPr>
        <w:tblW w:w="3183" w:type="dxa"/>
        <w:jc w:val="left"/>
        <w:tblInd w:w="720" w:type="dxa"/>
        <w:tblLayout w:type="fixed"/>
        <w:tblCellMar>
          <w:top w:w="0" w:type="dxa"/>
          <w:left w:w="0" w:type="dxa"/>
          <w:bottom w:w="0" w:type="dxa"/>
          <w:right w:w="0" w:type="dxa"/>
        </w:tblCellMar>
      </w:tblPr>
      <w:tblGrid>
        <w:gridCol w:w="124"/>
        <w:gridCol w:w="481"/>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481" w:type="dxa"/>
            <w:tcBorders/>
            <w:vAlign w:val="center"/>
          </w:tcPr>
          <w:p>
            <w:pPr>
              <w:pStyle w:val="TableContents"/>
              <w:bidi w:val="0"/>
              <w:spacing w:before="0" w:after="283"/>
              <w:jc w:val="left"/>
              <w:rPr/>
            </w:pPr>
            <w:r>
              <w:rPr/>
              <w:t>A-4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8" w:name="tCRST"/>
      <w:bookmarkEnd w:id="7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84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of the Exchange Act, to receive Awards and/or to determine the number of such Awards to be received by such persons; provided, however, that the Board or Committee shall specify the total number of Awards that such officers may so award.</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(c)   </w:t>
      </w:r>
      <w:r>
        <w:rPr>
          <w:rFonts w:ascii="Helvetica;Arial;sans-serif" w:hAnsi="Helvetica;Arial;sans-serif"/>
          <w:b w:val="false"/>
          <w:i/>
          <w:caps w:val="false"/>
          <w:smallCaps w:val="false"/>
          <w:color w:val="000000"/>
          <w:sz w:val="18"/>
        </w:rPr>
        <w:t>Committee Responsibilities</w:t>
      </w:r>
      <w:r>
        <w:rPr>
          <w:rFonts w:ascii="Helvetica;Arial;sans-serif" w:hAnsi="Helvetica;Arial;sans-serif"/>
          <w:b w:val="false"/>
          <w:i w:val="false"/>
          <w:caps w:val="false"/>
          <w:smallCaps w:val="false"/>
          <w:color w:val="000000"/>
          <w:sz w:val="18"/>
        </w:rPr>
        <w:t>.   Subject to the provisions of the Plan, the Committee shall have full authority and discretion to take the following actions: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2" w:after="0"/>
        <w:ind w:left="16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To interpret the Plan and to apply its provisions;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53670" distB="0" distL="254000" distR="0" simplePos="0" locked="0" layoutInCell="1" allowOverlap="1" relativeHeight="413">
                <wp:simplePos x="0" y="0"/>
                <wp:positionH relativeFrom="column">
                  <wp:align>left</wp:align>
                </wp:positionH>
                <wp:positionV relativeFrom="line">
                  <wp:align>top</wp:align>
                </wp:positionV>
                <wp:extent cx="317500" cy="350520"/>
                <wp:effectExtent l="0" t="0" r="0" b="0"/>
                <wp:wrapSquare wrapText="right"/>
                <wp:docPr id="417" name="Frame346"/>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2.1pt;mso-wrap-distance-bottom:0pt;margin-top:12.1pt;mso-position-vertical:top;mso-position-vertical-relative:text;margin-left:20pt;mso-position-horizontal:left;mso-position-horizontal-relative:text">
                <v:textbox>
                  <w:txbxContent>
                    <w:p>
                      <w:pPr>
                        <w:pStyle w:val="TextBody"/>
                        <w:bidi w:val="0"/>
                        <w:spacing w:lineRule="atLeast" w:line="240" w:before="0" w:after="283"/>
                        <w:jc w:val="left"/>
                        <w:rPr/>
                      </w:pPr>
                      <w:r>
                        <w:rPr/>
                        <w:t>(i)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6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To adopt, amend, or rescind rules, procedures, and forms relating to the Plan;</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53670" distB="0" distL="254000" distR="0" simplePos="0" locked="0" layoutInCell="1" allowOverlap="1" relativeHeight="414">
                <wp:simplePos x="0" y="0"/>
                <wp:positionH relativeFrom="column">
                  <wp:align>left</wp:align>
                </wp:positionH>
                <wp:positionV relativeFrom="line">
                  <wp:align>top</wp:align>
                </wp:positionV>
                <wp:extent cx="317500" cy="350520"/>
                <wp:effectExtent l="0" t="0" r="0" b="0"/>
                <wp:wrapSquare wrapText="right"/>
                <wp:docPr id="418" name="Frame347"/>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(ii)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2.1pt;mso-wrap-distance-bottom:0pt;margin-top:12.1pt;mso-position-vertical:top;mso-position-vertical-relative:text;margin-left:20pt;mso-position-horizontal:left;mso-position-horizontal-relative:text">
                <v:textbox>
                  <w:txbxContent>
                    <w:p>
                      <w:pPr>
                        <w:pStyle w:val="TextBody"/>
                        <w:bidi w:val="0"/>
                        <w:spacing w:lineRule="atLeast" w:line="240" w:before="0" w:after="283"/>
                        <w:jc w:val="left"/>
                        <w:rPr/>
                      </w:pPr>
                      <w:r>
                        <w:rPr/>
                        <w:t>(ii)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6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To adopt, amend, or terminate (A) the ESPP Addendum and (B) any sub-plans established for the purpose of satisfying applicable foreign laws including qualifying for preferred tax treatment under applicable foreign tax laws;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53670" distB="0" distL="254000" distR="0" simplePos="0" locked="0" layoutInCell="1" allowOverlap="1" relativeHeight="415">
                <wp:simplePos x="0" y="0"/>
                <wp:positionH relativeFrom="column">
                  <wp:align>left</wp:align>
                </wp:positionH>
                <wp:positionV relativeFrom="line">
                  <wp:align>top</wp:align>
                </wp:positionV>
                <wp:extent cx="317500" cy="350520"/>
                <wp:effectExtent l="0" t="0" r="0" b="0"/>
                <wp:wrapSquare wrapText="right"/>
                <wp:docPr id="419" name="Frame348"/>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(iii)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2.1pt;mso-wrap-distance-bottom:0pt;margin-top:12.1pt;mso-position-vertical:top;mso-position-vertical-relative:text;margin-left:20pt;mso-position-horizontal:left;mso-position-horizontal-relative:text">
                <v:textbox>
                  <w:txbxContent>
                    <w:p>
                      <w:pPr>
                        <w:pStyle w:val="TextBody"/>
                        <w:bidi w:val="0"/>
                        <w:spacing w:lineRule="atLeast" w:line="240" w:before="0" w:after="283"/>
                        <w:jc w:val="left"/>
                        <w:rPr/>
                      </w:pPr>
                      <w:r>
                        <w:rPr/>
                        <w:t>(iii)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6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To authorize any person to execute, on behalf of the Company, any instrument required to carry out the purposes of the Plan;</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53670" distB="0" distL="254000" distR="0" simplePos="0" locked="0" layoutInCell="1" allowOverlap="1" relativeHeight="416">
                <wp:simplePos x="0" y="0"/>
                <wp:positionH relativeFrom="column">
                  <wp:align>left</wp:align>
                </wp:positionH>
                <wp:positionV relativeFrom="line">
                  <wp:align>top</wp:align>
                </wp:positionV>
                <wp:extent cx="317500" cy="350520"/>
                <wp:effectExtent l="0" t="0" r="0" b="0"/>
                <wp:wrapSquare wrapText="right"/>
                <wp:docPr id="420" name="Frame349"/>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(iv)</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2.1pt;mso-wrap-distance-bottom:0pt;margin-top:12.1pt;mso-position-vertical:top;mso-position-vertical-relative:text;margin-left:20pt;mso-position-horizontal:left;mso-position-horizontal-relative:text">
                <v:textbox>
                  <w:txbxContent>
                    <w:p>
                      <w:pPr>
                        <w:pStyle w:val="TextBody"/>
                        <w:bidi w:val="0"/>
                        <w:spacing w:lineRule="atLeast" w:line="240" w:before="0" w:after="283"/>
                        <w:jc w:val="left"/>
                        <w:rPr/>
                      </w:pPr>
                      <w:r>
                        <w:rPr/>
                        <w:t>(iv)</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6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To determine when Awards are to be granted under the Plan;</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53670" distB="0" distL="254000" distR="0" simplePos="0" locked="0" layoutInCell="1" allowOverlap="1" relativeHeight="417">
                <wp:simplePos x="0" y="0"/>
                <wp:positionH relativeFrom="column">
                  <wp:align>left</wp:align>
                </wp:positionH>
                <wp:positionV relativeFrom="line">
                  <wp:align>top</wp:align>
                </wp:positionV>
                <wp:extent cx="317500" cy="350520"/>
                <wp:effectExtent l="0" t="0" r="0" b="0"/>
                <wp:wrapSquare wrapText="right"/>
                <wp:docPr id="421" name="Frame350"/>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(v)</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2.1pt;mso-wrap-distance-bottom:0pt;margin-top:12.1pt;mso-position-vertical:top;mso-position-vertical-relative:text;margin-left:20pt;mso-position-horizontal:left;mso-position-horizontal-relative:text">
                <v:textbox>
                  <w:txbxContent>
                    <w:p>
                      <w:pPr>
                        <w:pStyle w:val="TextBody"/>
                        <w:bidi w:val="0"/>
                        <w:spacing w:lineRule="atLeast" w:line="240" w:before="0" w:after="283"/>
                        <w:jc w:val="left"/>
                        <w:rPr/>
                      </w:pPr>
                      <w:r>
                        <w:rPr/>
                        <w:t>(v)</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6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To select the Participants to whom Awards are to be granted;</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53670" distB="0" distL="254000" distR="0" simplePos="0" locked="0" layoutInCell="1" allowOverlap="1" relativeHeight="418">
                <wp:simplePos x="0" y="0"/>
                <wp:positionH relativeFrom="column">
                  <wp:align>left</wp:align>
                </wp:positionH>
                <wp:positionV relativeFrom="line">
                  <wp:align>top</wp:align>
                </wp:positionV>
                <wp:extent cx="317500" cy="350520"/>
                <wp:effectExtent l="0" t="0" r="0" b="0"/>
                <wp:wrapSquare wrapText="right"/>
                <wp:docPr id="422" name="Frame351"/>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(vi)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2.1pt;mso-wrap-distance-bottom:0pt;margin-top:12.1pt;mso-position-vertical:top;mso-position-vertical-relative:text;margin-left:20pt;mso-position-horizontal:left;mso-position-horizontal-relative:text">
                <v:textbox>
                  <w:txbxContent>
                    <w:p>
                      <w:pPr>
                        <w:pStyle w:val="TextBody"/>
                        <w:bidi w:val="0"/>
                        <w:spacing w:lineRule="atLeast" w:line="240" w:before="0" w:after="283"/>
                        <w:jc w:val="left"/>
                        <w:rPr/>
                      </w:pPr>
                      <w:r>
                        <w:rPr/>
                        <w:t>(vi)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6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To determine the type of Award and number of Shares or amount of cash to be made subject to each Award;</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53670" distB="0" distL="254000" distR="0" simplePos="0" locked="0" layoutInCell="1" allowOverlap="1" relativeHeight="419">
                <wp:simplePos x="0" y="0"/>
                <wp:positionH relativeFrom="column">
                  <wp:align>left</wp:align>
                </wp:positionH>
                <wp:positionV relativeFrom="line">
                  <wp:align>top</wp:align>
                </wp:positionV>
                <wp:extent cx="317500" cy="350520"/>
                <wp:effectExtent l="0" t="0" r="0" b="0"/>
                <wp:wrapSquare wrapText="right"/>
                <wp:docPr id="423" name="Frame352"/>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(vii)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2.1pt;mso-wrap-distance-bottom:0pt;margin-top:12.1pt;mso-position-vertical:top;mso-position-vertical-relative:text;margin-left:20pt;mso-position-horizontal:left;mso-position-horizontal-relative:text">
                <v:textbox>
                  <w:txbxContent>
                    <w:p>
                      <w:pPr>
                        <w:pStyle w:val="TextBody"/>
                        <w:bidi w:val="0"/>
                        <w:spacing w:lineRule="atLeast" w:line="240" w:before="0" w:after="283"/>
                        <w:jc w:val="left"/>
                        <w:rPr/>
                      </w:pPr>
                      <w:r>
                        <w:rPr/>
                        <w:t>(vii)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6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To prescribe the terms and conditions of each Award, including (without limitation) the Exercise Price and Purchase Price of any Award, and the vesting or duration of the Award (including accelerating the vesting of Awards, either at the time of the Award or thereafter, without the consent of the Participant), to determine whether an Option is to be classified as an ISO or as an NSO, to specify the provisions of the agreement relating to such Award and to determine and establish the terms and conditions of any Stock Purchase Right granted pursuant to the ESPP Addendum;</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53670" distB="0" distL="254000" distR="0" simplePos="0" locked="0" layoutInCell="1" allowOverlap="1" relativeHeight="420">
                <wp:simplePos x="0" y="0"/>
                <wp:positionH relativeFrom="column">
                  <wp:align>left</wp:align>
                </wp:positionH>
                <wp:positionV relativeFrom="line">
                  <wp:align>top</wp:align>
                </wp:positionV>
                <wp:extent cx="317500" cy="350520"/>
                <wp:effectExtent l="0" t="0" r="0" b="0"/>
                <wp:wrapSquare wrapText="right"/>
                <wp:docPr id="424" name="Frame353"/>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(viii)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2.1pt;mso-wrap-distance-bottom:0pt;margin-top:12.1pt;mso-position-vertical:top;mso-position-vertical-relative:text;margin-left:20pt;mso-position-horizontal:left;mso-position-horizontal-relative:text">
                <v:textbox>
                  <w:txbxContent>
                    <w:p>
                      <w:pPr>
                        <w:pStyle w:val="TextBody"/>
                        <w:bidi w:val="0"/>
                        <w:spacing w:lineRule="atLeast" w:line="240" w:before="0" w:after="283"/>
                        <w:jc w:val="left"/>
                        <w:rPr/>
                      </w:pPr>
                      <w:r>
                        <w:rPr/>
                        <w:t>(viii)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6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To amend any outstanding Award Agreement, subject to applicable legal restrictions and to the consent of the Participant if the Participant’s rights or obligations would be materially impaired;</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53670" distB="0" distL="254000" distR="0" simplePos="0" locked="0" layoutInCell="1" allowOverlap="1" relativeHeight="421">
                <wp:simplePos x="0" y="0"/>
                <wp:positionH relativeFrom="column">
                  <wp:align>left</wp:align>
                </wp:positionH>
                <wp:positionV relativeFrom="line">
                  <wp:align>top</wp:align>
                </wp:positionV>
                <wp:extent cx="317500" cy="350520"/>
                <wp:effectExtent l="0" t="0" r="0" b="0"/>
                <wp:wrapSquare wrapText="right"/>
                <wp:docPr id="425" name="Frame354"/>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(ix)</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2.1pt;mso-wrap-distance-bottom:0pt;margin-top:12.1pt;mso-position-vertical:top;mso-position-vertical-relative:text;margin-left:20pt;mso-position-horizontal:left;mso-position-horizontal-relative:text">
                <v:textbox>
                  <w:txbxContent>
                    <w:p>
                      <w:pPr>
                        <w:pStyle w:val="TextBody"/>
                        <w:bidi w:val="0"/>
                        <w:spacing w:lineRule="atLeast" w:line="240" w:before="0" w:after="283"/>
                        <w:jc w:val="left"/>
                        <w:rPr/>
                      </w:pPr>
                      <w:r>
                        <w:rPr/>
                        <w:t>(ix)</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6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To prescribe the consideration for the grant of each Award or other right under the Plan and to determine the sufficiency of such consideration;</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53670" distB="0" distL="254000" distR="0" simplePos="0" locked="0" layoutInCell="1" allowOverlap="1" relativeHeight="422">
                <wp:simplePos x="0" y="0"/>
                <wp:positionH relativeFrom="column">
                  <wp:align>left</wp:align>
                </wp:positionH>
                <wp:positionV relativeFrom="line">
                  <wp:align>top</wp:align>
                </wp:positionV>
                <wp:extent cx="317500" cy="350520"/>
                <wp:effectExtent l="0" t="0" r="0" b="0"/>
                <wp:wrapSquare wrapText="right"/>
                <wp:docPr id="426" name="Frame355"/>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(x)</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2.1pt;mso-wrap-distance-bottom:0pt;margin-top:12.1pt;mso-position-vertical:top;mso-position-vertical-relative:text;margin-left:20pt;mso-position-horizontal:left;mso-position-horizontal-relative:text">
                <v:textbox>
                  <w:txbxContent>
                    <w:p>
                      <w:pPr>
                        <w:pStyle w:val="TextBody"/>
                        <w:bidi w:val="0"/>
                        <w:spacing w:lineRule="atLeast" w:line="240" w:before="0" w:after="283"/>
                        <w:jc w:val="left"/>
                        <w:rPr/>
                      </w:pPr>
                      <w:r>
                        <w:rPr/>
                        <w:t>(x)</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6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To determine the disposition of each Award or other right under the Plan in the event of a Participant’s divorce or dissolution of marriage;</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52400" distB="0" distL="254000" distR="0" simplePos="0" locked="0" layoutInCell="1" allowOverlap="1" relativeHeight="423">
                <wp:simplePos x="0" y="0"/>
                <wp:positionH relativeFrom="column">
                  <wp:align>left</wp:align>
                </wp:positionH>
                <wp:positionV relativeFrom="line">
                  <wp:align>top</wp:align>
                </wp:positionV>
                <wp:extent cx="317500" cy="350520"/>
                <wp:effectExtent l="0" t="0" r="0" b="0"/>
                <wp:wrapSquare wrapText="right"/>
                <wp:docPr id="427" name="Frame356"/>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(xi)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left"/>
                        <w:rPr/>
                      </w:pPr>
                      <w:r>
                        <w:rPr/>
                        <w:t>(xi)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6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To determine whether Awards under the Plan will be granted in replacement of other grants under an incentive or other compensation plan of an acquired business;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52400" distB="0" distL="254000" distR="0" simplePos="0" locked="0" layoutInCell="1" allowOverlap="1" relativeHeight="424">
                <wp:simplePos x="0" y="0"/>
                <wp:positionH relativeFrom="column">
                  <wp:align>left</wp:align>
                </wp:positionH>
                <wp:positionV relativeFrom="line">
                  <wp:align>top</wp:align>
                </wp:positionV>
                <wp:extent cx="317500" cy="350520"/>
                <wp:effectExtent l="0" t="0" r="0" b="0"/>
                <wp:wrapSquare wrapText="right"/>
                <wp:docPr id="428" name="Frame357"/>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(xii)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left"/>
                        <w:rPr/>
                      </w:pPr>
                      <w:r>
                        <w:rPr/>
                        <w:t>(xii)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6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To correct any defect, supply any omission, or reconcile any inconsistency in the Plan or any Award Agreement;</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52400" distB="0" distL="254000" distR="0" simplePos="0" locked="0" layoutInCell="1" allowOverlap="1" relativeHeight="425">
                <wp:simplePos x="0" y="0"/>
                <wp:positionH relativeFrom="column">
                  <wp:align>left</wp:align>
                </wp:positionH>
                <wp:positionV relativeFrom="line">
                  <wp:align>top</wp:align>
                </wp:positionV>
                <wp:extent cx="317500" cy="350520"/>
                <wp:effectExtent l="0" t="0" r="0" b="0"/>
                <wp:wrapSquare wrapText="right"/>
                <wp:docPr id="429" name="Frame358"/>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(xiii)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left"/>
                        <w:rPr/>
                      </w:pPr>
                      <w:r>
                        <w:rPr/>
                        <w:t>(xiii)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6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To establish or verify the extent of satisfaction of any performance goals or other conditions applicable to the grant, issuance, exercisability, vesting, and/or ability to retain any Award;</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52400" distB="0" distL="254000" distR="0" simplePos="0" locked="0" layoutInCell="1" allowOverlap="1" relativeHeight="426">
                <wp:simplePos x="0" y="0"/>
                <wp:positionH relativeFrom="column">
                  <wp:align>left</wp:align>
                </wp:positionH>
                <wp:positionV relativeFrom="line">
                  <wp:align>top</wp:align>
                </wp:positionV>
                <wp:extent cx="317500" cy="350520"/>
                <wp:effectExtent l="0" t="0" r="0" b="0"/>
                <wp:wrapSquare wrapText="right"/>
                <wp:docPr id="430" name="Frame359"/>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(xiv)</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left"/>
                        <w:rPr/>
                      </w:pPr>
                      <w:r>
                        <w:rPr/>
                        <w:t>(xiv)</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6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to administer the ESPP Addendum and exercise such authority and take such actions as set forth in the ESPP Addendum; and</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52400" distB="0" distL="254000" distR="0" simplePos="0" locked="0" layoutInCell="1" allowOverlap="1" relativeHeight="427">
                <wp:simplePos x="0" y="0"/>
                <wp:positionH relativeFrom="column">
                  <wp:align>left</wp:align>
                </wp:positionH>
                <wp:positionV relativeFrom="line">
                  <wp:align>top</wp:align>
                </wp:positionV>
                <wp:extent cx="317500" cy="350520"/>
                <wp:effectExtent l="0" t="0" r="0" b="0"/>
                <wp:wrapSquare wrapText="right"/>
                <wp:docPr id="431" name="Frame360"/>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(xv)</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left"/>
                        <w:rPr/>
                      </w:pPr>
                      <w:r>
                        <w:rPr/>
                        <w:t>(xv)</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6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To take any other actions deemed necessary or advisable for the administration of the Plan.</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52400" distB="0" distL="254000" distR="0" simplePos="0" locked="0" layoutInCell="1" allowOverlap="1" relativeHeight="428">
                <wp:simplePos x="0" y="0"/>
                <wp:positionH relativeFrom="column">
                  <wp:align>left</wp:align>
                </wp:positionH>
                <wp:positionV relativeFrom="line">
                  <wp:align>top</wp:align>
                </wp:positionV>
                <wp:extent cx="317500" cy="350520"/>
                <wp:effectExtent l="0" t="0" r="0" b="0"/>
                <wp:wrapSquare wrapText="right"/>
                <wp:docPr id="432" name="Frame361"/>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(xvi)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left"/>
                        <w:rPr/>
                      </w:pPr>
                      <w:r>
                        <w:rPr/>
                        <w:t>(xvi)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Subject to the requirements of applicable law, the Committee may designate persons other than members of the Committee to carry out its responsibilities and may prescribe such conditions and limitations as it may deem appropriate, except that the Committee may not delegate its authority with regard to the selection for participation of or the granting of Awards under the Plan to persons subject to Section 16 of the Exchange Act. All decisions, interpretations and other actions of the Committee shall be final and binding on all Participants and all persons deriving their rights from a Participant. No member of the Committee shall be liable for any action that he has taken or has failed to take in good faith with respect to the Plan or any Award under the Plan.</w:t>
      </w:r>
      <w:r>
        <w:rPr>
          <w:rFonts w:ascii="Helvetica;Arial;sans-serif" w:hAnsi="Helvetica;Arial;sans-serif"/>
          <w:b w:val="false"/>
          <w:i w:val="false"/>
          <w:caps w:val="false"/>
          <w:smallCaps w:val="false"/>
          <w:color w:val="000000"/>
          <w:spacing w:val="4"/>
          <w:sz w:val="18"/>
        </w:rPr>
        <w:t xml:space="preserve"> </w:t>
      </w:r>
    </w:p>
    <w:tbl>
      <w:tblPr>
        <w:tblW w:w="3183" w:type="dxa"/>
        <w:jc w:val="left"/>
        <w:tblInd w:w="720" w:type="dxa"/>
        <w:tblLayout w:type="fixed"/>
        <w:tblCellMar>
          <w:top w:w="0" w:type="dxa"/>
          <w:left w:w="0" w:type="dxa"/>
          <w:bottom w:w="0" w:type="dxa"/>
          <w:right w:w="0" w:type="dxa"/>
        </w:tblCellMar>
      </w:tblPr>
      <w:tblGrid>
        <w:gridCol w:w="124"/>
        <w:gridCol w:w="2206"/>
        <w:gridCol w:w="109"/>
        <w:gridCol w:w="109"/>
        <w:gridCol w:w="481"/>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81" w:type="dxa"/>
            <w:tcBorders/>
            <w:vAlign w:val="center"/>
          </w:tcPr>
          <w:p>
            <w:pPr>
              <w:pStyle w:val="TableContents"/>
              <w:bidi w:val="0"/>
              <w:spacing w:before="0" w:after="0"/>
              <w:jc w:val="right"/>
              <w:rPr>
                <w:b/>
              </w:rPr>
            </w:pPr>
            <w:r>
              <w:rPr>
                <w:b/>
              </w:rPr>
              <w:t>A-5</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9" w:name="tSE4E"/>
      <w:bookmarkEnd w:id="79"/>
      <w:r>
        <w:rPr>
          <w:rFonts w:ascii="calibri;arial;sans-serif" w:hAnsi="calibri;arial;sans-serif"/>
          <w:b w:val="false"/>
          <w:i w:val="false"/>
          <w:caps w:val="false"/>
          <w:smallCaps w:val="false"/>
          <w:color w:val="000000"/>
          <w:sz w:val="16"/>
        </w:rPr>
        <w:t>​</w:t>
      </w:r>
      <w:bookmarkStart w:id="80" w:name="tAROE"/>
      <w:bookmarkEnd w:id="80"/>
      <w:r>
        <w:rPr>
          <w:rFonts w:ascii="calibri;arial;sans-serif" w:hAnsi="calibri;arial;sans-serif"/>
          <w:b w:val="false"/>
          <w:i w:val="false"/>
          <w:caps w:val="false"/>
          <w:smallCaps w:val="false"/>
          <w:color w:val="000000"/>
          <w:sz w:val="16"/>
        </w:rPr>
        <w:t>​</w:t>
      </w:r>
      <w:bookmarkStart w:id="81" w:name="tBSAE"/>
      <w:bookmarkEnd w:id="81"/>
      <w:r>
        <w:rPr>
          <w:rFonts w:ascii="calibri;arial;sans-serif" w:hAnsi="calibri;arial;sans-serif"/>
          <w:b w:val="false"/>
          <w:i w:val="false"/>
          <w:caps w:val="false"/>
          <w:smallCaps w:val="false"/>
          <w:color w:val="000000"/>
          <w:sz w:val="16"/>
        </w:rPr>
        <w:t>​</w:t>
      </w:r>
      <w:bookmarkStart w:id="82" w:name="tCRFP"/>
      <w:bookmarkEnd w:id="82"/>
      <w:r>
        <w:rPr>
          <w:rFonts w:ascii="calibri;arial;sans-serif" w:hAnsi="calibri;arial;sans-serif"/>
          <w:b w:val="false"/>
          <w:i w:val="false"/>
          <w:caps w:val="false"/>
          <w:smallCaps w:val="false"/>
          <w:color w:val="000000"/>
          <w:sz w:val="16"/>
        </w:rPr>
        <w:t>​</w:t>
      </w:r>
      <w:bookmarkStart w:id="83" w:name="tDSFP"/>
      <w:bookmarkEnd w:id="83"/>
      <w:r>
        <w:rPr>
          <w:rFonts w:ascii="calibri;arial;sans-serif" w:hAnsi="calibri;arial;sans-serif"/>
          <w:b w:val="false"/>
          <w:i w:val="false"/>
          <w:caps w:val="false"/>
          <w:smallCaps w:val="false"/>
          <w:color w:val="000000"/>
          <w:sz w:val="16"/>
        </w:rPr>
        <w:t>​</w:t>
      </w:r>
      <w:bookmarkStart w:id="84" w:name="tS5ST"/>
      <w:bookmarkEnd w:id="84"/>
      <w:r>
        <w:rPr>
          <w:rFonts w:ascii="calibri;arial;sans-serif" w:hAnsi="calibri;arial;sans-serif"/>
          <w:b w:val="false"/>
          <w:i w:val="false"/>
          <w:caps w:val="false"/>
          <w:smallCaps w:val="false"/>
          <w:color w:val="000000"/>
          <w:sz w:val="16"/>
        </w:rPr>
        <w:t>​</w:t>
      </w:r>
      <w:bookmarkStart w:id="85" w:name="tALSO"/>
      <w:bookmarkEnd w:id="85"/>
      <w:r>
        <w:rPr>
          <w:rFonts w:ascii="calibri;arial;sans-serif" w:hAnsi="calibri;arial;sans-serif"/>
          <w:b w:val="false"/>
          <w:i w:val="false"/>
          <w:caps w:val="false"/>
          <w:smallCaps w:val="false"/>
          <w:color w:val="000000"/>
          <w:sz w:val="16"/>
        </w:rPr>
        <w:t>​</w:t>
      </w:r>
      <w:bookmarkStart w:id="86" w:name="tBSIR"/>
      <w:bookmarkEnd w:id="86"/>
      <w:r>
        <w:rPr>
          <w:rFonts w:ascii="calibri;arial;sans-serif" w:hAnsi="calibri;arial;sans-serif"/>
          <w:b w:val="false"/>
          <w:i w:val="false"/>
          <w:caps w:val="false"/>
          <w:smallCaps w:val="false"/>
          <w:color w:val="000000"/>
          <w:sz w:val="16"/>
        </w:rPr>
        <w:t>​</w:t>
      </w:r>
      <w:bookmarkStart w:id="87" w:name="tCAAO"/>
      <w:bookmarkEnd w:id="87"/>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840" w:after="283"/>
        <w:ind w:left="720" w:right="0" w:hanging="0"/>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SECTION 4.   ELIGIBILITY.</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   </w:t>
      </w:r>
      <w:r>
        <w:rPr>
          <w:rFonts w:ascii="Helvetica;Arial;sans-serif" w:hAnsi="Helvetica;Arial;sans-serif"/>
          <w:b w:val="false"/>
          <w:i/>
          <w:caps w:val="false"/>
          <w:smallCaps w:val="false"/>
          <w:color w:val="000000"/>
          <w:sz w:val="18"/>
        </w:rPr>
        <w:t>General Rule</w:t>
      </w:r>
      <w:r>
        <w:rPr>
          <w:rFonts w:ascii="Helvetica;Arial;sans-serif" w:hAnsi="Helvetica;Arial;sans-serif"/>
          <w:b w:val="false"/>
          <w:i w:val="false"/>
          <w:caps w:val="false"/>
          <w:smallCaps w:val="false"/>
          <w:color w:val="000000"/>
          <w:sz w:val="18"/>
        </w:rPr>
        <w:t>.   Only Employees, Consultants and Outside Directors shall be eligible for the grant of Awards. Only common-law employees of the Company, a Parent, or a Subsidiary shall be eligible for the grant of ISOs and Stock Purchase Rights.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(b)   </w:t>
      </w:r>
      <w:r>
        <w:rPr>
          <w:rFonts w:ascii="Helvetica;Arial;sans-serif" w:hAnsi="Helvetica;Arial;sans-serif"/>
          <w:b w:val="false"/>
          <w:i/>
          <w:caps w:val="false"/>
          <w:smallCaps w:val="false"/>
          <w:color w:val="000000"/>
          <w:sz w:val="18"/>
        </w:rPr>
        <w:t>Ten-Percent Stockholders</w:t>
      </w:r>
      <w:r>
        <w:rPr>
          <w:rFonts w:ascii="Helvetica;Arial;sans-serif" w:hAnsi="Helvetica;Arial;sans-serif"/>
          <w:b w:val="false"/>
          <w:i w:val="false"/>
          <w:caps w:val="false"/>
          <w:smallCaps w:val="false"/>
          <w:color w:val="000000"/>
          <w:sz w:val="18"/>
        </w:rPr>
        <w:t>.   An Employee who owns more than 10% of the total combined voting power of all classes of outstanding stock of the Company, a Parent or Subsidiary shall not be eligible for the grant of an ISO unless such grant satisfies the requirements of Section 422(c)(5) of the Code.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(c)   </w:t>
      </w:r>
      <w:r>
        <w:rPr>
          <w:rFonts w:ascii="Helvetica;Arial;sans-serif" w:hAnsi="Helvetica;Arial;sans-serif"/>
          <w:b w:val="false"/>
          <w:i/>
          <w:caps w:val="false"/>
          <w:smallCaps w:val="false"/>
          <w:color w:val="000000"/>
          <w:sz w:val="18"/>
        </w:rPr>
        <w:t>Attribution Rules</w:t>
      </w:r>
      <w:r>
        <w:rPr>
          <w:rFonts w:ascii="Helvetica;Arial;sans-serif" w:hAnsi="Helvetica;Arial;sans-serif"/>
          <w:b w:val="false"/>
          <w:i w:val="false"/>
          <w:caps w:val="false"/>
          <w:smallCaps w:val="false"/>
          <w:color w:val="000000"/>
          <w:sz w:val="18"/>
        </w:rPr>
        <w:t>.   For purposes of Section 4(b) above, in determining stock ownership, an Employee shall be deemed to own the stock owned, directly or indirectly, by or for such Employee’s brothers, sisters, spouse, ancestors, and lineal descendants. Stock owned, directly or indirectly, by or for a corporation, partnership, estate, or trust shall be deemed to be owned proportionately by or for its stockholders, partners, or beneficiaries.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(d)   </w:t>
      </w:r>
      <w:r>
        <w:rPr>
          <w:rFonts w:ascii="Helvetica;Arial;sans-serif" w:hAnsi="Helvetica;Arial;sans-serif"/>
          <w:b w:val="false"/>
          <w:i/>
          <w:caps w:val="false"/>
          <w:smallCaps w:val="false"/>
          <w:color w:val="000000"/>
          <w:sz w:val="18"/>
        </w:rPr>
        <w:t>Outstanding Stock</w:t>
      </w:r>
      <w:r>
        <w:rPr>
          <w:rFonts w:ascii="Helvetica;Arial;sans-serif" w:hAnsi="Helvetica;Arial;sans-serif"/>
          <w:b w:val="false"/>
          <w:i w:val="false"/>
          <w:caps w:val="false"/>
          <w:smallCaps w:val="false"/>
          <w:color w:val="000000"/>
          <w:sz w:val="18"/>
        </w:rPr>
        <w:t>.   For purposes of Section 4(b) above, “outstanding stock” shall include all stock actually issued and outstanding immediately after the grant. “Outstanding stock” shall not include Shares authorized for issuance under outstanding options held by the Employee or by any other person.</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SECTION 5.   STOCK SUBJECT TO PLAN; DIRECTOR COMPENSATION LIMIT.</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   </w:t>
      </w:r>
      <w:r>
        <w:rPr>
          <w:rFonts w:ascii="Helvetica;Arial;sans-serif" w:hAnsi="Helvetica;Arial;sans-serif"/>
          <w:b w:val="false"/>
          <w:i/>
          <w:caps w:val="false"/>
          <w:smallCaps w:val="false"/>
          <w:color w:val="000000"/>
          <w:sz w:val="18"/>
        </w:rPr>
        <w:t>Basic Limitation</w:t>
      </w:r>
      <w:r>
        <w:rPr>
          <w:rFonts w:ascii="Helvetica;Arial;sans-serif" w:hAnsi="Helvetica;Arial;sans-serif"/>
          <w:b w:val="false"/>
          <w:i w:val="false"/>
          <w:caps w:val="false"/>
          <w:smallCaps w:val="false"/>
          <w:color w:val="000000"/>
          <w:sz w:val="18"/>
        </w:rPr>
        <w:t>.   Shares offered under the Plan shall be authorized but unissued Shares or treasury Shares. As of the Second Restatement Date, the maximum aggregate number of Shares authorized for issuance as Awards under the Plan on or after the Effective Date shall not exceed the sum of  (x) 194,669,244 Shares (consisting of  (i) 119,000,000 Shares approved by the Board on April 22, 2024, (ii) 39,166,575 Shares approved by the Board on March 2, 2023, (iii) 15,000,000 Shares approved by the Board on April 27, 2022, (iv) 12,500,000 Shares initially authorized for issuance under the Plan as of the Effective Date and (v) an additional 9,002,669 Shares initially authorized under the Plan as of the Effective Date which represents the number of Shares equal to the number of unallocated shares of stock of Atieva, Inc. remaining available for issuance under the 2021 Plan, 2014 Plan and 2009 Plan as of the Effective Date (as adjusted by the conversion ratio pursuant to the terms of the Merger Agreement in connection with the consummation of the transactions contemplated by the Merger Agreement)), plus (y) the Returning Shares, if any, which become available for grant under this Plan from time to time on or after the Effective Date. Notwithstanding the foregoing, the number of Shares that may be delivered in the aggregate pursuant to the exercise of ISOs granted under the Plan on or after the Effective Date shall not exceed 194,669,244 Shares plus, to the extent allowable under Section 422 of the Code, any Shares that become available for issuance under the Plan pursuant to Section 5(c). In addition, notwithstanding the foregoing, the number of Shares that may be delivered in the aggregate pursuant to the exercise of Stock Purchase Rights granted under the Plan and the ESPP Addendum on or after the Effective Date shall not exceed 194,669,244 Shares. The limitations of this Section 5(a) shall be subject to adjustment pursuant to Section 13. The number of Shares that are subject to Awards outstanding at any time under the Plan shall not exceed the number of Shares which then remain available for issuance under the Plan. The Company shall at all times reserve and keep available sufficient Shares to satisfy the requirements of the Plan.</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(b)   </w:t>
      </w:r>
      <w:r>
        <w:rPr>
          <w:rFonts w:ascii="Helvetica;Arial;sans-serif" w:hAnsi="Helvetica;Arial;sans-serif"/>
          <w:b w:val="false"/>
          <w:i/>
          <w:caps w:val="false"/>
          <w:smallCaps w:val="false"/>
          <w:color w:val="000000"/>
          <w:sz w:val="18"/>
        </w:rPr>
        <w:t>Additional Shares</w:t>
      </w:r>
      <w:r>
        <w:rPr>
          <w:rFonts w:ascii="Helvetica;Arial;sans-serif" w:hAnsi="Helvetica;Arial;sans-serif"/>
          <w:b w:val="false"/>
          <w:i w:val="false"/>
          <w:caps w:val="false"/>
          <w:smallCaps w:val="false"/>
          <w:color w:val="000000"/>
          <w:sz w:val="18"/>
        </w:rPr>
        <w:t>.   If Restricted Shares or Shares issued upon the exercise of options are forfeited, then such Shares shall again become available for Awards under the Plan. If Restricted Stock Units, Options, SARs or Stock Purchase Rights are forfeited or terminate for any reason before being exercised or settled, or an Award is settled in cash without the delivery of Shares to the holder, then the corresponding Shares shall again become available for Awards under the Plan. If Restricted Stock Units or SARs are settled, then only the number of Shares (if any) actually issued in settlement of such Restricted Stock Units or SARs shall reduce the number available in Section 5(a) and the balance (including any Shares withheld to satisfy tax withholding obligations) shall again become available for Awards under the Plan. Any Shares withheld to satisfy the Exercise Price or tax withholding obligation pursuant to any Award of Options or SARs shall be added back to the Shares available for Awards under the Plan. Notwithstanding the foregoing provisions of this Section 5(b), Shares that have actually been issued shall not again become available for Awards under the Plan, except for Shares that are forfeited and do not become vested.</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(c)   </w:t>
      </w:r>
      <w:r>
        <w:rPr>
          <w:rFonts w:ascii="Helvetica;Arial;sans-serif" w:hAnsi="Helvetica;Arial;sans-serif"/>
          <w:b w:val="false"/>
          <w:i/>
          <w:caps w:val="false"/>
          <w:smallCaps w:val="false"/>
          <w:color w:val="000000"/>
          <w:sz w:val="18"/>
        </w:rPr>
        <w:t>Substitution and Assumption of Awards</w:t>
      </w:r>
      <w:r>
        <w:rPr>
          <w:rFonts w:ascii="Helvetica;Arial;sans-serif" w:hAnsi="Helvetica;Arial;sans-serif"/>
          <w:b w:val="false"/>
          <w:i w:val="false"/>
          <w:caps w:val="false"/>
          <w:smallCaps w:val="false"/>
          <w:color w:val="000000"/>
          <w:sz w:val="18"/>
        </w:rPr>
        <w:t xml:space="preserve">.   The Committee may make Awards under the Plan by assumption, substitution, or replacement of stock options, stock appreciation rights, restricted stock units, or similar awards granted by another entity (including a Parent or Subsidiary), if such assumption, substitution, or replacement is in connection with an asset acquisition, stock acquisition, merger, consolidation, or similar transaction involving the Company (and/or its Parent or Subsidiary) and such other entity (and/or its affiliate). The terms of such assumed, substituted, or replaced Awards shall be as the Committee, in its discretion, determines is appropriate, notwithstanding limitations on Awards in the Plan. Any such substitute or assumed </w:t>
      </w:r>
    </w:p>
    <w:tbl>
      <w:tblPr>
        <w:tblW w:w="3183" w:type="dxa"/>
        <w:jc w:val="left"/>
        <w:tblInd w:w="720" w:type="dxa"/>
        <w:tblLayout w:type="fixed"/>
        <w:tblCellMar>
          <w:top w:w="0" w:type="dxa"/>
          <w:left w:w="0" w:type="dxa"/>
          <w:bottom w:w="0" w:type="dxa"/>
          <w:right w:w="0" w:type="dxa"/>
        </w:tblCellMar>
      </w:tblPr>
      <w:tblGrid>
        <w:gridCol w:w="124"/>
        <w:gridCol w:w="481"/>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481" w:type="dxa"/>
            <w:tcBorders/>
            <w:vAlign w:val="center"/>
          </w:tcPr>
          <w:p>
            <w:pPr>
              <w:pStyle w:val="TableContents"/>
              <w:bidi w:val="0"/>
              <w:spacing w:before="0" w:after="283"/>
              <w:jc w:val="left"/>
              <w:rPr/>
            </w:pPr>
            <w:r>
              <w:rPr/>
              <w:t>A-6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8" w:name="tDDCL"/>
      <w:bookmarkEnd w:id="88"/>
      <w:r>
        <w:rPr>
          <w:rFonts w:ascii="calibri;arial;sans-serif" w:hAnsi="calibri;arial;sans-serif"/>
          <w:b w:val="false"/>
          <w:i w:val="false"/>
          <w:caps w:val="false"/>
          <w:smallCaps w:val="false"/>
          <w:color w:val="000000"/>
          <w:sz w:val="16"/>
        </w:rPr>
        <w:t>​</w:t>
      </w:r>
      <w:bookmarkStart w:id="89" w:name="tERNA"/>
      <w:bookmarkEnd w:id="89"/>
      <w:r>
        <w:rPr>
          <w:rFonts w:ascii="calibri;arial;sans-serif" w:hAnsi="calibri;arial;sans-serif"/>
          <w:b w:val="false"/>
          <w:i w:val="false"/>
          <w:caps w:val="false"/>
          <w:smallCaps w:val="false"/>
          <w:color w:val="000000"/>
          <w:sz w:val="16"/>
        </w:rPr>
        <w:t>​</w:t>
      </w:r>
      <w:bookmarkStart w:id="90" w:name="tFODO"/>
      <w:bookmarkEnd w:id="90"/>
      <w:r>
        <w:rPr>
          <w:rFonts w:ascii="calibri;arial;sans-serif" w:hAnsi="calibri;arial;sans-serif"/>
          <w:b w:val="false"/>
          <w:i w:val="false"/>
          <w:caps w:val="false"/>
          <w:smallCaps w:val="false"/>
          <w:color w:val="000000"/>
          <w:sz w:val="16"/>
        </w:rPr>
        <w:t>​</w:t>
      </w:r>
      <w:bookmarkStart w:id="91" w:name="tS6S"/>
      <w:bookmarkEnd w:id="91"/>
      <w:r>
        <w:rPr>
          <w:rFonts w:ascii="calibri;arial;sans-serif" w:hAnsi="calibri;arial;sans-serif"/>
          <w:b w:val="false"/>
          <w:i w:val="false"/>
          <w:caps w:val="false"/>
          <w:smallCaps w:val="false"/>
          <w:color w:val="000000"/>
          <w:sz w:val="16"/>
        </w:rPr>
        <w:t>​</w:t>
      </w:r>
      <w:bookmarkStart w:id="92" w:name="tASAA"/>
      <w:bookmarkEnd w:id="92"/>
      <w:r>
        <w:rPr>
          <w:rFonts w:ascii="calibri;arial;sans-serif" w:hAnsi="calibri;arial;sans-serif"/>
          <w:b w:val="false"/>
          <w:i w:val="false"/>
          <w:caps w:val="false"/>
          <w:smallCaps w:val="false"/>
          <w:color w:val="000000"/>
          <w:sz w:val="16"/>
        </w:rPr>
        <w:t>​</w:t>
      </w:r>
      <w:bookmarkStart w:id="93" w:name="tBFAR"/>
      <w:bookmarkEnd w:id="93"/>
      <w:r>
        <w:rPr>
          <w:rFonts w:ascii="calibri;arial;sans-serif" w:hAnsi="calibri;arial;sans-serif"/>
          <w:b w:val="false"/>
          <w:i w:val="false"/>
          <w:caps w:val="false"/>
          <w:smallCaps w:val="false"/>
          <w:color w:val="000000"/>
          <w:sz w:val="16"/>
        </w:rPr>
        <w:t>​</w:t>
      </w:r>
      <w:bookmarkStart w:id="94" w:name="tCEAO"/>
      <w:bookmarkEnd w:id="94"/>
      <w:r>
        <w:rPr>
          <w:rFonts w:ascii="calibri;arial;sans-serif" w:hAnsi="calibri;arial;sans-serif"/>
          <w:b w:val="false"/>
          <w:i w:val="false"/>
          <w:caps w:val="false"/>
          <w:smallCaps w:val="false"/>
          <w:color w:val="000000"/>
          <w:sz w:val="16"/>
        </w:rPr>
        <w:t>​</w:t>
      </w:r>
      <w:bookmarkStart w:id="95" w:name="tDADR"/>
      <w:bookmarkEnd w:id="95"/>
      <w:r>
        <w:rPr>
          <w:rFonts w:ascii="calibri;arial;sans-serif" w:hAnsi="calibri;arial;sans-serif"/>
          <w:b w:val="false"/>
          <w:i w:val="false"/>
          <w:caps w:val="false"/>
          <w:smallCaps w:val="false"/>
          <w:color w:val="000000"/>
          <w:sz w:val="16"/>
        </w:rPr>
        <w:t xml:space="preserve">​ </w:t>
      </w:r>
    </w:p>
    <w:p>
      <w:pPr>
        <w:pStyle w:val="TextBody"/>
        <w:bidi w:val="0"/>
        <w:spacing w:lineRule="atLeast" w:line="250" w:before="84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Awards shall not count against the Share limitation set forth in Section 5(a) (nor shall Shares subject to such Awards be added to the Shares available for Awards under the Plan as provided in Section 5(b) above), except that Shares acquired by exercise of substitute ISOs will count against the maximum number of Shares that may be issued pursuant to the exercise of ISOs under the Plan.</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(d)   </w:t>
      </w:r>
      <w:r>
        <w:rPr>
          <w:rFonts w:ascii="Helvetica;Arial;sans-serif" w:hAnsi="Helvetica;Arial;sans-serif"/>
          <w:b w:val="false"/>
          <w:i/>
          <w:caps w:val="false"/>
          <w:smallCaps w:val="false"/>
          <w:color w:val="000000"/>
          <w:sz w:val="18"/>
        </w:rPr>
        <w:t>Outside Director Compensation Limit</w:t>
      </w:r>
      <w:r>
        <w:rPr>
          <w:rFonts w:ascii="Helvetica;Arial;sans-serif" w:hAnsi="Helvetica;Arial;sans-serif"/>
          <w:b w:val="false"/>
          <w:i w:val="false"/>
          <w:caps w:val="false"/>
          <w:smallCaps w:val="false"/>
          <w:color w:val="000000"/>
          <w:sz w:val="18"/>
        </w:rPr>
        <w:t>.   The maximum number of Shares subject to Awards granted under the Plan or otherwise during any one calendar year to any Outside Director, taken together with any cash fees paid by the Company to such Outside Director during such calendar year for service on the Board (excluding any arrangements entered into prior to the Effective Date), will not exceed seven-hundred and fifty thousand dollars ($750,000) in total value (calculating the value of any such Awards based on the grant date fair value of such Awards for financial reporting purposes, or, with respect to the calendar year in which an Outside Director is first appointed or elected to the Board, one-million dollars ($1,000,000)).</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(e)   </w:t>
      </w:r>
      <w:r>
        <w:rPr>
          <w:rFonts w:ascii="Helvetica;Arial;sans-serif" w:hAnsi="Helvetica;Arial;sans-serif"/>
          <w:b w:val="false"/>
          <w:i/>
          <w:caps w:val="false"/>
          <w:smallCaps w:val="false"/>
          <w:color w:val="000000"/>
          <w:sz w:val="18"/>
        </w:rPr>
        <w:t>No Repricing</w:t>
      </w:r>
      <w:r>
        <w:rPr>
          <w:rFonts w:ascii="Helvetica;Arial;sans-serif" w:hAnsi="Helvetica;Arial;sans-serif"/>
          <w:b w:val="false"/>
          <w:i w:val="false"/>
          <w:caps w:val="false"/>
          <w:smallCaps w:val="false"/>
          <w:color w:val="000000"/>
          <w:sz w:val="18"/>
        </w:rPr>
        <w:t>.   Notwithstanding any other provision of the Plan to the contrary, except in connection with a corporate transaction involving the Company (including, without limitation, a Change in Control and any transaction or event described in Section 13), the Committee may not, without stockholder approval, (X) effect any re-pricing or buyout of any “underwater” Option or SAR, including by: (i) amending or modifying the terms of the Option or SAR to lower the exercise price; (ii) cancelling the underwater Option or SAR and granting in exchange therefor either (A) replacement Options or SARs having a lower exercise price or (B) Restricted Shares or Restricted Stock Units; or (iii) cancelling or repurchasing the underwater Options or SARs for cash or other securities or (Y) take any other action with respect to an Option or SAR that would be treated as a repricing under the rules and regulations of the principal securities market on which Stock is traded. Any amendment or repeal of this Section 5(e) shall require the approval of the stockholders of the Company.</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(f)   </w:t>
      </w:r>
      <w:r>
        <w:rPr>
          <w:rFonts w:ascii="Helvetica;Arial;sans-serif" w:hAnsi="Helvetica;Arial;sans-serif"/>
          <w:b w:val="false"/>
          <w:i/>
          <w:caps w:val="false"/>
          <w:smallCaps w:val="false"/>
          <w:color w:val="000000"/>
          <w:sz w:val="18"/>
        </w:rPr>
        <w:t>Prohibition on Dividends on Unvested Awards.</w:t>
      </w:r>
      <w:r>
        <w:rPr>
          <w:rFonts w:ascii="Helvetica;Arial;sans-serif" w:hAnsi="Helvetica;Arial;sans-serif"/>
          <w:b w:val="false"/>
          <w:i w:val="false"/>
          <w:caps w:val="false"/>
          <w:smallCaps w:val="false"/>
          <w:color w:val="000000"/>
          <w:sz w:val="18"/>
        </w:rPr>
        <w:t>   Dividends or dividend equivalents may be credited on behalf of a Participant with respect to the unvested portion of an Award, in accordance with the other terms of the Plan (and applicable Award Agreement). However, for the avoidance of doubt, in no event shall any dividends or dividend equivalents credited with respect to the unvested portion of an Award be distributed to the Participant unless or until such unvested portion of the Award has been earned (if applicable) and has vested.</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SECTION 6.   RESTRICTED SHARES.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   </w:t>
      </w:r>
      <w:r>
        <w:rPr>
          <w:rFonts w:ascii="Helvetica;Arial;sans-serif" w:hAnsi="Helvetica;Arial;sans-serif"/>
          <w:b w:val="false"/>
          <w:i/>
          <w:caps w:val="false"/>
          <w:smallCaps w:val="false"/>
          <w:color w:val="000000"/>
          <w:sz w:val="18"/>
        </w:rPr>
        <w:t>Restricted Share Award Agreement</w:t>
      </w:r>
      <w:r>
        <w:rPr>
          <w:rFonts w:ascii="Helvetica;Arial;sans-serif" w:hAnsi="Helvetica;Arial;sans-serif"/>
          <w:b w:val="false"/>
          <w:i w:val="false"/>
          <w:caps w:val="false"/>
          <w:smallCaps w:val="false"/>
          <w:color w:val="000000"/>
          <w:sz w:val="18"/>
        </w:rPr>
        <w:t>.   Each grant of Restricted Shares under the Plan shall be evidenced by a Restricted Share Award Agreement between the Participant and the Company. Such Restricted Shares shall be subject to all applicable terms of the Plan and may be subject to any other terms that are not inconsistent with the Plan. The provisions of the various Restricted Share Award Agreements entered into under the Plan need not be identical.</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(b)   </w:t>
      </w:r>
      <w:r>
        <w:rPr>
          <w:rFonts w:ascii="Helvetica;Arial;sans-serif" w:hAnsi="Helvetica;Arial;sans-serif"/>
          <w:b w:val="false"/>
          <w:i/>
          <w:caps w:val="false"/>
          <w:smallCaps w:val="false"/>
          <w:color w:val="000000"/>
          <w:sz w:val="18"/>
        </w:rPr>
        <w:t>Payment for Awards</w:t>
      </w:r>
      <w:r>
        <w:rPr>
          <w:rFonts w:ascii="Helvetica;Arial;sans-serif" w:hAnsi="Helvetica;Arial;sans-serif"/>
          <w:b w:val="false"/>
          <w:i w:val="false"/>
          <w:caps w:val="false"/>
          <w:smallCaps w:val="false"/>
          <w:color w:val="000000"/>
          <w:sz w:val="18"/>
        </w:rPr>
        <w:t>.   Restricted Shares may be sold or awarded under the Plan for such consideration as the Committee may determine, including (without limitation) cash, cash equivalents, full-recourse promissory notes, past services, and future services.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(c)   </w:t>
      </w:r>
      <w:r>
        <w:rPr>
          <w:rFonts w:ascii="Helvetica;Arial;sans-serif" w:hAnsi="Helvetica;Arial;sans-serif"/>
          <w:b w:val="false"/>
          <w:i/>
          <w:caps w:val="false"/>
          <w:smallCaps w:val="false"/>
          <w:color w:val="000000"/>
          <w:sz w:val="18"/>
        </w:rPr>
        <w:t>Vesting</w:t>
      </w:r>
      <w:r>
        <w:rPr>
          <w:rFonts w:ascii="Helvetica;Arial;sans-serif" w:hAnsi="Helvetica;Arial;sans-serif"/>
          <w:b w:val="false"/>
          <w:i w:val="false"/>
          <w:caps w:val="false"/>
          <w:smallCaps w:val="false"/>
          <w:color w:val="000000"/>
          <w:sz w:val="18"/>
        </w:rPr>
        <w:t>.   Each Award of Restricted Shares may or may not be subject to vesting. Vesting shall occur, in full or in installments, upon satisfaction of the conditions specified in the Restricted Share Award Agreement. A Restricted Share Award Agreement may provide for accelerated vesting in the event of the Participant’s death, Disability or retirement or other events.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(d)   </w:t>
      </w:r>
      <w:r>
        <w:rPr>
          <w:rFonts w:ascii="Helvetica;Arial;sans-serif" w:hAnsi="Helvetica;Arial;sans-serif"/>
          <w:b w:val="false"/>
          <w:i/>
          <w:caps w:val="false"/>
          <w:smallCaps w:val="false"/>
          <w:color w:val="000000"/>
          <w:sz w:val="18"/>
        </w:rPr>
        <w:t>Voting and Dividend Rights</w:t>
      </w:r>
      <w:r>
        <w:rPr>
          <w:rFonts w:ascii="Helvetica;Arial;sans-serif" w:hAnsi="Helvetica;Arial;sans-serif"/>
          <w:b w:val="false"/>
          <w:i w:val="false"/>
          <w:caps w:val="false"/>
          <w:smallCaps w:val="false"/>
          <w:color w:val="000000"/>
          <w:sz w:val="18"/>
        </w:rPr>
        <w:t>.   A holder of Restricted Shares awarded under the Plan shall have the same voting, dividend, and other rights as the Company’s other stockholders, except that in the case of any unvested Restricted Shares, the holder shall not be entitled to any dividends or other distributions paid or distributed by the Company in respect of outstanding Shares. Notwithstanding the foregoing, at the Committee’s discretion, the holder of unvested Restricted Shares may be credited with such dividends and other distributions, provided that such dividends and other distributions shall be paid or distributed to the holder only if, when and to the extent such unvested Restricted Shares vest. The value of dividends and other distributions payable or distributable with respect to any unvested Restricted Shares that do not vest shall be forfeited. At the Committee’s discretion, the Restricted Share Award Agreement may require that the holder of Restricted Shares invest any cash dividends received in additional Restricted Shares. Such additional Restricted Shares shall be subject to the same conditions as the Award with respect which the dividend was paid. For the avoidance of doubt, other than with respect to the right to receive dividends and other distributions, the holders of unvested Restricted Shares shall have the same voting rights and other rights as the Company’s other stockholders in respect of such unvested Restricted Shares.</w:t>
      </w:r>
      <w:r>
        <w:rPr>
          <w:rFonts w:ascii="Helvetica;Arial;sans-serif" w:hAnsi="Helvetica;Arial;sans-serif"/>
          <w:b w:val="false"/>
          <w:i w:val="false"/>
          <w:caps w:val="false"/>
          <w:smallCaps w:val="false"/>
          <w:color w:val="000000"/>
          <w:spacing w:val="4"/>
          <w:sz w:val="18"/>
        </w:rPr>
        <w:t xml:space="preserve"> </w:t>
      </w:r>
    </w:p>
    <w:tbl>
      <w:tblPr>
        <w:tblW w:w="3183" w:type="dxa"/>
        <w:jc w:val="left"/>
        <w:tblInd w:w="720" w:type="dxa"/>
        <w:tblLayout w:type="fixed"/>
        <w:tblCellMar>
          <w:top w:w="0" w:type="dxa"/>
          <w:left w:w="0" w:type="dxa"/>
          <w:bottom w:w="0" w:type="dxa"/>
          <w:right w:w="0" w:type="dxa"/>
        </w:tblCellMar>
      </w:tblPr>
      <w:tblGrid>
        <w:gridCol w:w="124"/>
        <w:gridCol w:w="2206"/>
        <w:gridCol w:w="109"/>
        <w:gridCol w:w="109"/>
        <w:gridCol w:w="481"/>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81" w:type="dxa"/>
            <w:tcBorders/>
            <w:vAlign w:val="center"/>
          </w:tcPr>
          <w:p>
            <w:pPr>
              <w:pStyle w:val="TableContents"/>
              <w:bidi w:val="0"/>
              <w:spacing w:before="0" w:after="0"/>
              <w:jc w:val="right"/>
              <w:rPr>
                <w:b/>
              </w:rPr>
            </w:pPr>
            <w:r>
              <w:rPr>
                <w:b/>
              </w:rPr>
              <w:t>A-7</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6" w:name="tEOTO"/>
      <w:bookmarkEnd w:id="96"/>
      <w:r>
        <w:rPr>
          <w:rFonts w:ascii="calibri;arial;sans-serif" w:hAnsi="calibri;arial;sans-serif"/>
          <w:b w:val="false"/>
          <w:i w:val="false"/>
          <w:caps w:val="false"/>
          <w:smallCaps w:val="false"/>
          <w:color w:val="000000"/>
          <w:sz w:val="16"/>
        </w:rPr>
        <w:t>​</w:t>
      </w:r>
      <w:bookmarkStart w:id="97" w:name="tS7AC"/>
      <w:bookmarkEnd w:id="97"/>
      <w:r>
        <w:rPr>
          <w:rFonts w:ascii="calibri;arial;sans-serif" w:hAnsi="calibri;arial;sans-serif"/>
          <w:b w:val="false"/>
          <w:i w:val="false"/>
          <w:caps w:val="false"/>
          <w:smallCaps w:val="false"/>
          <w:color w:val="000000"/>
          <w:sz w:val="16"/>
        </w:rPr>
        <w:t>​</w:t>
      </w:r>
      <w:bookmarkStart w:id="98" w:name="tAAAE"/>
      <w:bookmarkEnd w:id="98"/>
      <w:r>
        <w:rPr>
          <w:rFonts w:ascii="calibri;arial;sans-serif" w:hAnsi="calibri;arial;sans-serif"/>
          <w:b w:val="false"/>
          <w:i w:val="false"/>
          <w:caps w:val="false"/>
          <w:smallCaps w:val="false"/>
          <w:color w:val="000000"/>
          <w:sz w:val="16"/>
        </w:rPr>
        <w:t>​</w:t>
      </w:r>
      <w:bookmarkStart w:id="99" w:name="tBOSE"/>
      <w:bookmarkEnd w:id="99"/>
      <w:r>
        <w:rPr>
          <w:rFonts w:ascii="calibri;arial;sans-serif" w:hAnsi="calibri;arial;sans-serif"/>
          <w:b w:val="false"/>
          <w:i w:val="false"/>
          <w:caps w:val="false"/>
          <w:smallCaps w:val="false"/>
          <w:color w:val="000000"/>
          <w:sz w:val="16"/>
        </w:rPr>
        <w:t>​</w:t>
      </w:r>
      <w:bookmarkStart w:id="100" w:name="tCPEO"/>
      <w:bookmarkEnd w:id="100"/>
      <w:r>
        <w:rPr>
          <w:rFonts w:ascii="calibri;arial;sans-serif" w:hAnsi="calibri;arial;sans-serif"/>
          <w:b w:val="false"/>
          <w:i w:val="false"/>
          <w:caps w:val="false"/>
          <w:smallCaps w:val="false"/>
          <w:color w:val="000000"/>
          <w:sz w:val="16"/>
        </w:rPr>
        <w:t>​</w:t>
      </w:r>
      <w:bookmarkStart w:id="101" w:name="tDTAA"/>
      <w:bookmarkEnd w:id="101"/>
      <w:r>
        <w:rPr>
          <w:rFonts w:ascii="calibri;arial;sans-serif" w:hAnsi="calibri;arial;sans-serif"/>
          <w:b w:val="false"/>
          <w:i w:val="false"/>
          <w:caps w:val="false"/>
          <w:smallCaps w:val="false"/>
          <w:color w:val="000000"/>
          <w:sz w:val="16"/>
        </w:rPr>
        <w:t>​</w:t>
      </w:r>
      <w:bookmarkStart w:id="102" w:name="tEATE"/>
      <w:bookmarkEnd w:id="102"/>
      <w:r>
        <w:rPr>
          <w:rFonts w:ascii="calibri;arial;sans-serif" w:hAnsi="calibri;arial;sans-serif"/>
          <w:b w:val="false"/>
          <w:i w:val="false"/>
          <w:caps w:val="false"/>
          <w:smallCaps w:val="false"/>
          <w:color w:val="000000"/>
          <w:sz w:val="16"/>
        </w:rPr>
        <w:t>​</w:t>
      </w:r>
      <w:bookmarkStart w:id="103" w:name="tFOOE"/>
      <w:bookmarkEnd w:id="103"/>
      <w:r>
        <w:rPr>
          <w:rFonts w:ascii="calibri;arial;sans-serif" w:hAnsi="calibri;arial;sans-serif"/>
          <w:b w:val="false"/>
          <w:i w:val="false"/>
          <w:caps w:val="false"/>
          <w:smallCaps w:val="false"/>
          <w:color w:val="000000"/>
          <w:sz w:val="16"/>
        </w:rPr>
        <w:t>​</w:t>
      </w:r>
      <w:bookmarkStart w:id="104" w:name="tGRAA"/>
      <w:bookmarkEnd w:id="104"/>
      <w:r>
        <w:rPr>
          <w:rFonts w:ascii="calibri;arial;sans-serif" w:hAnsi="calibri;arial;sans-serif"/>
          <w:b w:val="false"/>
          <w:i w:val="false"/>
          <w:caps w:val="false"/>
          <w:smallCaps w:val="false"/>
          <w:color w:val="000000"/>
          <w:sz w:val="16"/>
        </w:rPr>
        <w:t>​</w:t>
      </w:r>
      <w:bookmarkStart w:id="105" w:name="tHEAR"/>
      <w:bookmarkEnd w:id="105"/>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84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(e)   </w:t>
      </w:r>
      <w:r>
        <w:rPr>
          <w:rFonts w:ascii="Helvetica;Arial;sans-serif" w:hAnsi="Helvetica;Arial;sans-serif"/>
          <w:b w:val="false"/>
          <w:i/>
          <w:caps w:val="false"/>
          <w:smallCaps w:val="false"/>
          <w:color w:val="000000"/>
          <w:sz w:val="18"/>
        </w:rPr>
        <w:t>Restrictions on Transfer of Shares</w:t>
      </w:r>
      <w:r>
        <w:rPr>
          <w:rFonts w:ascii="Helvetica;Arial;sans-serif" w:hAnsi="Helvetica;Arial;sans-serif"/>
          <w:b w:val="false"/>
          <w:i w:val="false"/>
          <w:caps w:val="false"/>
          <w:smallCaps w:val="false"/>
          <w:color w:val="000000"/>
          <w:sz w:val="18"/>
        </w:rPr>
        <w:t>.   Restricted Shares shall be subject to such rights of repurchase, rights of first refusal, or other restrictions as the Committee may determine. Such restrictions shall be set forth in the applicable Restricted Share Award Agreement and shall apply in addition to any general restrictions that may apply to all holders of Shares.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SECTION 7.   TERMS AND CONDITIONS OF OPTIONS.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   </w:t>
      </w:r>
      <w:r>
        <w:rPr>
          <w:rFonts w:ascii="Helvetica;Arial;sans-serif" w:hAnsi="Helvetica;Arial;sans-serif"/>
          <w:b w:val="false"/>
          <w:i/>
          <w:caps w:val="false"/>
          <w:smallCaps w:val="false"/>
          <w:color w:val="000000"/>
          <w:sz w:val="18"/>
        </w:rPr>
        <w:t>Option Award Agreement</w:t>
      </w:r>
      <w:r>
        <w:rPr>
          <w:rFonts w:ascii="Helvetica;Arial;sans-serif" w:hAnsi="Helvetica;Arial;sans-serif"/>
          <w:b w:val="false"/>
          <w:i w:val="false"/>
          <w:caps w:val="false"/>
          <w:smallCaps w:val="false"/>
          <w:color w:val="000000"/>
          <w:sz w:val="18"/>
        </w:rPr>
        <w:t>.   Each grant of an Option under the Plan shall be evidenced by an Option Award Agreement between the Participant and the Company. Such Option shall be subject to all applicable terms and conditions of the Plan and may be subject to any other terms and conditions which are not inconsistent with the Plan and which the Committee deems appropriate for inclusion in an Option Award Agreement. The Option Award Agreement shall specify whether the Option is an ISO or an NSO. The provisions of the various Option Award Agreements entered into under the Plan need not be identical.</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(b)   </w:t>
      </w:r>
      <w:r>
        <w:rPr>
          <w:rFonts w:ascii="Helvetica;Arial;sans-serif" w:hAnsi="Helvetica;Arial;sans-serif"/>
          <w:b w:val="false"/>
          <w:i/>
          <w:caps w:val="false"/>
          <w:smallCaps w:val="false"/>
          <w:color w:val="000000"/>
          <w:sz w:val="18"/>
        </w:rPr>
        <w:t>Number of Shares</w:t>
      </w:r>
      <w:r>
        <w:rPr>
          <w:rFonts w:ascii="Helvetica;Arial;sans-serif" w:hAnsi="Helvetica;Arial;sans-serif"/>
          <w:b w:val="false"/>
          <w:i w:val="false"/>
          <w:caps w:val="false"/>
          <w:smallCaps w:val="false"/>
          <w:color w:val="000000"/>
          <w:sz w:val="18"/>
        </w:rPr>
        <w:t>.   Each Option Award Agreement shall specify the number of Shares that are subject to the Option and shall provide for the adjustment of such number in accordance with Section 13.</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(c)   </w:t>
      </w:r>
      <w:r>
        <w:rPr>
          <w:rFonts w:ascii="Helvetica;Arial;sans-serif" w:hAnsi="Helvetica;Arial;sans-serif"/>
          <w:b w:val="false"/>
          <w:i/>
          <w:caps w:val="false"/>
          <w:smallCaps w:val="false"/>
          <w:color w:val="000000"/>
          <w:sz w:val="18"/>
        </w:rPr>
        <w:t>Exercise Price</w:t>
      </w:r>
      <w:r>
        <w:rPr>
          <w:rFonts w:ascii="Helvetica;Arial;sans-serif" w:hAnsi="Helvetica;Arial;sans-serif"/>
          <w:b w:val="false"/>
          <w:i w:val="false"/>
          <w:caps w:val="false"/>
          <w:smallCaps w:val="false"/>
          <w:color w:val="000000"/>
          <w:sz w:val="18"/>
        </w:rPr>
        <w:t>.   Each Option Award Agreement shall specify the Exercise Price. The Exercise Price of an ISO shall not be less than 100% of the Fair Market Value of a Share on the date of grant, and the Exercise Price of an NSO shall not be less than 100% of the Fair Market Value of a Share on the date of grant. Notwithstanding the foregoing, Options may be granted with an Exercise Price of less than 100% of the Fair Market Value per Share on the date of grant pursuant to a transaction described in, and in a manner consistent with, Section 424(a) of the Code. Subject to the foregoing in this Section 7(c), the Exercise Price under any Option shall be determined by the Committee in its sole discretion. The Exercise Price shall be payable in one of the forms described in Section 8.</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(d)   </w:t>
      </w:r>
      <w:r>
        <w:rPr>
          <w:rFonts w:ascii="Helvetica;Arial;sans-serif" w:hAnsi="Helvetica;Arial;sans-serif"/>
          <w:b w:val="false"/>
          <w:i/>
          <w:caps w:val="false"/>
          <w:smallCaps w:val="false"/>
          <w:color w:val="000000"/>
          <w:sz w:val="18"/>
        </w:rPr>
        <w:t>Withholding Taxes</w:t>
      </w:r>
      <w:r>
        <w:rPr>
          <w:rFonts w:ascii="Helvetica;Arial;sans-serif" w:hAnsi="Helvetica;Arial;sans-serif"/>
          <w:b w:val="false"/>
          <w:i w:val="false"/>
          <w:caps w:val="false"/>
          <w:smallCaps w:val="false"/>
          <w:color w:val="000000"/>
          <w:sz w:val="18"/>
        </w:rPr>
        <w:t>.   As a condition to the exercise of an Option, the Participant shall make such arrangements as the Committee may require for the satisfaction of any federal, state, local or foreign withholding tax obligations that may arise in connection with such exercise. The Participant shall also make such arrangements as the Committee may require for the satisfaction of any federal, state, local or foreign withholding tax obligations that may arise in connection with the disposition of Shares acquired by exercising an Option.</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(e)   </w:t>
      </w:r>
      <w:r>
        <w:rPr>
          <w:rFonts w:ascii="Helvetica;Arial;sans-serif" w:hAnsi="Helvetica;Arial;sans-serif"/>
          <w:b w:val="false"/>
          <w:i/>
          <w:caps w:val="false"/>
          <w:smallCaps w:val="false"/>
          <w:color w:val="000000"/>
          <w:sz w:val="18"/>
        </w:rPr>
        <w:t>Exercisability and Term</w:t>
      </w:r>
      <w:r>
        <w:rPr>
          <w:rFonts w:ascii="Helvetica;Arial;sans-serif" w:hAnsi="Helvetica;Arial;sans-serif"/>
          <w:b w:val="false"/>
          <w:i w:val="false"/>
          <w:caps w:val="false"/>
          <w:smallCaps w:val="false"/>
          <w:color w:val="000000"/>
          <w:sz w:val="18"/>
        </w:rPr>
        <w:t>.   Each Option Award Agreement shall specify the date when all or any installment of the Option is to become exercisable. The Option Award Agreement shall also specify the term of the Option; provided that the term of an ISO shall in no event exceed 10 years from the date of grant (five years for ISOs granted to Employees described in Section 4(b)). An Option Award Agreement may provide for accelerated exercisability in the event of the Participant’s death, Disability, or retirement or other events and may provide for expiration prior to the end of its term in the event of the termination of the Participant’s Service. Options may be awarded in combination with SARs, and such an Award may provide that the Options will not be exercisable unless the related SARs are forfeited. Subject to the foregoing in this Section 7(e), the Committee in its sole discretion shall determine when all or any installment of an Option is to become exercisable and when an Option is to expire.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(f)   </w:t>
      </w:r>
      <w:r>
        <w:rPr>
          <w:rFonts w:ascii="Helvetica;Arial;sans-serif" w:hAnsi="Helvetica;Arial;sans-serif"/>
          <w:b w:val="false"/>
          <w:i/>
          <w:caps w:val="false"/>
          <w:smallCaps w:val="false"/>
          <w:color w:val="000000"/>
          <w:sz w:val="18"/>
        </w:rPr>
        <w:t>Exercise of Options</w:t>
      </w:r>
      <w:r>
        <w:rPr>
          <w:rFonts w:ascii="Helvetica;Arial;sans-serif" w:hAnsi="Helvetica;Arial;sans-serif"/>
          <w:b w:val="false"/>
          <w:i w:val="false"/>
          <w:caps w:val="false"/>
          <w:smallCaps w:val="false"/>
          <w:color w:val="000000"/>
          <w:sz w:val="18"/>
        </w:rPr>
        <w:t>.   Each Option Award Agreement shall set forth the extent to which the Participant shall have the right to exercise the Option following termination of the Participant’s Service with the Company and its Subsidiaries, and the right to exercise the Option of any executors or administrators of the Participant’s estate or any person who has acquired such Option(s) directly from the Participant by bequest or inheritance. Such provisions shall be determined in the sole discretion of the Committee, need not be uniform among all Options issued pursuant to the Plan, and may reflect distinctions based on the reasons for termination of Service.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(g)   </w:t>
      </w:r>
      <w:r>
        <w:rPr>
          <w:rFonts w:ascii="Helvetica;Arial;sans-serif" w:hAnsi="Helvetica;Arial;sans-serif"/>
          <w:b w:val="false"/>
          <w:i/>
          <w:caps w:val="false"/>
          <w:smallCaps w:val="false"/>
          <w:color w:val="000000"/>
          <w:sz w:val="18"/>
        </w:rPr>
        <w:t>No Rights as a Stockholder</w:t>
      </w:r>
      <w:r>
        <w:rPr>
          <w:rFonts w:ascii="Helvetica;Arial;sans-serif" w:hAnsi="Helvetica;Arial;sans-serif"/>
          <w:b w:val="false"/>
          <w:i w:val="false"/>
          <w:caps w:val="false"/>
          <w:smallCaps w:val="false"/>
          <w:color w:val="000000"/>
          <w:sz w:val="18"/>
        </w:rPr>
        <w:t>.   A Participant shall have no rights as a stockholder with respect to any Shares covered by his Option until the date of the issuance of a share certificate for such Shares. No adjustments shall be made, except as provided in Section 13.</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(h)   </w:t>
      </w:r>
      <w:r>
        <w:rPr>
          <w:rFonts w:ascii="Helvetica;Arial;sans-serif" w:hAnsi="Helvetica;Arial;sans-serif"/>
          <w:b w:val="false"/>
          <w:i/>
          <w:caps w:val="false"/>
          <w:smallCaps w:val="false"/>
          <w:color w:val="000000"/>
          <w:sz w:val="18"/>
        </w:rPr>
        <w:t>Modification, Extension and Renewal of Options</w:t>
      </w:r>
      <w:r>
        <w:rPr>
          <w:rFonts w:ascii="Helvetica;Arial;sans-serif" w:hAnsi="Helvetica;Arial;sans-serif"/>
          <w:b w:val="false"/>
          <w:i w:val="false"/>
          <w:caps w:val="false"/>
          <w:smallCaps w:val="false"/>
          <w:color w:val="000000"/>
          <w:sz w:val="18"/>
        </w:rPr>
        <w:t>.   Subject to Section 5(e), within the limitations of the Plan, the Committee may modify, extend, or renew outstanding options or may accept the cancellation of outstanding options (to the extent not previously exercised), whether or not granted hereunder, in return for the grant of new Options for the same or a different number of Shares and at the same or a different Exercise Price, or in return for the grant of a different Award for the same or a different number of Shares or for cash. The foregoing notwithstanding, no modification of an Option shall, without the consent of the Participant, materially impair his or her rights or obligations under such Option; provided, however, that an amendment or modification that may cause an ISO to become a NSO, and any amendment or modification that is required to comply with the rules applicable to ISOs, shall not be treated as materially impairing the rights or obligations of the Participant.</w:t>
      </w:r>
      <w:r>
        <w:rPr>
          <w:rFonts w:ascii="Helvetica;Arial;sans-serif" w:hAnsi="Helvetica;Arial;sans-serif"/>
          <w:b w:val="false"/>
          <w:i w:val="false"/>
          <w:caps w:val="false"/>
          <w:smallCaps w:val="false"/>
          <w:color w:val="000000"/>
          <w:spacing w:val="4"/>
          <w:sz w:val="18"/>
        </w:rPr>
        <w:t xml:space="preserve"> </w:t>
      </w:r>
    </w:p>
    <w:tbl>
      <w:tblPr>
        <w:tblW w:w="3183" w:type="dxa"/>
        <w:jc w:val="left"/>
        <w:tblInd w:w="720" w:type="dxa"/>
        <w:tblLayout w:type="fixed"/>
        <w:tblCellMar>
          <w:top w:w="0" w:type="dxa"/>
          <w:left w:w="0" w:type="dxa"/>
          <w:bottom w:w="0" w:type="dxa"/>
          <w:right w:w="0" w:type="dxa"/>
        </w:tblCellMar>
      </w:tblPr>
      <w:tblGrid>
        <w:gridCol w:w="124"/>
        <w:gridCol w:w="481"/>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481" w:type="dxa"/>
            <w:tcBorders/>
            <w:vAlign w:val="center"/>
          </w:tcPr>
          <w:p>
            <w:pPr>
              <w:pStyle w:val="TableContents"/>
              <w:bidi w:val="0"/>
              <w:spacing w:before="0" w:after="283"/>
              <w:jc w:val="left"/>
              <w:rPr/>
            </w:pPr>
            <w:r>
              <w:rPr/>
              <w:t>A-8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6" w:name="tIOTO"/>
      <w:bookmarkEnd w:id="106"/>
      <w:r>
        <w:rPr>
          <w:rFonts w:ascii="calibri;arial;sans-serif" w:hAnsi="calibri;arial;sans-serif"/>
          <w:b w:val="false"/>
          <w:i w:val="false"/>
          <w:caps w:val="false"/>
          <w:smallCaps w:val="false"/>
          <w:color w:val="000000"/>
          <w:sz w:val="16"/>
        </w:rPr>
        <w:t>​</w:t>
      </w:r>
      <w:bookmarkStart w:id="107" w:name="tJPST"/>
      <w:bookmarkEnd w:id="107"/>
      <w:r>
        <w:rPr>
          <w:rFonts w:ascii="calibri;arial;sans-serif" w:hAnsi="calibri;arial;sans-serif"/>
          <w:b w:val="false"/>
          <w:i w:val="false"/>
          <w:caps w:val="false"/>
          <w:smallCaps w:val="false"/>
          <w:color w:val="000000"/>
          <w:sz w:val="16"/>
        </w:rPr>
        <w:t>​</w:t>
      </w:r>
      <w:bookmarkStart w:id="108" w:name="tKDEO"/>
      <w:bookmarkEnd w:id="108"/>
      <w:r>
        <w:rPr>
          <w:rFonts w:ascii="calibri;arial;sans-serif" w:hAnsi="calibri;arial;sans-serif"/>
          <w:b w:val="false"/>
          <w:i w:val="false"/>
          <w:caps w:val="false"/>
          <w:smallCaps w:val="false"/>
          <w:color w:val="000000"/>
          <w:sz w:val="16"/>
        </w:rPr>
        <w:t>​</w:t>
      </w:r>
      <w:bookmarkStart w:id="109" w:name="tS8FS"/>
      <w:bookmarkEnd w:id="109"/>
      <w:r>
        <w:rPr>
          <w:rFonts w:ascii="calibri;arial;sans-serif" w:hAnsi="calibri;arial;sans-serif"/>
          <w:b w:val="false"/>
          <w:i w:val="false"/>
          <w:caps w:val="false"/>
          <w:smallCaps w:val="false"/>
          <w:color w:val="000000"/>
          <w:sz w:val="16"/>
        </w:rPr>
        <w:t>​</w:t>
      </w:r>
      <w:bookmarkStart w:id="110" w:name="tARTE"/>
      <w:bookmarkEnd w:id="110"/>
      <w:r>
        <w:rPr>
          <w:rFonts w:ascii="calibri;arial;sans-serif" w:hAnsi="calibri;arial;sans-serif"/>
          <w:b w:val="false"/>
          <w:i w:val="false"/>
          <w:caps w:val="false"/>
          <w:smallCaps w:val="false"/>
          <w:color w:val="000000"/>
          <w:sz w:val="16"/>
        </w:rPr>
        <w:t>​</w:t>
      </w:r>
      <w:bookmarkStart w:id="111" w:name="tBOST"/>
      <w:bookmarkEnd w:id="111"/>
      <w:r>
        <w:rPr>
          <w:rFonts w:ascii="calibri;arial;sans-serif" w:hAnsi="calibri;arial;sans-serif"/>
          <w:b w:val="false"/>
          <w:i w:val="false"/>
          <w:caps w:val="false"/>
          <w:smallCaps w:val="false"/>
          <w:color w:val="000000"/>
          <w:sz w:val="16"/>
        </w:rPr>
        <w:t>​</w:t>
      </w:r>
      <w:bookmarkStart w:id="112" w:name="tCRAT"/>
      <w:bookmarkEnd w:id="112"/>
      <w:r>
        <w:rPr>
          <w:rFonts w:ascii="calibri;arial;sans-serif" w:hAnsi="calibri;arial;sans-serif"/>
          <w:b w:val="false"/>
          <w:i w:val="false"/>
          <w:caps w:val="false"/>
          <w:smallCaps w:val="false"/>
          <w:color w:val="000000"/>
          <w:sz w:val="16"/>
        </w:rPr>
        <w:t>​</w:t>
      </w:r>
      <w:bookmarkStart w:id="113" w:name="tDETT"/>
      <w:bookmarkEnd w:id="113"/>
      <w:r>
        <w:rPr>
          <w:rFonts w:ascii="calibri;arial;sans-serif" w:hAnsi="calibri;arial;sans-serif"/>
          <w:b w:val="false"/>
          <w:i w:val="false"/>
          <w:caps w:val="false"/>
          <w:smallCaps w:val="false"/>
          <w:color w:val="000000"/>
          <w:sz w:val="16"/>
        </w:rPr>
        <w:t>​</w:t>
      </w:r>
      <w:bookmarkStart w:id="114" w:name="tETTE"/>
      <w:bookmarkEnd w:id="114"/>
      <w:r>
        <w:rPr>
          <w:rFonts w:ascii="calibri;arial;sans-serif" w:hAnsi="calibri;arial;sans-serif"/>
          <w:b w:val="false"/>
          <w:i w:val="false"/>
          <w:caps w:val="false"/>
          <w:smallCaps w:val="false"/>
          <w:color w:val="000000"/>
          <w:sz w:val="16"/>
        </w:rPr>
        <w:t>​</w:t>
      </w:r>
      <w:bookmarkStart w:id="115" w:name="tFETT"/>
      <w:bookmarkEnd w:id="115"/>
      <w:r>
        <w:rPr>
          <w:rFonts w:ascii="calibri;arial;sans-serif" w:hAnsi="calibri;arial;sans-serif"/>
          <w:b w:val="false"/>
          <w:i w:val="false"/>
          <w:caps w:val="false"/>
          <w:smallCaps w:val="false"/>
          <w:color w:val="000000"/>
          <w:sz w:val="16"/>
        </w:rPr>
        <w:t>​</w:t>
      </w:r>
      <w:bookmarkStart w:id="116" w:name="tGNTT"/>
      <w:bookmarkEnd w:id="116"/>
      <w:r>
        <w:rPr>
          <w:rFonts w:ascii="calibri;arial;sans-serif" w:hAnsi="calibri;arial;sans-serif"/>
          <w:b w:val="false"/>
          <w:i w:val="false"/>
          <w:caps w:val="false"/>
          <w:smallCaps w:val="false"/>
          <w:color w:val="000000"/>
          <w:sz w:val="16"/>
        </w:rPr>
        <w:t>​</w:t>
      </w:r>
      <w:bookmarkStart w:id="117" w:name="tHFOP"/>
      <w:bookmarkEnd w:id="117"/>
      <w:r>
        <w:rPr>
          <w:rFonts w:ascii="calibri;arial;sans-serif" w:hAnsi="calibri;arial;sans-serif"/>
          <w:b w:val="false"/>
          <w:i w:val="false"/>
          <w:caps w:val="false"/>
          <w:smallCaps w:val="false"/>
          <w:color w:val="000000"/>
          <w:sz w:val="16"/>
        </w:rPr>
        <w:t>​</w:t>
      </w:r>
      <w:bookmarkStart w:id="118" w:name="tIUAL"/>
      <w:bookmarkEnd w:id="118"/>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84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   </w:t>
      </w:r>
      <w:r>
        <w:rPr>
          <w:rFonts w:ascii="Helvetica;Arial;sans-serif" w:hAnsi="Helvetica;Arial;sans-serif"/>
          <w:b w:val="false"/>
          <w:i/>
          <w:caps w:val="false"/>
          <w:smallCaps w:val="false"/>
          <w:color w:val="000000"/>
          <w:sz w:val="18"/>
        </w:rPr>
        <w:t>Restrictions on Transfer of Shares</w:t>
      </w:r>
      <w:r>
        <w:rPr>
          <w:rFonts w:ascii="Helvetica;Arial;sans-serif" w:hAnsi="Helvetica;Arial;sans-serif"/>
          <w:b w:val="false"/>
          <w:i w:val="false"/>
          <w:caps w:val="false"/>
          <w:smallCaps w:val="false"/>
          <w:color w:val="000000"/>
          <w:sz w:val="18"/>
        </w:rPr>
        <w:t>.   Any Shares issued upon exercise of an Option shall be subject to such special forfeiture conditions, rights of repurchase, rights of first refusal, and other transfer restrictions as the Committee may determine. Such restrictions shall be set forth in the applicable Option Award Agreement and shall apply in addition to any general restrictions that may apply to all holders of Shares.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(j)   </w:t>
      </w:r>
      <w:r>
        <w:rPr>
          <w:rFonts w:ascii="Helvetica;Arial;sans-serif" w:hAnsi="Helvetica;Arial;sans-serif"/>
          <w:b w:val="false"/>
          <w:i/>
          <w:caps w:val="false"/>
          <w:smallCaps w:val="false"/>
          <w:color w:val="000000"/>
          <w:sz w:val="18"/>
        </w:rPr>
        <w:t>Buyout Provisions</w:t>
      </w:r>
      <w:r>
        <w:rPr>
          <w:rFonts w:ascii="Helvetica;Arial;sans-serif" w:hAnsi="Helvetica;Arial;sans-serif"/>
          <w:b w:val="false"/>
          <w:i w:val="false"/>
          <w:caps w:val="false"/>
          <w:smallCaps w:val="false"/>
          <w:color w:val="000000"/>
          <w:sz w:val="18"/>
        </w:rPr>
        <w:t>.   Subject to Section 5(e), the Committee may at any time (i) offer to buy out for a payment in cash or cash equivalents an Option previously granted or (ii) authorize a Participant to elect to cash out an Option previously granted, in either case at such time and based upon such terms and conditions as the Committee shall establish.</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(k)   </w:t>
      </w:r>
      <w:r>
        <w:rPr>
          <w:rFonts w:ascii="Helvetica;Arial;sans-serif" w:hAnsi="Helvetica;Arial;sans-serif"/>
          <w:b w:val="false"/>
          <w:i/>
          <w:caps w:val="false"/>
          <w:smallCaps w:val="false"/>
          <w:color w:val="000000"/>
          <w:sz w:val="18"/>
        </w:rPr>
        <w:t>No Dividend Equivalents on Options.</w:t>
      </w:r>
      <w:r>
        <w:rPr>
          <w:rFonts w:ascii="Helvetica;Arial;sans-serif" w:hAnsi="Helvetica;Arial;sans-serif"/>
          <w:b w:val="false"/>
          <w:i w:val="false"/>
          <w:caps w:val="false"/>
          <w:smallCaps w:val="false"/>
          <w:color w:val="000000"/>
          <w:sz w:val="18"/>
        </w:rPr>
        <w:t>   No grant of Options may be accompanied by a tandem award of dividend equivalents or provide for dividends, dividend equivalents or other distributions to be paid on such Options (except pursuant to an adjustment or other action contemplated by Section 13).</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SECTION 8.   PAYMENT FOR SHARES.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   </w:t>
      </w:r>
      <w:r>
        <w:rPr>
          <w:rFonts w:ascii="Helvetica;Arial;sans-serif" w:hAnsi="Helvetica;Arial;sans-serif"/>
          <w:b w:val="false"/>
          <w:i/>
          <w:caps w:val="false"/>
          <w:smallCaps w:val="false"/>
          <w:color w:val="000000"/>
          <w:sz w:val="18"/>
        </w:rPr>
        <w:t>General Rule</w:t>
      </w:r>
      <w:r>
        <w:rPr>
          <w:rFonts w:ascii="Helvetica;Arial;sans-serif" w:hAnsi="Helvetica;Arial;sans-serif"/>
          <w:b w:val="false"/>
          <w:i w:val="false"/>
          <w:caps w:val="false"/>
          <w:smallCaps w:val="false"/>
          <w:color w:val="000000"/>
          <w:sz w:val="18"/>
        </w:rPr>
        <w:t>.   The entire Exercise Price or Purchase Price of Shares issued under the Plan (other than Shares issued under the ESPP Addendum which shall be governed by the terms of the ESPP Addendum) shall be payable in lawful money of the United States of America at the time when such Shares are purchased, except as provided in Section 8(b) through Section 8(h) below. The payment for Shares issuable pursuant to the ESPP Addendum shall be subject to the terms and conditions as set forth in the ESPP Addendum.</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(b)   </w:t>
      </w:r>
      <w:r>
        <w:rPr>
          <w:rFonts w:ascii="Helvetica;Arial;sans-serif" w:hAnsi="Helvetica;Arial;sans-serif"/>
          <w:b w:val="false"/>
          <w:i/>
          <w:caps w:val="false"/>
          <w:smallCaps w:val="false"/>
          <w:color w:val="000000"/>
          <w:sz w:val="18"/>
        </w:rPr>
        <w:t>Surrender of Stock</w:t>
      </w:r>
      <w:r>
        <w:rPr>
          <w:rFonts w:ascii="Helvetica;Arial;sans-serif" w:hAnsi="Helvetica;Arial;sans-serif"/>
          <w:b w:val="false"/>
          <w:i w:val="false"/>
          <w:caps w:val="false"/>
          <w:smallCaps w:val="false"/>
          <w:color w:val="000000"/>
          <w:sz w:val="18"/>
        </w:rPr>
        <w:t>.   To the extent that an Option Award Agreement so provides, payment may be made all or in part by surrendering, or attesting to the ownership of, Shares which have already been owned by the Participant or his or her representative. Such Shares shall be valued at their Fair Market Value on the date when the new Shares are purchased under the Plan. The Participant shall not surrender, or attest to the ownership of, Shares in payment of the Exercise Price of an Option if such action would cause the Company to recognize compensation expense (or additional compensation expense) with respect to the Option for financial reporting purposes.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(c)   </w:t>
      </w:r>
      <w:r>
        <w:rPr>
          <w:rFonts w:ascii="Helvetica;Arial;sans-serif" w:hAnsi="Helvetica;Arial;sans-serif"/>
          <w:b w:val="false"/>
          <w:i/>
          <w:caps w:val="false"/>
          <w:smallCaps w:val="false"/>
          <w:color w:val="000000"/>
          <w:sz w:val="18"/>
        </w:rPr>
        <w:t>Services Rendered</w:t>
      </w:r>
      <w:r>
        <w:rPr>
          <w:rFonts w:ascii="Helvetica;Arial;sans-serif" w:hAnsi="Helvetica;Arial;sans-serif"/>
          <w:b w:val="false"/>
          <w:i w:val="false"/>
          <w:caps w:val="false"/>
          <w:smallCaps w:val="false"/>
          <w:color w:val="000000"/>
          <w:sz w:val="18"/>
        </w:rPr>
        <w:t>.   At the discretion of the Committee, Shares may be awarded under the Plan in consideration of services rendered to the Company or a Subsidiary. If Shares are awarded without the payment of a Purchase Price in cash, the Committee shall make a determination (at the time of the Award) of the value of the services rendered by the Participant and the sufficiency of the consideration to meet the requirements of Section 6(b).</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(d)   </w:t>
      </w:r>
      <w:r>
        <w:rPr>
          <w:rFonts w:ascii="Helvetica;Arial;sans-serif" w:hAnsi="Helvetica;Arial;sans-serif"/>
          <w:b w:val="false"/>
          <w:i/>
          <w:caps w:val="false"/>
          <w:smallCaps w:val="false"/>
          <w:color w:val="000000"/>
          <w:sz w:val="18"/>
        </w:rPr>
        <w:t>Cashless Exercise</w:t>
      </w:r>
      <w:r>
        <w:rPr>
          <w:rFonts w:ascii="Helvetica;Arial;sans-serif" w:hAnsi="Helvetica;Arial;sans-serif"/>
          <w:b w:val="false"/>
          <w:i w:val="false"/>
          <w:caps w:val="false"/>
          <w:smallCaps w:val="false"/>
          <w:color w:val="000000"/>
          <w:sz w:val="18"/>
        </w:rPr>
        <w:t>.   To the extent that an Option Award Agreement so provides, if the Stock is traded on an established securities market, payment may be made all or in part by delivery (on a form prescribed by the Committee) of an irrevocable direction to a securities broker to sell Shares and to deliver all or part of the sale proceeds to the Company in payment of the aggregate Exercise Price.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(e)   </w:t>
      </w:r>
      <w:r>
        <w:rPr>
          <w:rFonts w:ascii="Helvetica;Arial;sans-serif" w:hAnsi="Helvetica;Arial;sans-serif"/>
          <w:b w:val="false"/>
          <w:i/>
          <w:caps w:val="false"/>
          <w:smallCaps w:val="false"/>
          <w:color w:val="000000"/>
          <w:sz w:val="18"/>
        </w:rPr>
        <w:t>Exercise/Pledge</w:t>
      </w:r>
      <w:r>
        <w:rPr>
          <w:rFonts w:ascii="Helvetica;Arial;sans-serif" w:hAnsi="Helvetica;Arial;sans-serif"/>
          <w:b w:val="false"/>
          <w:i w:val="false"/>
          <w:caps w:val="false"/>
          <w:smallCaps w:val="false"/>
          <w:color w:val="000000"/>
          <w:sz w:val="18"/>
        </w:rPr>
        <w:t>.   To the extent that an Option Award Agreement so provides, payment may be made all or in part by delivery (on a form prescribed by the Committee) of an irrevocable direction to a securities broker or lender to pledge Shares, as security for a loan, and to deliver all or part of the loan proceeds to the Company in payment of the aggregate Exercise Price.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(f)   </w:t>
      </w:r>
      <w:r>
        <w:rPr>
          <w:rFonts w:ascii="Helvetica;Arial;sans-serif" w:hAnsi="Helvetica;Arial;sans-serif"/>
          <w:b w:val="false"/>
          <w:i/>
          <w:caps w:val="false"/>
          <w:smallCaps w:val="false"/>
          <w:color w:val="000000"/>
          <w:sz w:val="18"/>
        </w:rPr>
        <w:t>Net Exercise</w:t>
      </w:r>
      <w:r>
        <w:rPr>
          <w:rFonts w:ascii="Helvetica;Arial;sans-serif" w:hAnsi="Helvetica;Arial;sans-serif"/>
          <w:b w:val="false"/>
          <w:i w:val="false"/>
          <w:caps w:val="false"/>
          <w:smallCaps w:val="false"/>
          <w:color w:val="000000"/>
          <w:sz w:val="18"/>
        </w:rPr>
        <w:t>.   To the extent that an Option Award Agreement so provides, by a “net exercise” arrangement pursuant to which the number of Shares issuable upon exercise of the Option shall be reduced by the largest whole number of Shares having an aggregate Fair Market Value that does not exceed the aggregate Exercise Price (plus tax withholdings, if applicable) and any remaining balance of the aggregate Exercise Price (and/or applicable tax withholdings) not satisfied by such reduction in the number of whole Shares to be issued shall be paid by the Participant in cash or any other form of payment permitted under the Option Award Agreement.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(g)   </w:t>
      </w:r>
      <w:r>
        <w:rPr>
          <w:rFonts w:ascii="Helvetica;Arial;sans-serif" w:hAnsi="Helvetica;Arial;sans-serif"/>
          <w:b w:val="false"/>
          <w:i/>
          <w:caps w:val="false"/>
          <w:smallCaps w:val="false"/>
          <w:color w:val="000000"/>
          <w:sz w:val="18"/>
        </w:rPr>
        <w:t>Promissory Note</w:t>
      </w:r>
      <w:r>
        <w:rPr>
          <w:rFonts w:ascii="Helvetica;Arial;sans-serif" w:hAnsi="Helvetica;Arial;sans-serif"/>
          <w:b w:val="false"/>
          <w:i w:val="false"/>
          <w:caps w:val="false"/>
          <w:smallCaps w:val="false"/>
          <w:color w:val="000000"/>
          <w:sz w:val="18"/>
        </w:rPr>
        <w:t>.   To the extent that an Option Award Agreement or Restricted Share Award Agreement so provides, payment may be made all or in part by delivering (on a form prescribed by the Company) a full-recourse promissory note.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(h)   </w:t>
      </w:r>
      <w:r>
        <w:rPr>
          <w:rFonts w:ascii="Helvetica;Arial;sans-serif" w:hAnsi="Helvetica;Arial;sans-serif"/>
          <w:b w:val="false"/>
          <w:i/>
          <w:caps w:val="false"/>
          <w:smallCaps w:val="false"/>
          <w:color w:val="000000"/>
          <w:sz w:val="18"/>
        </w:rPr>
        <w:t>Other Forms of Payment</w:t>
      </w:r>
      <w:r>
        <w:rPr>
          <w:rFonts w:ascii="Helvetica;Arial;sans-serif" w:hAnsi="Helvetica;Arial;sans-serif"/>
          <w:b w:val="false"/>
          <w:i w:val="false"/>
          <w:caps w:val="false"/>
          <w:smallCaps w:val="false"/>
          <w:color w:val="000000"/>
          <w:sz w:val="18"/>
        </w:rPr>
        <w:t>.   To the extent that an Option Award Agreement or Restricted Share Award Agreement so provides, payment may be made in any other form that is consistent with applicable laws, regulations, and rules.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   </w:t>
      </w:r>
      <w:r>
        <w:rPr>
          <w:rFonts w:ascii="Helvetica;Arial;sans-serif" w:hAnsi="Helvetica;Arial;sans-serif"/>
          <w:b w:val="false"/>
          <w:i/>
          <w:caps w:val="false"/>
          <w:smallCaps w:val="false"/>
          <w:color w:val="000000"/>
          <w:sz w:val="18"/>
        </w:rPr>
        <w:t>Limitations under Applicable Law</w:t>
      </w:r>
      <w:r>
        <w:rPr>
          <w:rFonts w:ascii="Helvetica;Arial;sans-serif" w:hAnsi="Helvetica;Arial;sans-serif"/>
          <w:b w:val="false"/>
          <w:i w:val="false"/>
          <w:caps w:val="false"/>
          <w:smallCaps w:val="false"/>
          <w:color w:val="000000"/>
          <w:sz w:val="18"/>
        </w:rPr>
        <w:t>.   Notwithstanding anything herein or in an Option Award Agreement or Restricted Share Award Agreement to the contrary, payment may not be made in any form that is unlawful, as determined by the Committee in its sole discretion.</w:t>
      </w:r>
      <w:r>
        <w:rPr>
          <w:rFonts w:ascii="Helvetica;Arial;sans-serif" w:hAnsi="Helvetica;Arial;sans-serif"/>
          <w:b w:val="false"/>
          <w:i w:val="false"/>
          <w:caps w:val="false"/>
          <w:smallCaps w:val="false"/>
          <w:color w:val="000000"/>
          <w:spacing w:val="4"/>
          <w:sz w:val="18"/>
        </w:rPr>
        <w:t xml:space="preserve"> </w:t>
      </w:r>
    </w:p>
    <w:tbl>
      <w:tblPr>
        <w:tblW w:w="3183" w:type="dxa"/>
        <w:jc w:val="left"/>
        <w:tblInd w:w="720" w:type="dxa"/>
        <w:tblLayout w:type="fixed"/>
        <w:tblCellMar>
          <w:top w:w="0" w:type="dxa"/>
          <w:left w:w="0" w:type="dxa"/>
          <w:bottom w:w="0" w:type="dxa"/>
          <w:right w:w="0" w:type="dxa"/>
        </w:tblCellMar>
      </w:tblPr>
      <w:tblGrid>
        <w:gridCol w:w="124"/>
        <w:gridCol w:w="2206"/>
        <w:gridCol w:w="109"/>
        <w:gridCol w:w="109"/>
        <w:gridCol w:w="481"/>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81" w:type="dxa"/>
            <w:tcBorders/>
            <w:vAlign w:val="center"/>
          </w:tcPr>
          <w:p>
            <w:pPr>
              <w:pStyle w:val="TableContents"/>
              <w:bidi w:val="0"/>
              <w:spacing w:before="0" w:after="0"/>
              <w:jc w:val="right"/>
              <w:rPr>
                <w:b/>
              </w:rPr>
            </w:pPr>
            <w:r>
              <w:rPr>
                <w:b/>
              </w:rPr>
              <w:t>A-9</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9" w:name="tS9AR"/>
      <w:bookmarkEnd w:id="119"/>
      <w:r>
        <w:rPr>
          <w:rFonts w:ascii="calibri;arial;sans-serif" w:hAnsi="calibri;arial;sans-serif"/>
          <w:b w:val="false"/>
          <w:i w:val="false"/>
          <w:caps w:val="false"/>
          <w:smallCaps w:val="false"/>
          <w:color w:val="000000"/>
          <w:sz w:val="16"/>
        </w:rPr>
        <w:t>​</w:t>
      </w:r>
      <w:bookmarkStart w:id="120" w:name="tAAAE1"/>
      <w:bookmarkEnd w:id="120"/>
      <w:r>
        <w:rPr>
          <w:rFonts w:ascii="calibri;arial;sans-serif" w:hAnsi="calibri;arial;sans-serif"/>
          <w:b w:val="false"/>
          <w:i w:val="false"/>
          <w:caps w:val="false"/>
          <w:smallCaps w:val="false"/>
          <w:color w:val="000000"/>
          <w:sz w:val="16"/>
        </w:rPr>
        <w:t>​</w:t>
      </w:r>
      <w:bookmarkStart w:id="121" w:name="tBOSE1"/>
      <w:bookmarkEnd w:id="121"/>
      <w:r>
        <w:rPr>
          <w:rFonts w:ascii="calibri;arial;sans-serif" w:hAnsi="calibri;arial;sans-serif"/>
          <w:b w:val="false"/>
          <w:i w:val="false"/>
          <w:caps w:val="false"/>
          <w:smallCaps w:val="false"/>
          <w:color w:val="000000"/>
          <w:sz w:val="16"/>
        </w:rPr>
        <w:t>​</w:t>
      </w:r>
      <w:bookmarkStart w:id="122" w:name="tCPES"/>
      <w:bookmarkEnd w:id="122"/>
      <w:r>
        <w:rPr>
          <w:rFonts w:ascii="calibri;arial;sans-serif" w:hAnsi="calibri;arial;sans-serif"/>
          <w:b w:val="false"/>
          <w:i w:val="false"/>
          <w:caps w:val="false"/>
          <w:smallCaps w:val="false"/>
          <w:color w:val="000000"/>
          <w:sz w:val="16"/>
        </w:rPr>
        <w:t>​</w:t>
      </w:r>
      <w:bookmarkStart w:id="123" w:name="tDATE"/>
      <w:bookmarkEnd w:id="123"/>
      <w:r>
        <w:rPr>
          <w:rFonts w:ascii="calibri;arial;sans-serif" w:hAnsi="calibri;arial;sans-serif"/>
          <w:b w:val="false"/>
          <w:i w:val="false"/>
          <w:caps w:val="false"/>
          <w:smallCaps w:val="false"/>
          <w:color w:val="000000"/>
          <w:sz w:val="16"/>
        </w:rPr>
        <w:t>​</w:t>
      </w:r>
      <w:bookmarkStart w:id="124" w:name="tEOSU"/>
      <w:bookmarkEnd w:id="124"/>
      <w:r>
        <w:rPr>
          <w:rFonts w:ascii="calibri;arial;sans-serif" w:hAnsi="calibri;arial;sans-serif"/>
          <w:b w:val="false"/>
          <w:i w:val="false"/>
          <w:caps w:val="false"/>
          <w:smallCaps w:val="false"/>
          <w:color w:val="000000"/>
          <w:sz w:val="16"/>
        </w:rPr>
        <w:t>​</w:t>
      </w:r>
      <w:bookmarkStart w:id="125" w:name="tFEOA"/>
      <w:bookmarkEnd w:id="125"/>
      <w:r>
        <w:rPr>
          <w:rFonts w:ascii="calibri;arial;sans-serif" w:hAnsi="calibri;arial;sans-serif"/>
          <w:b w:val="false"/>
          <w:i w:val="false"/>
          <w:caps w:val="false"/>
          <w:smallCaps w:val="false"/>
          <w:color w:val="000000"/>
          <w:sz w:val="16"/>
        </w:rPr>
        <w:t>​</w:t>
      </w:r>
      <w:bookmarkStart w:id="126" w:name="tGPST"/>
      <w:bookmarkEnd w:id="126"/>
      <w:r>
        <w:rPr>
          <w:rFonts w:ascii="calibri;arial;sans-serif" w:hAnsi="calibri;arial;sans-serif"/>
          <w:b w:val="false"/>
          <w:i w:val="false"/>
          <w:caps w:val="false"/>
          <w:smallCaps w:val="false"/>
          <w:color w:val="000000"/>
          <w:sz w:val="16"/>
        </w:rPr>
        <w:t>​</w:t>
      </w:r>
      <w:bookmarkStart w:id="127" w:name="tHDEO"/>
      <w:bookmarkEnd w:id="127"/>
      <w:r>
        <w:rPr>
          <w:rFonts w:ascii="calibri;arial;sans-serif" w:hAnsi="calibri;arial;sans-serif"/>
          <w:b w:val="false"/>
          <w:i w:val="false"/>
          <w:caps w:val="false"/>
          <w:smallCaps w:val="false"/>
          <w:color w:val="000000"/>
          <w:sz w:val="16"/>
        </w:rPr>
        <w:t>​</w:t>
      </w:r>
      <w:bookmarkStart w:id="128" w:name="tS1SU"/>
      <w:bookmarkEnd w:id="128"/>
      <w:r>
        <w:rPr>
          <w:rFonts w:ascii="calibri;arial;sans-serif" w:hAnsi="calibri;arial;sans-serif"/>
          <w:b w:val="false"/>
          <w:i w:val="false"/>
          <w:caps w:val="false"/>
          <w:smallCaps w:val="false"/>
          <w:color w:val="000000"/>
          <w:sz w:val="16"/>
        </w:rPr>
        <w:t>​</w:t>
      </w:r>
      <w:bookmarkStart w:id="129" w:name="tASUA"/>
      <w:bookmarkEnd w:id="129"/>
      <w:r>
        <w:rPr>
          <w:rFonts w:ascii="calibri;arial;sans-serif" w:hAnsi="calibri;arial;sans-serif"/>
          <w:b w:val="false"/>
          <w:i w:val="false"/>
          <w:caps w:val="false"/>
          <w:smallCaps w:val="false"/>
          <w:color w:val="000000"/>
          <w:sz w:val="16"/>
        </w:rPr>
        <w:t>​</w:t>
      </w:r>
      <w:bookmarkStart w:id="130" w:name="tBFAT"/>
      <w:bookmarkEnd w:id="130"/>
      <w:r>
        <w:rPr>
          <w:rFonts w:ascii="calibri;arial;sans-serif" w:hAnsi="calibri;arial;sans-serif"/>
          <w:b w:val="false"/>
          <w:i w:val="false"/>
          <w:caps w:val="false"/>
          <w:smallCaps w:val="false"/>
          <w:color w:val="000000"/>
          <w:sz w:val="16"/>
        </w:rPr>
        <w:t>​</w:t>
      </w:r>
      <w:bookmarkStart w:id="131" w:name="tCCEA"/>
      <w:bookmarkEnd w:id="131"/>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840" w:after="283"/>
        <w:ind w:left="720" w:right="0" w:hanging="0"/>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SECTION 9.   STOCK APPRECIATION RIGHTS.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2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   </w:t>
      </w:r>
      <w:r>
        <w:rPr>
          <w:rFonts w:ascii="Helvetica;Arial;sans-serif" w:hAnsi="Helvetica;Arial;sans-serif"/>
          <w:b w:val="false"/>
          <w:i/>
          <w:caps w:val="false"/>
          <w:smallCaps w:val="false"/>
          <w:color w:val="000000"/>
          <w:sz w:val="18"/>
        </w:rPr>
        <w:t>SAR Award Agreement</w:t>
      </w:r>
      <w:r>
        <w:rPr>
          <w:rFonts w:ascii="Helvetica;Arial;sans-serif" w:hAnsi="Helvetica;Arial;sans-serif"/>
          <w:b w:val="false"/>
          <w:i w:val="false"/>
          <w:caps w:val="false"/>
          <w:smallCaps w:val="false"/>
          <w:color w:val="000000"/>
          <w:sz w:val="18"/>
        </w:rPr>
        <w:t>.   Each grant of a SAR under the Plan shall be evidenced by a SAR Award Agreement between the Participant and the Company. Such SAR shall be subject to all applicable terms of the Plan and may be subject to any other terms that are not inconsistent with the Plan. The provisions of the various SAR Award Agreements entered into under the Plan need not be identical.</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(b)   </w:t>
      </w:r>
      <w:r>
        <w:rPr>
          <w:rFonts w:ascii="Helvetica;Arial;sans-serif" w:hAnsi="Helvetica;Arial;sans-serif"/>
          <w:b w:val="false"/>
          <w:i/>
          <w:caps w:val="false"/>
          <w:smallCaps w:val="false"/>
          <w:color w:val="000000"/>
          <w:sz w:val="18"/>
        </w:rPr>
        <w:t>Number of Shares</w:t>
      </w:r>
      <w:r>
        <w:rPr>
          <w:rFonts w:ascii="Helvetica;Arial;sans-serif" w:hAnsi="Helvetica;Arial;sans-serif"/>
          <w:b w:val="false"/>
          <w:i w:val="false"/>
          <w:caps w:val="false"/>
          <w:smallCaps w:val="false"/>
          <w:color w:val="000000"/>
          <w:sz w:val="18"/>
        </w:rPr>
        <w:t>.   Each SAR Award Agreement shall specify the number of Shares to which the SAR pertains and shall provide for the adjustment of such number in accordance with Section 13.</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(c)   </w:t>
      </w:r>
      <w:r>
        <w:rPr>
          <w:rFonts w:ascii="Helvetica;Arial;sans-serif" w:hAnsi="Helvetica;Arial;sans-serif"/>
          <w:b w:val="false"/>
          <w:i/>
          <w:caps w:val="false"/>
          <w:smallCaps w:val="false"/>
          <w:color w:val="000000"/>
          <w:sz w:val="18"/>
        </w:rPr>
        <w:t>Exercise Price</w:t>
      </w:r>
      <w:r>
        <w:rPr>
          <w:rFonts w:ascii="Helvetica;Arial;sans-serif" w:hAnsi="Helvetica;Arial;sans-serif"/>
          <w:b w:val="false"/>
          <w:i w:val="false"/>
          <w:caps w:val="false"/>
          <w:smallCaps w:val="false"/>
          <w:color w:val="000000"/>
          <w:sz w:val="18"/>
        </w:rPr>
        <w:t>.   Each SAR Award Agreement shall specify the Exercise Price. The Exercise Price of a SAR shall not be less than 100% of the Fair Market Value of a Share on the date of grant. Notwithstanding the foregoing, SARs may be granted with an Exercise Price of less than 100% of the Fair Market Value per Share on the date of grant pursuant to a transaction described in, and in a manner consistent with, Section 424(a) of the Code. Subject to the foregoing in this Section 9(c), the Exercise Price under any SAR shall be determined by the Committee in its sole discretion.</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(d)   </w:t>
      </w:r>
      <w:r>
        <w:rPr>
          <w:rFonts w:ascii="Helvetica;Arial;sans-serif" w:hAnsi="Helvetica;Arial;sans-serif"/>
          <w:b w:val="false"/>
          <w:i/>
          <w:caps w:val="false"/>
          <w:smallCaps w:val="false"/>
          <w:color w:val="000000"/>
          <w:sz w:val="18"/>
        </w:rPr>
        <w:t>Exercisability and Term</w:t>
      </w:r>
      <w:r>
        <w:rPr>
          <w:rFonts w:ascii="Helvetica;Arial;sans-serif" w:hAnsi="Helvetica;Arial;sans-serif"/>
          <w:b w:val="false"/>
          <w:i w:val="false"/>
          <w:caps w:val="false"/>
          <w:smallCaps w:val="false"/>
          <w:color w:val="000000"/>
          <w:sz w:val="18"/>
        </w:rPr>
        <w:t>.   Each SAR Award Agreement shall specify the date when all or any installment of the SAR is to become exercisable. The SAR Award Agreement shall also specify the term of the SAR. A SAR Award Agreement may provide for accelerated exercisability in the event of the Participant’s death, Disability, retirement, or other events and may provide for expiration prior to the end of its term in the event of the termination of the Participant’s Service. SARs may be awarded in combination with Options, and such an Award may provide that the SARs will not be exercisable unless the related Options are forfeited. A SAR may be included in an ISO only at the time of grant but may be included in an NSO at the time of grant or thereafter. A SAR granted under the Plan may provide that it will be exercisable only in the event of a Change in Control.</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(e)   </w:t>
      </w:r>
      <w:r>
        <w:rPr>
          <w:rFonts w:ascii="Helvetica;Arial;sans-serif" w:hAnsi="Helvetica;Arial;sans-serif"/>
          <w:b w:val="false"/>
          <w:i/>
          <w:caps w:val="false"/>
          <w:smallCaps w:val="false"/>
          <w:color w:val="000000"/>
          <w:sz w:val="18"/>
        </w:rPr>
        <w:t>Exercise of SARs</w:t>
      </w:r>
      <w:r>
        <w:rPr>
          <w:rFonts w:ascii="Helvetica;Arial;sans-serif" w:hAnsi="Helvetica;Arial;sans-serif"/>
          <w:b w:val="false"/>
          <w:i w:val="false"/>
          <w:caps w:val="false"/>
          <w:smallCaps w:val="false"/>
          <w:color w:val="000000"/>
          <w:sz w:val="18"/>
        </w:rPr>
        <w:t>.   Upon exercise of a SAR, the Participant (or any person having the right to exercise the SAR after his or her death) shall receive from the Company (i) Shares, (ii) cash or (iii) a combination of Shares and cash, as the Committee shall determine. The amount of cash and/or the Fair Market Value of Shares received upon exercise of SARs shall, in the aggregate, be equal to the amount by which the Fair Market Value (on the date of surrender) of the Shares subject to the SARs exceeds the Exercise Price.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(f)   </w:t>
      </w:r>
      <w:r>
        <w:rPr>
          <w:rFonts w:ascii="Helvetica;Arial;sans-serif" w:hAnsi="Helvetica;Arial;sans-serif"/>
          <w:b w:val="false"/>
          <w:i/>
          <w:caps w:val="false"/>
          <w:smallCaps w:val="false"/>
          <w:color w:val="000000"/>
          <w:sz w:val="18"/>
        </w:rPr>
        <w:t>Modification, Extension or Assumption of SARs</w:t>
      </w:r>
      <w:r>
        <w:rPr>
          <w:rFonts w:ascii="Helvetica;Arial;sans-serif" w:hAnsi="Helvetica;Arial;sans-serif"/>
          <w:b w:val="false"/>
          <w:i w:val="false"/>
          <w:caps w:val="false"/>
          <w:smallCaps w:val="false"/>
          <w:color w:val="000000"/>
          <w:sz w:val="18"/>
        </w:rPr>
        <w:t>.   Subject to Section 5(e), within the limitations of the Plan, the Committee may modify, extend, or assume outstanding SARs or may accept the cancellation of outstanding SARs (whether granted by the Company or by another issuer) in return for the grant of new SARs for the same or a different number of Shares and at the same or a different Exercise Price, or in return for the grant of a different Award for the same or a different number of Shares or cash. The foregoing notwithstanding, no modification of a SAR shall, without the consent of the holder, materially impair his or her rights or obligations under such SAR.</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(g)   </w:t>
      </w:r>
      <w:r>
        <w:rPr>
          <w:rFonts w:ascii="Helvetica;Arial;sans-serif" w:hAnsi="Helvetica;Arial;sans-serif"/>
          <w:b w:val="false"/>
          <w:i/>
          <w:caps w:val="false"/>
          <w:smallCaps w:val="false"/>
          <w:color w:val="000000"/>
          <w:sz w:val="18"/>
        </w:rPr>
        <w:t>Buyout Provisions</w:t>
      </w:r>
      <w:r>
        <w:rPr>
          <w:rFonts w:ascii="Helvetica;Arial;sans-serif" w:hAnsi="Helvetica;Arial;sans-serif"/>
          <w:b w:val="false"/>
          <w:i w:val="false"/>
          <w:caps w:val="false"/>
          <w:smallCaps w:val="false"/>
          <w:color w:val="000000"/>
          <w:sz w:val="18"/>
        </w:rPr>
        <w:t>.   Subject to Section 5(e), the Committee may at any time (i) offer to buy out for a payment in cash or cash equivalents a SAR previously granted, or (ii) authorize a Participant to elect to cash out a SAR previously granted, in either case at such time and based upon such terms and conditions as the Committee shall establish.</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(h)   </w:t>
      </w:r>
      <w:r>
        <w:rPr>
          <w:rFonts w:ascii="Helvetica;Arial;sans-serif" w:hAnsi="Helvetica;Arial;sans-serif"/>
          <w:b w:val="false"/>
          <w:i/>
          <w:caps w:val="false"/>
          <w:smallCaps w:val="false"/>
          <w:color w:val="000000"/>
          <w:sz w:val="18"/>
        </w:rPr>
        <w:t>No Dividend Equivalents on SARs.</w:t>
      </w:r>
      <w:r>
        <w:rPr>
          <w:rFonts w:ascii="Helvetica;Arial;sans-serif" w:hAnsi="Helvetica;Arial;sans-serif"/>
          <w:b w:val="false"/>
          <w:i w:val="false"/>
          <w:caps w:val="false"/>
          <w:smallCaps w:val="false"/>
          <w:color w:val="000000"/>
          <w:sz w:val="18"/>
        </w:rPr>
        <w:t>   No grant of SARs may be accompanied by a tandem award of dividend equivalents or provide for dividends, dividend equivalents or other distributions to be paid on such SARs (except pursuant to an adjustment or other action contemplated by Section 13).</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SECTION 10.   RESTRICTED STOCK UNITS.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   </w:t>
      </w:r>
      <w:r>
        <w:rPr>
          <w:rFonts w:ascii="Helvetica;Arial;sans-serif" w:hAnsi="Helvetica;Arial;sans-serif"/>
          <w:b w:val="false"/>
          <w:i/>
          <w:caps w:val="false"/>
          <w:smallCaps w:val="false"/>
          <w:color w:val="000000"/>
          <w:sz w:val="18"/>
        </w:rPr>
        <w:t>Restricted Stock Unit Award Agreement</w:t>
      </w:r>
      <w:r>
        <w:rPr>
          <w:rFonts w:ascii="Helvetica;Arial;sans-serif" w:hAnsi="Helvetica;Arial;sans-serif"/>
          <w:b w:val="false"/>
          <w:i w:val="false"/>
          <w:caps w:val="false"/>
          <w:smallCaps w:val="false"/>
          <w:color w:val="000000"/>
          <w:sz w:val="18"/>
        </w:rPr>
        <w:t>.   Each grant of Restricted Stock Units under the Plan shall be evidenced by a Restricted Stock Unit Award Agreement between the Participant and the Company. Such Restricted Stock Units shall be subject to all applicable terms of the Plan and may be subject to any other terms that are not inconsistent with the Plan. The provisions of the various Restricted Stock Unit Award Agreements entered into under the Plan need not be identical.</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(b)   </w:t>
      </w:r>
      <w:r>
        <w:rPr>
          <w:rFonts w:ascii="Helvetica;Arial;sans-serif" w:hAnsi="Helvetica;Arial;sans-serif"/>
          <w:b w:val="false"/>
          <w:i/>
          <w:caps w:val="false"/>
          <w:smallCaps w:val="false"/>
          <w:color w:val="000000"/>
          <w:sz w:val="18"/>
        </w:rPr>
        <w:t>Payment for Awards</w:t>
      </w:r>
      <w:r>
        <w:rPr>
          <w:rFonts w:ascii="Helvetica;Arial;sans-serif" w:hAnsi="Helvetica;Arial;sans-serif"/>
          <w:b w:val="false"/>
          <w:i w:val="false"/>
          <w:caps w:val="false"/>
          <w:smallCaps w:val="false"/>
          <w:color w:val="000000"/>
          <w:sz w:val="18"/>
        </w:rPr>
        <w:t>.   To the extent that an Award is granted in the form of Restricted Stock Units, no cash consideration shall be required of the Award recipients.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(c)   </w:t>
      </w:r>
      <w:r>
        <w:rPr>
          <w:rFonts w:ascii="Helvetica;Arial;sans-serif" w:hAnsi="Helvetica;Arial;sans-serif"/>
          <w:b w:val="false"/>
          <w:i/>
          <w:caps w:val="false"/>
          <w:smallCaps w:val="false"/>
          <w:color w:val="000000"/>
          <w:sz w:val="18"/>
        </w:rPr>
        <w:t>Vesting Conditions</w:t>
      </w:r>
      <w:r>
        <w:rPr>
          <w:rFonts w:ascii="Helvetica;Arial;sans-serif" w:hAnsi="Helvetica;Arial;sans-serif"/>
          <w:b w:val="false"/>
          <w:i w:val="false"/>
          <w:caps w:val="false"/>
          <w:smallCaps w:val="false"/>
          <w:color w:val="000000"/>
          <w:sz w:val="18"/>
        </w:rPr>
        <w:t>.   Each Award of Restricted Stock Units may or may not be subject to vesting. Vesting shall occur, in full or in installments, upon satisfaction of the conditions specified in the Restricted Stock Unit Award Agreement. A Restricted Stock Unit Award Agreement may provide for accelerated vesting in the event of the Participant’s death, Disability, retirement, or other events.</w:t>
      </w:r>
      <w:r>
        <w:rPr>
          <w:rFonts w:ascii="Helvetica;Arial;sans-serif" w:hAnsi="Helvetica;Arial;sans-serif"/>
          <w:b w:val="false"/>
          <w:i w:val="false"/>
          <w:caps w:val="false"/>
          <w:smallCaps w:val="false"/>
          <w:color w:val="000000"/>
          <w:spacing w:val="4"/>
          <w:sz w:val="18"/>
        </w:rPr>
        <w:t xml:space="preserve"> </w:t>
      </w:r>
    </w:p>
    <w:tbl>
      <w:tblPr>
        <w:tblW w:w="3303" w:type="dxa"/>
        <w:jc w:val="left"/>
        <w:tblInd w:w="720" w:type="dxa"/>
        <w:tblLayout w:type="fixed"/>
        <w:tblCellMar>
          <w:top w:w="0" w:type="dxa"/>
          <w:left w:w="0" w:type="dxa"/>
          <w:bottom w:w="0" w:type="dxa"/>
          <w:right w:w="0" w:type="dxa"/>
        </w:tblCellMar>
      </w:tblPr>
      <w:tblGrid>
        <w:gridCol w:w="124"/>
        <w:gridCol w:w="601"/>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601" w:type="dxa"/>
            <w:tcBorders/>
            <w:vAlign w:val="center"/>
          </w:tcPr>
          <w:p>
            <w:pPr>
              <w:pStyle w:val="TableContents"/>
              <w:bidi w:val="0"/>
              <w:spacing w:before="0" w:after="283"/>
              <w:jc w:val="left"/>
              <w:rPr/>
            </w:pPr>
            <w:r>
              <w:rPr/>
              <w:t>A-10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2" w:name="tDADR1"/>
      <w:bookmarkEnd w:id="132"/>
      <w:r>
        <w:rPr>
          <w:rFonts w:ascii="calibri;arial;sans-serif" w:hAnsi="calibri;arial;sans-serif"/>
          <w:b w:val="false"/>
          <w:i w:val="false"/>
          <w:caps w:val="false"/>
          <w:smallCaps w:val="false"/>
          <w:color w:val="000000"/>
          <w:sz w:val="16"/>
        </w:rPr>
        <w:t>​</w:t>
      </w:r>
      <w:bookmarkStart w:id="133" w:name="tEATO"/>
      <w:bookmarkEnd w:id="133"/>
      <w:r>
        <w:rPr>
          <w:rFonts w:ascii="calibri;arial;sans-serif" w:hAnsi="calibri;arial;sans-serif"/>
          <w:b w:val="false"/>
          <w:i w:val="false"/>
          <w:caps w:val="false"/>
          <w:smallCaps w:val="false"/>
          <w:color w:val="000000"/>
          <w:sz w:val="16"/>
        </w:rPr>
        <w:t>​</w:t>
      </w:r>
      <w:bookmarkStart w:id="134" w:name="tFOPA"/>
      <w:bookmarkEnd w:id="134"/>
      <w:r>
        <w:rPr>
          <w:rFonts w:ascii="calibri;arial;sans-serif" w:hAnsi="calibri;arial;sans-serif"/>
          <w:b w:val="false"/>
          <w:i w:val="false"/>
          <w:caps w:val="false"/>
          <w:smallCaps w:val="false"/>
          <w:color w:val="000000"/>
          <w:sz w:val="16"/>
        </w:rPr>
        <w:t>​</w:t>
      </w:r>
      <w:bookmarkStart w:id="135" w:name="tGRAH"/>
      <w:bookmarkEnd w:id="135"/>
      <w:r>
        <w:rPr>
          <w:rFonts w:ascii="calibri;arial;sans-serif" w:hAnsi="calibri;arial;sans-serif"/>
          <w:b w:val="false"/>
          <w:i w:val="false"/>
          <w:caps w:val="false"/>
          <w:smallCaps w:val="false"/>
          <w:color w:val="000000"/>
          <w:sz w:val="16"/>
        </w:rPr>
        <w:t>​</w:t>
      </w:r>
      <w:bookmarkStart w:id="136" w:name="tS1A"/>
      <w:bookmarkEnd w:id="136"/>
      <w:r>
        <w:rPr>
          <w:rFonts w:ascii="calibri;arial;sans-serif" w:hAnsi="calibri;arial;sans-serif"/>
          <w:b w:val="false"/>
          <w:i w:val="false"/>
          <w:caps w:val="false"/>
          <w:smallCaps w:val="false"/>
          <w:color w:val="000000"/>
          <w:sz w:val="16"/>
        </w:rPr>
        <w:t>​</w:t>
      </w:r>
      <w:bookmarkStart w:id="137" w:name="tS1PR"/>
      <w:bookmarkEnd w:id="137"/>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84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(d)   </w:t>
      </w:r>
      <w:r>
        <w:rPr>
          <w:rFonts w:ascii="Helvetica;Arial;sans-serif" w:hAnsi="Helvetica;Arial;sans-serif"/>
          <w:b w:val="false"/>
          <w:i/>
          <w:caps w:val="false"/>
          <w:smallCaps w:val="false"/>
          <w:color w:val="000000"/>
          <w:sz w:val="18"/>
        </w:rPr>
        <w:t>Voting and Dividend Rights</w:t>
      </w:r>
      <w:r>
        <w:rPr>
          <w:rFonts w:ascii="Helvetica;Arial;sans-serif" w:hAnsi="Helvetica;Arial;sans-serif"/>
          <w:b w:val="false"/>
          <w:i w:val="false"/>
          <w:caps w:val="false"/>
          <w:smallCaps w:val="false"/>
          <w:color w:val="000000"/>
          <w:sz w:val="18"/>
        </w:rPr>
        <w:t>.   The holders of Restricted Stock Units shall have no voting rights. Prior to settlement or forfeiture, any Restricted Stock Unit awarded under the Plan may, at the Committee’s discretion, carry with it a right to dividend equivalents. Such right, if awarded, entitles the holder to be credited with an amount equal to all cash dividends paid on one Share while the Restricted Stock Unit is outstanding. Settlement of dividend equivalents may be made in the form of cash, in the form of Shares, or in a combination of both. Dividend equivalents may also be converted into additional Restricted Stock Units at the Committee’s discretion. Dividend equivalents shall not be distributed prior to settlement of the Restricted Stock Unit to which the dividend equivalents pertain. Prior to distribution, any dividend equivalents shall be subject to the same conditions and restrictions (including without limitation, any forfeiture conditions) as the Restricted Stock Units to which they attach. The value of dividend equivalents payable or distributable with respect to any unvested Restricted Stock Units that do not vest shall be forfeited.</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(e)   </w:t>
      </w:r>
      <w:r>
        <w:rPr>
          <w:rFonts w:ascii="Helvetica;Arial;sans-serif" w:hAnsi="Helvetica;Arial;sans-serif"/>
          <w:b w:val="false"/>
          <w:i/>
          <w:caps w:val="false"/>
          <w:smallCaps w:val="false"/>
          <w:color w:val="000000"/>
          <w:sz w:val="18"/>
        </w:rPr>
        <w:t>Form and Time of Settlement of Restricted Stock Units</w:t>
      </w:r>
      <w:r>
        <w:rPr>
          <w:rFonts w:ascii="Helvetica;Arial;sans-serif" w:hAnsi="Helvetica;Arial;sans-serif"/>
          <w:b w:val="false"/>
          <w:i w:val="false"/>
          <w:caps w:val="false"/>
          <w:smallCaps w:val="false"/>
          <w:color w:val="000000"/>
          <w:sz w:val="18"/>
        </w:rPr>
        <w:t>.   Settlement of vested Restricted Stock Units may be made in the form of  (i) cash, (ii) Shares or (iii) any combination of both, as determined by the Committee. The actual number of Restricted Stock Units eligible for settlement may be larger or smaller than the number included in the original Award, based on predetermined performance factors. Methods of converting Restricted Stock Units into cash may include (without limitation) a method based on the average Fair Market Value of Shares over a series of trading days. A Restricted Stock Unit Award Agreement may provide that vested Restricted Stock Units may be settled in a lump sum or in installments. A Restricted Stock Unit Award Agreement may provide that the distribution may occur or commence when all vesting conditions applicable to the Restricted Stock Units have been satisfied or have lapsed, or it may be deferred to any later date, subject to compliance with Section 409A. The amount of a deferred distribution may be increased by an interest factor or by dividend equivalents. Until an Award of Restricted Stock Units is settled, the number of such Restricted Stock Units shall be subject to adjustment pursuant to Section 13.</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(f)   </w:t>
      </w:r>
      <w:r>
        <w:rPr>
          <w:rFonts w:ascii="Helvetica;Arial;sans-serif" w:hAnsi="Helvetica;Arial;sans-serif"/>
          <w:b w:val="false"/>
          <w:i/>
          <w:caps w:val="false"/>
          <w:smallCaps w:val="false"/>
          <w:color w:val="000000"/>
          <w:sz w:val="18"/>
        </w:rPr>
        <w:t>Death of Participant</w:t>
      </w:r>
      <w:r>
        <w:rPr>
          <w:rFonts w:ascii="Helvetica;Arial;sans-serif" w:hAnsi="Helvetica;Arial;sans-serif"/>
          <w:b w:val="false"/>
          <w:i w:val="false"/>
          <w:caps w:val="false"/>
          <w:smallCaps w:val="false"/>
          <w:color w:val="000000"/>
          <w:sz w:val="18"/>
        </w:rPr>
        <w:t>.   Any Restricted Stock Unit Award that becomes payable after the Participant’s death shall be distributed to the Participant’s beneficiary or beneficiaries. Each recipient of a Restricted Stock Unit Award under the Plan shall designate one or more beneficiaries for this purpose by filing the prescribed form with the Company. A beneficiary designation may be changed by filing the prescribed form with the Company at any time before the Participant’s death. If no beneficiary was designated or if no designated beneficiary survives the Participant, then any Restricted Stock Units Award that becomes payable after the Participant’s death shall be distributed to the Participant’s estate.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(g)   </w:t>
      </w:r>
      <w:r>
        <w:rPr>
          <w:rFonts w:ascii="Helvetica;Arial;sans-serif" w:hAnsi="Helvetica;Arial;sans-serif"/>
          <w:b w:val="false"/>
          <w:i/>
          <w:caps w:val="false"/>
          <w:smallCaps w:val="false"/>
          <w:color w:val="000000"/>
          <w:sz w:val="18"/>
        </w:rPr>
        <w:t>Creditors’ Rights</w:t>
      </w:r>
      <w:r>
        <w:rPr>
          <w:rFonts w:ascii="Helvetica;Arial;sans-serif" w:hAnsi="Helvetica;Arial;sans-serif"/>
          <w:b w:val="false"/>
          <w:i w:val="false"/>
          <w:caps w:val="false"/>
          <w:smallCaps w:val="false"/>
          <w:color w:val="000000"/>
          <w:sz w:val="18"/>
        </w:rPr>
        <w:t>.   A holder of Restricted Stock Units shall have no rights other than those of a general creditor of the Company. Restricted Stock Units represent an unfunded and unsecured obligation of the Company, subject to the terms and conditions of the applicable Restricted Stock Unit Award Agreement.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SECTION 11.   CASH-BASED AWARDS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Committee may, in its sole discretion, grant Cash-Based Awards to any Participant in such number or amount and upon such terms, and subject to such conditions, as the Committee shall determine at the time of grant and specify in an applicable Award Agreement. The Committee shall determine the maximum duration of the Cash-Based Award, the amount of cash which may be payable pursuant to the Cash-Based Award, the conditions upon which the Cash-Based Award shall become vested or payable, and such other provisions as the Committee shall determine. Each Cash-Based Award shall specify a cash-denominated payment amount, formula, or payment ranges as determined by the Committee. Payment, if any, with respect to a Cash-Based Award shall be made in accordance with the terms of the Award and may be made in cash or in Shares, as the Committee determines.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SECTION 12.   STOCK PURCHASE RIGHTS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The Committee may, in its sole discretion, grant Stock Purchase Rights under the Plan to any Participant that is an Employee in such number or amount and upon such terms, and subject to such conditions, as set forth in the ESPP Addendum. To the extent any term of the ESPP Addendum conflicts with this Plan, the terms of the ESPP Addendum shall control; </w:t>
      </w:r>
      <w:r>
        <w:rPr>
          <w:rFonts w:ascii="Helvetica;Arial;sans-serif" w:hAnsi="Helvetica;Arial;sans-serif"/>
          <w:b w:val="false"/>
          <w:i/>
          <w:caps w:val="false"/>
          <w:smallCaps w:val="false"/>
          <w:color w:val="000000"/>
          <w:sz w:val="18"/>
        </w:rPr>
        <w:t>provided, however,</w:t>
      </w:r>
      <w:r>
        <w:rPr>
          <w:rFonts w:ascii="Helvetica;Arial;sans-serif" w:hAnsi="Helvetica;Arial;sans-serif"/>
          <w:b w:val="false"/>
          <w:i w:val="false"/>
          <w:caps w:val="false"/>
          <w:smallCaps w:val="false"/>
          <w:color w:val="000000"/>
          <w:sz w:val="18"/>
        </w:rPr>
        <w:t xml:space="preserve"> notwithstanding the foregoing, the issuance of Stock Purchase Rights pursuant to the ESPP Addendum and the purchase of Shares thereunder shall be subject to the terms, conditions and limitations set forth in Section 5 of the Plan, including but not limited to the maximum number of Shares that may be issued pursuant to the ESPP Addendum. The ESPP Addendum is intended to comply with the requirements of Section 423 of the Code to the maximum extent permitted by law as further set forth in the ESPP Addendum. The Committee may adopt such additional documents referenced in the ESPP Addendum, and may adopt such rules and conditions related to the ESPP Addendum, as the Committee deems necessary and advisable to administer the ESPP Addendum in accordance with its terms. The Committee may further take such actions and adopt such documents with respect to the ESPP Addendum as required for the ESPP Addendum to satisfy the requirements of Section 423 of the Code to the extent </w:t>
      </w:r>
    </w:p>
    <w:tbl>
      <w:tblPr>
        <w:tblW w:w="3303" w:type="dxa"/>
        <w:jc w:val="left"/>
        <w:tblInd w:w="720" w:type="dxa"/>
        <w:tblLayout w:type="fixed"/>
        <w:tblCellMar>
          <w:top w:w="0" w:type="dxa"/>
          <w:left w:w="0" w:type="dxa"/>
          <w:bottom w:w="0" w:type="dxa"/>
          <w:right w:w="0" w:type="dxa"/>
        </w:tblCellMar>
      </w:tblPr>
      <w:tblGrid>
        <w:gridCol w:w="124"/>
        <w:gridCol w:w="2206"/>
        <w:gridCol w:w="109"/>
        <w:gridCol w:w="109"/>
        <w:gridCol w:w="601"/>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01" w:type="dxa"/>
            <w:tcBorders/>
            <w:vAlign w:val="center"/>
          </w:tcPr>
          <w:p>
            <w:pPr>
              <w:pStyle w:val="TableContents"/>
              <w:bidi w:val="0"/>
              <w:spacing w:before="0" w:after="0"/>
              <w:jc w:val="right"/>
              <w:rPr>
                <w:b/>
              </w:rPr>
            </w:pPr>
            <w:r>
              <w:rPr>
                <w:b/>
              </w:rPr>
              <w:t>A-11</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8" w:name="tS1OS"/>
      <w:bookmarkEnd w:id="138"/>
      <w:r>
        <w:rPr>
          <w:rFonts w:ascii="calibri;arial;sans-serif" w:hAnsi="calibri;arial;sans-serif"/>
          <w:b w:val="false"/>
          <w:i w:val="false"/>
          <w:caps w:val="false"/>
          <w:smallCaps w:val="false"/>
          <w:color w:val="000000"/>
          <w:sz w:val="16"/>
        </w:rPr>
        <w:t>​</w:t>
      </w:r>
      <w:bookmarkStart w:id="139" w:name="tAITE"/>
      <w:bookmarkEnd w:id="139"/>
      <w:r>
        <w:rPr>
          <w:rFonts w:ascii="calibri;arial;sans-serif" w:hAnsi="calibri;arial;sans-serif"/>
          <w:b w:val="false"/>
          <w:i w:val="false"/>
          <w:caps w:val="false"/>
          <w:smallCaps w:val="false"/>
          <w:color w:val="000000"/>
          <w:sz w:val="16"/>
        </w:rPr>
        <w:t>​</w:t>
      </w:r>
      <w:bookmarkStart w:id="140" w:name="tBOLT"/>
      <w:bookmarkEnd w:id="140"/>
      <w:r>
        <w:rPr>
          <w:rFonts w:ascii="calibri;arial;sans-serif" w:hAnsi="calibri;arial;sans-serif"/>
          <w:b w:val="false"/>
          <w:i w:val="false"/>
          <w:caps w:val="false"/>
          <w:smallCaps w:val="false"/>
          <w:color w:val="000000"/>
          <w:sz w:val="16"/>
        </w:rPr>
        <w:t>​</w:t>
      </w:r>
      <w:bookmarkStart w:id="141" w:name="tCORI"/>
      <w:bookmarkEnd w:id="141"/>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84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required by appliable law and as set forth in the ESPP Addendum. Payment with respect to a Stock Purchase Right shall be made in accordance with the terms of the ESPP Addendum and any other documents governing such Stock Purchase Rights adopted by the Committee. Shares issued under the ESPP Addendum shall reduce the number of Shares available under Section 5.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SECTION 13.   ADJUSTMENT OF SHARES.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   </w:t>
      </w:r>
      <w:r>
        <w:rPr>
          <w:rFonts w:ascii="Helvetica;Arial;sans-serif" w:hAnsi="Helvetica;Arial;sans-serif"/>
          <w:b w:val="false"/>
          <w:i/>
          <w:caps w:val="false"/>
          <w:smallCaps w:val="false"/>
          <w:color w:val="000000"/>
          <w:sz w:val="18"/>
        </w:rPr>
        <w:t>Adjustments</w:t>
      </w:r>
      <w:r>
        <w:rPr>
          <w:rFonts w:ascii="Helvetica;Arial;sans-serif" w:hAnsi="Helvetica;Arial;sans-serif"/>
          <w:b w:val="false"/>
          <w:i w:val="false"/>
          <w:caps w:val="false"/>
          <w:smallCaps w:val="false"/>
          <w:color w:val="000000"/>
          <w:sz w:val="18"/>
        </w:rPr>
        <w:t>.   In the event of a subdivision of the outstanding Stock, a declaration of a dividend payable in Shares, a declaration of a dividend payable in a form other than Shares in an amount that has a material effect on the price of Shares, a combination or consolidation of the outstanding Stock (by reclassification or otherwise) into a lesser number of Shares, a recapitalization, a spin-off or a similar occurrence, the Committee shall make appropriate and equitable adjustments in:</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36" w:after="0"/>
        <w:ind w:left="16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class(es) and number of securities available for future Awards and the limitations set forth under Section 5;</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49860" distB="0" distL="254000" distR="0" simplePos="0" locked="0" layoutInCell="1" allowOverlap="1" relativeHeight="429">
                <wp:simplePos x="0" y="0"/>
                <wp:positionH relativeFrom="column">
                  <wp:align>left</wp:align>
                </wp:positionH>
                <wp:positionV relativeFrom="line">
                  <wp:align>top</wp:align>
                </wp:positionV>
                <wp:extent cx="317500" cy="350520"/>
                <wp:effectExtent l="0" t="0" r="0" b="0"/>
                <wp:wrapSquare wrapText="right"/>
                <wp:docPr id="433" name="Frame362"/>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40" w:before="0" w:after="283"/>
                        <w:jc w:val="left"/>
                        <w:rPr/>
                      </w:pPr>
                      <w:r>
                        <w:rPr/>
                        <w:t>(i)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6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class(es) and number of securities covered by each outstanding Award;</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49860" distB="0" distL="254000" distR="0" simplePos="0" locked="0" layoutInCell="1" allowOverlap="1" relativeHeight="430">
                <wp:simplePos x="0" y="0"/>
                <wp:positionH relativeFrom="column">
                  <wp:align>left</wp:align>
                </wp:positionH>
                <wp:positionV relativeFrom="line">
                  <wp:align>top</wp:align>
                </wp:positionV>
                <wp:extent cx="317500" cy="350520"/>
                <wp:effectExtent l="0" t="0" r="0" b="0"/>
                <wp:wrapSquare wrapText="right"/>
                <wp:docPr id="434" name="Frame363"/>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(ii)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40" w:before="0" w:after="283"/>
                        <w:jc w:val="left"/>
                        <w:rPr/>
                      </w:pPr>
                      <w:r>
                        <w:rPr/>
                        <w:t>(ii)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6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Exercise Price under each outstanding Option and SAR; and</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49860" distB="0" distL="254000" distR="0" simplePos="0" locked="0" layoutInCell="1" allowOverlap="1" relativeHeight="431">
                <wp:simplePos x="0" y="0"/>
                <wp:positionH relativeFrom="column">
                  <wp:align>left</wp:align>
                </wp:positionH>
                <wp:positionV relativeFrom="line">
                  <wp:align>top</wp:align>
                </wp:positionV>
                <wp:extent cx="317500" cy="350520"/>
                <wp:effectExtent l="0" t="0" r="0" b="0"/>
                <wp:wrapSquare wrapText="right"/>
                <wp:docPr id="435" name="Frame364"/>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(iii)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40" w:before="0" w:after="283"/>
                        <w:jc w:val="left"/>
                        <w:rPr/>
                      </w:pPr>
                      <w:r>
                        <w:rPr/>
                        <w:t>(iii)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6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Stock Purchase Rights to the extent set forth in the ESPP Addendum.</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49860" distB="0" distL="254000" distR="0" simplePos="0" locked="0" layoutInCell="1" allowOverlap="1" relativeHeight="432">
                <wp:simplePos x="0" y="0"/>
                <wp:positionH relativeFrom="column">
                  <wp:align>left</wp:align>
                </wp:positionH>
                <wp:positionV relativeFrom="line">
                  <wp:align>top</wp:align>
                </wp:positionV>
                <wp:extent cx="317500" cy="350520"/>
                <wp:effectExtent l="0" t="0" r="0" b="0"/>
                <wp:wrapSquare wrapText="right"/>
                <wp:docPr id="436" name="Frame365"/>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(iv)</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40" w:before="0" w:after="283"/>
                        <w:jc w:val="left"/>
                        <w:rPr/>
                      </w:pPr>
                      <w:r>
                        <w:rPr/>
                        <w:t>(iv)</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Committee will make such adjustments, and its determination will be final, binding and conclusive.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(b)   </w:t>
      </w:r>
      <w:r>
        <w:rPr>
          <w:rFonts w:ascii="Helvetica;Arial;sans-serif" w:hAnsi="Helvetica;Arial;sans-serif"/>
          <w:b w:val="false"/>
          <w:i/>
          <w:caps w:val="false"/>
          <w:smallCaps w:val="false"/>
          <w:color w:val="000000"/>
          <w:sz w:val="18"/>
        </w:rPr>
        <w:t>Dissolution or Liquidation</w:t>
      </w:r>
      <w:r>
        <w:rPr>
          <w:rFonts w:ascii="Helvetica;Arial;sans-serif" w:hAnsi="Helvetica;Arial;sans-serif"/>
          <w:b w:val="false"/>
          <w:i w:val="false"/>
          <w:caps w:val="false"/>
          <w:smallCaps w:val="false"/>
          <w:color w:val="000000"/>
          <w:sz w:val="18"/>
        </w:rPr>
        <w:t>.   To the extent not previously exercised or settled, Options, SARs, and Restricted Stock Units shall terminate immediately prior to the dissolution or liquidation of the Company and Stock Purchase Rights shall be subject to such treatment as set forth in the ESPP Addendum.</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(c)   </w:t>
      </w:r>
      <w:r>
        <w:rPr>
          <w:rFonts w:ascii="Helvetica;Arial;sans-serif" w:hAnsi="Helvetica;Arial;sans-serif"/>
          <w:b w:val="false"/>
          <w:i/>
          <w:caps w:val="false"/>
          <w:smallCaps w:val="false"/>
          <w:color w:val="000000"/>
          <w:sz w:val="18"/>
        </w:rPr>
        <w:t>Merger or Reorganization</w:t>
      </w:r>
      <w:r>
        <w:rPr>
          <w:rFonts w:ascii="Helvetica;Arial;sans-serif" w:hAnsi="Helvetica;Arial;sans-serif"/>
          <w:b w:val="false"/>
          <w:i w:val="false"/>
          <w:caps w:val="false"/>
          <w:smallCaps w:val="false"/>
          <w:color w:val="000000"/>
          <w:sz w:val="18"/>
        </w:rPr>
        <w:t>.   In the event that the Company is a party to a merger or other reorganization, outstanding Awards shall be subject to the agreement of merger or reorganization. Subject to compliance with Section 409A, such agreement may provide for one or more of the following with respect to Awards other than Stock Purchase Rights, without limitation:</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36" w:after="0"/>
        <w:ind w:left="16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continuation of the outstanding Awards by the Company, if the Company is a surviving corporation;</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49860" distB="0" distL="254000" distR="0" simplePos="0" locked="0" layoutInCell="1" allowOverlap="1" relativeHeight="433">
                <wp:simplePos x="0" y="0"/>
                <wp:positionH relativeFrom="column">
                  <wp:align>left</wp:align>
                </wp:positionH>
                <wp:positionV relativeFrom="line">
                  <wp:align>top</wp:align>
                </wp:positionV>
                <wp:extent cx="317500" cy="350520"/>
                <wp:effectExtent l="0" t="0" r="0" b="0"/>
                <wp:wrapSquare wrapText="right"/>
                <wp:docPr id="437" name="Frame366"/>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40" w:before="0" w:after="283"/>
                        <w:jc w:val="left"/>
                        <w:rPr/>
                      </w:pPr>
                      <w:r>
                        <w:rPr/>
                        <w:t>(i)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6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assumption of the outstanding Awards by the surviving corporation or its parent or subsidiary;</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49860" distB="0" distL="254000" distR="0" simplePos="0" locked="0" layoutInCell="1" allowOverlap="1" relativeHeight="434">
                <wp:simplePos x="0" y="0"/>
                <wp:positionH relativeFrom="column">
                  <wp:align>left</wp:align>
                </wp:positionH>
                <wp:positionV relativeFrom="line">
                  <wp:align>top</wp:align>
                </wp:positionV>
                <wp:extent cx="317500" cy="350520"/>
                <wp:effectExtent l="0" t="0" r="0" b="0"/>
                <wp:wrapSquare wrapText="right"/>
                <wp:docPr id="438" name="Frame367"/>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(ii)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40" w:before="0" w:after="283"/>
                        <w:jc w:val="left"/>
                        <w:rPr/>
                      </w:pPr>
                      <w:r>
                        <w:rPr/>
                        <w:t>(ii)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6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substitution by the surviving corporation or its parent or subsidiary of its own awards for the outstanding Awards;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49860" distB="0" distL="254000" distR="0" simplePos="0" locked="0" layoutInCell="1" allowOverlap="1" relativeHeight="435">
                <wp:simplePos x="0" y="0"/>
                <wp:positionH relativeFrom="column">
                  <wp:align>left</wp:align>
                </wp:positionH>
                <wp:positionV relativeFrom="line">
                  <wp:align>top</wp:align>
                </wp:positionV>
                <wp:extent cx="317500" cy="350520"/>
                <wp:effectExtent l="0" t="0" r="0" b="0"/>
                <wp:wrapSquare wrapText="right"/>
                <wp:docPr id="439" name="Frame368"/>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(iii)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40" w:before="0" w:after="283"/>
                        <w:jc w:val="left"/>
                        <w:rPr/>
                      </w:pPr>
                      <w:r>
                        <w:rPr/>
                        <w:t>(iii)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6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Immediate vesting, exercisability, or settlement of outstanding Awards followed by the cancellation of such Awards upon or immediately prior to the effectiveness of such transaction;</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49860" distB="0" distL="254000" distR="0" simplePos="0" locked="0" layoutInCell="1" allowOverlap="1" relativeHeight="436">
                <wp:simplePos x="0" y="0"/>
                <wp:positionH relativeFrom="column">
                  <wp:align>left</wp:align>
                </wp:positionH>
                <wp:positionV relativeFrom="line">
                  <wp:align>top</wp:align>
                </wp:positionV>
                <wp:extent cx="317500" cy="350520"/>
                <wp:effectExtent l="0" t="0" r="0" b="0"/>
                <wp:wrapSquare wrapText="right"/>
                <wp:docPr id="440" name="Frame369"/>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(iv)</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40" w:before="0" w:after="283"/>
                        <w:jc w:val="left"/>
                        <w:rPr/>
                      </w:pPr>
                      <w:r>
                        <w:rPr/>
                        <w:t>(iv)</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6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Cancellation of the Award, to the extent not vested or not exercised prior to the effective time of the merger or reorganization, in exchange for such cash or equity consideration (including no consideration) as the Committee, in its sole discretion, may consider appropriate; or</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51130" distB="0" distL="254000" distR="0" simplePos="0" locked="0" layoutInCell="1" allowOverlap="1" relativeHeight="437">
                <wp:simplePos x="0" y="0"/>
                <wp:positionH relativeFrom="column">
                  <wp:align>left</wp:align>
                </wp:positionH>
                <wp:positionV relativeFrom="line">
                  <wp:align>top</wp:align>
                </wp:positionV>
                <wp:extent cx="317500" cy="350520"/>
                <wp:effectExtent l="0" t="0" r="0" b="0"/>
                <wp:wrapSquare wrapText="right"/>
                <wp:docPr id="441" name="Frame370"/>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(v)</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40" w:before="0" w:after="283"/>
                        <w:jc w:val="left"/>
                        <w:rPr/>
                      </w:pPr>
                      <w:r>
                        <w:rPr/>
                        <w:t>(v)</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6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Settlement of the intrinsic value of the outstanding Awards (whether or not then vested or exercisable) in cash or cash equivalents or equity (including cash or equity subject to deferred vesting and delivery consistent with the vesting restrictions applicable to such Awards or the underlying Shares) followed by the cancellation of such Awards (and, for the avoidance of doubt, if as of the date of the occurrence of the transaction the Committee determines in good faith that no amount would have been attained upon the exercise of such Award or realization of the Participant’s rights, then such Award may be terminated by the Company without payment), provided that any such amount may be delayed to the same extent that payment of consideration to the holders of Stock in connection with the merger or reorganization is delayed as a result of escrows, earnouts, holdbacks or other contingencies;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51130" distB="0" distL="254000" distR="0" simplePos="0" locked="0" layoutInCell="1" allowOverlap="1" relativeHeight="438">
                <wp:simplePos x="0" y="0"/>
                <wp:positionH relativeFrom="column">
                  <wp:align>left</wp:align>
                </wp:positionH>
                <wp:positionV relativeFrom="line">
                  <wp:align>top</wp:align>
                </wp:positionV>
                <wp:extent cx="317500" cy="350520"/>
                <wp:effectExtent l="0" t="0" r="0" b="0"/>
                <wp:wrapSquare wrapText="right"/>
                <wp:docPr id="442" name="Frame371"/>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(vi)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40" w:before="0" w:after="283"/>
                        <w:jc w:val="left"/>
                        <w:rPr/>
                      </w:pPr>
                      <w:r>
                        <w:rPr/>
                        <w:t>(vi)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in each case without the Participant’s consent. Any acceleration of payment of an amount that is subject to Section 409A will be delayed, if necessary, until the earliest time that such payment would be permissible under Section 409A without triggering any additional taxes applicable under Section 409A. In addition, in the event that the Company is a party to a merger or other reorganization, outstanding Stock Purchase Rights shall be subject to the terms of the ESPP Addendum.</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The Company will have no obligation to treat all Awards, all Awards held by a Participant, or all Awards of the same type, similarly. </w:t>
      </w:r>
    </w:p>
    <w:tbl>
      <w:tblPr>
        <w:tblW w:w="3303" w:type="dxa"/>
        <w:jc w:val="left"/>
        <w:tblInd w:w="720" w:type="dxa"/>
        <w:tblLayout w:type="fixed"/>
        <w:tblCellMar>
          <w:top w:w="0" w:type="dxa"/>
          <w:left w:w="0" w:type="dxa"/>
          <w:bottom w:w="0" w:type="dxa"/>
          <w:right w:w="0" w:type="dxa"/>
        </w:tblCellMar>
      </w:tblPr>
      <w:tblGrid>
        <w:gridCol w:w="124"/>
        <w:gridCol w:w="601"/>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601" w:type="dxa"/>
            <w:tcBorders/>
            <w:vAlign w:val="center"/>
          </w:tcPr>
          <w:p>
            <w:pPr>
              <w:pStyle w:val="TableContents"/>
              <w:bidi w:val="0"/>
              <w:spacing w:before="0" w:after="283"/>
              <w:jc w:val="left"/>
              <w:rPr/>
            </w:pPr>
            <w:r>
              <w:rPr/>
              <w:t>A-12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2" w:name="tD"/>
      <w:bookmarkEnd w:id="142"/>
      <w:r>
        <w:rPr>
          <w:rFonts w:ascii="calibri;arial;sans-serif" w:hAnsi="calibri;arial;sans-serif"/>
          <w:b w:val="false"/>
          <w:i w:val="false"/>
          <w:caps w:val="false"/>
          <w:smallCaps w:val="false"/>
          <w:color w:val="000000"/>
          <w:sz w:val="16"/>
        </w:rPr>
        <w:t>​</w:t>
      </w:r>
      <w:bookmarkStart w:id="143" w:name="tEORE"/>
      <w:bookmarkEnd w:id="143"/>
      <w:r>
        <w:rPr>
          <w:rFonts w:ascii="calibri;arial;sans-serif" w:hAnsi="calibri;arial;sans-serif"/>
          <w:b w:val="false"/>
          <w:i w:val="false"/>
          <w:caps w:val="false"/>
          <w:smallCaps w:val="false"/>
          <w:color w:val="000000"/>
          <w:sz w:val="16"/>
        </w:rPr>
        <w:t>​</w:t>
      </w:r>
      <w:bookmarkStart w:id="144" w:name="tS1OA"/>
      <w:bookmarkEnd w:id="144"/>
      <w:r>
        <w:rPr>
          <w:rFonts w:ascii="calibri;arial;sans-serif" w:hAnsi="calibri;arial;sans-serif"/>
          <w:b w:val="false"/>
          <w:i w:val="false"/>
          <w:caps w:val="false"/>
          <w:smallCaps w:val="false"/>
          <w:color w:val="000000"/>
          <w:sz w:val="16"/>
        </w:rPr>
        <w:t>​</w:t>
      </w:r>
      <w:bookmarkStart w:id="145" w:name="tAPST"/>
      <w:bookmarkEnd w:id="145"/>
      <w:r>
        <w:rPr>
          <w:rFonts w:ascii="calibri;arial;sans-serif" w:hAnsi="calibri;arial;sans-serif"/>
          <w:b w:val="false"/>
          <w:i w:val="false"/>
          <w:caps w:val="false"/>
          <w:smallCaps w:val="false"/>
          <w:color w:val="000000"/>
          <w:sz w:val="16"/>
        </w:rPr>
        <w:t>​</w:t>
      </w:r>
      <w:bookmarkStart w:id="146" w:name="tBRAD"/>
      <w:bookmarkEnd w:id="146"/>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84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(d)   </w:t>
      </w:r>
      <w:r>
        <w:rPr>
          <w:rFonts w:ascii="Helvetica;Arial;sans-serif" w:hAnsi="Helvetica;Arial;sans-serif"/>
          <w:b w:val="false"/>
          <w:i/>
          <w:caps w:val="false"/>
          <w:smallCaps w:val="false"/>
          <w:color w:val="000000"/>
          <w:sz w:val="18"/>
        </w:rPr>
        <w:t>Change in Control</w:t>
      </w:r>
      <w:r>
        <w:rPr>
          <w:rFonts w:ascii="Helvetica;Arial;sans-serif" w:hAnsi="Helvetica;Arial;sans-serif"/>
          <w:b w:val="false"/>
          <w:i w:val="false"/>
          <w:caps w:val="false"/>
          <w:smallCaps w:val="false"/>
          <w:color w:val="000000"/>
          <w:sz w:val="18"/>
        </w:rPr>
        <w:t>.   In addition to (and without limiting) the actions that may be taken under Section 12(c), in the event of a Change in Control in which the surviving corporation or acquiring corporation (or the surviving or acquiring corporation’s parent company) does not continue, assume or settle (subject to vesting) outstanding Awards (other than Stock Purchase Rights), or substitute similar stock awards for outstanding Awards (other than Stock Purchase Rights), then with respect to any such Awards that have not been continued, assumed, settled or substituted, the Committee may determine, at the time of granting an Award or thereafter, that the vesting (and exercisability, if applicable) of any such Awards (or portion thereof) will be accelerated in full (and with respect to any such Awards subject to performance-based vesting, that vesting shall be deemed satisfied at the target level or based on actual performance measured in accordance with the applicable performance goals as of the date of the Change in Control, or the greater thereof) to a date prior to the effective time of the Change in Control (contingent upon the closing or completion of the Change in Control) as the Committee will determine (or, if the Committee does not determine such a date, to the date that is five days prior to the effective time of the Change in Control), and any reacquisition or repurchase rights held by the Company with respect to such vested Awards will lapse (contingent upon the closing or completion of the Change in Control). In addition, the Committee may determine, at the time of granting an Award (other than Stock Purchase Rights) or thereafter, that such Award shall become exercisable or vested as to all or part of the Shares subject to such Award in the event that a Change in Control occurs with respect to the Company. The Committee will have no obligation to treat all Awards, all Awards held by a Participant, or all Awards of the same type, similarly. Notwithstanding the foregoing, upon a Change in Control Stock Purchase Rights shall be subject to the terms of the ESPP Addendum.</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(e)   </w:t>
      </w:r>
      <w:r>
        <w:rPr>
          <w:rFonts w:ascii="Helvetica;Arial;sans-serif" w:hAnsi="Helvetica;Arial;sans-serif"/>
          <w:b w:val="false"/>
          <w:i/>
          <w:caps w:val="false"/>
          <w:smallCaps w:val="false"/>
          <w:color w:val="000000"/>
          <w:sz w:val="18"/>
        </w:rPr>
        <w:t>Reservation of Rights</w:t>
      </w:r>
      <w:r>
        <w:rPr>
          <w:rFonts w:ascii="Helvetica;Arial;sans-serif" w:hAnsi="Helvetica;Arial;sans-serif"/>
          <w:b w:val="false"/>
          <w:i w:val="false"/>
          <w:caps w:val="false"/>
          <w:smallCaps w:val="false"/>
          <w:color w:val="000000"/>
          <w:sz w:val="18"/>
        </w:rPr>
        <w:t>.   Except as provided in this Section 13, a Participant shall have no rights by reason of any subdivision or consolidation of Shares of stock of any class, the payment of any dividend or any other increase or decrease in the number of Shares of stock of any class. Any issue by the Company of Shares of stock of any class, or securities convertible into Shares of stock of any class, shall not affect, and no adjustment by reason thereof shall be made with respect to, the number or Exercise Price (or purchase price with respect to any Stock Purchase Right) of Shares subject to an Award. The grant of an Award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 In the event of any change affecting the Shares or the Exercise Price (or purchase price with respect to any Stock Purchase Right) of Shares subject to an Award, including a merger or other reorganization, for reasons of administrative convenience, the Company in its sole discretion may refuse to permit the exercise of any Award during a period of up to 30 days prior to the occurrence of such event. Notwithstanding the foregoing, Stock Purchase Rights shall be subject to the terms of the ESPP Addendum.</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SECTION 14.   DEFERRAL OF AWARDS.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   </w:t>
      </w:r>
      <w:r>
        <w:rPr>
          <w:rFonts w:ascii="Helvetica;Arial;sans-serif" w:hAnsi="Helvetica;Arial;sans-serif"/>
          <w:b w:val="false"/>
          <w:i/>
          <w:caps w:val="false"/>
          <w:smallCaps w:val="false"/>
          <w:color w:val="000000"/>
          <w:sz w:val="18"/>
        </w:rPr>
        <w:t>Committee Powers</w:t>
      </w:r>
      <w:r>
        <w:rPr>
          <w:rFonts w:ascii="Helvetica;Arial;sans-serif" w:hAnsi="Helvetica;Arial;sans-serif"/>
          <w:b w:val="false"/>
          <w:i w:val="false"/>
          <w:caps w:val="false"/>
          <w:smallCaps w:val="false"/>
          <w:color w:val="000000"/>
          <w:sz w:val="18"/>
        </w:rPr>
        <w:t>.   Subject to compliance with Section 409A, the Committee (in its sole discretion) may permit or require a Participant to:</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38" w:after="0"/>
        <w:ind w:left="16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Have cash that otherwise would be paid to such Participant as a result of the exercise of a SAR or the settlement of Restricted Stock Units credited to a deferred compensation account established for such Participant by the Committee as an entry on the Company’s books;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51130" distB="0" distL="254000" distR="0" simplePos="0" locked="0" layoutInCell="1" allowOverlap="1" relativeHeight="439">
                <wp:simplePos x="0" y="0"/>
                <wp:positionH relativeFrom="column">
                  <wp:align>left</wp:align>
                </wp:positionH>
                <wp:positionV relativeFrom="line">
                  <wp:align>top</wp:align>
                </wp:positionV>
                <wp:extent cx="317500" cy="350520"/>
                <wp:effectExtent l="0" t="0" r="0" b="0"/>
                <wp:wrapSquare wrapText="right"/>
                <wp:docPr id="443" name="Frame372"/>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40" w:before="0" w:after="283"/>
                        <w:jc w:val="left"/>
                        <w:rPr/>
                      </w:pPr>
                      <w:r>
                        <w:rPr/>
                        <w:t>(i)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6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Have Shares that otherwise would be delivered to such Participant as a result of the exercise of an Option or SAR converted into an equal number of Restricted Stock Units; or</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51130" distB="0" distL="254000" distR="0" simplePos="0" locked="0" layoutInCell="1" allowOverlap="1" relativeHeight="440">
                <wp:simplePos x="0" y="0"/>
                <wp:positionH relativeFrom="column">
                  <wp:align>left</wp:align>
                </wp:positionH>
                <wp:positionV relativeFrom="line">
                  <wp:align>top</wp:align>
                </wp:positionV>
                <wp:extent cx="317500" cy="350520"/>
                <wp:effectExtent l="0" t="0" r="0" b="0"/>
                <wp:wrapSquare wrapText="right"/>
                <wp:docPr id="444" name="Frame373"/>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(ii)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40" w:before="0" w:after="283"/>
                        <w:jc w:val="left"/>
                        <w:rPr/>
                      </w:pPr>
                      <w:r>
                        <w:rPr/>
                        <w:t>(ii)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6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Have Shares that otherwise would be delivered to such Participant as a result of the exercise of an Option or SAR or the settlement of Restricted Stock Units converted into amounts credited to a deferred compensation account established for such Participant by the Committee as an entry on the Company’s books.</w:t>
      </w:r>
      <w:r>
        <w:rPr>
          <w:rFonts w:ascii="Helvetica;Arial;sans-serif" w:hAnsi="Helvetica;Arial;sans-serif"/>
          <w:b w:val="false"/>
          <w:i w:val="false"/>
          <w:caps w:val="false"/>
          <w:smallCaps w:val="false"/>
          <w:color w:val="000000"/>
          <w:spacing w:val="4"/>
          <w:sz w:val="18"/>
        </w:rPr>
        <w:t xml:space="preserve"> </w:t>
      </w:r>
      <w:r>
        <mc:AlternateContent>
          <mc:Choice Requires="wps">
            <w:drawing>
              <wp:anchor behindDoc="0" distT="151130" distB="0" distL="254000" distR="0" simplePos="0" locked="0" layoutInCell="1" allowOverlap="1" relativeHeight="441">
                <wp:simplePos x="0" y="0"/>
                <wp:positionH relativeFrom="column">
                  <wp:align>left</wp:align>
                </wp:positionH>
                <wp:positionV relativeFrom="line">
                  <wp:align>top</wp:align>
                </wp:positionV>
                <wp:extent cx="317500" cy="350520"/>
                <wp:effectExtent l="0" t="0" r="0" b="0"/>
                <wp:wrapSquare wrapText="right"/>
                <wp:docPr id="445" name="Frame374"/>
                <a:graphic xmlns:a="http://schemas.openxmlformats.org/drawingml/2006/main">
                  <a:graphicData uri="http://schemas.microsoft.com/office/word/2010/wordprocessingShape">
                    <wps:wsp>
                      <wps:cNvSpPr txBox="1"/>
                      <wps:spPr>
                        <a:xfrm>
                          <a:off x="0" y="0"/>
                          <a:ext cx="317500" cy="350520"/>
                        </a:xfrm>
                        <a:prstGeom prst="rect"/>
                        <a:solidFill>
                          <a:srgbClr val="FFFFFF"/>
                        </a:solidFill>
                      </wps:spPr>
                      <wps:txbx>
                        <w:txbxContent>
                          <w:p>
                            <w:pPr>
                              <w:pStyle w:val="TextBody"/>
                              <w:bidi w:val="0"/>
                              <w:spacing w:lineRule="atLeast" w:line="240" w:before="0" w:after="283"/>
                              <w:jc w:val="left"/>
                              <w:rPr/>
                            </w:pPr>
                            <w:r>
                              <w:rPr/>
                              <w:t>(iii)</w:t>
                              <w:br/>
                            </w:r>
                          </w:p>
                        </w:txbxContent>
                      </wps:txbx>
                      <wps:bodyPr anchor="t" lIns="0" tIns="0" rIns="0" bIns="0">
                        <a:noAutofit/>
                      </wps:bodyPr>
                    </wps:wsp>
                  </a:graphicData>
                </a:graphic>
              </wp:anchor>
            </w:drawing>
          </mc:Choice>
          <mc:Fallback>
            <w:pict>
              <v:rect style="position:absolute;rotation:-0;width:25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40" w:before="0" w:after="283"/>
                        <w:jc w:val="left"/>
                        <w:rPr/>
                      </w:pPr>
                      <w:r>
                        <w:rPr/>
                        <w:t>(iii)</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Such amounts shall be determined by reference to the Fair Market Value of such Shares as of the date when they otherwise would have been delivered to such Participant.</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(b)   </w:t>
      </w:r>
      <w:r>
        <w:rPr>
          <w:rFonts w:ascii="Helvetica;Arial;sans-serif" w:hAnsi="Helvetica;Arial;sans-serif"/>
          <w:b w:val="false"/>
          <w:i/>
          <w:caps w:val="false"/>
          <w:smallCaps w:val="false"/>
          <w:color w:val="000000"/>
          <w:sz w:val="18"/>
        </w:rPr>
        <w:t>General Rules</w:t>
      </w:r>
      <w:r>
        <w:rPr>
          <w:rFonts w:ascii="Helvetica;Arial;sans-serif" w:hAnsi="Helvetica;Arial;sans-serif"/>
          <w:b w:val="false"/>
          <w:i w:val="false"/>
          <w:caps w:val="false"/>
          <w:smallCaps w:val="false"/>
          <w:color w:val="000000"/>
          <w:sz w:val="18"/>
        </w:rPr>
        <w:t>.   A deferred compensation account established under this Section 14 may be credited with interest or other forms of investment return, as determined by the Committee. A Participant for whom such an account is established shall have no rights other than those of a general creditor of the Company. Such an account shall represent an unfunded and unsecured obligation of the Company and shall be subject to the terms and conditions of the applicable agreement between such Participant and the Company. If the deferral or conversion of Awards is permitted or required, the Committee (in its sole discretion) may establish rules, procedures, and forms pertaining to such Awards, including (without limitation) the settlement of deferred compensation accounts established under this Section 14.</w:t>
      </w:r>
      <w:r>
        <w:rPr>
          <w:rFonts w:ascii="Helvetica;Arial;sans-serif" w:hAnsi="Helvetica;Arial;sans-serif"/>
          <w:b w:val="false"/>
          <w:i w:val="false"/>
          <w:caps w:val="false"/>
          <w:smallCaps w:val="false"/>
          <w:color w:val="000000"/>
          <w:spacing w:val="4"/>
          <w:sz w:val="18"/>
        </w:rPr>
        <w:t xml:space="preserve"> </w:t>
      </w:r>
    </w:p>
    <w:tbl>
      <w:tblPr>
        <w:tblW w:w="3303" w:type="dxa"/>
        <w:jc w:val="left"/>
        <w:tblInd w:w="720" w:type="dxa"/>
        <w:tblLayout w:type="fixed"/>
        <w:tblCellMar>
          <w:top w:w="0" w:type="dxa"/>
          <w:left w:w="0" w:type="dxa"/>
          <w:bottom w:w="0" w:type="dxa"/>
          <w:right w:w="0" w:type="dxa"/>
        </w:tblCellMar>
      </w:tblPr>
      <w:tblGrid>
        <w:gridCol w:w="124"/>
        <w:gridCol w:w="2206"/>
        <w:gridCol w:w="109"/>
        <w:gridCol w:w="109"/>
        <w:gridCol w:w="601"/>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01" w:type="dxa"/>
            <w:tcBorders/>
            <w:vAlign w:val="center"/>
          </w:tcPr>
          <w:p>
            <w:pPr>
              <w:pStyle w:val="TableContents"/>
              <w:bidi w:val="0"/>
              <w:spacing w:before="0" w:after="0"/>
              <w:jc w:val="right"/>
              <w:rPr>
                <w:b/>
              </w:rPr>
            </w:pPr>
            <w:r>
              <w:rPr>
                <w:b/>
              </w:rPr>
              <w:t>A-13</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7" w:name="tS1UO"/>
      <w:bookmarkEnd w:id="147"/>
      <w:r>
        <w:rPr>
          <w:rFonts w:ascii="calibri;arial;sans-serif" w:hAnsi="calibri;arial;sans-serif"/>
          <w:b w:val="false"/>
          <w:i w:val="false"/>
          <w:caps w:val="false"/>
          <w:smallCaps w:val="false"/>
          <w:color w:val="000000"/>
          <w:sz w:val="16"/>
        </w:rPr>
        <w:t>​</w:t>
      </w:r>
      <w:bookmarkStart w:id="148" w:name="tS1OD"/>
      <w:bookmarkEnd w:id="148"/>
      <w:r>
        <w:rPr>
          <w:rFonts w:ascii="calibri;arial;sans-serif" w:hAnsi="calibri;arial;sans-serif"/>
          <w:b w:val="false"/>
          <w:i w:val="false"/>
          <w:caps w:val="false"/>
          <w:smallCaps w:val="false"/>
          <w:color w:val="000000"/>
          <w:sz w:val="16"/>
        </w:rPr>
        <w:t>​</w:t>
      </w:r>
      <w:bookmarkStart w:id="149" w:name="tADNP"/>
      <w:bookmarkEnd w:id="149"/>
      <w:r>
        <w:rPr>
          <w:rFonts w:ascii="calibri;arial;sans-serif" w:hAnsi="calibri;arial;sans-serif"/>
          <w:b w:val="false"/>
          <w:i w:val="false"/>
          <w:caps w:val="false"/>
          <w:smallCaps w:val="false"/>
          <w:color w:val="000000"/>
          <w:sz w:val="16"/>
        </w:rPr>
        <w:t>​</w:t>
      </w:r>
      <w:bookmarkStart w:id="150" w:name="tBTRN"/>
      <w:bookmarkEnd w:id="150"/>
      <w:r>
        <w:rPr>
          <w:rFonts w:ascii="calibri;arial;sans-serif" w:hAnsi="calibri;arial;sans-serif"/>
          <w:b w:val="false"/>
          <w:i w:val="false"/>
          <w:caps w:val="false"/>
          <w:smallCaps w:val="false"/>
          <w:color w:val="000000"/>
          <w:sz w:val="16"/>
        </w:rPr>
        <w:t>​</w:t>
      </w:r>
      <w:bookmarkStart w:id="151" w:name="tCATO"/>
      <w:bookmarkEnd w:id="151"/>
      <w:r>
        <w:rPr>
          <w:rFonts w:ascii="calibri;arial;sans-serif" w:hAnsi="calibri;arial;sans-serif"/>
          <w:b w:val="false"/>
          <w:i w:val="false"/>
          <w:caps w:val="false"/>
          <w:smallCaps w:val="false"/>
          <w:color w:val="000000"/>
          <w:sz w:val="16"/>
        </w:rPr>
        <w:t>​</w:t>
      </w:r>
      <w:bookmarkStart w:id="152" w:name="tS1AR"/>
      <w:bookmarkEnd w:id="152"/>
      <w:r>
        <w:rPr>
          <w:rFonts w:ascii="calibri;arial;sans-serif" w:hAnsi="calibri;arial;sans-serif"/>
          <w:b w:val="false"/>
          <w:i w:val="false"/>
          <w:caps w:val="false"/>
          <w:smallCaps w:val="false"/>
          <w:color w:val="000000"/>
          <w:sz w:val="16"/>
        </w:rPr>
        <w:t>​</w:t>
      </w:r>
      <w:bookmarkStart w:id="153" w:name="tSE18"/>
      <w:bookmarkEnd w:id="153"/>
      <w:r>
        <w:rPr>
          <w:rFonts w:ascii="calibri;arial;sans-serif" w:hAnsi="calibri;arial;sans-serif"/>
          <w:b w:val="false"/>
          <w:i w:val="false"/>
          <w:caps w:val="false"/>
          <w:smallCaps w:val="false"/>
          <w:color w:val="000000"/>
          <w:sz w:val="16"/>
        </w:rPr>
        <w:t>​</w:t>
      </w:r>
      <w:bookmarkStart w:id="154" w:name="tATTT"/>
      <w:bookmarkEnd w:id="154"/>
      <w:r>
        <w:rPr>
          <w:rFonts w:ascii="calibri;arial;sans-serif" w:hAnsi="calibri;arial;sans-serif"/>
          <w:b w:val="false"/>
          <w:i w:val="false"/>
          <w:caps w:val="false"/>
          <w:smallCaps w:val="false"/>
          <w:color w:val="000000"/>
          <w:sz w:val="16"/>
        </w:rPr>
        <w:t>​</w:t>
      </w:r>
      <w:bookmarkStart w:id="155" w:name="tBWTC"/>
      <w:bookmarkEnd w:id="155"/>
      <w:r>
        <w:rPr>
          <w:rFonts w:ascii="calibri;arial;sans-serif" w:hAnsi="calibri;arial;sans-serif"/>
          <w:b w:val="false"/>
          <w:i w:val="false"/>
          <w:caps w:val="false"/>
          <w:smallCaps w:val="false"/>
          <w:color w:val="000000"/>
          <w:sz w:val="16"/>
        </w:rPr>
        <w:t>​</w:t>
      </w:r>
      <w:bookmarkStart w:id="156" w:name="tC4AT"/>
      <w:bookmarkEnd w:id="156"/>
      <w:r>
        <w:rPr>
          <w:rFonts w:ascii="calibri;arial;sans-serif" w:hAnsi="calibri;arial;sans-serif"/>
          <w:b w:val="false"/>
          <w:i w:val="false"/>
          <w:caps w:val="false"/>
          <w:smallCaps w:val="false"/>
          <w:color w:val="000000"/>
          <w:sz w:val="16"/>
        </w:rPr>
        <w:t>​</w:t>
      </w:r>
      <w:bookmarkStart w:id="157" w:name="tSE19"/>
      <w:bookmarkEnd w:id="157"/>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840" w:after="283"/>
        <w:ind w:left="720" w:right="0" w:hanging="0"/>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SECTION 15.   AWARDS UNDER OTHER PLANS.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Company may grant awards under other plans or programs. Such awards may be settled in the form of Shares issued under the Plan. Such Shares shall be treated for all purposes under the Plan like Shares issued in settlement of Restricted Stock Units and shall, when issued, reduce the number of Shares available under Section 5.</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SECTION 16.   PAYMENT OF DIRECTOR’S FEES IN SECURITIES.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   </w:t>
      </w:r>
      <w:r>
        <w:rPr>
          <w:rFonts w:ascii="Helvetica;Arial;sans-serif" w:hAnsi="Helvetica;Arial;sans-serif"/>
          <w:b w:val="false"/>
          <w:i/>
          <w:caps w:val="false"/>
          <w:smallCaps w:val="false"/>
          <w:color w:val="000000"/>
          <w:sz w:val="18"/>
        </w:rPr>
        <w:t>Effective Date</w:t>
      </w:r>
      <w:r>
        <w:rPr>
          <w:rFonts w:ascii="Helvetica;Arial;sans-serif" w:hAnsi="Helvetica;Arial;sans-serif"/>
          <w:b w:val="false"/>
          <w:i w:val="false"/>
          <w:caps w:val="false"/>
          <w:smallCaps w:val="false"/>
          <w:color w:val="000000"/>
          <w:sz w:val="18"/>
        </w:rPr>
        <w:t>.   No provision of this Section 16 shall be effective unless and until the Board has determined to implement such provision.</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(b)   </w:t>
      </w:r>
      <w:r>
        <w:rPr>
          <w:rFonts w:ascii="Helvetica;Arial;sans-serif" w:hAnsi="Helvetica;Arial;sans-serif"/>
          <w:b w:val="false"/>
          <w:i/>
          <w:caps w:val="false"/>
          <w:smallCaps w:val="false"/>
          <w:color w:val="000000"/>
          <w:sz w:val="18"/>
        </w:rPr>
        <w:t>Elections to Receive NSOs, SARs, Restricted Shares, or Restricted Stock Units</w:t>
      </w:r>
      <w:r>
        <w:rPr>
          <w:rFonts w:ascii="Helvetica;Arial;sans-serif" w:hAnsi="Helvetica;Arial;sans-serif"/>
          <w:b w:val="false"/>
          <w:i w:val="false"/>
          <w:caps w:val="false"/>
          <w:smallCaps w:val="false"/>
          <w:color w:val="000000"/>
          <w:sz w:val="18"/>
        </w:rPr>
        <w:t>.   An Outside Director may elect to receive his or her annual retainer payments and/or meeting fees from the Company in the form of cash, NSOs, SARs, Restricted Shares, Restricted Stock Units, or a combination thereof, as determined by the Board. Alternatively, the Board may mandate payment in any of such alternative forms. Such NSOs, SARs, Restricted Shares, and Restricted Stock Units shall be issued under the Plan. An election under this Section 16 shall be filed with the Company on the prescribed form.</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(c)   </w:t>
      </w:r>
      <w:r>
        <w:rPr>
          <w:rFonts w:ascii="Helvetica;Arial;sans-serif" w:hAnsi="Helvetica;Arial;sans-serif"/>
          <w:b w:val="false"/>
          <w:i/>
          <w:caps w:val="false"/>
          <w:smallCaps w:val="false"/>
          <w:color w:val="000000"/>
          <w:sz w:val="18"/>
        </w:rPr>
        <w:t>Number and Terms of NSOs, SARs, Restricted Shares or Restricted Stock Units</w:t>
      </w:r>
      <w:r>
        <w:rPr>
          <w:rFonts w:ascii="Helvetica;Arial;sans-serif" w:hAnsi="Helvetica;Arial;sans-serif"/>
          <w:b w:val="false"/>
          <w:i w:val="false"/>
          <w:caps w:val="false"/>
          <w:smallCaps w:val="false"/>
          <w:color w:val="000000"/>
          <w:sz w:val="18"/>
        </w:rPr>
        <w:t>.   The number of NSOs, SARs, Restricted Shares, or Restricted Stock Units to be granted to Outside Directors in lieu of annual retainers and meeting fees that would otherwise be paid in cash shall be calculated in a manner determined by the Board. The terms of such NSOs, SARs, Restricted Shares, or Restricted Stock Units shall also be determined by the Board.</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SECTION 17.   LEGAL AND REGULATORY REQUIREMENTS.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Shares shall not be issued under the Plan unless the issuance and delivery of such Shares complies with (or is exempt from) all applicable requirements of law, including (without limitation) the United States Securities Act, state securities laws and regulations and the regulations of any stock exchange on which the Company’s securities may then be listed, and the Company has obtained the approval or favorable ruling from any governmental agency which the Company determines is necessary or advisable. The Company shall not be liable to a Participant or other persons as to: (a) the non-issuance or sale of Shares as to which the Company has not obtained from any regulatory body having jurisdiction the authority deemed by the Company’s counsel to be necessary to the lawful issuance and sale of any Shares under the Plan; and (b) any tax consequences expected, but not realized, by any Participant or other person due to the receipt, exercise or settlement of any Award granted under the Plan.</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SECTION 18.   TAXES.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   </w:t>
      </w:r>
      <w:r>
        <w:rPr>
          <w:rFonts w:ascii="Helvetica;Arial;sans-serif" w:hAnsi="Helvetica;Arial;sans-serif"/>
          <w:b w:val="false"/>
          <w:i/>
          <w:caps w:val="false"/>
          <w:smallCaps w:val="false"/>
          <w:color w:val="000000"/>
          <w:sz w:val="18"/>
        </w:rPr>
        <w:t>Withholding Taxes</w:t>
      </w:r>
      <w:r>
        <w:rPr>
          <w:rFonts w:ascii="Helvetica;Arial;sans-serif" w:hAnsi="Helvetica;Arial;sans-serif"/>
          <w:b w:val="false"/>
          <w:i w:val="false"/>
          <w:caps w:val="false"/>
          <w:smallCaps w:val="false"/>
          <w:color w:val="000000"/>
          <w:sz w:val="18"/>
        </w:rPr>
        <w:t>.   To the extent required by applicable federal, state, local, or foreign law, a Participant or his or her successor shall make arrangements satisfactory to the Company for the satisfaction of any withholding tax obligations that arise in connection with the Plan. The Company shall not be required to issue any Shares or make any cash payment under the Plan until such obligations are satisfied.</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(b)   </w:t>
      </w:r>
      <w:r>
        <w:rPr>
          <w:rFonts w:ascii="Helvetica;Arial;sans-serif" w:hAnsi="Helvetica;Arial;sans-serif"/>
          <w:b w:val="false"/>
          <w:i/>
          <w:caps w:val="false"/>
          <w:smallCaps w:val="false"/>
          <w:color w:val="000000"/>
          <w:sz w:val="18"/>
        </w:rPr>
        <w:t>Share Withholding</w:t>
      </w:r>
      <w:r>
        <w:rPr>
          <w:rFonts w:ascii="Helvetica;Arial;sans-serif" w:hAnsi="Helvetica;Arial;sans-serif"/>
          <w:b w:val="false"/>
          <w:i w:val="false"/>
          <w:caps w:val="false"/>
          <w:smallCaps w:val="false"/>
          <w:color w:val="000000"/>
          <w:sz w:val="18"/>
        </w:rPr>
        <w:t>.   The Committee may permit a Participant to satisfy all or part of his or her withholding or income tax obligations by having the Company withhold all or a portion of any Shares that otherwise would be issued to him or her or by surrendering all or a portion of any Shares that he or she previously acquired. Such Shares shall be valued at their Fair Market Value on the date when taxes otherwise would be withheld in cash. In no event may a Participant have Shares withheld that would otherwise be issued to him or her in excess of the number necessary to satisfy the maximum legally required tax withholding.</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(c)   </w:t>
      </w:r>
      <w:r>
        <w:rPr>
          <w:rFonts w:ascii="Helvetica;Arial;sans-serif" w:hAnsi="Helvetica;Arial;sans-serif"/>
          <w:b w:val="false"/>
          <w:i/>
          <w:caps w:val="false"/>
          <w:smallCaps w:val="false"/>
          <w:color w:val="000000"/>
          <w:sz w:val="18"/>
        </w:rPr>
        <w:t>Section 409A</w:t>
      </w:r>
      <w:r>
        <w:rPr>
          <w:rFonts w:ascii="Helvetica;Arial;sans-serif" w:hAnsi="Helvetica;Arial;sans-serif"/>
          <w:b w:val="false"/>
          <w:i w:val="false"/>
          <w:caps w:val="false"/>
          <w:smallCaps w:val="false"/>
          <w:color w:val="000000"/>
          <w:sz w:val="18"/>
        </w:rPr>
        <w:t>.   Each Award that provides for “nonqualified deferred compensation” within the meaning of Section 409A shall be subject to such additional rules and requirements as specified by the Committee from time to time in order to comply with Section 409A. If any amount under such an Award is payable upon a “separation from service” ​(within the meaning of Section 409A) to a Participant who is then considered a “specified employee” ​(within the meaning of Section 409A), then no such payment shall be made prior to the date that is the earlier of  (i) six months and one day after the Participant’s separation from service, or (ii) the Participant’s death, but only to the extent such delay is necessary to prevent such payment from being subject to interest, penalties, and/or additional tax imposed pursuant to Section 409A. In addition, the settlement of any such Award may not be accelerated except to the extent permitted by Section 409A.</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SECTION 19.   TRANSFERABILITY.</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Unless the agreement evidencing an Award (or an amendment thereto authorized by the Committee) expressly provides otherwise, no Award granted under the Plan, nor any interest in such Award, may be sold, assigned, conveyed, gifted, pledged, hypothecated, </w:t>
      </w:r>
    </w:p>
    <w:tbl>
      <w:tblPr>
        <w:tblW w:w="3303" w:type="dxa"/>
        <w:jc w:val="left"/>
        <w:tblInd w:w="720" w:type="dxa"/>
        <w:tblLayout w:type="fixed"/>
        <w:tblCellMar>
          <w:top w:w="0" w:type="dxa"/>
          <w:left w:w="0" w:type="dxa"/>
          <w:bottom w:w="0" w:type="dxa"/>
          <w:right w:w="0" w:type="dxa"/>
        </w:tblCellMar>
      </w:tblPr>
      <w:tblGrid>
        <w:gridCol w:w="124"/>
        <w:gridCol w:w="601"/>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601" w:type="dxa"/>
            <w:tcBorders/>
            <w:vAlign w:val="center"/>
          </w:tcPr>
          <w:p>
            <w:pPr>
              <w:pStyle w:val="TableContents"/>
              <w:bidi w:val="0"/>
              <w:spacing w:before="0" w:after="283"/>
              <w:jc w:val="left"/>
              <w:rPr/>
            </w:pPr>
            <w:r>
              <w:rPr/>
              <w:t>A-14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8" w:name="tS2BA"/>
      <w:bookmarkEnd w:id="158"/>
      <w:r>
        <w:rPr>
          <w:rFonts w:ascii="calibri;arial;sans-serif" w:hAnsi="calibri;arial;sans-serif"/>
          <w:b w:val="false"/>
          <w:i w:val="false"/>
          <w:caps w:val="false"/>
          <w:smallCaps w:val="false"/>
          <w:color w:val="000000"/>
          <w:sz w:val="16"/>
        </w:rPr>
        <w:t>​</w:t>
      </w:r>
      <w:bookmarkStart w:id="159" w:name="tS2CO"/>
      <w:bookmarkEnd w:id="159"/>
      <w:r>
        <w:rPr>
          <w:rFonts w:ascii="calibri;arial;sans-serif" w:hAnsi="calibri;arial;sans-serif"/>
          <w:b w:val="false"/>
          <w:i w:val="false"/>
          <w:caps w:val="false"/>
          <w:smallCaps w:val="false"/>
          <w:color w:val="000000"/>
          <w:sz w:val="16"/>
        </w:rPr>
        <w:t>​</w:t>
      </w:r>
      <w:bookmarkStart w:id="160" w:name="tS2ER"/>
      <w:bookmarkEnd w:id="160"/>
      <w:r>
        <w:rPr>
          <w:rFonts w:ascii="calibri;arial;sans-serif" w:hAnsi="calibri;arial;sans-serif"/>
          <w:b w:val="false"/>
          <w:i w:val="false"/>
          <w:caps w:val="false"/>
          <w:smallCaps w:val="false"/>
          <w:color w:val="000000"/>
          <w:sz w:val="16"/>
        </w:rPr>
        <w:t>​</w:t>
      </w:r>
      <w:bookmarkStart w:id="161" w:name="tS2AA"/>
      <w:bookmarkEnd w:id="161"/>
      <w:r>
        <w:rPr>
          <w:rFonts w:ascii="calibri;arial;sans-serif" w:hAnsi="calibri;arial;sans-serif"/>
          <w:b w:val="false"/>
          <w:i w:val="false"/>
          <w:caps w:val="false"/>
          <w:smallCaps w:val="false"/>
          <w:color w:val="000000"/>
          <w:sz w:val="16"/>
        </w:rPr>
        <w:t>​</w:t>
      </w:r>
      <w:bookmarkStart w:id="162" w:name="tAOTP"/>
      <w:bookmarkEnd w:id="162"/>
      <w:r>
        <w:rPr>
          <w:rFonts w:ascii="calibri;arial;sans-serif" w:hAnsi="calibri;arial;sans-serif"/>
          <w:b w:val="false"/>
          <w:i w:val="false"/>
          <w:caps w:val="false"/>
          <w:smallCaps w:val="false"/>
          <w:color w:val="000000"/>
          <w:sz w:val="16"/>
        </w:rPr>
        <w:t>​</w:t>
      </w:r>
      <w:bookmarkStart w:id="163" w:name="tBTAT"/>
      <w:bookmarkEnd w:id="163"/>
      <w:r>
        <w:rPr>
          <w:rFonts w:ascii="calibri;arial;sans-serif" w:hAnsi="calibri;arial;sans-serif"/>
          <w:b w:val="false"/>
          <w:i w:val="false"/>
          <w:caps w:val="false"/>
          <w:smallCaps w:val="false"/>
          <w:color w:val="000000"/>
          <w:sz w:val="16"/>
        </w:rPr>
        <w:t>​</w:t>
      </w:r>
      <w:bookmarkStart w:id="164" w:name="tCOTN"/>
      <w:bookmarkEnd w:id="164"/>
      <w:r>
        <w:rPr>
          <w:rFonts w:ascii="calibri;arial;sans-serif" w:hAnsi="calibri;arial;sans-serif"/>
          <w:b w:val="false"/>
          <w:i w:val="false"/>
          <w:caps w:val="false"/>
          <w:smallCaps w:val="false"/>
          <w:color w:val="000000"/>
          <w:sz w:val="16"/>
        </w:rPr>
        <w:t>​</w:t>
      </w:r>
      <w:bookmarkStart w:id="165" w:name="tS2TN"/>
      <w:bookmarkEnd w:id="165"/>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84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or otherwise transferred in any manner (prior to the vesting and lapse of any and all restrictions applicable to Shares issued under such Award), other than by will or the laws of descent and distribution; provided, however, that an ISO may be transferred or assigned only to the extent consistent with Section 422 of the Code. Any purported assignment, transfer, or encumbrance in violation of this Section 19 shall be void and unenforceable against the Company.</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SECTION 20.   PERFORMANCE BASED AWARDS.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number of Shares or other benefits granted, issued, retained, and/or vested under an Award may be made subject to the attainment of performance goals. The Committee may utilize any performance criteria selected by it in its sole discretion to establish performance goals.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SECTION 21.   FORFEITURE, CANCELLATION OR RECOUPMENT OF AWARDS.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Committee shall have the authority, to the extent permitted by applicable law, to specify in an Award Agreement, exercise notice or share purchase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in each case to the extent permitted by applicable law, termination of Service for Cause or any act by a Participant, whether before or after termination of Service, that would constitute Cause for termination of Service, a Participant’s noncompliance with applicable restrictive covenants and conditions, and any other events set forth in a clawback, recoupment or similar policy adopted by the Company. Notwithstanding the foregoing, Stock Purchase Rights shall be subject to the terms of the ESPP Addendum.</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In the event that the Company is required to prepare restated financial results owing to an executive officer’s intentional misconduct or grossly negligent conduct, the Committee shall have the authority, to the extent permitted by applicable law, to require reimbursement or forfeiture to the Company of the amount of bonus or incentive compensation (whether cash-based or equity-based) such executive officer received during the three fiscal years preceding the year the restatement is determined to be required, to the extent that such bonus or incentive compensation exceeds what the officer would have received based on an applicable restated performance measure or target. The Company will recoup incentive-based compensation from executive officers to the extent required under the Dodd-Frank Wall Street Reform and Consumer Protection Act and any rules, regulations and listing standards that may be issued under that act. Any right of recoupment under this provision will be in addition to, and not in lieu of, any other rights of recoupment that may be available to the Company. No recovery of compensation under any clawback policy or this Section 21 will be an event giving rise to a right to resign for “good reason” or “constructive termination” (or similar term) under any agreement with the Company or any of its Subsidiaries or Affiliates.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SECTION 22.   NO EMPLOYMENT RIGHTS.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No provision of the Plan, nor any Award granted under the Plan, shall be construed to give any person any right to become, to be treated as, or to remain an Employee, Outside Director or Consultant. The Company and its Subsidiaries reserve the right to terminate any person’s Service at any time and for any reason, with or without notice.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SECTION 23.   DURATION AND AMENDMENTS.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(a)   </w:t>
      </w:r>
      <w:r>
        <w:rPr>
          <w:rFonts w:ascii="Helvetica;Arial;sans-serif" w:hAnsi="Helvetica;Arial;sans-serif"/>
          <w:b w:val="false"/>
          <w:i/>
          <w:caps w:val="false"/>
          <w:smallCaps w:val="false"/>
          <w:color w:val="000000"/>
          <w:sz w:val="18"/>
        </w:rPr>
        <w:t>Term of the Plan</w:t>
      </w:r>
      <w:r>
        <w:rPr>
          <w:rFonts w:ascii="Helvetica;Arial;sans-serif" w:hAnsi="Helvetica;Arial;sans-serif"/>
          <w:b w:val="false"/>
          <w:i w:val="false"/>
          <w:caps w:val="false"/>
          <w:smallCaps w:val="false"/>
          <w:color w:val="000000"/>
          <w:sz w:val="18"/>
        </w:rPr>
        <w:t>.   The Plan, as set forth herein, shall come into existence on the date of its adoption by the Board; provided, however, that no Award may be granted hereunder prior to the Effective Date. The Board may suspend or terminate the Plan at any time. No ISOs may be granted after the tenth (10</w:t>
      </w:r>
      <w:r>
        <w:rPr>
          <w:rFonts w:ascii="Helvetica;Arial;sans-serif" w:hAnsi="Helvetica;Arial;sans-serif"/>
          <w:b w:val="false"/>
          <w:i w:val="false"/>
          <w:caps w:val="false"/>
          <w:smallCaps w:val="false"/>
          <w:color w:val="000000"/>
          <w:sz w:val="14"/>
        </w:rPr>
        <w:t>th</w:t>
      </w:r>
      <w:r>
        <w:rPr>
          <w:rFonts w:ascii="Helvetica;Arial;sans-serif" w:hAnsi="Helvetica;Arial;sans-serif"/>
          <w:b w:val="false"/>
          <w:i w:val="false"/>
          <w:caps w:val="false"/>
          <w:smallCaps w:val="false"/>
          <w:color w:val="000000"/>
          <w:sz w:val="18"/>
        </w:rPr>
        <w:t>) anniversary of the earlier of  (i) the date the Plan is adopted by the Board, or (ii) the date the Plan is approved by the stockholders of the Company. The grant of Stock Purchase Rights shall be subject to such further restrictions as set forth in the ESPP Addendum.</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(b)   </w:t>
      </w:r>
      <w:r>
        <w:rPr>
          <w:rFonts w:ascii="Helvetica;Arial;sans-serif" w:hAnsi="Helvetica;Arial;sans-serif"/>
          <w:b w:val="false"/>
          <w:i/>
          <w:caps w:val="false"/>
          <w:smallCaps w:val="false"/>
          <w:color w:val="000000"/>
          <w:sz w:val="18"/>
        </w:rPr>
        <w:t>Right to Amend the Plan</w:t>
      </w:r>
      <w:r>
        <w:rPr>
          <w:rFonts w:ascii="Helvetica;Arial;sans-serif" w:hAnsi="Helvetica;Arial;sans-serif"/>
          <w:b w:val="false"/>
          <w:i w:val="false"/>
          <w:caps w:val="false"/>
          <w:smallCaps w:val="false"/>
          <w:color w:val="000000"/>
          <w:sz w:val="18"/>
        </w:rPr>
        <w:t>.   Subject to Section 5(e), the Board may amend the Plan or the ESPP Addendum at any time and from time to time. Rights and obligations under any Award granted before amendment of the Plan shall not be materially impaired by such amendment, except with consent of the Participant. An amendment of the Plan (and the ESPP Addendum) shall be subject to the approval of the Company’s stockholders only to the extent required by applicable laws, regulations or rules.</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(c)   </w:t>
      </w:r>
      <w:r>
        <w:rPr>
          <w:rFonts w:ascii="Helvetica;Arial;sans-serif" w:hAnsi="Helvetica;Arial;sans-serif"/>
          <w:b w:val="false"/>
          <w:i/>
          <w:caps w:val="false"/>
          <w:smallCaps w:val="false"/>
          <w:color w:val="000000"/>
          <w:sz w:val="18"/>
        </w:rPr>
        <w:t>Effect of Termination</w:t>
      </w:r>
      <w:r>
        <w:rPr>
          <w:rFonts w:ascii="Helvetica;Arial;sans-serif" w:hAnsi="Helvetica;Arial;sans-serif"/>
          <w:b w:val="false"/>
          <w:i w:val="false"/>
          <w:caps w:val="false"/>
          <w:smallCaps w:val="false"/>
          <w:color w:val="000000"/>
          <w:sz w:val="18"/>
        </w:rPr>
        <w:t>.   No Awards shall be granted under the Plan after the termination thereof. The termination of the Plan shall not affect Awards previously granted under the Plan.</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SECTION 24.   AWARDS TO NON-U.S. PARTICIPANTS.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3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Awards may be granted to Participants who are non-United States nationals or employed or providing services outside the United States, or both, on such terms and conditions different from those applicable to Awards to Participants who are employed or </w:t>
      </w:r>
    </w:p>
    <w:tbl>
      <w:tblPr>
        <w:tblW w:w="3303" w:type="dxa"/>
        <w:jc w:val="left"/>
        <w:tblInd w:w="720" w:type="dxa"/>
        <w:tblLayout w:type="fixed"/>
        <w:tblCellMar>
          <w:top w:w="0" w:type="dxa"/>
          <w:left w:w="0" w:type="dxa"/>
          <w:bottom w:w="0" w:type="dxa"/>
          <w:right w:w="0" w:type="dxa"/>
        </w:tblCellMar>
      </w:tblPr>
      <w:tblGrid>
        <w:gridCol w:w="124"/>
        <w:gridCol w:w="2206"/>
        <w:gridCol w:w="109"/>
        <w:gridCol w:w="109"/>
        <w:gridCol w:w="601"/>
        <w:gridCol w:w="154"/>
      </w:tblGrid>
      <w:tr>
        <w:trPr/>
        <w:tc>
          <w:tcPr>
            <w:tcW w:w="124"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283"/>
              <w:jc w:val="left"/>
              <w:rPr/>
            </w:pPr>
            <w:r>
              <w:rPr/>
              <w:t>2024 Proxy Statement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01" w:type="dxa"/>
            <w:tcBorders/>
            <w:vAlign w:val="center"/>
          </w:tcPr>
          <w:p>
            <w:pPr>
              <w:pStyle w:val="TableContents"/>
              <w:bidi w:val="0"/>
              <w:spacing w:before="0" w:after="0"/>
              <w:jc w:val="right"/>
              <w:rPr>
                <w:b/>
              </w:rPr>
            </w:pPr>
            <w:r>
              <w:rPr>
                <w:b/>
              </w:rPr>
              <w:t>A-15</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6" w:name="tS2L"/>
      <w:bookmarkEnd w:id="166"/>
      <w:r>
        <w:rPr>
          <w:rFonts w:ascii="calibri;arial;sans-serif" w:hAnsi="calibri;arial;sans-serif"/>
          <w:b w:val="false"/>
          <w:i w:val="false"/>
          <w:caps w:val="false"/>
          <w:smallCaps w:val="false"/>
          <w:color w:val="000000"/>
          <w:sz w:val="16"/>
        </w:rPr>
        <w:t>​</w:t>
      </w:r>
      <w:bookmarkStart w:id="167" w:name="tS2AA1"/>
      <w:bookmarkEnd w:id="167"/>
      <w:r>
        <w:rPr>
          <w:rFonts w:ascii="calibri;arial;sans-serif" w:hAnsi="calibri;arial;sans-serif"/>
          <w:b w:val="false"/>
          <w:i w:val="false"/>
          <w:caps w:val="false"/>
          <w:smallCaps w:val="false"/>
          <w:color w:val="000000"/>
          <w:sz w:val="16"/>
        </w:rPr>
        <w:t>​</w:t>
      </w:r>
      <w:bookmarkStart w:id="168" w:name="tSE27"/>
      <w:bookmarkEnd w:id="16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840" w:after="283"/>
        <w:ind w:left="720"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providing services in the United States as may, in the judgment of the Committee, be necessary or desirable to recognize differences in local law, tax policy, or custom. The Committee also may impose conditions on the exercise, vesting, or settlement of Awards in order to minimize the Company’s obligation with respect to tax equalization for Participants on assignments outside their home country.</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SECTION 25.   GOVERNING LAW.</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Plan, the ESPP Addendum and each Award Agreement shall be governed by the laws of the state of Delaware, without application of the conflicts of law principles thereof.</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SECTION 26.   SUCCESSORS AND ASSIGNS.</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The terms of the Plan shall be binding upon and inure to the benefit of the Company and any successor entity, including any successor entity contemplated by Section 13(c).</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00" w:before="260" w:after="283"/>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z w:val="16"/>
        </w:rPr>
        <w:t>SECTION 27.   EXECUTION.</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240" w:before="180" w:after="283"/>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To record the adoption of the Plan by the Board, the Company has caused its authorized officer to execute the same.</w:t>
      </w:r>
      <w:r>
        <w:rPr>
          <w:rFonts w:ascii="Helvetica;Arial;sans-serif" w:hAnsi="Helvetica;Arial;sans-serif"/>
          <w:b w:val="false"/>
          <w:i w:val="false"/>
          <w:caps w:val="false"/>
          <w:smallCaps w:val="false"/>
          <w:color w:val="000000"/>
          <w:spacing w:val="4"/>
          <w:sz w:val="18"/>
        </w:rPr>
        <w:t xml:space="preserve"> </w:t>
      </w:r>
    </w:p>
    <w:p>
      <w:pPr>
        <w:pStyle w:val="TextBody"/>
        <w:bidi w:val="0"/>
        <w:spacing w:lineRule="atLeast" w:line="240" w:before="240" w:after="283"/>
        <w:ind w:left="6480" w:right="0" w:hanging="0"/>
        <w:jc w:val="left"/>
        <w:rPr>
          <w:rFonts w:ascii="Helvetica;Arial;sans-serif" w:hAnsi="Helvetica;Arial;sans-serif"/>
          <w:b/>
          <w:i w:val="false"/>
          <w:caps w:val="false"/>
          <w:smallCaps w:val="false"/>
          <w:color w:val="000000"/>
          <w:sz w:val="18"/>
        </w:rPr>
      </w:pPr>
      <w:r>
        <w:rPr>
          <w:rFonts w:ascii="Helvetica;Arial;sans-serif" w:hAnsi="Helvetica;Arial;sans-serif"/>
          <w:b/>
          <w:i w:val="false"/>
          <w:caps w:val="false"/>
          <w:smallCaps w:val="false"/>
          <w:color w:val="000000"/>
          <w:sz w:val="18"/>
        </w:rPr>
        <w:t>LUCID GROUP, INC.</w:t>
      </w:r>
      <w:r>
        <w:rPr>
          <w:rFonts w:ascii="Helvetica;Arial;sans-serif" w:hAnsi="Helvetica;Arial;sans-serif"/>
          <w:b/>
          <w:i w:val="false"/>
          <w:caps w:val="false"/>
          <w:smallCaps w:val="false"/>
          <w:color w:val="000000"/>
          <w:spacing w:val="4"/>
          <w:sz w:val="18"/>
        </w:rPr>
        <w:t xml:space="preserve"> </w:t>
      </w:r>
    </w:p>
    <w:p>
      <w:pPr>
        <w:pStyle w:val="TextBody"/>
        <w:bidi w:val="0"/>
        <w:spacing w:lineRule="atLeast" w:line="240" w:before="240" w:after="0"/>
        <w:ind w:left="6749" w:right="0" w:hanging="0"/>
        <w:jc w:val="left"/>
        <w:rPr>
          <w:caps w:val="false"/>
          <w:smallCaps w:val="false"/>
          <w:color w:val="000000"/>
        </w:rPr>
      </w:pPr>
      <w:r>
        <w:rPr>
          <w:caps w:val="false"/>
          <w:smallCaps w:val="false"/>
          <w:color w:val="000000"/>
        </w:rPr>
        <w:t>   </w:t>
      </w:r>
      <w:r>
        <mc:AlternateContent>
          <mc:Choice Requires="wps">
            <w:drawing>
              <wp:anchor behindDoc="0" distT="152400" distB="0" distL="3657600" distR="0" simplePos="0" locked="0" layoutInCell="1" allowOverlap="1" relativeHeight="442">
                <wp:simplePos x="0" y="0"/>
                <wp:positionH relativeFrom="column">
                  <wp:align>left</wp:align>
                </wp:positionH>
                <wp:positionV relativeFrom="line">
                  <wp:align>top</wp:align>
                </wp:positionV>
                <wp:extent cx="170815" cy="525780"/>
                <wp:effectExtent l="0" t="0" r="0" b="0"/>
                <wp:wrapSquare wrapText="right"/>
                <wp:docPr id="446" name="Frame375"/>
                <a:graphic xmlns:a="http://schemas.openxmlformats.org/drawingml/2006/main">
                  <a:graphicData uri="http://schemas.microsoft.com/office/word/2010/wordprocessingShape">
                    <wps:wsp>
                      <wps:cNvSpPr txBox="1"/>
                      <wps:spPr>
                        <a:xfrm>
                          <a:off x="0" y="0"/>
                          <a:ext cx="170815" cy="525780"/>
                        </a:xfrm>
                        <a:prstGeom prst="rect"/>
                        <a:solidFill>
                          <a:srgbClr val="FFFFFF"/>
                        </a:solidFill>
                      </wps:spPr>
                      <wps:txbx>
                        <w:txbxContent>
                          <w:p>
                            <w:pPr>
                              <w:pStyle w:val="TextBody"/>
                              <w:bidi w:val="0"/>
                              <w:spacing w:lineRule="atLeast" w:line="240" w:before="0" w:after="283"/>
                              <w:jc w:val="left"/>
                              <w:rPr/>
                            </w:pPr>
                            <w:r>
                              <w:rPr/>
                              <w:t>By:</w:t>
                              <w:br/>
                            </w:r>
                          </w:p>
                        </w:txbxContent>
                      </wps:txbx>
                      <wps:bodyPr anchor="t" lIns="0" tIns="0" rIns="0" bIns="0">
                        <a:noAutofit/>
                      </wps:bodyPr>
                    </wps:wsp>
                  </a:graphicData>
                </a:graphic>
              </wp:anchor>
            </w:drawing>
          </mc:Choice>
          <mc:Fallback>
            <w:pict>
              <v:rect style="position:absolute;rotation:-0;width:13.45pt;height:41.4pt;mso-wrap-distance-left:288pt;mso-wrap-distance-right:0pt;mso-wrap-distance-top:12pt;mso-wrap-distance-bottom:0pt;margin-top:12pt;mso-position-vertical:top;mso-position-vertical-relative:text;margin-left:187.65pt;mso-position-horizontal:left;mso-position-horizontal-relative:text">
                <v:textbox>
                  <w:txbxContent>
                    <w:p>
                      <w:pPr>
                        <w:pStyle w:val="TextBody"/>
                        <w:bidi w:val="0"/>
                        <w:spacing w:lineRule="atLeast" w:line="240" w:before="0" w:after="283"/>
                        <w:jc w:val="left"/>
                        <w:rPr/>
                      </w:pPr>
                      <w:r>
                        <w:rPr/>
                        <w:t>By:</w:t>
                        <w:br/>
                      </w:r>
                    </w:p>
                  </w:txbxContent>
                </v:textbox>
                <w10:wrap type="square" side="right"/>
              </v:rect>
            </w:pict>
          </mc:Fallback>
        </mc:AlternateContent>
      </w:r>
    </w:p>
    <w:p>
      <w:pPr>
        <w:pStyle w:val="TextBody"/>
        <w:bidi w:val="0"/>
        <w:spacing w:before="0" w:after="0"/>
        <w:ind w:left="720" w:right="0" w:hanging="0"/>
        <w:jc w:val="left"/>
        <w:rPr>
          <w:caps w:val="false"/>
          <w:smallCaps w:val="false"/>
          <w:color w:val="000000"/>
        </w:rPr>
      </w:pPr>
      <w:r>
        <w:rPr>
          <w:caps w:val="false"/>
          <w:smallCaps w:val="false"/>
          <w:color w:val="000000"/>
        </w:rPr>
        <w:t>​</w:t>
      </w:r>
    </w:p>
    <w:p>
      <w:pPr>
        <w:pStyle w:val="TextBody"/>
        <w:bidi w:val="0"/>
        <w:spacing w:before="0" w:after="283"/>
        <w:ind w:left="6749"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60" w:after="283"/>
        <w:ind w:left="6749" w:right="0" w:hanging="0"/>
        <w:jc w:val="left"/>
        <w:rPr>
          <w:rFonts w:ascii="Helvetica;Arial;sans-serif" w:hAnsi="Helvetica;Arial;sans-serif"/>
          <w:b w:val="false"/>
          <w:i w:val="false"/>
          <w:caps w:val="false"/>
          <w:smallCaps w:val="false"/>
          <w:color w:val="000000"/>
          <w:sz w:val="18"/>
        </w:rPr>
      </w:pPr>
      <w:r>
        <w:rPr>
          <w:rFonts w:ascii="Helvetica;Arial;sans-serif" w:hAnsi="Helvetica;Arial;sans-serif"/>
          <w:b w:val="false"/>
          <w:i w:val="false"/>
          <w:caps w:val="false"/>
          <w:smallCaps w:val="false"/>
          <w:color w:val="000000"/>
          <w:sz w:val="18"/>
        </w:rPr>
        <w:t xml:space="preserve">Name: Matthew Everitt </w:t>
        <w:br/>
        <w:t>Title: Senior Vice President, General Counsel</w:t>
      </w:r>
    </w:p>
    <w:tbl>
      <w:tblPr>
        <w:tblW w:w="3303" w:type="dxa"/>
        <w:jc w:val="left"/>
        <w:tblInd w:w="720" w:type="dxa"/>
        <w:tblLayout w:type="fixed"/>
        <w:tblCellMar>
          <w:top w:w="0" w:type="dxa"/>
          <w:left w:w="0" w:type="dxa"/>
          <w:bottom w:w="0" w:type="dxa"/>
          <w:right w:w="0" w:type="dxa"/>
        </w:tblCellMar>
      </w:tblPr>
      <w:tblGrid>
        <w:gridCol w:w="124"/>
        <w:gridCol w:w="601"/>
        <w:gridCol w:w="109"/>
        <w:gridCol w:w="109"/>
        <w:gridCol w:w="2206"/>
        <w:gridCol w:w="154"/>
      </w:tblGrid>
      <w:tr>
        <w:trPr/>
        <w:tc>
          <w:tcPr>
            <w:tcW w:w="124" w:type="dxa"/>
            <w:tcBorders/>
            <w:vAlign w:val="center"/>
          </w:tcPr>
          <w:p>
            <w:pPr>
              <w:pStyle w:val="TableContents"/>
              <w:bidi w:val="0"/>
              <w:spacing w:before="0" w:after="283"/>
              <w:jc w:val="left"/>
              <w:rPr/>
            </w:pPr>
            <w:r>
              <w:rPr/>
              <w:t>​</w:t>
            </w:r>
          </w:p>
        </w:tc>
        <w:tc>
          <w:tcPr>
            <w:tcW w:w="601" w:type="dxa"/>
            <w:tcBorders/>
            <w:vAlign w:val="center"/>
          </w:tcPr>
          <w:p>
            <w:pPr>
              <w:pStyle w:val="TableContents"/>
              <w:bidi w:val="0"/>
              <w:spacing w:before="0" w:after="283"/>
              <w:jc w:val="left"/>
              <w:rPr/>
            </w:pPr>
            <w:r>
              <w:rPr/>
              <w:t>A-16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before="0" w:after="0"/>
              <w:jc w:val="right"/>
              <w:rPr>
                <w:b w:val="false"/>
              </w:rPr>
            </w:pPr>
            <w:r>
              <w:rPr>
                <w:b w:val="false"/>
              </w:rPr>
              <w:t>2024 Proxy Statement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before="0" w:after="283"/>
        <w:ind w:left="0" w:right="0" w:hanging="0"/>
        <w:jc w:val="center"/>
        <w:rPr>
          <w:caps w:val="false"/>
          <w:smallCaps w:val="false"/>
          <w:color w:val="FFFFFF"/>
        </w:rPr>
      </w:pPr>
      <w:r>
        <w:rPr>
          <w:caps w:val="false"/>
          <w:smallCaps w:val="false"/>
          <w:color w:val="FFFFFF"/>
        </w:rPr>
        <w:drawing>
          <wp:inline distT="0" distB="0" distL="0" distR="0">
            <wp:extent cx="6991350" cy="9048750"/>
            <wp:effectExtent l="0" t="0" r="0" b="0"/>
            <wp:docPr id="447"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 name="Image65" descr=""/>
                    <pic:cNvPicPr>
                      <a:picLocks noChangeAspect="1" noChangeArrowheads="1"/>
                    </pic:cNvPicPr>
                  </pic:nvPicPr>
                  <pic:blipFill>
                    <a:blip r:embed="rId73"/>
                    <a:stretch>
                      <a:fillRect/>
                    </a:stretch>
                  </pic:blipFill>
                  <pic:spPr bwMode="auto">
                    <a:xfrm>
                      <a:off x="0" y="0"/>
                      <a:ext cx="6991350" cy="9048750"/>
                    </a:xfrm>
                    <a:prstGeom prst="rect">
                      <a:avLst/>
                    </a:prstGeom>
                  </pic:spPr>
                </pic:pic>
              </a:graphicData>
            </a:graphic>
          </wp:inline>
        </w:drawing>
      </w:r>
      <w:r>
        <w:rPr>
          <w:caps w:val="false"/>
          <w:smallCaps w:val="false"/>
          <w:color w:val="FFFFFF"/>
        </w:rPr>
        <w:t xml:space="preserve"> </w:t>
      </w:r>
    </w:p>
    <w:p>
      <w:pPr>
        <w:pStyle w:val="TextBody"/>
        <w:bidi w:val="0"/>
        <w:spacing w:lineRule="atLeast" w:line="142" w:before="120" w:after="283"/>
        <w:jc w:val="left"/>
        <w:rPr>
          <w:rFonts w:ascii="Helvetica;Arial;sans-serif" w:hAnsi="Helvetica;Arial;sans-serif"/>
          <w:b w:val="false"/>
          <w:i w:val="false"/>
          <w:caps w:val="false"/>
          <w:smallCaps w:val="false"/>
          <w:color w:val="FFFFFF"/>
          <w:sz w:val="2"/>
        </w:rPr>
      </w:pPr>
      <w:r>
        <w:rPr>
          <w:rFonts w:ascii="Helvetica;Arial;sans-serif" w:hAnsi="Helvetica;Arial;sans-serif"/>
          <w:b w:val="false"/>
          <w:i w:val="false"/>
          <w:caps w:val="false"/>
          <w:smallCaps w:val="false"/>
          <w:color w:val="FFFFFF"/>
          <w:sz w:val="2"/>
        </w:rPr>
        <w:t>Signature(s) in Box Please sign exactly as your name(s) appears on Proxy. If jointly owned, each joint owner should sign. Trustees, adminis trators, or other fiduciaries, should include title and authority. Corporations or partnerships should provide full name of corporation or partnership and title of authorized officer signing the Proxy. Vote by Internet, Telephone or Mail 24 Hours a Day, 7 Days a Week Your phone or Internet vote authorizes the named proxies to vote your shares in the same manner as if you marked, signed and returned your Proxy Card. INTERNET/MOBILE – www.proxypush.com/LCID Use the Internet to vote your proxy. PHONE – 1-866-883-3382 Use a touch-tone telephone to vote your proxy. MAIL – Mark, sign and date your Proxy Card and return it in the postage-paid envelope provided by June 3, 2024. Shareowner Services P.O. Box 64945 St. Paul, MN 55164-0945 For shares held through the 2021 Stock Incentive Plan, voting instructions by proxy card, telephone or Internet must be provided by 11:59 p.m. (Pacific Time), on May 30, 2024. If you vote your proxy by Internet or by Telephone, you do NOT need to mail back your Proxy Card. Shareowner Services P.O. Box 64945 St. Paul, MN 55164-0945 The Board of Directors Recommends a Vote FOR all Nominees in Proposal 1 and FOR Proposals 2, 3 and 4. 1. Election of 01 Turqi Alnowaiser 04 Sherif Marakby 07 Peter Rawlinson Vote FOR Vote WITHHELD directors: 02 Lisa M. Lambert 05 Nichelle Maynard-Elliott 08 Ori Winitzer all nominees from all nominees 03 Andrew Liveris 06 Chabi Nouri 09 Janet S. Wong (except as marked) (Instructions: To withhold authority to vote for any indicated nominee, write the number(s) of the nominee(s) in the box provided to the right.) 2. To ratify the selection of KPMG LLP as our independent registered public accounting firm for the fiscal year ending December 31, 2024 For Against Abstain 3. To approve, on an advisory basis, the compensation for our named executive officers as disclosed in our Proxy Statement For Against Abstain 4. To approve the amendment and restatement of the Lucid Group, Inc. Second Amended and Restated 2021 Stock Incentive Plan For Against Abstain THIS PROXY WHEN PROPERLY EXECUTED WILL BE VOTED AS DIRECTED OR, IF NO DIRECTION IS GIVEN, WILL BE VOTED AS THE BOARD RECOMMENDS. Address Change? Mark box, sign, and indicate changes below: Date</w:t>
      </w:r>
      <w:r>
        <w:rPr>
          <w:rFonts w:ascii="Helvetica;Arial;sans-serif" w:hAnsi="Helvetica;Arial;sans-serif"/>
          <w:b w:val="false"/>
          <w:i w:val="false"/>
          <w:caps w:val="false"/>
          <w:smallCaps w:val="false"/>
          <w:color w:val="00000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before="240" w:after="283"/>
        <w:ind w:left="0" w:right="0" w:hanging="0"/>
        <w:jc w:val="center"/>
        <w:rPr>
          <w:caps w:val="false"/>
          <w:smallCaps w:val="false"/>
          <w:color w:val="FFFFFF"/>
        </w:rPr>
      </w:pPr>
      <w:r>
        <w:rPr>
          <w:caps w:val="false"/>
          <w:smallCaps w:val="false"/>
          <w:color w:val="FFFFFF"/>
        </w:rPr>
        <w:drawing>
          <wp:inline distT="0" distB="0" distL="0" distR="0">
            <wp:extent cx="6991350" cy="9048750"/>
            <wp:effectExtent l="0" t="0" r="0" b="0"/>
            <wp:docPr id="448"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66" descr=""/>
                    <pic:cNvPicPr>
                      <a:picLocks noChangeAspect="1" noChangeArrowheads="1"/>
                    </pic:cNvPicPr>
                  </pic:nvPicPr>
                  <pic:blipFill>
                    <a:blip r:embed="rId74"/>
                    <a:stretch>
                      <a:fillRect/>
                    </a:stretch>
                  </pic:blipFill>
                  <pic:spPr bwMode="auto">
                    <a:xfrm>
                      <a:off x="0" y="0"/>
                      <a:ext cx="6991350" cy="9048750"/>
                    </a:xfrm>
                    <a:prstGeom prst="rect">
                      <a:avLst/>
                    </a:prstGeom>
                  </pic:spPr>
                </pic:pic>
              </a:graphicData>
            </a:graphic>
          </wp:inline>
        </w:drawing>
      </w:r>
      <w:r>
        <w:rPr>
          <w:caps w:val="false"/>
          <w:smallCaps w:val="false"/>
          <w:color w:val="FFFFFF"/>
        </w:rPr>
        <w:t xml:space="preserve"> </w:t>
      </w:r>
    </w:p>
    <w:p>
      <w:pPr>
        <w:pStyle w:val="TextBody"/>
        <w:bidi w:val="0"/>
        <w:spacing w:lineRule="atLeast" w:line="142" w:before="120" w:after="283"/>
        <w:jc w:val="left"/>
        <w:rPr>
          <w:rFonts w:ascii="Helvetica;Arial;sans-serif" w:hAnsi="Helvetica;Arial;sans-serif"/>
          <w:b w:val="false"/>
          <w:i w:val="false"/>
          <w:caps w:val="false"/>
          <w:smallCaps w:val="false"/>
          <w:color w:val="FFFFFF"/>
          <w:sz w:val="2"/>
        </w:rPr>
      </w:pPr>
      <w:r>
        <w:rPr>
          <w:rFonts w:ascii="Helvetica;Arial;sans-serif" w:hAnsi="Helvetica;Arial;sans-serif"/>
          <w:b w:val="false"/>
          <w:i w:val="false"/>
          <w:caps w:val="false"/>
          <w:smallCaps w:val="false"/>
          <w:color w:val="FFFFFF"/>
          <w:sz w:val="2"/>
        </w:rPr>
        <w:t>LUCID GROUP, INC. ANNUAL MEETING OF STOCKHOLDERS Tuesday, June 4, 2024 9:00 a.m. Pacific Time Virtual Annual Meeting Lucid Group, Inc. 7373 Gateway Blvd. Newark, CA 94560 proxy This proxy is solicited by the Board of Directors for use at the Annual Meeting of Stockholders of Lucid Group, Inc. on June 4, 2024. By signing the proxy, you revoke all prior proxies and appoint Gagan Dhingra and Matthew Everitt, or either of them, each with full power of substitution and revocation and authorize them to vote all of the shares of common stock of Lucid Group, Inc. which you are entitled to vote at the Annual Meeting of Stockholders on the matters shown on the reverse side and any other matters that may properly come before the Annual Meeting of Stockholders and all adjournments or postponement thereof. The shares of stock you hold in your account will be voted as you specify on the reverse side. If no choice is specified, the proxy will be voted FOR all Nominees in Proposal 1 and FOR Proposals 2, 3 and 4. See reverse for voting instructions.</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Garamon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3.jpeg"/><Relationship Id="rId6" Type="http://schemas.openxmlformats.org/officeDocument/2006/relationships/image" Target="media/image1.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4.jpeg"/><Relationship Id="rId10" Type="http://schemas.openxmlformats.org/officeDocument/2006/relationships/image" Target="media/image5.gif"/><Relationship Id="rId11" Type="http://schemas.openxmlformats.org/officeDocument/2006/relationships/image" Target="media/image6.jpeg"/><Relationship Id="rId12" Type="http://schemas.openxmlformats.org/officeDocument/2006/relationships/image" Target="media/image7.gif"/><Relationship Id="rId13" Type="http://schemas.openxmlformats.org/officeDocument/2006/relationships/image" Target="media/image7.gif"/><Relationship Id="rId14" Type="http://schemas.openxmlformats.org/officeDocument/2006/relationships/image" Target="media/image7.gif"/><Relationship Id="rId15" Type="http://schemas.openxmlformats.org/officeDocument/2006/relationships/image" Target="media/image7.gif"/><Relationship Id="rId16" Type="http://schemas.openxmlformats.org/officeDocument/2006/relationships/image" Target="media/image7.gif"/><Relationship Id="rId17" Type="http://schemas.openxmlformats.org/officeDocument/2006/relationships/image" Target="media/image7.gif"/><Relationship Id="rId18" Type="http://schemas.openxmlformats.org/officeDocument/2006/relationships/image" Target="media/image7.gif"/><Relationship Id="rId19" Type="http://schemas.openxmlformats.org/officeDocument/2006/relationships/image" Target="media/image7.gif"/><Relationship Id="rId20" Type="http://schemas.openxmlformats.org/officeDocument/2006/relationships/image" Target="media/image7.gif"/><Relationship Id="rId21" Type="http://schemas.openxmlformats.org/officeDocument/2006/relationships/image" Target="media/image7.gif"/><Relationship Id="rId22" Type="http://schemas.openxmlformats.org/officeDocument/2006/relationships/image" Target="media/image7.gif"/><Relationship Id="rId23" Type="http://schemas.openxmlformats.org/officeDocument/2006/relationships/image" Target="media/image7.gif"/><Relationship Id="rId24" Type="http://schemas.openxmlformats.org/officeDocument/2006/relationships/image" Target="media/image7.gif"/><Relationship Id="rId25" Type="http://schemas.openxmlformats.org/officeDocument/2006/relationships/image" Target="media/image7.gif"/><Relationship Id="rId26" Type="http://schemas.openxmlformats.org/officeDocument/2006/relationships/image" Target="media/image7.gif"/><Relationship Id="rId27" Type="http://schemas.openxmlformats.org/officeDocument/2006/relationships/image" Target="media/image7.gif"/><Relationship Id="rId28" Type="http://schemas.openxmlformats.org/officeDocument/2006/relationships/image" Target="media/image8.jpeg"/><Relationship Id="rId29" Type="http://schemas.openxmlformats.org/officeDocument/2006/relationships/image" Target="media/image9.jpeg"/><Relationship Id="rId30" Type="http://schemas.openxmlformats.org/officeDocument/2006/relationships/image" Target="media/image10.jpeg"/><Relationship Id="rId31" Type="http://schemas.openxmlformats.org/officeDocument/2006/relationships/image" Target="media/image11.jpeg"/><Relationship Id="rId32" Type="http://schemas.openxmlformats.org/officeDocument/2006/relationships/image" Target="media/image12.jpeg"/><Relationship Id="rId33" Type="http://schemas.openxmlformats.org/officeDocument/2006/relationships/image" Target="media/image13.jpeg"/><Relationship Id="rId34" Type="http://schemas.openxmlformats.org/officeDocument/2006/relationships/image" Target="media/image14.jpeg"/><Relationship Id="rId35" Type="http://schemas.openxmlformats.org/officeDocument/2006/relationships/image" Target="media/image15.jpeg"/><Relationship Id="rId36" Type="http://schemas.openxmlformats.org/officeDocument/2006/relationships/image" Target="media/image16.jpeg"/><Relationship Id="rId37" Type="http://schemas.openxmlformats.org/officeDocument/2006/relationships/image" Target="media/image17.jpeg"/><Relationship Id="rId38" Type="http://schemas.openxmlformats.org/officeDocument/2006/relationships/image" Target="media/image18.jpeg"/><Relationship Id="rId39" Type="http://schemas.openxmlformats.org/officeDocument/2006/relationships/image" Target="media/image19.jpeg"/><Relationship Id="rId40" Type="http://schemas.openxmlformats.org/officeDocument/2006/relationships/image" Target="media/image20.jpeg"/><Relationship Id="rId41" Type="http://schemas.openxmlformats.org/officeDocument/2006/relationships/image" Target="media/image21.jpeg"/><Relationship Id="rId42" Type="http://schemas.openxmlformats.org/officeDocument/2006/relationships/image" Target="media/image22.jpeg"/><Relationship Id="rId43" Type="http://schemas.openxmlformats.org/officeDocument/2006/relationships/image" Target="media/image23.jpeg"/><Relationship Id="rId44" Type="http://schemas.openxmlformats.org/officeDocument/2006/relationships/image" Target="media/image24.jpeg"/><Relationship Id="rId45" Type="http://schemas.openxmlformats.org/officeDocument/2006/relationships/image" Target="media/image25.jpeg"/><Relationship Id="rId46" Type="http://schemas.openxmlformats.org/officeDocument/2006/relationships/image" Target="media/image26.jpeg"/><Relationship Id="rId47" Type="http://schemas.openxmlformats.org/officeDocument/2006/relationships/image" Target="media/image27.jpeg"/><Relationship Id="rId48" Type="http://schemas.openxmlformats.org/officeDocument/2006/relationships/image" Target="media/image28.jpeg"/><Relationship Id="rId49" Type="http://schemas.openxmlformats.org/officeDocument/2006/relationships/image" Target="media/image29.jpeg"/><Relationship Id="rId50" Type="http://schemas.openxmlformats.org/officeDocument/2006/relationships/image" Target="media/image30.jpeg"/><Relationship Id="rId51" Type="http://schemas.openxmlformats.org/officeDocument/2006/relationships/image" Target="media/image31.jpeg"/><Relationship Id="rId52" Type="http://schemas.openxmlformats.org/officeDocument/2006/relationships/image" Target="media/image30.jpeg"/><Relationship Id="rId53" Type="http://schemas.openxmlformats.org/officeDocument/2006/relationships/image" Target="media/image31.jpeg"/><Relationship Id="rId54" Type="http://schemas.openxmlformats.org/officeDocument/2006/relationships/image" Target="media/image30.jpeg"/><Relationship Id="rId55" Type="http://schemas.openxmlformats.org/officeDocument/2006/relationships/image" Target="media/image31.jpeg"/><Relationship Id="rId56" Type="http://schemas.openxmlformats.org/officeDocument/2006/relationships/image" Target="media/image30.jpeg"/><Relationship Id="rId57" Type="http://schemas.openxmlformats.org/officeDocument/2006/relationships/image" Target="media/image31.jpeg"/><Relationship Id="rId58" Type="http://schemas.openxmlformats.org/officeDocument/2006/relationships/image" Target="media/image30.jpeg"/><Relationship Id="rId59" Type="http://schemas.openxmlformats.org/officeDocument/2006/relationships/image" Target="media/image31.jpeg"/><Relationship Id="rId60" Type="http://schemas.openxmlformats.org/officeDocument/2006/relationships/image" Target="media/image30.jpeg"/><Relationship Id="rId61" Type="http://schemas.openxmlformats.org/officeDocument/2006/relationships/image" Target="media/image31.jpeg"/><Relationship Id="rId62" Type="http://schemas.openxmlformats.org/officeDocument/2006/relationships/image" Target="media/image31.jpeg"/><Relationship Id="rId63" Type="http://schemas.openxmlformats.org/officeDocument/2006/relationships/image" Target="media/image32.jpeg"/><Relationship Id="rId64" Type="http://schemas.openxmlformats.org/officeDocument/2006/relationships/image" Target="media/image33.jpeg"/><Relationship Id="rId65" Type="http://schemas.openxmlformats.org/officeDocument/2006/relationships/image" Target="media/image34.jpeg"/><Relationship Id="rId66" Type="http://schemas.openxmlformats.org/officeDocument/2006/relationships/image" Target="media/image34.jpeg"/><Relationship Id="rId67" Type="http://schemas.openxmlformats.org/officeDocument/2006/relationships/image" Target="media/image35.jpeg"/><Relationship Id="rId68" Type="http://schemas.openxmlformats.org/officeDocument/2006/relationships/image" Target="media/image35.jpeg"/><Relationship Id="rId69" Type="http://schemas.openxmlformats.org/officeDocument/2006/relationships/image" Target="media/image36.jpeg"/><Relationship Id="rId70" Type="http://schemas.openxmlformats.org/officeDocument/2006/relationships/image" Target="media/image36.jpeg"/><Relationship Id="rId71" Type="http://schemas.openxmlformats.org/officeDocument/2006/relationships/image" Target="media/image37.jpeg"/><Relationship Id="rId72" Type="http://schemas.openxmlformats.org/officeDocument/2006/relationships/image" Target="media/image37.jpeg"/><Relationship Id="rId73" Type="http://schemas.openxmlformats.org/officeDocument/2006/relationships/image" Target="media/image38.jpeg"/><Relationship Id="rId74" Type="http://schemas.openxmlformats.org/officeDocument/2006/relationships/image" Target="media/image39.jpeg"/><Relationship Id="rId75" Type="http://schemas.openxmlformats.org/officeDocument/2006/relationships/fontTable" Target="fontTable.xml"/><Relationship Id="rId7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55681</Words>
  <Characters>297159</Characters>
  <CharactersWithSpaces>363271</CharactersWithSpaces>
  <Paragraphs>14106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