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As filed with the Securities and Exchange Commission on June 6, 2025</w:t>
      </w:r>
    </w:p>
    <w:p>
      <w:pPr>
        <w:pStyle w:val="TextBody"/>
        <w:bidi w:val="0"/>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Registration No. 333-</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S-8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REGISTRATION STATEMENT UNDER</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ACT OF 1933</w:t>
      </w:r>
    </w:p>
    <w:p>
      <w:pPr>
        <w:pStyle w:val="TextBody"/>
        <w:bidi w:val="0"/>
        <w:spacing w:lineRule="auto" w:line="273" w:before="0" w:after="0"/>
        <w:jc w:val="center"/>
        <w:rPr>
          <w:rFonts w:ascii="Times New Roman;sans-serif" w:hAnsi="Times New Roman;sans-serif"/>
          <w:b/>
          <w:color w:val="000000"/>
          <w:sz w:val="31"/>
        </w:rPr>
      </w:pPr>
      <w:r>
        <w:rPr>
          <w:rFonts w:ascii="Times New Roman;sans-serif" w:hAnsi="Times New Roman;sans-serif"/>
          <w:b/>
          <w:color w:val="000000"/>
          <w:sz w:val="31"/>
        </w:rPr>
        <w:t>LUCID GROUP, INC.</w:t>
      </w:r>
    </w:p>
    <w:p>
      <w:pPr>
        <w:pStyle w:val="TextBody"/>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center"/>
        <w:rPr/>
      </w:pPr>
      <w:r>
        <w:rPr/>
      </w:r>
    </w:p>
    <w:tbl>
      <w:tblPr>
        <w:tblW w:w="4525" w:type="dxa"/>
        <w:jc w:val="center"/>
        <w:tblInd w:w="0" w:type="dxa"/>
        <w:tblLayout w:type="fixed"/>
        <w:tblCellMar>
          <w:top w:w="28" w:type="dxa"/>
          <w:left w:w="28" w:type="dxa"/>
          <w:bottom w:w="28" w:type="dxa"/>
          <w:right w:w="28" w:type="dxa"/>
        </w:tblCellMar>
      </w:tblPr>
      <w:tblGrid>
        <w:gridCol w:w="910"/>
        <w:gridCol w:w="801"/>
        <w:gridCol w:w="808"/>
        <w:gridCol w:w="122"/>
        <w:gridCol w:w="122"/>
        <w:gridCol w:w="122"/>
        <w:gridCol w:w="478"/>
        <w:gridCol w:w="478"/>
        <w:gridCol w:w="684"/>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85-0891392</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(State or other jurisdiction of </w:t>
              <w:br/>
              <w:t>incorporation or organization)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(I.R.S. Employer </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7373 Gateway Blvd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Newark, CA 94560</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Telephone: (510) 648-3553</w:t>
            </w:r>
          </w:p>
        </w:tc>
      </w:tr>
      <w:tr>
        <w:trPr/>
        <w:tc>
          <w:tcPr>
            <w:tcW w:w="45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Including Zip Code)</w:t>
            </w:r>
          </w:p>
        </w:tc>
      </w:tr>
    </w:tbl>
    <w:p>
      <w:pPr>
        <w:pStyle w:val="TextBody"/>
        <w:bidi w:val="0"/>
        <w:spacing w:before="0" w:after="0"/>
        <w:jc w:val="left"/>
        <w:rPr/>
      </w:pPr>
      <w:r>
        <w:rPr/>
      </w:r>
    </w:p>
    <w:p>
      <w:pPr>
        <w:pStyle w:val="TextBody"/>
        <w:bidi w:val="0"/>
        <w:spacing w:lineRule="auto" w:line="252" w:before="0" w:after="0"/>
        <w:ind w:left="0" w:right="0" w:firstLine="1918"/>
        <w:jc w:val="center"/>
        <w:rPr>
          <w:rFonts w:ascii="Times New Roman;sans-serif" w:hAnsi="Times New Roman;sans-serif"/>
          <w:b/>
          <w:color w:val="000000"/>
          <w:sz w:val="18"/>
        </w:rPr>
      </w:pPr>
      <w:r>
        <w:rPr>
          <w:rFonts w:ascii="Times New Roman;sans-serif" w:hAnsi="Times New Roman;sans-serif"/>
          <w:b/>
          <w:color w:val="000000"/>
          <w:sz w:val="18"/>
        </w:rPr>
        <w:t>Lucid Group, Inc. Amended and Restated 2021 Stock Incentive Plan (including the Lucid Group, Inc. Amended and Restated 2021 Employee Stock Purchase Plan attached thereto)</w:t>
      </w:r>
    </w:p>
    <w:p>
      <w:pPr>
        <w:pStyle w:val="TextBody"/>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(Full title of the plan)</w:t>
      </w:r>
    </w:p>
    <w:p>
      <w:pPr>
        <w:pStyle w:val="TextBody"/>
        <w:bidi w:val="0"/>
        <w:spacing w:before="0" w:after="0"/>
        <w:jc w:val="center"/>
        <w:rPr/>
      </w:pPr>
      <w:r>
        <w:rPr/>
      </w:r>
    </w:p>
    <w:p>
      <w:pPr>
        <w:pStyle w:val="TextBody"/>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Marc Winterhoff </w:t>
      </w:r>
    </w:p>
    <w:p>
      <w:pPr>
        <w:pStyle w:val="TextBody"/>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Interim Chief Executive Officer</w:t>
      </w:r>
    </w:p>
    <w:p>
      <w:pPr>
        <w:pStyle w:val="TextBody"/>
        <w:bidi w:val="0"/>
        <w:spacing w:lineRule="auto" w:line="252" w:before="0" w:after="0"/>
        <w:ind w:left="0" w:right="0" w:firstLine="408"/>
        <w:jc w:val="center"/>
        <w:rPr>
          <w:rFonts w:ascii="Times New Roman;sans-serif" w:hAnsi="Times New Roman;sans-serif"/>
          <w:b/>
          <w:color w:val="000000"/>
          <w:sz w:val="18"/>
        </w:rPr>
      </w:pPr>
      <w:r>
        <w:rPr>
          <w:rFonts w:ascii="Times New Roman;sans-serif" w:hAnsi="Times New Roman;sans-serif"/>
          <w:b/>
          <w:color w:val="000000"/>
          <w:sz w:val="18"/>
        </w:rPr>
        <w:t>7373 Gateway Boulevard</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Newark, CA 94560</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Telephone: (510) 648-3553</w:t>
      </w:r>
    </w:p>
    <w:p>
      <w:pPr>
        <w:pStyle w:val="TextBody"/>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 address and telephone number, including area code, of agent for service)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With a copy to:</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Thomas J. Ivey </w:t>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Brian D. Paulson</w:t>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Skadden, Arps, Slate, Meagher &amp; Flom LLP </w:t>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525 University Avenue</w:t>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Palo Alto, CA 94301 </w:t>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(650) 470-4522</w:t>
      </w:r>
    </w:p>
    <w:p>
      <w:pPr>
        <w:pStyle w:val="TextBody"/>
        <w:bidi w:val="0"/>
        <w:spacing w:before="0" w:after="0"/>
        <w:jc w:val="center"/>
        <w:rPr/>
      </w:pPr>
      <w:r>
        <w:rPr/>
      </w:r>
    </w:p>
    <w:p>
      <w:pPr>
        <w:pStyle w:val="TextBody"/>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Brian K. Tomkiel</w:t>
      </w:r>
    </w:p>
    <w:p>
      <w:pPr>
        <w:pStyle w:val="TextBody"/>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General Counsel and Secretary</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Lucid Group, Inc.</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7373 Gateway Boulevard</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Newark, CA 94560</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(510) 648-3553</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before="0" w:after="0"/>
        <w:jc w:val="left"/>
        <w:rPr/>
      </w:pPr>
      <w:r>
        <w:rPr/>
      </w:r>
    </w:p>
    <w:tbl>
      <w:tblPr>
        <w:tblW w:w="5663"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109"/>
        <w:gridCol w:w="109"/>
        <w:gridCol w:w="109"/>
        <w:gridCol w:w="109"/>
        <w:gridCol w:w="109"/>
        <w:gridCol w:w="109"/>
        <w:gridCol w:w="788"/>
        <w:gridCol w:w="788"/>
        <w:gridCol w:w="788"/>
        <w:gridCol w:w="138"/>
        <w:gridCol w:w="138"/>
        <w:gridCol w:w="198"/>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3"/>
              <w:jc w:val="left"/>
              <w:rPr>
                <w:rFonts w:ascii="Times New Roman;sans-serif" w:hAnsi="Times New Roman;sans-serif"/>
                <w:b/>
                <w:color w:val="000000"/>
                <w:sz w:val="18"/>
              </w:rPr>
            </w:pPr>
            <w:r>
              <w:rPr>
                <w:rFonts w:ascii="Times New Roman;sans-serif" w:hAnsi="Times New Roman;sans-serif"/>
                <w:b/>
                <w:color w:val="000000"/>
                <w:sz w:val="18"/>
              </w:rPr>
              <w:t xml:space="preserve">Accelerated filer </w:t>
            </w:r>
          </w:p>
        </w:tc>
        <w:tc>
          <w:tcPr>
            <w:tcW w:w="47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3"/>
              <w:jc w:val="lef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3"/>
              <w:jc w:val="left"/>
              <w:rPr>
                <w:rFonts w:ascii="Times New Roman;sans-serif" w:hAnsi="Times New Roman;sans-serif"/>
                <w:b/>
                <w:color w:val="000000"/>
                <w:sz w:val="18"/>
              </w:rPr>
            </w:pPr>
            <w:r>
              <w:rPr>
                <w:rFonts w:ascii="Times New Roman;sans-serif" w:hAnsi="Times New Roman;sans-serif"/>
                <w:b/>
                <w:color w:val="000000"/>
                <w:sz w:val="18"/>
              </w:rPr>
              <w:t xml:space="preserve">Smaller reporting company </w:t>
            </w:r>
          </w:p>
        </w:tc>
        <w:tc>
          <w:tcPr>
            <w:tcW w:w="47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3"/>
              <w:jc w:val="lef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3"/>
              <w:jc w:val="left"/>
              <w:rPr>
                <w:rFonts w:ascii="Times New Roman;sans-serif" w:hAnsi="Times New Roman;sans-serif"/>
                <w:b/>
                <w:color w:val="000000"/>
                <w:sz w:val="18"/>
              </w:rPr>
            </w:pPr>
            <w:r>
              <w:rPr>
                <w:rFonts w:ascii="Times New Roman;sans-serif" w:hAnsi="Times New Roman;sans-serif"/>
                <w:b/>
                <w:color w:val="000000"/>
                <w:sz w:val="18"/>
              </w:rPr>
              <w:t xml:space="preserve">Emerging growth company </w:t>
            </w:r>
          </w:p>
        </w:tc>
        <w:tc>
          <w:tcPr>
            <w:tcW w:w="47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3"/>
              <w:jc w:val="left"/>
              <w:rPr>
                <w:color w:val="000000"/>
              </w:rPr>
            </w:pPr>
            <w:r>
              <w:rPr>
                <w:color w:val="000000"/>
              </w:rPr>
              <w:t>☐</w:t>
            </w:r>
          </w:p>
        </w:tc>
      </w:tr>
    </w:tbl>
    <w:p>
      <w:pPr>
        <w:pStyle w:val="TextBody"/>
        <w:bidi w:val="0"/>
        <w:spacing w:before="0" w:after="0"/>
        <w:jc w:val="left"/>
        <w:rPr/>
      </w:pPr>
      <w:r>
        <w:rPr/>
      </w:r>
    </w:p>
    <w:p>
      <w:pPr>
        <w:pStyle w:val="TextBody"/>
        <w:bidi w:val="0"/>
        <w:spacing w:lineRule="auto" w:line="252" w:before="0" w:after="0"/>
        <w:jc w:val="left"/>
        <w:rPr/>
      </w:pPr>
      <w:r>
        <w:rPr>
          <w:rFonts w:ascii="Times New Roman;sans-serif" w:hAnsi="Times New Roman;sans-serif"/>
          <w:b/>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ind w:left="0" w:right="0" w:firstLine="424"/>
        <w:jc w:val="left"/>
        <w:rPr/>
      </w:pPr>
      <w:r>
        <w:rPr>
          <w:rFonts w:ascii="Times New Roman;sans-serif" w:hAnsi="Times New Roman;sans-serif"/>
          <w:b w:val="false"/>
          <w:color w:val="000000"/>
          <w:sz w:val="18"/>
        </w:rPr>
        <w:t>Lucid Group, Inc. (the “</w:t>
      </w:r>
      <w:r>
        <w:rPr>
          <w:rFonts w:ascii="Times New Roman;sans-serif" w:hAnsi="Times New Roman;sans-serif"/>
          <w:b w:val="false"/>
          <w:color w:val="000000"/>
          <w:sz w:val="18"/>
          <w:u w:val="single"/>
        </w:rPr>
        <w:t>Registrant</w:t>
      </w:r>
      <w:r>
        <w:rPr>
          <w:color w:val="000000"/>
        </w:rPr>
        <w:t>”</w:t>
      </w:r>
      <w:r>
        <w:rPr>
          <w:rFonts w:ascii="Times New Roman;sans-serif" w:hAnsi="Times New Roman;sans-serif"/>
          <w:b w:val="false"/>
          <w:color w:val="000000"/>
          <w:sz w:val="18"/>
        </w:rPr>
        <w:t>) is filing this Registration Statement with the Securities and Exchange Commission (the “</w:t>
      </w:r>
      <w:r>
        <w:rPr>
          <w:rFonts w:ascii="Times New Roman;sans-serif" w:hAnsi="Times New Roman;sans-serif"/>
          <w:b w:val="false"/>
          <w:color w:val="000000"/>
          <w:sz w:val="18"/>
          <w:u w:val="single"/>
        </w:rPr>
        <w:t>Commission</w:t>
      </w:r>
      <w:r>
        <w:rPr>
          <w:color w:val="000000"/>
        </w:rPr>
        <w:t>”</w:t>
      </w:r>
      <w:r>
        <w:rPr>
          <w:rFonts w:ascii="Times New Roman;sans-serif" w:hAnsi="Times New Roman;sans-serif"/>
          <w:b w:val="false"/>
          <w:color w:val="000000"/>
          <w:sz w:val="18"/>
        </w:rPr>
        <w:t>) to register (i) an additional 184,000,000 shares of Class A common stock, $0.0001 par value per share (the “</w:t>
      </w:r>
      <w:r>
        <w:rPr>
          <w:rFonts w:ascii="Times New Roman;sans-serif" w:hAnsi="Times New Roman;sans-serif"/>
          <w:b w:val="false"/>
          <w:color w:val="000000"/>
          <w:sz w:val="18"/>
          <w:u w:val="single"/>
        </w:rPr>
        <w:t>Common Stock</w:t>
      </w:r>
      <w:r>
        <w:rPr>
          <w:color w:val="000000"/>
        </w:rPr>
        <w:t>”</w:t>
      </w:r>
      <w:r>
        <w:rPr>
          <w:rFonts w:ascii="Times New Roman;sans-serif" w:hAnsi="Times New Roman;sans-serif"/>
          <w:b w:val="false"/>
          <w:color w:val="000000"/>
          <w:sz w:val="18"/>
        </w:rPr>
        <w:t>), issuable to eligible persons under the Lucid Group, Inc. Amended and Restated 2021 Stock Incentive Plan (the “</w:t>
      </w:r>
      <w:r>
        <w:rPr>
          <w:rFonts w:ascii="Times New Roman;sans-serif" w:hAnsi="Times New Roman;sans-serif"/>
          <w:b w:val="false"/>
          <w:color w:val="000000"/>
          <w:sz w:val="18"/>
          <w:u w:val="single"/>
        </w:rPr>
        <w:t>Incentive Plan</w:t>
      </w:r>
      <w:r>
        <w:rPr>
          <w:color w:val="000000"/>
        </w:rPr>
        <w:t>”</w:t>
      </w:r>
      <w:r>
        <w:rPr>
          <w:rFonts w:ascii="Times New Roman;sans-serif" w:hAnsi="Times New Roman;sans-serif"/>
          <w:b w:val="false"/>
          <w:color w:val="000000"/>
          <w:sz w:val="18"/>
        </w:rPr>
        <w:t>) and (ii) an additional 2,265,469 shares of Common Stock issuable to eligible persons under the Incentive Plan by reason of the recycling provisions of Section 5 of the Incentive Plan.</w:t>
      </w:r>
    </w:p>
    <w:p>
      <w:pPr>
        <w:pStyle w:val="TextBody"/>
        <w:bidi w:val="0"/>
        <w:spacing w:lineRule="auto" w:line="288" w:before="240" w:after="283"/>
        <w:ind w:left="0" w:right="0" w:firstLine="423"/>
        <w:jc w:val="left"/>
        <w:rPr/>
      </w:pPr>
      <w:r>
        <w:rPr>
          <w:rFonts w:ascii="Times New Roman;sans-serif" w:hAnsi="Times New Roman;sans-serif"/>
          <w:b w:val="false"/>
          <w:color w:val="000000"/>
          <w:sz w:val="18"/>
        </w:rPr>
        <w:t xml:space="preserve">The Registrant previously filed with the Commission registration statements on Form S-8 (File Nos. </w:t>
      </w:r>
      <w:hyperlink r:id="rId2">
        <w:r>
          <w:rPr>
            <w:rStyle w:val="InternetLink"/>
            <w:rFonts w:ascii="Times New Roman;sans-serif" w:hAnsi="Times New Roman;sans-serif"/>
            <w:b w:val="false"/>
            <w:color w:val="0000FF"/>
            <w:sz w:val="18"/>
            <w:u w:val="single"/>
          </w:rPr>
          <w:t>333-259794</w:t>
        </w:r>
      </w:hyperlink>
      <w:r>
        <w:rPr>
          <w:rFonts w:ascii="Times New Roman;sans-serif" w:hAnsi="Times New Roman;sans-serif"/>
          <w:b w:val="false"/>
          <w:color w:val="000000"/>
          <w:sz w:val="18"/>
        </w:rPr>
        <w:t xml:space="preserve">, </w:t>
      </w:r>
      <w:hyperlink r:id="rId3">
        <w:r>
          <w:rPr>
            <w:rStyle w:val="InternetLink"/>
            <w:rFonts w:ascii="Times New Roman;sans-serif" w:hAnsi="Times New Roman;sans-serif"/>
            <w:b w:val="false"/>
            <w:color w:val="0000FF"/>
            <w:sz w:val="18"/>
            <w:u w:val="single"/>
          </w:rPr>
          <w:t>333-265734</w:t>
        </w:r>
      </w:hyperlink>
      <w:r>
        <w:rPr>
          <w:rFonts w:ascii="Times New Roman;sans-serif" w:hAnsi="Times New Roman;sans-serif"/>
          <w:b w:val="false"/>
          <w:color w:val="000000"/>
          <w:sz w:val="18"/>
        </w:rPr>
        <w:t xml:space="preserve">, </w:t>
      </w:r>
      <w:hyperlink r:id="rId4">
        <w:r>
          <w:rPr>
            <w:rStyle w:val="InternetLink"/>
            <w:rFonts w:ascii="Times New Roman;sans-serif" w:hAnsi="Times New Roman;sans-serif"/>
            <w:b w:val="false"/>
            <w:color w:val="0000FF"/>
            <w:sz w:val="18"/>
            <w:u w:val="single"/>
          </w:rPr>
          <w:t>333-271725</w:t>
        </w:r>
      </w:hyperlink>
      <w:r>
        <w:rPr>
          <w:rFonts w:ascii="Times New Roman;sans-serif" w:hAnsi="Times New Roman;sans-serif"/>
          <w:b w:val="false"/>
          <w:color w:val="000000"/>
          <w:sz w:val="18"/>
        </w:rPr>
        <w:t xml:space="preserve">, and </w:t>
      </w:r>
      <w:hyperlink r:id="rId5">
        <w:r>
          <w:rPr>
            <w:rStyle w:val="InternetLink"/>
            <w:rFonts w:ascii="Times New Roman;sans-serif" w:hAnsi="Times New Roman;sans-serif"/>
            <w:b w:val="false"/>
            <w:color w:val="0000FF"/>
            <w:sz w:val="18"/>
            <w:u w:val="single"/>
          </w:rPr>
          <w:t>333-279973</w:t>
        </w:r>
      </w:hyperlink>
      <w:r>
        <w:rPr>
          <w:rFonts w:ascii="Times New Roman;sans-serif" w:hAnsi="Times New Roman;sans-serif"/>
          <w:b w:val="false"/>
          <w:color w:val="000000"/>
          <w:sz w:val="18"/>
        </w:rPr>
        <w:t>) (the “Prior Registration Statements”). This Registration Statement relates to securities of the same class as those to which the Prior Registration Statements relate. Pursuant to General Instruction E of Form S-8, the contents of the Prior Registration Statements are incorporated herein by reference, including all attachments and exhibits thereto, except to the extent supplemented, amended or superseded by the information set forth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PART II</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INFORMATION REQUIRED IN THE REGISTRATION STATEMENT</w:t>
      </w:r>
    </w:p>
    <w:p>
      <w:pPr>
        <w:pStyle w:val="TextBody"/>
        <w:bidi w:val="0"/>
        <w:spacing w:lineRule="auto" w:line="288" w:before="240" w:after="283"/>
        <w:ind w:left="0" w:right="0" w:firstLine="113"/>
        <w:jc w:val="left"/>
        <w:rPr>
          <w:rFonts w:ascii="Times New Roman;sans-serif" w:hAnsi="Times New Roman;sans-serif"/>
          <w:b/>
          <w:color w:val="000000"/>
          <w:sz w:val="18"/>
        </w:rPr>
      </w:pPr>
      <w:r>
        <w:rPr>
          <w:rFonts w:ascii="Times New Roman;sans-serif" w:hAnsi="Times New Roman;sans-serif"/>
          <w:b/>
          <w:color w:val="000000"/>
          <w:sz w:val="18"/>
        </w:rPr>
        <w:t>Item 3. Incorporation of Documents by Reference.</w:t>
      </w:r>
    </w:p>
    <w:p>
      <w:pPr>
        <w:pStyle w:val="TextBody"/>
        <w:bidi w:val="0"/>
        <w:spacing w:lineRule="auto" w:line="288" w:before="240" w:after="283"/>
        <w:ind w:left="0" w:right="0" w:firstLine="424"/>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documents are incorporated herein by reference:</w:t>
      </w:r>
    </w:p>
    <w:p>
      <w:pPr>
        <w:pStyle w:val="TextBody"/>
        <w:bidi w:val="0"/>
        <w:spacing w:lineRule="auto" w:line="288" w:before="120" w:after="283"/>
        <w:ind w:left="0" w:right="0" w:hanging="360"/>
        <w:jc w:val="left"/>
        <w:rPr/>
      </w:pPr>
      <w:r>
        <w:rPr>
          <w:rFonts w:ascii="Times New Roman;sans-serif" w:hAnsi="Times New Roman;sans-serif"/>
          <w:b w:val="false"/>
          <w:color w:val="000000"/>
          <w:sz w:val="18"/>
        </w:rPr>
        <w:t xml:space="preserve">(a)The Registrant’s Annual Report on Form 10-K for the year ended December 31, 2024, as filed with the Commission on </w:t>
      </w:r>
      <w:hyperlink r:id="rId6">
        <w:r>
          <w:rPr>
            <w:rStyle w:val="InternetLink"/>
            <w:rFonts w:ascii="Times New Roman;sans-serif" w:hAnsi="Times New Roman;sans-serif"/>
            <w:b w:val="false"/>
            <w:color w:val="0000FF"/>
            <w:sz w:val="18"/>
            <w:u w:val="single"/>
          </w:rPr>
          <w:t>February 25, 2025</w:t>
        </w:r>
      </w:hyperlink>
      <w:r>
        <w:rPr>
          <w:color w:val="000000"/>
        </w:rPr>
        <w:t xml:space="preserve"> </w:t>
      </w:r>
      <w:r>
        <w:rPr>
          <w:rFonts w:ascii="Times New Roman;sans-serif" w:hAnsi="Times New Roman;sans-serif"/>
          <w:b w:val="false"/>
          <w:color w:val="000000"/>
          <w:sz w:val="18"/>
        </w:rPr>
        <w:t>(the “Annual Report”);</w:t>
      </w:r>
    </w:p>
    <w:p>
      <w:pPr>
        <w:pStyle w:val="TextBody"/>
        <w:bidi w:val="0"/>
        <w:spacing w:lineRule="auto" w:line="288" w:before="120" w:after="283"/>
        <w:ind w:left="0" w:right="0" w:hanging="360"/>
        <w:jc w:val="left"/>
        <w:rPr/>
      </w:pPr>
      <w:r>
        <w:rPr>
          <w:rFonts w:ascii="Times New Roman;sans-serif" w:hAnsi="Times New Roman;sans-serif"/>
          <w:b w:val="false"/>
          <w:color w:val="000000"/>
          <w:sz w:val="18"/>
        </w:rPr>
        <w:t xml:space="preserve">(b)The portions of the Registrant’s Definitive Proxy Statement on Schedule 14A, as filed with the Commission on </w:t>
      </w:r>
      <w:hyperlink r:id="rId7">
        <w:r>
          <w:rPr>
            <w:rStyle w:val="InternetLink"/>
            <w:rFonts w:ascii="Times New Roman;sans-serif" w:hAnsi="Times New Roman;sans-serif"/>
            <w:b w:val="false"/>
            <w:color w:val="0000FF"/>
            <w:sz w:val="18"/>
            <w:u w:val="single"/>
          </w:rPr>
          <w:t>April 24, 2025</w:t>
        </w:r>
      </w:hyperlink>
      <w:r>
        <w:rPr>
          <w:rFonts w:ascii="Times New Roman;sans-serif" w:hAnsi="Times New Roman;sans-serif"/>
          <w:b w:val="false"/>
          <w:color w:val="000000"/>
          <w:sz w:val="18"/>
        </w:rPr>
        <w:t>, that are incorporated by reference into the Annual Report;</w:t>
      </w:r>
    </w:p>
    <w:p>
      <w:pPr>
        <w:pStyle w:val="TextBody"/>
        <w:bidi w:val="0"/>
        <w:spacing w:lineRule="auto" w:line="288" w:before="120" w:after="283"/>
        <w:ind w:left="0" w:right="0" w:hanging="360"/>
        <w:jc w:val="left"/>
        <w:rPr/>
      </w:pPr>
      <w:r>
        <w:rPr>
          <w:rFonts w:ascii="Times New Roman;sans-serif" w:hAnsi="Times New Roman;sans-serif"/>
          <w:b w:val="false"/>
          <w:color w:val="000000"/>
          <w:sz w:val="18"/>
        </w:rPr>
        <w:t xml:space="preserve">(c)The Registrant’s Quarterly Report on Form 10-Q for the quarter ended March 31, 2025, as filed with the Commission on </w:t>
      </w:r>
      <w:hyperlink r:id="rId8">
        <w:r>
          <w:rPr>
            <w:rStyle w:val="InternetLink"/>
            <w:rFonts w:ascii="Times New Roman;sans-serif" w:hAnsi="Times New Roman;sans-serif"/>
            <w:b w:val="false"/>
            <w:color w:val="0000FF"/>
            <w:sz w:val="18"/>
            <w:u w:val="single"/>
          </w:rPr>
          <w:t>May 6, 2025</w:t>
        </w:r>
      </w:hyperlink>
      <w:r>
        <w:rPr>
          <w:rFonts w:ascii="Times New Roman;sans-serif" w:hAnsi="Times New Roman;sans-serif"/>
          <w:b w:val="false"/>
          <w:color w:val="000000"/>
          <w:sz w:val="18"/>
        </w:rPr>
        <w:t>;</w:t>
      </w:r>
    </w:p>
    <w:p>
      <w:pPr>
        <w:pStyle w:val="TextBody"/>
        <w:bidi w:val="0"/>
        <w:spacing w:lineRule="auto" w:line="288" w:before="120" w:after="283"/>
        <w:ind w:left="0" w:right="0" w:hanging="360"/>
        <w:jc w:val="left"/>
        <w:rPr/>
      </w:pPr>
      <w:r>
        <w:rPr>
          <w:rFonts w:ascii="Times New Roman;sans-serif" w:hAnsi="Times New Roman;sans-serif"/>
          <w:b w:val="false"/>
          <w:color w:val="000000"/>
          <w:sz w:val="18"/>
        </w:rPr>
        <w:t xml:space="preserve">(d)The Registrant’s Current Reports on Form 8-K, as filed with the Commission on </w:t>
      </w:r>
      <w:hyperlink r:id="rId9">
        <w:r>
          <w:rPr>
            <w:rStyle w:val="InternetLink"/>
            <w:rFonts w:ascii="Times New Roman;sans-serif" w:hAnsi="Times New Roman;sans-serif"/>
            <w:b w:val="false"/>
            <w:color w:val="0000FF"/>
            <w:sz w:val="18"/>
            <w:u w:val="single"/>
          </w:rPr>
          <w:t>January 28, 2025</w:t>
        </w:r>
      </w:hyperlink>
      <w:r>
        <w:rPr>
          <w:rFonts w:ascii="Times New Roman;sans-serif" w:hAnsi="Times New Roman;sans-serif"/>
          <w:b w:val="false"/>
          <w:color w:val="000000"/>
          <w:sz w:val="18"/>
        </w:rPr>
        <w:t xml:space="preserve">, </w:t>
      </w:r>
      <w:hyperlink r:id="rId10">
        <w:r>
          <w:rPr>
            <w:rStyle w:val="InternetLink"/>
            <w:rFonts w:ascii="Times New Roman;sans-serif" w:hAnsi="Times New Roman;sans-serif"/>
            <w:b w:val="false"/>
            <w:color w:val="0000FF"/>
            <w:sz w:val="18"/>
            <w:u w:val="single"/>
          </w:rPr>
          <w:t>February 25, 2025</w:t>
        </w:r>
      </w:hyperlink>
      <w:r>
        <w:rPr>
          <w:rFonts w:ascii="Times New Roman;sans-serif" w:hAnsi="Times New Roman;sans-serif"/>
          <w:b w:val="false"/>
          <w:color w:val="000000"/>
          <w:sz w:val="18"/>
        </w:rPr>
        <w:t xml:space="preserve">, </w:t>
      </w:r>
      <w:hyperlink r:id="rId11">
        <w:r>
          <w:rPr>
            <w:rStyle w:val="InternetLink"/>
            <w:rFonts w:ascii="Times New Roman;sans-serif" w:hAnsi="Times New Roman;sans-serif"/>
            <w:b w:val="false"/>
            <w:color w:val="0000FF"/>
            <w:sz w:val="18"/>
            <w:u w:val="single"/>
          </w:rPr>
          <w:t>February 25, 2025</w:t>
        </w:r>
      </w:hyperlink>
      <w:r>
        <w:rPr>
          <w:rFonts w:ascii="Times New Roman;sans-serif" w:hAnsi="Times New Roman;sans-serif"/>
          <w:b w:val="false"/>
          <w:color w:val="000000"/>
          <w:sz w:val="18"/>
        </w:rPr>
        <w:t xml:space="preserve">, </w:t>
      </w:r>
      <w:hyperlink r:id="rId12">
        <w:r>
          <w:rPr>
            <w:rStyle w:val="InternetLink"/>
            <w:rFonts w:ascii="Times New Roman;sans-serif" w:hAnsi="Times New Roman;sans-serif"/>
            <w:b w:val="false"/>
            <w:color w:val="0000FF"/>
            <w:sz w:val="18"/>
            <w:u w:val="single"/>
          </w:rPr>
          <w:t>February 25, 2025</w:t>
        </w:r>
      </w:hyperlink>
      <w:r>
        <w:rPr>
          <w:rFonts w:ascii="Times New Roman;sans-serif" w:hAnsi="Times New Roman;sans-serif"/>
          <w:b w:val="false"/>
          <w:color w:val="000000"/>
          <w:sz w:val="18"/>
        </w:rPr>
        <w:t xml:space="preserve">, </w:t>
      </w:r>
      <w:hyperlink r:id="rId13">
        <w:r>
          <w:rPr>
            <w:rStyle w:val="InternetLink"/>
            <w:rFonts w:ascii="Times New Roman;sans-serif" w:hAnsi="Times New Roman;sans-serif"/>
            <w:b w:val="false"/>
            <w:color w:val="0000FF"/>
            <w:sz w:val="18"/>
            <w:u w:val="single"/>
          </w:rPr>
          <w:t>April 2, 2025</w:t>
        </w:r>
      </w:hyperlink>
      <w:r>
        <w:rPr>
          <w:rFonts w:ascii="Times New Roman;sans-serif" w:hAnsi="Times New Roman;sans-serif"/>
          <w:b w:val="false"/>
          <w:color w:val="000000"/>
          <w:sz w:val="18"/>
        </w:rPr>
        <w:t xml:space="preserve">, and </w:t>
      </w:r>
      <w:hyperlink r:id="rId14">
        <w:r>
          <w:rPr>
            <w:rStyle w:val="InternetLink"/>
            <w:rFonts w:ascii="Times New Roman;sans-serif" w:hAnsi="Times New Roman;sans-serif"/>
            <w:b w:val="false"/>
            <w:color w:val="0000FF"/>
            <w:sz w:val="18"/>
            <w:u w:val="single"/>
          </w:rPr>
          <w:t>April 8, 2025</w:t>
        </w:r>
      </w:hyperlink>
      <w:r>
        <w:rPr>
          <w:color w:val="000000"/>
        </w:rPr>
        <w:t xml:space="preserve"> </w:t>
      </w:r>
      <w:r>
        <w:rPr>
          <w:rFonts w:ascii="Times New Roman;sans-serif" w:hAnsi="Times New Roman;sans-serif"/>
          <w:b w:val="false"/>
          <w:color w:val="000000"/>
          <w:sz w:val="18"/>
        </w:rPr>
        <w:t>(except for any portions of such Current Reports on Form 8-K furnished pursuant to Item 2.02 and/or Item 7.01 thereof and any corresponding exhibits thereto not filed with the Commission); and</w:t>
      </w:r>
    </w:p>
    <w:p>
      <w:pPr>
        <w:pStyle w:val="TextBody"/>
        <w:bidi w:val="0"/>
        <w:spacing w:lineRule="auto" w:line="288" w:before="120" w:after="283"/>
        <w:ind w:left="0" w:right="0" w:hanging="360"/>
        <w:jc w:val="left"/>
        <w:rPr/>
      </w:pPr>
      <w:r>
        <w:rPr>
          <w:rFonts w:ascii="Times New Roman;sans-serif" w:hAnsi="Times New Roman;sans-serif"/>
          <w:b w:val="false"/>
          <w:color w:val="000000"/>
          <w:sz w:val="18"/>
        </w:rPr>
        <w:t xml:space="preserve">(e)The description of the Registrant’s capital stock which is contained in </w:t>
      </w:r>
      <w:hyperlink r:id="rId15">
        <w:r>
          <w:rPr>
            <w:rStyle w:val="InternetLink"/>
            <w:rFonts w:ascii="Times New Roman;sans-serif" w:hAnsi="Times New Roman;sans-serif"/>
            <w:b w:val="false"/>
            <w:color w:val="0000FF"/>
            <w:sz w:val="18"/>
            <w:u w:val="single"/>
          </w:rPr>
          <w:t>Exhibit 4.8</w:t>
        </w:r>
      </w:hyperlink>
      <w:r>
        <w:rPr>
          <w:color w:val="000000"/>
        </w:rPr>
        <w:t xml:space="preserve"> </w:t>
      </w:r>
      <w:r>
        <w:rPr>
          <w:rFonts w:ascii="Times New Roman;sans-serif" w:hAnsi="Times New Roman;sans-serif"/>
          <w:b w:val="false"/>
          <w:color w:val="000000"/>
          <w:sz w:val="18"/>
        </w:rPr>
        <w:t>of the Annual Report, including any amendment or report filed for the purpose of updating such description.</w:t>
      </w:r>
    </w:p>
    <w:p>
      <w:pPr>
        <w:pStyle w:val="TextBody"/>
        <w:bidi w:val="0"/>
        <w:spacing w:lineRule="auto" w:line="288" w:before="240" w:after="283"/>
        <w:ind w:left="0" w:right="0" w:firstLine="423"/>
        <w:jc w:val="left"/>
        <w:rPr/>
      </w:pPr>
      <w:r>
        <w:rPr>
          <w:rFonts w:ascii="Times New Roman;sans-serif" w:hAnsi="Times New Roman;sans-serif"/>
          <w:b w:val="false"/>
          <w:color w:val="000000"/>
          <w:sz w:val="18"/>
        </w:rPr>
        <w:t>All documents filed by the Registrant pursuant to Sections 13(a), 13(c), 14 or 15(d) of the Securities Exchange Act of 1934, as amended (the “</w:t>
      </w:r>
      <w:r>
        <w:rPr>
          <w:rFonts w:ascii="Times New Roman;sans-serif" w:hAnsi="Times New Roman;sans-serif"/>
          <w:b w:val="false"/>
          <w:color w:val="000000"/>
          <w:sz w:val="18"/>
          <w:u w:val="single"/>
        </w:rPr>
        <w:t>Exchan</w:t>
      </w:r>
      <w:r>
        <w:rPr>
          <w:rFonts w:ascii="Times New Roman;sans-serif" w:hAnsi="Times New Roman;sans-serif"/>
          <w:b w:val="false"/>
          <w:color w:val="000000"/>
          <w:sz w:val="18"/>
        </w:rPr>
        <w:t xml:space="preserve">ge </w:t>
      </w:r>
      <w:r>
        <w:rPr>
          <w:rFonts w:ascii="Times New Roman;sans-serif" w:hAnsi="Times New Roman;sans-serif"/>
          <w:b w:val="false"/>
          <w:color w:val="000000"/>
          <w:sz w:val="18"/>
          <w:u w:val="single"/>
        </w:rPr>
        <w:t>Act</w:t>
      </w:r>
      <w:r>
        <w:rPr>
          <w:color w:val="000000"/>
        </w:rPr>
        <w:t>”</w:t>
      </w:r>
      <w:r>
        <w:rPr>
          <w:rFonts w:ascii="Times New Roman;sans-serif" w:hAnsi="Times New Roman;sans-serif"/>
          <w:b w:val="false"/>
          <w:color w:val="000000"/>
          <w:sz w:val="18"/>
        </w:rPr>
        <w: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71"/>
        <w:gridCol w:w="2661"/>
        <w:gridCol w:w="378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pPr>
            <w:hyperlink w:anchor="exh51-formsx8june2025.htm">
              <w:r>
                <w:rPr>
                  <w:rStyle w:val="InternetLink"/>
                  <w:rFonts w:ascii="Times New Roman;sans-serif" w:hAnsi="Times New Roman;sans-serif"/>
                  <w:b w:val="false"/>
                  <w:color w:val="0000FF"/>
                  <w:sz w:val="18"/>
                  <w:u w:val="single"/>
                </w:rPr>
                <w:t>Opinion of Skadden, Arps, Slate, Meagher &amp; Flom LLP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exh231-formsx8june2025.htm">
              <w:r>
                <w:rPr>
                  <w:rStyle w:val="InternetLink"/>
                  <w:rFonts w:ascii="Times New Roman;sans-serif" w:hAnsi="Times New Roman;sans-serif"/>
                  <w:b w:val="false"/>
                  <w:color w:val="0000FF"/>
                  <w:sz w:val="18"/>
                  <w:u w:val="single"/>
                </w:rPr>
                <w:t>Consent of KPMG LLP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exh232-formsx8june2025.htm">
              <w:r>
                <w:rPr>
                  <w:rStyle w:val="InternetLink"/>
                  <w:rFonts w:ascii="Times New Roman;sans-serif" w:hAnsi="Times New Roman;sans-serif"/>
                  <w:b w:val="false"/>
                  <w:color w:val="0000FF"/>
                  <w:sz w:val="18"/>
                  <w:u w:val="single"/>
                </w:rPr>
                <w:t>Consent of Grant Thornton LLP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exh51-formsx8june2025.htm">
              <w:r>
                <w:rPr>
                  <w:rStyle w:val="InternetLink"/>
                  <w:rFonts w:ascii="Times New Roman;sans-serif" w:hAnsi="Times New Roman;sans-serif"/>
                  <w:b w:val="false"/>
                  <w:color w:val="0000FF"/>
                  <w:sz w:val="18"/>
                  <w:u w:val="single"/>
                </w:rPr>
                <w:t>Consent of Skadden, Arps, Slate, Meagher &amp; Flom LLP (included in Exhibit 5.1)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57ba050e331b4b6080a83a8abf7808b9_128">
              <w:r>
                <w:rPr>
                  <w:rStyle w:val="InternetLink"/>
                  <w:rFonts w:ascii="Times New Roman;sans-serif" w:hAnsi="Times New Roman;sans-serif"/>
                  <w:b w:val="false"/>
                  <w:color w:val="0000FF"/>
                  <w:sz w:val="18"/>
                  <w:u w:val="single"/>
                </w:rPr>
                <w:t>Power of Attorney (included in signature page hereof)</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240" w:after="283"/>
              <w:jc w:val="left"/>
              <w:rPr/>
            </w:pPr>
            <w:r>
              <w:fldChar w:fldCharType="begin"/>
            </w:r>
            <w:r>
              <w:rPr>
                <w:rStyle w:val="InternetLink"/>
                <w:sz w:val="18"/>
                <w:u w:val="single"/>
                <w:b w:val="false"/>
                <w:rFonts w:ascii="Times New Roman;sans-serif" w:hAnsi="Times New Roman;sans-serif"/>
                <w:color w:val="0000FF"/>
              </w:rPr>
              <w:instrText xml:space="preserve"> HYPERLINK "https://www.sec.gov/ix?doc=/Archives/edgar/data/0001811210/000110465925038701/tm2431387-2_def14a.htm" \l "tANA"</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Lucid Group, Inc. Amended and Restated 2021 Stock Incentive Plan (including the Lucid Group, Inc. Amended and Restated 2021 Employee Stock Purchase Plan, attached thereto) (previously filed as Annex A to the Registrant’s Definitive Proxy Statement on Schedule 14A filed with the Commission on April 24, 2025 and incorporated herein by reference</w:t>
            </w:r>
            <w:r>
              <w:rPr>
                <w:rStyle w:val="InternetLink"/>
                <w:sz w:val="18"/>
                <w:u w:val="single"/>
                <w:b w:val="false"/>
                <w:rFonts w:ascii="Times New Roman;sans-serif" w:hAnsi="Times New Roman;sans-serif"/>
                <w:color w:val="0000FF"/>
              </w:rPr>
              <w:fldChar w:fldCharType="end"/>
            </w:r>
            <w:r>
              <w:rPr>
                <w:rFonts w:ascii="Times New Roman;sans-serif" w:hAnsi="Times New Roman;sans-serif"/>
                <w:b w:val="false"/>
                <w:color w:val="000000"/>
                <w:sz w:val="18"/>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exfilingfees.htm">
              <w:r>
                <w:rPr>
                  <w:rStyle w:val="InternetLink"/>
                  <w:rFonts w:ascii="Times New Roman;sans-serif" w:hAnsi="Times New Roman;sans-serif"/>
                  <w:b w:val="false"/>
                  <w:color w:val="0000FF"/>
                  <w:sz w:val="18"/>
                  <w:u w:val="single"/>
                </w:rPr>
                <w:t>Filing Fee Table</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lineRule="auto" w:line="288" w:before="240" w:after="283"/>
        <w:jc w:val="left"/>
        <w:rPr/>
      </w:pPr>
      <w:r>
        <w:rPr>
          <w:rFonts w:ascii="Times New Roman;sans-serif" w:hAnsi="Times New Roman;sans-serif"/>
          <w:b w:val="false"/>
          <w:color w:val="000000"/>
          <w:sz w:val="18"/>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Newark, State of California on the 6</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day of June 2025</w:t>
      </w:r>
      <w:r>
        <w:rPr>
          <w:rFonts w:ascii="Times New Roman;sans-serif" w:hAnsi="Times New Roman;sans-serif"/>
          <w:b/>
          <w:color w:val="000000"/>
          <w:sz w:val="18"/>
        </w:rPr>
        <w:t>.</w:t>
      </w:r>
    </w:p>
    <w:tbl>
      <w:tblPr>
        <w:tblW w:w="3495" w:type="dxa"/>
        <w:jc w:val="left"/>
        <w:tblInd w:w="0" w:type="dxa"/>
        <w:tblLayout w:type="fixed"/>
        <w:tblCellMar>
          <w:top w:w="28" w:type="dxa"/>
          <w:left w:w="28" w:type="dxa"/>
          <w:bottom w:w="28" w:type="dxa"/>
          <w:right w:w="28" w:type="dxa"/>
        </w:tblCellMar>
      </w:tblPr>
      <w:tblGrid>
        <w:gridCol w:w="124"/>
        <w:gridCol w:w="109"/>
        <w:gridCol w:w="109"/>
        <w:gridCol w:w="204"/>
        <w:gridCol w:w="204"/>
        <w:gridCol w:w="204"/>
        <w:gridCol w:w="252"/>
        <w:gridCol w:w="252"/>
        <w:gridCol w:w="252"/>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541"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Taoufiq Boussaid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Taoufiq Boussaid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POWER OF ATTORNEY</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KNOW ALL PERSONS BY THESE PRESENTS, that each person whose signature appears below hereby constitutes and appoints Marc Winterhoff and Taoufiq Boussaid,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Act of 1933, this Registration Statement has been signed by the following persons in the capacities and on the dates indicated.</w:t>
      </w:r>
    </w:p>
    <w:tbl>
      <w:tblPr>
        <w:tblW w:w="7267" w:type="dxa"/>
        <w:jc w:val="left"/>
        <w:tblInd w:w="0" w:type="dxa"/>
        <w:tblLayout w:type="fixed"/>
        <w:tblCellMar>
          <w:top w:w="28" w:type="dxa"/>
          <w:left w:w="28" w:type="dxa"/>
          <w:bottom w:w="28" w:type="dxa"/>
          <w:right w:w="28" w:type="dxa"/>
        </w:tblCellMar>
      </w:tblPr>
      <w:tblGrid>
        <w:gridCol w:w="754"/>
        <w:gridCol w:w="660"/>
        <w:gridCol w:w="670"/>
        <w:gridCol w:w="109"/>
        <w:gridCol w:w="109"/>
        <w:gridCol w:w="109"/>
        <w:gridCol w:w="1149"/>
        <w:gridCol w:w="1149"/>
        <w:gridCol w:w="1167"/>
        <w:gridCol w:w="109"/>
        <w:gridCol w:w="109"/>
        <w:gridCol w:w="109"/>
        <w:gridCol w:w="310"/>
        <w:gridCol w:w="310"/>
        <w:gridCol w:w="444"/>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Marc Winterhoff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Interim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 Winterhoff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Taoufiq Boussaid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Taoufiq Boussaid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Gagan Dhingra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Senior Vice President, Finance and Accounting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Gagan Dhingra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Turqi Alnowaiser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Turqi Alnowaiser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Douglas Grimm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Douglas Grimm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Lisa M. Lambert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Lisa M. Lambert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Andrew Liveris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Andrew Liveris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Nichelle Maynard-Elliott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Nichelle Maynard-Elliott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Chabi Nouri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Chabi Nouri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Ori Winitzer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Ori Winitzer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Janet S.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6, 2025</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Janet S.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4"/>
        </w:rPr>
      </w:pPr>
      <w:r>
        <w:rPr>
          <w:rFonts w:ascii="Times New Roman;sans-serif" w:hAnsi="Times New Roman;sans-serif"/>
          <w:b/>
          <w:color w:val="000000"/>
          <w:sz w:val="24"/>
        </w:rPr>
        <w:t>Exhibit 5.1</w:t>
      </w:r>
    </w:p>
    <w:tbl>
      <w:tblPr>
        <w:tblW w:w="8258" w:type="dxa"/>
        <w:jc w:val="center"/>
        <w:tblInd w:w="0" w:type="dxa"/>
        <w:tblLayout w:type="fixed"/>
        <w:tblCellMar>
          <w:top w:w="28" w:type="dxa"/>
          <w:left w:w="28" w:type="dxa"/>
          <w:bottom w:w="28" w:type="dxa"/>
          <w:right w:w="28" w:type="dxa"/>
        </w:tblCellMar>
      </w:tblPr>
      <w:tblGrid>
        <w:gridCol w:w="525"/>
        <w:gridCol w:w="462"/>
        <w:gridCol w:w="462"/>
        <w:gridCol w:w="462"/>
        <w:gridCol w:w="462"/>
        <w:gridCol w:w="462"/>
        <w:gridCol w:w="462"/>
        <w:gridCol w:w="462"/>
        <w:gridCol w:w="462"/>
        <w:gridCol w:w="462"/>
        <w:gridCol w:w="462"/>
        <w:gridCol w:w="462"/>
        <w:gridCol w:w="776"/>
        <w:gridCol w:w="776"/>
        <w:gridCol w:w="109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8258" w:type="dxa"/>
            <w:gridSpan w:val="15"/>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ans-serif" w:hAnsi="Times New Roman;sans-serif"/>
                <w:b w:val="false"/>
                <w:color w:val="000000"/>
                <w:sz w:val="34"/>
              </w:rPr>
              <w:t>S</w:t>
            </w:r>
            <w:r>
              <w:rPr>
                <w:rFonts w:ascii="Times New Roman;sans-serif" w:hAnsi="Times New Roman;sans-serif"/>
                <w:b w:val="false"/>
                <w:color w:val="000000"/>
                <w:sz w:val="28"/>
              </w:rPr>
              <w:t>KADDEN</w:t>
            </w:r>
            <w:r>
              <w:rPr>
                <w:rFonts w:ascii="Times New Roman;sans-serif" w:hAnsi="Times New Roman;sans-serif"/>
                <w:b w:val="false"/>
                <w:color w:val="000000"/>
                <w:sz w:val="34"/>
              </w:rPr>
              <w:t>, A</w:t>
            </w:r>
            <w:r>
              <w:rPr>
                <w:rFonts w:ascii="Times New Roman;sans-serif" w:hAnsi="Times New Roman;sans-serif"/>
                <w:b w:val="false"/>
                <w:color w:val="000000"/>
                <w:sz w:val="28"/>
              </w:rPr>
              <w:t>RPS</w:t>
            </w:r>
            <w:r>
              <w:rPr>
                <w:rFonts w:ascii="Times New Roman;sans-serif" w:hAnsi="Times New Roman;sans-serif"/>
                <w:b w:val="false"/>
                <w:color w:val="000000"/>
                <w:sz w:val="34"/>
              </w:rPr>
              <w:t>, S</w:t>
            </w:r>
            <w:r>
              <w:rPr>
                <w:rFonts w:ascii="Times New Roman;sans-serif" w:hAnsi="Times New Roman;sans-serif"/>
                <w:b w:val="false"/>
                <w:color w:val="000000"/>
                <w:sz w:val="28"/>
              </w:rPr>
              <w:t>LATE</w:t>
            </w:r>
            <w:r>
              <w:rPr>
                <w:rFonts w:ascii="Times New Roman;sans-serif" w:hAnsi="Times New Roman;sans-serif"/>
                <w:b w:val="false"/>
                <w:color w:val="000000"/>
                <w:sz w:val="34"/>
              </w:rPr>
              <w:t>, M</w:t>
            </w:r>
            <w:r>
              <w:rPr>
                <w:rFonts w:ascii="Times New Roman;sans-serif" w:hAnsi="Times New Roman;sans-serif"/>
                <w:b w:val="false"/>
                <w:color w:val="000000"/>
                <w:sz w:val="28"/>
              </w:rPr>
              <w:t>EAGHER</w:t>
            </w:r>
            <w:r>
              <w:rPr>
                <w:color w:val="000000"/>
              </w:rPr>
              <w:t xml:space="preserve"> </w:t>
            </w:r>
            <w:r>
              <w:rPr>
                <w:rFonts w:ascii="Times New Roman;sans-serif" w:hAnsi="Times New Roman;sans-serif"/>
                <w:b w:val="false"/>
                <w:color w:val="000000"/>
                <w:sz w:val="34"/>
              </w:rPr>
              <w:t>&amp; F</w:t>
            </w:r>
            <w:r>
              <w:rPr>
                <w:rFonts w:ascii="Times New Roman;sans-serif" w:hAnsi="Times New Roman;sans-serif"/>
                <w:b w:val="false"/>
                <w:color w:val="000000"/>
                <w:sz w:val="28"/>
              </w:rPr>
              <w:t>LOM</w:t>
            </w:r>
            <w:r>
              <w:rPr>
                <w:color w:val="000000"/>
              </w:rPr>
              <w:t xml:space="preserve"> </w:t>
            </w:r>
            <w:r>
              <w:rPr>
                <w:rFonts w:ascii="Times New Roman;sans-serif" w:hAnsi="Times New Roman;sans-serif"/>
                <w:b w:val="false"/>
                <w:color w:val="000000"/>
                <w:sz w:val="28"/>
              </w:rPr>
              <w:t>LLP</w:t>
            </w:r>
          </w:p>
        </w:tc>
      </w:tr>
      <w:tr>
        <w:trPr/>
        <w:tc>
          <w:tcPr>
            <w:tcW w:w="8258"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525 UNIVERSITY AVENUE</w:t>
            </w:r>
          </w:p>
        </w:tc>
      </w:tr>
      <w:tr>
        <w:trPr/>
        <w:tc>
          <w:tcPr>
            <w:tcW w:w="8258"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PALO ALTO, CALIFORNIA 94301</w:t>
            </w:r>
          </w:p>
        </w:tc>
      </w:tr>
      <w:tr>
        <w:trPr/>
        <w:tc>
          <w:tcPr>
            <w:tcW w:w="1449" w:type="dxa"/>
            <w:gridSpan w:val="3"/>
            <w:tcBorders/>
            <w:tcMar>
              <w:top w:w="0" w:type="dxa"/>
              <w:left w:w="0" w:type="dxa"/>
              <w:bottom w:w="0" w:type="dxa"/>
              <w:right w:w="0" w:type="dxa"/>
            </w:tcMar>
            <w:vAlign w:val="center"/>
          </w:tcPr>
          <w:p>
            <w:pPr>
              <w:pStyle w:val="TableContents"/>
              <w:bidi w:val="0"/>
              <w:spacing w:before="240" w:after="283"/>
              <w:jc w:val="center"/>
              <w:rPr/>
            </w:pPr>
            <w:r>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00200" cy="3200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16"/>
                          <a:stretch>
                            <a:fillRect/>
                          </a:stretch>
                        </pic:blipFill>
                        <pic:spPr bwMode="auto">
                          <a:xfrm>
                            <a:off x="0" y="0"/>
                            <a:ext cx="1600200" cy="3200400"/>
                          </a:xfrm>
                          <a:prstGeom prst="rect">
                            <a:avLst/>
                          </a:prstGeom>
                        </pic:spPr>
                      </pic:pic>
                    </a:graphicData>
                  </a:graphic>
                </wp:inline>
              </w:drawing>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TEL: (650) 470-4500</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FAX: (650) 470-4570</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www.skadden.com</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June 6, 2025</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Lucid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7373 Gateway Boulevard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Newark, California 94560</w:t>
      </w:r>
    </w:p>
    <w:tbl>
      <w:tblPr>
        <w:tblW w:w="431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37"/>
        <w:gridCol w:w="1037"/>
        <w:gridCol w:w="14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24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Registration Statement on Form S-8</w:t>
            </w:r>
          </w:p>
        </w:tc>
      </w:tr>
    </w:tbl>
    <w:p>
      <w:pPr>
        <w:pStyle w:val="TextBody"/>
        <w:bidi w:val="0"/>
        <w:spacing w:before="0" w:after="0"/>
        <w:ind w:left="0" w:right="0" w:firstLine="720"/>
        <w:jc w:val="both"/>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We have acted as special United States counsel to Lucid Group,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in connection with the Company’s Registration Statement on Form S-8 (together with the exhibits thereto, the “</w:t>
      </w:r>
      <w:r>
        <w:rPr>
          <w:rFonts w:ascii="Times New Roman;sans-serif" w:hAnsi="Times New Roman;sans-serif"/>
          <w:b w:val="false"/>
          <w:color w:val="000000"/>
          <w:sz w:val="24"/>
          <w:u w:val="single"/>
        </w:rPr>
        <w:t>Registration Statement</w:t>
      </w:r>
      <w:r>
        <w:rPr>
          <w:color w:val="000000"/>
        </w:rPr>
        <w:t>”</w:t>
      </w:r>
      <w:r>
        <w:rPr>
          <w:rFonts w:ascii="Times New Roman;sans-serif" w:hAnsi="Times New Roman;sans-serif"/>
          <w:b w:val="false"/>
          <w:color w:val="000000"/>
          <w:sz w:val="24"/>
        </w:rPr>
        <w:t>) to be filed on the date hereof with the Securities and Exchange Commission (the “</w:t>
      </w:r>
      <w:r>
        <w:rPr>
          <w:rFonts w:ascii="Times New Roman;sans-serif" w:hAnsi="Times New Roman;sans-serif"/>
          <w:b w:val="false"/>
          <w:color w:val="000000"/>
          <w:sz w:val="24"/>
          <w:u w:val="single"/>
        </w:rPr>
        <w:t>Commission</w:t>
      </w:r>
      <w:r>
        <w:rPr>
          <w:color w:val="000000"/>
        </w:rPr>
        <w:t>”</w:t>
      </w:r>
      <w:r>
        <w:rPr>
          <w:rFonts w:ascii="Times New Roman;sans-serif" w:hAnsi="Times New Roman;sans-serif"/>
          <w:b w:val="false"/>
          <w:color w:val="000000"/>
          <w:sz w:val="24"/>
        </w:rPr>
        <w:t>) under the Securities Act of 1933 (the “</w:t>
      </w:r>
      <w:r>
        <w:rPr>
          <w:rFonts w:ascii="Times New Roman;sans-serif" w:hAnsi="Times New Roman;sans-serif"/>
          <w:b w:val="false"/>
          <w:color w:val="000000"/>
          <w:sz w:val="24"/>
          <w:u w:val="single"/>
        </w:rPr>
        <w:t>Securities Act</w:t>
      </w:r>
      <w:r>
        <w:rPr>
          <w:color w:val="000000"/>
        </w:rPr>
        <w:t>”</w:t>
      </w:r>
      <w:r>
        <w:rPr>
          <w:rFonts w:ascii="Times New Roman;sans-serif" w:hAnsi="Times New Roman;sans-serif"/>
          <w:b w:val="false"/>
          <w:color w:val="000000"/>
          <w:sz w:val="24"/>
        </w:rPr>
        <w:t>), relating to the registration of 186,265,469 shares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of the Company’s Class A common stock, par value $0.0001 (“</w:t>
      </w:r>
      <w:r>
        <w:rPr>
          <w:rFonts w:ascii="Times New Roman;sans-serif" w:hAnsi="Times New Roman;sans-serif"/>
          <w:b w:val="false"/>
          <w:color w:val="000000"/>
          <w:sz w:val="24"/>
          <w:u w:val="single"/>
        </w:rPr>
        <w:t>Class A Common Stock</w:t>
      </w:r>
      <w:r>
        <w:rPr>
          <w:color w:val="000000"/>
        </w:rPr>
        <w:t>”</w:t>
      </w:r>
      <w:r>
        <w:rPr>
          <w:rFonts w:ascii="Times New Roman;sans-serif" w:hAnsi="Times New Roman;sans-serif"/>
          <w:b w:val="false"/>
          <w:color w:val="000000"/>
          <w:sz w:val="24"/>
        </w:rPr>
        <w:t>), available for future issuance under the Lucid Group, Inc. Amended and Restated 2021 Stock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This opinion letter is being furnished in accordance with the requirements of Item 601(b)(5) of Regulation S-K of the General Rules and Regulations of the Commission promulgated under the Securities Act (the “</w:t>
      </w:r>
      <w:r>
        <w:rPr>
          <w:rFonts w:ascii="Times New Roman;sans-serif" w:hAnsi="Times New Roman;sans-serif"/>
          <w:b w:val="false"/>
          <w:color w:val="000000"/>
          <w:sz w:val="24"/>
          <w:u w:val="single"/>
        </w:rPr>
        <w:t>Rules and Regulations</w:t>
      </w:r>
      <w:r>
        <w:rPr>
          <w:color w:val="000000"/>
        </w:rPr>
        <w:t>”</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Lucid Group,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June 6, 2025</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rendering the opinion stated herein, we have examined and relied upon the following: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Registration Statement in the form filed with the Commission on the date hereof;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Plan;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(c) an executed copy of a certificate of Brian K. Tomkiel, General Counsel and Corporate Secretary of the Company, dated the date hereof (the “</w:t>
      </w:r>
      <w:r>
        <w:rPr>
          <w:rFonts w:ascii="Times New Roman;sans-serif" w:hAnsi="Times New Roman;sans-serif"/>
          <w:b w:val="false"/>
          <w:color w:val="000000"/>
          <w:sz w:val="24"/>
          <w:u w:val="single"/>
        </w:rPr>
        <w:t>Secretary’s Certificate</w:t>
      </w:r>
      <w:r>
        <w:rPr>
          <w:color w:val="000000"/>
        </w:rPr>
        <w:t>”</w:t>
      </w:r>
      <w:r>
        <w:rPr>
          <w:rFonts w:ascii="Times New Roman;sans-serif" w:hAnsi="Times New Roman;sans-serif"/>
          <w:b w:val="false"/>
          <w:color w:val="000000"/>
          <w:sz w:val="24"/>
        </w:rPr>
        <w:t xml:space="preserve">);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(d) a copy of the Company’s Third Amended and Restated Certificate of Incorporation (the “</w:t>
      </w:r>
      <w:r>
        <w:rPr>
          <w:rFonts w:ascii="Times New Roman;sans-serif" w:hAnsi="Times New Roman;sans-serif"/>
          <w:b w:val="false"/>
          <w:color w:val="000000"/>
          <w:sz w:val="24"/>
          <w:u w:val="single"/>
        </w:rPr>
        <w:t>Third Amended and Restated Certificate of Incorporation</w:t>
      </w:r>
      <w:r>
        <w:rPr>
          <w:color w:val="000000"/>
        </w:rPr>
        <w:t>”</w:t>
      </w:r>
      <w:r>
        <w:rPr>
          <w:rFonts w:ascii="Times New Roman;sans-serif" w:hAnsi="Times New Roman;sans-serif"/>
          <w:b w:val="false"/>
          <w:color w:val="000000"/>
          <w:sz w:val="24"/>
        </w:rPr>
        <w:t>), as amended and in effect on April 22, 2025 and as of the date hereof, certified by the Secretary of State of the State of Delaware as of June 6, 2025, and certified pursuant to the Secretary’s Certificate;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(e) copies of the Company’s Second Amended and Restated Bylaws (the “</w:t>
      </w:r>
      <w:r>
        <w:rPr>
          <w:rFonts w:ascii="Times New Roman;sans-serif" w:hAnsi="Times New Roman;sans-serif"/>
          <w:b w:val="false"/>
          <w:color w:val="000000"/>
          <w:sz w:val="24"/>
          <w:u w:val="single"/>
        </w:rPr>
        <w:t>Second</w:t>
      </w:r>
      <w:r>
        <w:rPr>
          <w:color w:val="000000"/>
        </w:rPr>
        <w:t xml:space="preserve"> </w:t>
      </w:r>
      <w:r>
        <w:rPr>
          <w:rFonts w:ascii="Times New Roman;sans-serif" w:hAnsi="Times New Roman;sans-serif"/>
          <w:b w:val="false"/>
          <w:color w:val="000000"/>
          <w:sz w:val="24"/>
          <w:u w:val="single"/>
        </w:rPr>
        <w:t>Amended and Restated Bylaws</w:t>
      </w:r>
      <w:r>
        <w:rPr>
          <w:color w:val="000000"/>
        </w:rPr>
        <w:t>”</w:t>
      </w:r>
      <w:r>
        <w:rPr>
          <w:rFonts w:ascii="Times New Roman;sans-serif" w:hAnsi="Times New Roman;sans-serif"/>
          <w:b w:val="false"/>
          <w:color w:val="000000"/>
          <w:sz w:val="24"/>
        </w:rPr>
        <w:t>), as amended and in effect on April 22, 2025 and as of the date hereof, and certified pursuant to the Secretary’s Certificate; and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copies of certain resolutions of the Board of Directors of the Company, adopted on April 22, 2025, relating to the approval of the Plan and certain related matters and certified pursuant to the Secretary’s Certificate.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Third Amended and Restated Certificate of Incorporation and the Secretary’s Certificate.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Lucid Group,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June 6, 2025</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(iii) the Company would continue to have sufficient authorized shares of Class A Common Stock, (iv) the Company’s authorized capital stock is as set forth in the Third Amended and Restated Certificate of Incorporation, and we have relied solely on the certified copy thereof issued by the Secretary of State of the State of Delaware and have not made any other inquiries or investigations, and (v) the issuance of the Shares does not and will not (a) except to the extent expressly stated in the opinion contained herein, violate any statute to which the Company or such issuance is subject, or (b) constitute a violation of, or a breach under, or require the consent or approval of any other person under any agreement or instrument binding on the Company (except that we do not make this assumption with respect to the Third Amended and Restated Certificate of Incorporation and the Second Amended and Restated Bylaws although we have assumed compliance with any covenant, restriction or provision with respect to financial ratios or tests or any aspect of the financial condition or results of operations of the Company contained in such instruments).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We do not express any opinion with respect to the laws of any jurisdiction other than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paid or delivered in an amount at least equal to the par value of such Shares, the Shares will be validly issued, fully paid and nonassessable.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filing of this opinion letter with the Commission as an exhibit to the Registration Statement. In giving this consent, we do not thereby admit that we are included 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tbl>
      <w:tblPr>
        <w:tblW w:w="5007" w:type="dxa"/>
        <w:jc w:val="left"/>
        <w:tblInd w:w="0" w:type="dxa"/>
        <w:tblLayout w:type="fixed"/>
        <w:tblCellMar>
          <w:top w:w="28" w:type="dxa"/>
          <w:left w:w="28" w:type="dxa"/>
          <w:bottom w:w="28" w:type="dxa"/>
          <w:right w:w="28" w:type="dxa"/>
        </w:tblCellMar>
      </w:tblPr>
      <w:tblGrid>
        <w:gridCol w:w="124"/>
        <w:gridCol w:w="109"/>
        <w:gridCol w:w="109"/>
        <w:gridCol w:w="1366"/>
        <w:gridCol w:w="1366"/>
        <w:gridCol w:w="1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Skadden, Arps, Slate, Meagher &amp; Flom LLP</w:t>
            </w:r>
          </w:p>
        </w:tc>
      </w:tr>
    </w:tbl>
    <w:p>
      <w:pPr>
        <w:pStyle w:val="TextBody"/>
        <w:bidi w:val="0"/>
        <w:spacing w:before="240" w:after="240"/>
        <w:ind w:left="0" w:right="0" w:hanging="2160"/>
        <w:jc w:val="both"/>
        <w:rPr/>
      </w:pPr>
      <w:r>
        <w:rPr/>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BDP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use of our report dated February 25, 2025, with respect to the consolidated financial statements of Lucid Group, Inc. and subsidiaries, and the effectiveness of internal control over financial reporting,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6,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 dated February 28, 2023 (except for Note 17, as to which the date is February 25, 2025) with respect to the consolidated financial statements of Lucid Group, Inc. as of and for the year ended December 31, 2022, included in the Annual Report on Form 10-K for the year ended December 31, 2024, which are incorporated by reference in this Registration Statement. We consent to the incorporation by reference of the aforementioned report in this Registration 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6,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 Newly Registered Securities</w:t>
      </w:r>
    </w:p>
    <w:p>
      <w:pPr>
        <w:pStyle w:val="TextBody"/>
        <w:bidi w:val="0"/>
        <w:spacing w:before="0" w:after="0"/>
        <w:jc w:val="center"/>
        <w:rPr/>
      </w:pPr>
      <w:r>
        <w:rPr/>
      </w:r>
    </w:p>
    <w:p>
      <w:pPr>
        <w:pStyle w:val="TextBody"/>
        <w:bidi w:val="0"/>
        <w:spacing w:before="0" w:after="0"/>
        <w:jc w:val="center"/>
        <w:rPr/>
      </w:pPr>
      <w:r>
        <w:rPr/>
      </w:r>
    </w:p>
    <w:tbl>
      <w:tblPr>
        <w:tblW w:w="11292"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15"/>
        <w:gridCol w:w="270"/>
        <w:gridCol w:w="271"/>
        <w:gridCol w:w="109"/>
        <w:gridCol w:w="109"/>
        <w:gridCol w:w="109"/>
        <w:gridCol w:w="365"/>
        <w:gridCol w:w="365"/>
        <w:gridCol w:w="366"/>
        <w:gridCol w:w="109"/>
        <w:gridCol w:w="109"/>
        <w:gridCol w:w="109"/>
        <w:gridCol w:w="470"/>
        <w:gridCol w:w="335"/>
        <w:gridCol w:w="336"/>
        <w:gridCol w:w="109"/>
        <w:gridCol w:w="109"/>
        <w:gridCol w:w="109"/>
        <w:gridCol w:w="330"/>
        <w:gridCol w:w="330"/>
        <w:gridCol w:w="331"/>
        <w:gridCol w:w="109"/>
        <w:gridCol w:w="109"/>
        <w:gridCol w:w="109"/>
        <w:gridCol w:w="211"/>
        <w:gridCol w:w="1441"/>
        <w:gridCol w:w="109"/>
        <w:gridCol w:w="109"/>
        <w:gridCol w:w="109"/>
        <w:gridCol w:w="109"/>
        <w:gridCol w:w="329"/>
        <w:gridCol w:w="329"/>
        <w:gridCol w:w="333"/>
        <w:gridCol w:w="109"/>
        <w:gridCol w:w="109"/>
        <w:gridCol w:w="109"/>
        <w:gridCol w:w="211"/>
        <w:gridCol w:w="976"/>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Security </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Security 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 xml:space="preserve">Fee Calculation Rule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 xml:space="preserve">Amount Registered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Proposed Maximum Offering </w:t>
            </w:r>
          </w:p>
          <w:p>
            <w:pPr>
              <w:pStyle w:val="TableContents"/>
              <w:bidi w:val="0"/>
              <w:spacing w:lineRule="auto" w:line="268" w:before="0" w:after="0"/>
              <w:jc w:val="center"/>
              <w:rPr/>
            </w:pPr>
            <w:r>
              <w:rPr>
                <w:rFonts w:ascii="Times New Roman;sans-serif" w:hAnsi="Times New Roman;sans-serif"/>
                <w:b/>
                <w:color w:val="000000"/>
                <w:sz w:val="20"/>
              </w:rPr>
              <w:t xml:space="preserve">Price Per Unit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Maximum Aggregate </w:t>
            </w:r>
          </w:p>
          <w:p>
            <w:pPr>
              <w:pStyle w:val="TableContents"/>
              <w:bidi w:val="0"/>
              <w:spacing w:lineRule="auto" w:line="268" w:before="0" w:after="0"/>
              <w:jc w:val="center"/>
              <w:rPr/>
            </w:pPr>
            <w:r>
              <w:rPr>
                <w:rFonts w:ascii="Times New Roman;sans-serif" w:hAnsi="Times New Roman;sans-serif"/>
                <w:b/>
                <w:color w:val="000000"/>
                <w:sz w:val="20"/>
              </w:rPr>
              <w:t xml:space="preserve">Offering Price </w:t>
            </w:r>
            <w:r>
              <w:rPr>
                <w:rFonts w:ascii="Times New Roman;sans-serif" w:hAnsi="Times New Roman;sans-serif"/>
                <w:b/>
                <w:color w:val="000000"/>
                <w:sz w:val="13"/>
              </w:rPr>
              <w:t>(</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 of </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Fee</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186,265,469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400,470,758.35 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400,470,758.35 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61,312.07 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Fee Offsets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Net Fee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61,312.07 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Represents (i) 184,000,000 shares of the Registrant’s Class A common stock, $0.0001 par value per share (“</w:t>
            </w:r>
            <w:r>
              <w:rPr>
                <w:rFonts w:ascii="Times New Roman;sans-serif" w:hAnsi="Times New Roman;sans-serif"/>
                <w:b/>
                <w:color w:val="000000"/>
                <w:sz w:val="20"/>
              </w:rPr>
              <w:t>Common Stock</w:t>
            </w:r>
            <w:r>
              <w:rPr>
                <w:color w:val="000000"/>
              </w:rPr>
              <w:t>”</w:t>
            </w:r>
            <w:r>
              <w:rPr>
                <w:rFonts w:ascii="Times New Roman;sans-serif" w:hAnsi="Times New Roman;sans-serif"/>
                <w:b w:val="false"/>
                <w:color w:val="000000"/>
                <w:sz w:val="20"/>
              </w:rPr>
              <w:t>) available for future issuance under the Lucid Group, Inc. Amended and Restated 2021 Stock Incentive Plan (the “</w:t>
            </w:r>
            <w:r>
              <w:rPr>
                <w:rFonts w:ascii="Times New Roman;sans-serif" w:hAnsi="Times New Roman;sans-serif"/>
                <w:b/>
                <w:color w:val="000000"/>
                <w:sz w:val="20"/>
              </w:rPr>
              <w:t>Incentive Plan</w:t>
            </w:r>
            <w:r>
              <w:rPr>
                <w:color w:val="000000"/>
              </w:rPr>
              <w:t>”</w:t>
            </w:r>
            <w:r>
              <w:rPr>
                <w:rFonts w:ascii="Times New Roman;sans-serif" w:hAnsi="Times New Roman;sans-serif"/>
                <w:b w:val="false"/>
                <w:color w:val="000000"/>
                <w:sz w:val="20"/>
              </w:rPr>
              <w:t>) by reason of the stockholder amendment to the Incentive Plan on June 5, 2025 and (ii) 2,265,469 shares of Common Stock available for future issuance under the Incentive Plan by reason of the recycle provisions of Section 5 of the Incentive Plan. In the event of a stock split, stock dividend or similar transaction involving, the number of shares registered hereby shall automatically be adjusted in accordance with Rule 416 under the Securities Act of 1933, as amended (the “</w:t>
            </w:r>
            <w:r>
              <w:rPr>
                <w:rFonts w:ascii="Times New Roman;sans-serif" w:hAnsi="Times New Roman;sans-serif"/>
                <w:b/>
                <w:color w:val="000000"/>
                <w:sz w:val="20"/>
              </w:rPr>
              <w:t>Securities Act</w:t>
            </w:r>
            <w:r>
              <w:rPr>
                <w:color w:val="000000"/>
              </w:rPr>
              <w:t>”</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solely for the purpose of calculating the registration fee pursuant to Rule 457(h) and Rule 457(c) under the Securities Act. The Proposed Maximum Offering Price Per Unit is based on the average of the high and low prices of Common Stock on The Nasdaq Global Select Market on June 5,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095010321014588/dp158364_s8.htm" TargetMode="External"/><Relationship Id="rId3" Type="http://schemas.openxmlformats.org/officeDocument/2006/relationships/hyperlink" Target="https://www.sec.gov/Archives/edgar/data/1811210/000110465922072951/tm2218693d1_s8.htm" TargetMode="External"/><Relationship Id="rId4" Type="http://schemas.openxmlformats.org/officeDocument/2006/relationships/hyperlink" Target="https://www.sec.gov/Archives/edgar/data/1811210/000110465923057202/tm2314570d1_s8.htm" TargetMode="External"/><Relationship Id="rId5" Type="http://schemas.openxmlformats.org/officeDocument/2006/relationships/hyperlink" Target="https://www.sec.gov/Archives/edgar/data/1811210/000110465924068726/tm2416226d1_s8.htm" TargetMode="External"/><Relationship Id="rId6" Type="http://schemas.openxmlformats.org/officeDocument/2006/relationships/hyperlink" Target="https://www.sec.gov/ix?doc=/Archives/edgar/data/0001811210/000162828025007725/lcid-20241231.htm" TargetMode="External"/><Relationship Id="rId7" Type="http://schemas.openxmlformats.org/officeDocument/2006/relationships/hyperlink" Target="https://www.sec.gov/ix?doc=/Archives/edgar/data/0001811210/000110465925038701/tm2431387-2_def14a.htm" TargetMode="External"/><Relationship Id="rId8" Type="http://schemas.openxmlformats.org/officeDocument/2006/relationships/hyperlink" Target="https://www.sec.gov/ix?doc=/Archives/edgar/data/0001811210/000162828025022685/lcid-20250331.htm" TargetMode="External"/><Relationship Id="rId9" Type="http://schemas.openxmlformats.org/officeDocument/2006/relationships/hyperlink" Target="https://www.sec.gov/ix?doc=/Archives/edgar/data/0001811210/000162828025002774/lcid-20250128.htm" TargetMode="External"/><Relationship Id="rId10" Type="http://schemas.openxmlformats.org/officeDocument/2006/relationships/hyperlink" Target="https://www.sec.gov/ix?doc=/Archives/edgar/data/0001811210/000162828025007722/lcid-20250221.htm" TargetMode="External"/><Relationship Id="rId11" Type="http://schemas.openxmlformats.org/officeDocument/2006/relationships/hyperlink" Target="https://www.sec.gov/ix?doc=/Archives/edgar/data/0001811210/000162828025007723/lcid-20250225.htm" TargetMode="External"/><Relationship Id="rId12" Type="http://schemas.openxmlformats.org/officeDocument/2006/relationships/hyperlink" Target="https://www.sec.gov/ix?doc=/Archives/edgar/data/0001811210/000110465925016979/tm257116d2_8k.htm" TargetMode="External"/><Relationship Id="rId13" Type="http://schemas.openxmlformats.org/officeDocument/2006/relationships/hyperlink" Target="https://www.sec.gov/ix?doc=/Archives/edgar/data/0001811210/000110465925031187/tm2510999d2_8k.htm" TargetMode="External"/><Relationship Id="rId14" Type="http://schemas.openxmlformats.org/officeDocument/2006/relationships/hyperlink" Target="https://www.sec.gov/ix?doc=/Archives/edgar/data/0001811210/000110465925033017/tm2511638d2_8k.htm" TargetMode="External"/><Relationship Id="rId15" Type="http://schemas.openxmlformats.org/officeDocument/2006/relationships/hyperlink" Target="https://www.sec.gov/Archives/edgar/data/1811210/000162828022004253/exhibit46descriptionofsecu.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2940</Words>
  <Characters>15712</Characters>
  <CharactersWithSpaces>18442</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