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Offering of Convertible Senior Notes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November 11,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issued a press release announcing the commencement of a private offering, subject to market and other conditions, of $875,000,000 aggregate principal amount of its Convertible Senior Notes due 2031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Lucid also expects to grant the initial purchasers of the notes an option to purchase, for settlement within a 13-day period beginning on, and including, the date Lucid first issues the notes, up to an additional $100,000,000 aggregate principal amount of the notes. The notes will be offered only to persons reasonably believed to be qualified institutional buyers (as defined in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pursuant to Rule 144A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Outstanding 2026 Notes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offering, Lucid expects to enter into one or more separate and individually negotiated transactions with one or more holders of its existing 1.25% Convertible Senior Notes due 2026 (the “</w:t>
      </w:r>
      <w:r>
        <w:rPr>
          <w:rFonts w:ascii="Times New Roman" w:cs="Times New Roman" w:eastAsia="Times New Roman" w:hAnsi="Times New Roman"/>
          <w:sz w:val="18"/>
          <w:szCs w:val="18"/>
          <w:b w:val="1"/>
          <w:bCs w:val="1"/>
          <w:i w:val="1"/>
          <w:iCs w:val="1"/>
          <w:color w:val="auto"/>
        </w:rPr>
        <w:t>2026 notes</w:t>
      </w:r>
      <w:r>
        <w:rPr>
          <w:rFonts w:ascii="Times New Roman" w:cs="Times New Roman" w:eastAsia="Times New Roman" w:hAnsi="Times New Roman"/>
          <w:sz w:val="18"/>
          <w:szCs w:val="18"/>
          <w:color w:val="auto"/>
        </w:rPr>
        <w:t>”) to repurchase for cash a portion of the 2026 notes on terms to be negotiated with each such holder (each, a “</w:t>
      </w:r>
      <w:r>
        <w:rPr>
          <w:rFonts w:ascii="Times New Roman" w:cs="Times New Roman" w:eastAsia="Times New Roman" w:hAnsi="Times New Roman"/>
          <w:sz w:val="18"/>
          <w:szCs w:val="18"/>
          <w:b w:val="1"/>
          <w:bCs w:val="1"/>
          <w:i w:val="1"/>
          <w:iCs w:val="1"/>
          <w:color w:val="auto"/>
        </w:rPr>
        <w:t>note repurchase</w:t>
      </w:r>
      <w:r>
        <w:rPr>
          <w:rFonts w:ascii="Times New Roman" w:cs="Times New Roman" w:eastAsia="Times New Roman" w:hAnsi="Times New Roman"/>
          <w:sz w:val="18"/>
          <w:szCs w:val="18"/>
          <w:color w:val="auto"/>
        </w:rPr>
        <w:t>”). The terms of each note repurchase are anticipated to be individually negotiated with each holder of the 2026 notes and will depend on several factors, including the market price of Lucid’s Class A common stock, par value $0.0001 per share (“</w:t>
      </w:r>
      <w:r>
        <w:rPr>
          <w:rFonts w:ascii="Times New Roman" w:cs="Times New Roman" w:eastAsia="Times New Roman" w:hAnsi="Times New Roman"/>
          <w:sz w:val="18"/>
          <w:szCs w:val="18"/>
          <w:b w:val="1"/>
          <w:bCs w:val="1"/>
          <w:i w:val="1"/>
          <w:iCs w:val="1"/>
          <w:color w:val="auto"/>
        </w:rPr>
        <w:t>Lucid’s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the trading price of the 2026 notes at the time of each such note repurchase. No assurance can be given as to how much, if any, of these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will be repurchased or the terms on which they will be repurchased.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Lucid expects that holders of the 2026 notes that sell their 2026 notes to Lucid in any note repurchase transaction may enter into or unwind various derivatives with respect to Lucid’s common stock and/or purchase or sell shares of Lucid’s common stock in the market to hedge their exposure in connection with these transactions. In particular, Lucid expects that many holders of the 2026 notes employ a convertible arbitrage strategy with respect to the 2026 notes and have a short position with respect to Lucid’s common stock that they would close, through purchases of Lucid’s common stock and/or the entry into or unwind of economically equivalent derivatives transactions with respect to Lucid’s common stock, in connection with Lucid’s repurchase of their 2026 notes for cash. This activity could increase (or reduce the size of any decrease in) the market price of Lucid’s common stock or the notes at that time and could result in a higher effective conversion price for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Ayar Prepaid Forward Transaction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notes, Lucid expects Ayar Third Investment Company (“</w:t>
      </w:r>
      <w:r>
        <w:rPr>
          <w:rFonts w:ascii="Times New Roman" w:cs="Times New Roman" w:eastAsia="Times New Roman" w:hAnsi="Times New Roman"/>
          <w:sz w:val="18"/>
          <w:szCs w:val="18"/>
          <w:b w:val="1"/>
          <w:bCs w:val="1"/>
          <w:i w:val="1"/>
          <w:iCs w:val="1"/>
          <w:color w:val="auto"/>
        </w:rPr>
        <w:t>Ayar</w:t>
      </w:r>
      <w:r>
        <w:rPr>
          <w:rFonts w:ascii="Times New Roman" w:cs="Times New Roman" w:eastAsia="Times New Roman" w:hAnsi="Times New Roman"/>
          <w:sz w:val="18"/>
          <w:szCs w:val="18"/>
          <w:color w:val="auto"/>
        </w:rPr>
        <w:t>”), a wholly-owned subsidiary of the Public Investment Fund, the sovereign wealth fund of the Kingdom of Saudi Arabia, to enter into a privately negotiated prepaid forward transaction (the “</w:t>
      </w:r>
      <w:r>
        <w:rPr>
          <w:rFonts w:ascii="Times New Roman" w:cs="Times New Roman" w:eastAsia="Times New Roman" w:hAnsi="Times New Roman"/>
          <w:sz w:val="18"/>
          <w:szCs w:val="18"/>
          <w:b w:val="1"/>
          <w:bCs w:val="1"/>
          <w:i w:val="1"/>
          <w:iCs w:val="1"/>
          <w:color w:val="auto"/>
        </w:rPr>
        <w:t>prepaid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with a forward counterparty that is an affiliate of one of the initial purchasers of the notes (the “</w:t>
      </w:r>
      <w:r>
        <w:rPr>
          <w:rFonts w:ascii="Times New Roman" w:cs="Times New Roman" w:eastAsia="Times New Roman" w:hAnsi="Times New Roman"/>
          <w:sz w:val="18"/>
          <w:szCs w:val="18"/>
          <w:b w:val="1"/>
          <w:bCs w:val="1"/>
          <w:i w:val="1"/>
          <w:iCs w:val="1"/>
          <w:color w:val="auto"/>
        </w:rPr>
        <w:t>forward counterparty</w:t>
      </w:r>
      <w:r>
        <w:rPr>
          <w:rFonts w:ascii="Times New Roman" w:cs="Times New Roman" w:eastAsia="Times New Roman" w:hAnsi="Times New Roman"/>
          <w:sz w:val="18"/>
          <w:szCs w:val="18"/>
          <w:color w:val="auto"/>
        </w:rPr>
        <w:t>”),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Ayar will purchase a number of shares of Lucid’s common stock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As a result, the prepaid forward transaction is expected to allow the investors to establish hedge positions that generally correspond to (but may be greater than) commercially reasonable initial hedges of their investment in the notes. In the event of such greater initial hedges, investors may offset such greater portion by purchasing shares of Lucid’s common stock on or shortly after the day of pricing of the notes. In connection with establishing their initial hedge of the prepaid forward transaction, the forward counterparty or its affiliates may enter into one or more derivative transactions with respect to Lucid’s common stock with the investors of the notes concurrently with or after the pricing of the notes. None of Lucid, Ayar or the forward counterparty will control how investors of the notes may use such derivative transactions. Any such trades by the forward counterparty or its affiliates would be on a principal basis and without any agreement, arrangement or understanding between, or with, Ayar or Lucid on how those parties would hedge their own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Ayar’s entry into the prepaid forward transaction with the forward counterparty and the entry by the forward counterparty into derivative transactions in respect of Lucid’s common stock with the investors of the notes, particularly if investors purchase shares of Lucid’s common stock on or shortly after the pricing date as described above, could have the effect of increasing (or reducing the size of any decrease in) the market price of Lucid’s common stock concurrently with, or shortly after, the pricing of the notes and effectively raising the initial conversion price of the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such investors may enter into other transactions relating to Lucid’s common stock or the notes in connection with or in addition to such derivative transactions, including the purchase or sale of shares of Lucid’s common stock. As a result, the existence of the prepaid forward transaction, such derivative transactions and any related market activity could cause more purchases or sales of shares of Lucid’s common stock over the term of the prepaid forward transaction than there otherwise would have been had Ayar not entered into the prepaid forward transaction. Such purchases or sales could potentially increase (or reduce the size of any decrease in) or decrease (or reduce the size of any increase in) the market price of Lucid’s common stock and/or the price of the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 counterparty or its affiliates may also modify their hedge positions by entering into or unwinding one or more derivative transactions with respect to Lucid’s common stock and/or purchasing or selling shares of Lucid’s common stock or other securities of Lucid in secondary market transactions at any time following the pricing of the notes and prior to the maturity of the notes. These activities could also cause or avoid an increase or a decrease in the market price of Lucid’s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Lucid will not be a party to the prepaid forward transaction. In connection with Ayar agreeing to enter into and fund the prepaid forward transaction, Lucid intends to pay a periodic cash fee to Ayar, which shall initially accrue at a rate of 0.5% per annum on the amount of prepaid forward transaction and be recalculated to reflect any early settlement of the prepaid forward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is incorporated by reference into this Item 8.01. Neither this Current Report on Form 8-K nor the press release constitutes an offer to sell, or the solicitation of an offer to buy the notes or the shares of Lucid’s common stock, if any, issuable upon conversion of the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0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11, 2025</w:t>
            </w:r>
          </w:p>
        </w:tc>
        <w:tc>
          <w:tcPr>
            <w:tcW w:w="7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3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0"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 Announces Proposed Convertible Senior Notes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81" w:lineRule="exact"/>
        <w:rPr>
          <w:sz w:val="20"/>
          <w:szCs w:val="20"/>
          <w:color w:val="auto"/>
        </w:rPr>
      </w:pPr>
    </w:p>
    <w:p>
      <w:pPr>
        <w:ind w:left="600" w:hanging="268"/>
        <w:spacing w:after="0"/>
        <w:tabs>
          <w:tab w:leader="none" w:pos="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Launched $875,000,000 aggregate principal amount of Convertible Senior Notes due 2031</w:t>
      </w:r>
    </w:p>
    <w:p>
      <w:pPr>
        <w:spacing w:after="0" w:line="53" w:lineRule="exact"/>
        <w:rPr>
          <w:rFonts w:ascii="Times New Roman" w:cs="Times New Roman" w:eastAsia="Times New Roman" w:hAnsi="Times New Roman"/>
          <w:sz w:val="20"/>
          <w:szCs w:val="20"/>
          <w:color w:val="auto"/>
        </w:rPr>
      </w:pPr>
    </w:p>
    <w:p>
      <w:pPr>
        <w:ind w:left="660" w:right="600" w:hanging="328"/>
        <w:spacing w:after="0" w:line="271" w:lineRule="auto"/>
        <w:tabs>
          <w:tab w:leader="none" w:pos="60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Lucid expects to grant the initial purchasers an option to purchase up to an additional $100,000,000 aggregate principal amount of notes for settlement within a 13-day period of the issuance of the notes</w:t>
      </w:r>
    </w:p>
    <w:p>
      <w:pPr>
        <w:spacing w:after="0" w:line="19"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Intends to repurchase a portion of the existing 1.25% convertible notes due in 2026</w:t>
      </w:r>
    </w:p>
    <w:p>
      <w:pPr>
        <w:spacing w:after="0" w:line="53"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Public Investment Fund of Saudi Arabia (“PIF”) demonstrates ongoing support for Lucid, providing a prepaid forward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NEWARK, Calif., November 11, 2025 -- Lucid Group, Inc. (Nasdaq: LCID) today announced its intention to offer, subject to market and other conditions, $875,000,000 aggregate principal amount of convertible senior notes due 2031 in a private offering to persons reasonably believed to be qualified institutional buyers pursuant to Rule 144A under the Securities Act of 1933, as amended. Lucid also expects to grant the initial purchasers of the notes an option, for settlement within a period of 13 days from, and including, the date the notes are first issued, to purchase up to an additional $100,000,000 principal amount of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be senior, unsecured obligations of Lucid, will accrue interest payable semi-annually in arrears, and will mature on November 1, 2031, unless earlier repurchased, redeemed, or converted. Noteholders will only have the right to convert their notes in certain circumstances and during specified periods. Lucid will settle conversions of notes by paying or delivering, as applicable, cash, shares of its Class A common stock, or a combination of cash and shares of its common stock, at Lucid’s election. The notes will be redeemable, in whole or in part (subject to certain limitations), for cash at Lucid’s option at any time, and from time to time, on or after November 6, 2028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The interest rate, initial conversion rate and other terms of the notes will be determined at the pricing of the offering.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intends to use the net proceeds of the offering, after deducting the initial purchasers’ discounts and commissions and its estimated offering expenses, to repurchase a portion of its outstanding 1.25% Convertible Senior Notes due 2026 and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Outstanding 2026 Notes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offering, Lucid expects to enter into one or more separate and individually negotiated transactions with one or more holders of the 2026 notes to repurchase for cash a portion of the 2026 notes on terms to be negotiated with each holder.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Ayar Prepaid Forward Transaction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notes, Lucid expects Ayar Third Investment Company (“Ayar”), a wholly-owned subsidiary of the PIF, to enter into a privately negotiated prepaid forward transaction with a forward counterparty that is an affiliate of one of the initial purchasers, pursuant to which Ayar will purchase a number of shares of Lucid’s common stock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 Lucid will not be a party to the prepaid forward transaction.</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Ayar’s entry into the prepaid forward transaction with the forward counterparty and the entry by the forward counterparty into derivative transactions in respect of Lucid’s common stock with the investors of the notes could have the effect of increasing (or reducing the size of any decrease in) the market price of Lucid’s common stock concurrently with, or shortly after, the pricing of the notes and effectively raising the initial conversion price of the notes.</w:t>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the notes and any shares of Lucid’s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Lucid’s common stock issuable upon conversion of the notes, nor will there be any sale of the notes or any such shares, in any state or other jurisdiction in which such offer, sale or solicitation would be unlawful.</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transactions described in this press release can be found in the Current Report on Form 8-K that Lucid intends to file with the Securities and Exchange Commission in connection with this press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Lucid (NASDAQ: LCID) is a Silicon Valley-based technology company focused on creating the most advanced EVs in the world. The award-winning Lucid Air and Lucid Gravity SUV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anticipated terms of the notes being offered, the completion, timing and size of the proposed offering, the intended use of the net proceeds from the offering, including the 2026 notes repurchases, and the anticipated terms of the prepaid forward transaction. Actual events and circumstances may differ from these forward-looking statements. These forward-looking statements are subject to a number of risks and uncertainties. Among those risks and uncertainties are market conditions, including market interest rates, the trading price and volatility of Lucid’s common stock and risks relating to Lucid’s business, including those factors discussed under the cautionary language and the Risk Factors in Lucid’s Annual Report on Form 10-K for the year ended December 31, 2024, subsequent Quarterly Reports on Form 10-Q,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Lucid may not consummate the proposed offering described in this press release and, if the proposed offering is consummated, cannot provide any assurances regarding the final terms of the offering or the notes or its ability to effectively apply the net proceeds as described above.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2025-11-12T07:42:33Z</dcterms:created>
  <dcterms:modified xsi:type="dcterms:W3CDTF">2025-11-12T07:42:33Z</dcterms:modified>
</cp:coreProperties>
</file>