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July 30, 2021</w:t>
      </w:r>
    </w:p>
    <w:p>
      <w:pPr>
        <w:spacing w:after="0" w:line="50" w:lineRule="exact"/>
        <w:rPr>
          <w:sz w:val="24"/>
          <w:szCs w:val="24"/>
          <w:color w:val="auto"/>
        </w:rPr>
      </w:pPr>
    </w:p>
    <w:p>
      <w:pPr>
        <w:ind w:left="79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43180</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102870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63"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107950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S-1</w:t>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108585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36"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2720" w:type="dxa"/>
            <w:vAlign w:val="bottom"/>
          </w:tcPr>
          <w:p>
            <w:pPr>
              <w:jc w:val="center"/>
              <w:ind w:right="622"/>
              <w:spacing w:after="0"/>
              <w:rPr>
                <w:sz w:val="20"/>
                <w:szCs w:val="20"/>
                <w:color w:val="auto"/>
              </w:rPr>
            </w:pPr>
            <w:r>
              <w:rPr>
                <w:rFonts w:ascii="Arial" w:cs="Arial" w:eastAsia="Arial" w:hAnsi="Arial"/>
                <w:sz w:val="18"/>
                <w:szCs w:val="18"/>
                <w:b w:val="1"/>
                <w:bCs w:val="1"/>
                <w:color w:val="auto"/>
                <w:w w:val="88"/>
              </w:rPr>
              <w:t>Delaware</w:t>
            </w:r>
          </w:p>
        </w:tc>
        <w:tc>
          <w:tcPr>
            <w:tcW w:w="3340" w:type="dxa"/>
            <w:vAlign w:val="bottom"/>
          </w:tcPr>
          <w:p>
            <w:pPr>
              <w:jc w:val="right"/>
              <w:ind w:right="1482"/>
              <w:spacing w:after="0"/>
              <w:rPr>
                <w:sz w:val="20"/>
                <w:szCs w:val="20"/>
                <w:color w:val="auto"/>
              </w:rPr>
            </w:pPr>
            <w:r>
              <w:rPr>
                <w:rFonts w:ascii="Arial" w:cs="Arial" w:eastAsia="Arial" w:hAnsi="Arial"/>
                <w:sz w:val="18"/>
                <w:szCs w:val="18"/>
                <w:b w:val="1"/>
                <w:bCs w:val="1"/>
                <w:color w:val="auto"/>
              </w:rPr>
              <w:t>3711</w:t>
            </w:r>
          </w:p>
        </w:tc>
        <w:tc>
          <w:tcPr>
            <w:tcW w:w="2260" w:type="dxa"/>
            <w:vAlign w:val="bottom"/>
          </w:tcPr>
          <w:p>
            <w:pPr>
              <w:jc w:val="center"/>
              <w:ind w:left="782"/>
              <w:spacing w:after="0"/>
              <w:rPr>
                <w:sz w:val="20"/>
                <w:szCs w:val="20"/>
                <w:color w:val="auto"/>
              </w:rPr>
            </w:pPr>
            <w:r>
              <w:rPr>
                <w:rFonts w:ascii="Arial" w:cs="Arial" w:eastAsia="Arial" w:hAnsi="Arial"/>
                <w:sz w:val="18"/>
                <w:szCs w:val="18"/>
                <w:b w:val="1"/>
                <w:bCs w:val="1"/>
                <w:color w:val="auto"/>
                <w:w w:val="87"/>
              </w:rPr>
              <w:t>85-0891392</w:t>
            </w:r>
          </w:p>
        </w:tc>
      </w:tr>
      <w:tr>
        <w:trPr>
          <w:trHeight w:val="211"/>
        </w:trPr>
        <w:tc>
          <w:tcPr>
            <w:tcW w:w="2720" w:type="dxa"/>
            <w:vAlign w:val="bottom"/>
          </w:tcPr>
          <w:p>
            <w:pPr>
              <w:ind w:left="180"/>
              <w:spacing w:after="0"/>
              <w:rPr>
                <w:sz w:val="20"/>
                <w:szCs w:val="20"/>
                <w:color w:val="auto"/>
              </w:rPr>
            </w:pPr>
            <w:r>
              <w:rPr>
                <w:rFonts w:ascii="Arial" w:cs="Arial" w:eastAsia="Arial" w:hAnsi="Arial"/>
                <w:sz w:val="14"/>
                <w:szCs w:val="14"/>
                <w:color w:val="auto"/>
              </w:rPr>
              <w:t>(State or Other Jurisdiction</w:t>
            </w:r>
          </w:p>
        </w:tc>
        <w:tc>
          <w:tcPr>
            <w:tcW w:w="3340" w:type="dxa"/>
            <w:vAlign w:val="bottom"/>
          </w:tcPr>
          <w:p>
            <w:pPr>
              <w:ind w:left="720"/>
              <w:spacing w:after="0"/>
              <w:rPr>
                <w:sz w:val="20"/>
                <w:szCs w:val="20"/>
                <w:color w:val="auto"/>
              </w:rPr>
            </w:pPr>
            <w:r>
              <w:rPr>
                <w:rFonts w:ascii="Arial" w:cs="Arial" w:eastAsia="Arial" w:hAnsi="Arial"/>
                <w:sz w:val="14"/>
                <w:szCs w:val="14"/>
                <w:color w:val="auto"/>
              </w:rPr>
              <w:t>(Primary Standard Industrial</w:t>
            </w:r>
          </w:p>
        </w:tc>
        <w:tc>
          <w:tcPr>
            <w:tcW w:w="2260" w:type="dxa"/>
            <w:vAlign w:val="bottom"/>
          </w:tcPr>
          <w:p>
            <w:pPr>
              <w:jc w:val="center"/>
              <w:ind w:left="762"/>
              <w:spacing w:after="0"/>
              <w:rPr>
                <w:sz w:val="20"/>
                <w:szCs w:val="20"/>
                <w:color w:val="auto"/>
              </w:rPr>
            </w:pPr>
            <w:r>
              <w:rPr>
                <w:rFonts w:ascii="Arial" w:cs="Arial" w:eastAsia="Arial" w:hAnsi="Arial"/>
                <w:sz w:val="14"/>
                <w:szCs w:val="14"/>
                <w:color w:val="auto"/>
                <w:w w:val="99"/>
              </w:rPr>
              <w:t>(I.R.S. Employer</w:t>
            </w:r>
          </w:p>
        </w:tc>
      </w:tr>
      <w:tr>
        <w:trPr>
          <w:trHeight w:val="196"/>
        </w:trPr>
        <w:tc>
          <w:tcPr>
            <w:tcW w:w="2720" w:type="dxa"/>
            <w:vAlign w:val="bottom"/>
          </w:tcPr>
          <w:p>
            <w:pPr>
              <w:jc w:val="center"/>
              <w:ind w:right="622"/>
              <w:spacing w:after="0"/>
              <w:rPr>
                <w:sz w:val="20"/>
                <w:szCs w:val="20"/>
                <w:color w:val="auto"/>
              </w:rPr>
            </w:pPr>
            <w:r>
              <w:rPr>
                <w:rFonts w:ascii="Arial" w:cs="Arial" w:eastAsia="Arial" w:hAnsi="Arial"/>
                <w:sz w:val="14"/>
                <w:szCs w:val="14"/>
                <w:color w:val="auto"/>
              </w:rPr>
              <w:t>of Incorporation or Organization)</w:t>
            </w:r>
          </w:p>
        </w:tc>
        <w:tc>
          <w:tcPr>
            <w:tcW w:w="3340" w:type="dxa"/>
            <w:vAlign w:val="bottom"/>
          </w:tcPr>
          <w:p>
            <w:pPr>
              <w:ind w:left="720"/>
              <w:spacing w:after="0"/>
              <w:rPr>
                <w:sz w:val="20"/>
                <w:szCs w:val="20"/>
                <w:color w:val="auto"/>
              </w:rPr>
            </w:pPr>
            <w:r>
              <w:rPr>
                <w:rFonts w:ascii="Arial" w:cs="Arial" w:eastAsia="Arial" w:hAnsi="Arial"/>
                <w:sz w:val="14"/>
                <w:szCs w:val="14"/>
                <w:color w:val="auto"/>
              </w:rPr>
              <w:t>Classification Code Number)</w:t>
            </w:r>
          </w:p>
        </w:tc>
        <w:tc>
          <w:tcPr>
            <w:tcW w:w="2260" w:type="dxa"/>
            <w:vAlign w:val="bottom"/>
          </w:tcPr>
          <w:p>
            <w:pPr>
              <w:jc w:val="center"/>
              <w:ind w:left="802"/>
              <w:spacing w:after="0"/>
              <w:rPr>
                <w:sz w:val="20"/>
                <w:szCs w:val="20"/>
                <w:color w:val="auto"/>
              </w:rPr>
            </w:pPr>
            <w:r>
              <w:rPr>
                <w:rFonts w:ascii="Arial" w:cs="Arial" w:eastAsia="Arial" w:hAnsi="Arial"/>
                <w:sz w:val="14"/>
                <w:szCs w:val="14"/>
                <w:color w:val="auto"/>
              </w:rPr>
              <w:t>Identification Number)</w:t>
            </w:r>
          </w:p>
        </w:tc>
      </w:tr>
    </w:tbl>
    <w:p>
      <w:pPr>
        <w:spacing w:after="0" w:line="75"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7373 Gateway Blvd</w:t>
      </w:r>
    </w:p>
    <w:p>
      <w:pPr>
        <w:ind w:left="4640"/>
        <w:spacing w:after="0" w:line="221" w:lineRule="auto"/>
        <w:rPr>
          <w:sz w:val="20"/>
          <w:szCs w:val="20"/>
          <w:color w:val="auto"/>
        </w:rPr>
      </w:pPr>
      <w:r>
        <w:rPr>
          <w:rFonts w:ascii="Arial" w:cs="Arial" w:eastAsia="Arial" w:hAnsi="Arial"/>
          <w:sz w:val="18"/>
          <w:szCs w:val="18"/>
          <w:b w:val="1"/>
          <w:bCs w:val="1"/>
          <w:color w:val="auto"/>
        </w:rPr>
        <w:t>Newark, CA 94560</w:t>
      </w:r>
    </w:p>
    <w:p>
      <w:pPr>
        <w:ind w:left="4820"/>
        <w:spacing w:after="0"/>
        <w:rPr>
          <w:sz w:val="20"/>
          <w:szCs w:val="20"/>
          <w:color w:val="auto"/>
        </w:rPr>
      </w:pPr>
      <w:r>
        <w:rPr>
          <w:rFonts w:ascii="Arial" w:cs="Arial" w:eastAsia="Arial" w:hAnsi="Arial"/>
          <w:sz w:val="18"/>
          <w:szCs w:val="18"/>
          <w:b w:val="1"/>
          <w:bCs w:val="1"/>
          <w:color w:val="auto"/>
        </w:rPr>
        <w:t>(510) 648-3553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9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Peter Rawlinson, CEO</w:t>
      </w:r>
    </w:p>
    <w:p>
      <w:pPr>
        <w:ind w:left="4680"/>
        <w:spacing w:after="0" w:line="221" w:lineRule="auto"/>
        <w:rPr>
          <w:sz w:val="20"/>
          <w:szCs w:val="20"/>
          <w:color w:val="auto"/>
        </w:rPr>
      </w:pPr>
      <w:r>
        <w:rPr>
          <w:rFonts w:ascii="Arial" w:cs="Arial" w:eastAsia="Arial" w:hAnsi="Arial"/>
          <w:sz w:val="18"/>
          <w:szCs w:val="18"/>
          <w:b w:val="1"/>
          <w:bCs w:val="1"/>
          <w:color w:val="auto"/>
        </w:rPr>
        <w:t>Lucid Group, Inc.</w:t>
      </w:r>
    </w:p>
    <w:p>
      <w:pPr>
        <w:ind w:left="4600"/>
        <w:spacing w:after="0" w:line="219" w:lineRule="auto"/>
        <w:rPr>
          <w:sz w:val="20"/>
          <w:szCs w:val="20"/>
          <w:color w:val="auto"/>
        </w:rPr>
      </w:pPr>
      <w:r>
        <w:rPr>
          <w:rFonts w:ascii="Arial" w:cs="Arial" w:eastAsia="Arial" w:hAnsi="Arial"/>
          <w:sz w:val="18"/>
          <w:szCs w:val="18"/>
          <w:b w:val="1"/>
          <w:bCs w:val="1"/>
          <w:color w:val="auto"/>
        </w:rPr>
        <w:t>7373 Gateway Blvd.</w:t>
      </w:r>
    </w:p>
    <w:p>
      <w:pPr>
        <w:ind w:left="4640"/>
        <w:spacing w:after="0" w:line="219" w:lineRule="auto"/>
        <w:rPr>
          <w:sz w:val="20"/>
          <w:szCs w:val="20"/>
          <w:color w:val="auto"/>
        </w:rPr>
      </w:pPr>
      <w:r>
        <w:rPr>
          <w:rFonts w:ascii="Arial" w:cs="Arial" w:eastAsia="Arial" w:hAnsi="Arial"/>
          <w:sz w:val="18"/>
          <w:szCs w:val="18"/>
          <w:b w:val="1"/>
          <w:bCs w:val="1"/>
          <w:color w:val="auto"/>
        </w:rPr>
        <w:t>Newark, CA 94560</w:t>
      </w:r>
    </w:p>
    <w:p>
      <w:pPr>
        <w:spacing w:after="0" w:line="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(510) 648-3553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36" w:lineRule="exact"/>
        <w:rPr>
          <w:sz w:val="24"/>
          <w:szCs w:val="24"/>
          <w:color w:val="auto"/>
        </w:rPr>
      </w:pPr>
    </w:p>
    <w:tbl>
      <w:tblPr>
        <w:tblLayout w:type="fixed"/>
        <w:tblInd w:w="178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4620" w:type="dxa"/>
            <w:vAlign w:val="bottom"/>
          </w:tcPr>
          <w:p>
            <w:pPr>
              <w:jc w:val="right"/>
              <w:ind w:right="3250"/>
              <w:spacing w:after="0"/>
              <w:rPr>
                <w:sz w:val="20"/>
                <w:szCs w:val="20"/>
                <w:color w:val="auto"/>
              </w:rPr>
            </w:pPr>
            <w:r>
              <w:rPr>
                <w:rFonts w:ascii="Arial" w:cs="Arial" w:eastAsia="Arial" w:hAnsi="Arial"/>
                <w:sz w:val="18"/>
                <w:szCs w:val="18"/>
                <w:b w:val="1"/>
                <w:bCs w:val="1"/>
                <w:color w:val="auto"/>
              </w:rPr>
              <w:t>Copies to:</w:t>
            </w:r>
          </w:p>
        </w:tc>
      </w:tr>
      <w:tr>
        <w:trPr>
          <w:trHeight w:val="216"/>
        </w:trPr>
        <w:tc>
          <w:tcPr>
            <w:tcW w:w="2660" w:type="dxa"/>
            <w:vAlign w:val="bottom"/>
          </w:tcPr>
          <w:p>
            <w:pPr>
              <w:jc w:val="center"/>
              <w:ind w:right="430"/>
              <w:spacing w:after="0"/>
              <w:rPr>
                <w:sz w:val="20"/>
                <w:szCs w:val="20"/>
                <w:color w:val="auto"/>
              </w:rPr>
            </w:pPr>
            <w:r>
              <w:rPr>
                <w:rFonts w:ascii="Arial" w:cs="Arial" w:eastAsia="Arial" w:hAnsi="Arial"/>
                <w:sz w:val="18"/>
                <w:szCs w:val="18"/>
                <w:b w:val="1"/>
                <w:bCs w:val="1"/>
                <w:color w:val="auto"/>
                <w:w w:val="87"/>
              </w:rPr>
              <w:t>Emily Roberts</w:t>
            </w:r>
          </w:p>
        </w:tc>
        <w:tc>
          <w:tcPr>
            <w:tcW w:w="4620" w:type="dxa"/>
            <w:vAlign w:val="bottom"/>
          </w:tcPr>
          <w:p>
            <w:pPr>
              <w:jc w:val="center"/>
              <w:ind w:left="2030"/>
              <w:spacing w:after="0"/>
              <w:rPr>
                <w:sz w:val="20"/>
                <w:szCs w:val="20"/>
                <w:color w:val="auto"/>
              </w:rPr>
            </w:pPr>
            <w:r>
              <w:rPr>
                <w:rFonts w:ascii="Arial" w:cs="Arial" w:eastAsia="Arial" w:hAnsi="Arial"/>
                <w:sz w:val="18"/>
                <w:szCs w:val="18"/>
                <w:b w:val="1"/>
                <w:bCs w:val="1"/>
                <w:color w:val="auto"/>
                <w:w w:val="86"/>
              </w:rPr>
              <w:t>Jonathan Butler, General Counsel</w:t>
            </w:r>
          </w:p>
        </w:tc>
      </w:tr>
      <w:tr>
        <w:trPr>
          <w:trHeight w:val="216"/>
        </w:trPr>
        <w:tc>
          <w:tcPr>
            <w:tcW w:w="266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Davis Polk &amp; Wardwell LLP</w:t>
            </w:r>
          </w:p>
        </w:tc>
        <w:tc>
          <w:tcPr>
            <w:tcW w:w="462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Lucid Group, Inc.</w:t>
            </w:r>
          </w:p>
        </w:tc>
      </w:tr>
      <w:tr>
        <w:trPr>
          <w:trHeight w:val="216"/>
        </w:trPr>
        <w:tc>
          <w:tcPr>
            <w:tcW w:w="266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1600 El Camino Real</w:t>
            </w:r>
          </w:p>
        </w:tc>
        <w:tc>
          <w:tcPr>
            <w:tcW w:w="4620" w:type="dxa"/>
            <w:vAlign w:val="bottom"/>
          </w:tcPr>
          <w:p>
            <w:pPr>
              <w:jc w:val="center"/>
              <w:ind w:left="2050"/>
              <w:spacing w:after="0"/>
              <w:rPr>
                <w:sz w:val="20"/>
                <w:szCs w:val="20"/>
                <w:color w:val="auto"/>
              </w:rPr>
            </w:pPr>
            <w:r>
              <w:rPr>
                <w:rFonts w:ascii="Arial" w:cs="Arial" w:eastAsia="Arial" w:hAnsi="Arial"/>
                <w:sz w:val="18"/>
                <w:szCs w:val="18"/>
                <w:b w:val="1"/>
                <w:bCs w:val="1"/>
                <w:color w:val="auto"/>
                <w:w w:val="88"/>
              </w:rPr>
              <w:t>7373 Gateway Blvd.</w:t>
            </w:r>
          </w:p>
        </w:tc>
      </w:tr>
      <w:tr>
        <w:trPr>
          <w:trHeight w:val="216"/>
        </w:trPr>
        <w:tc>
          <w:tcPr>
            <w:tcW w:w="266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Menlo Park, CA 94025</w:t>
            </w:r>
          </w:p>
        </w:tc>
        <w:tc>
          <w:tcPr>
            <w:tcW w:w="462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Newark, CA 94560</w:t>
            </w:r>
          </w:p>
        </w:tc>
      </w:tr>
      <w:tr>
        <w:trPr>
          <w:trHeight w:val="234"/>
        </w:trPr>
        <w:tc>
          <w:tcPr>
            <w:tcW w:w="2660" w:type="dxa"/>
            <w:vAlign w:val="bottom"/>
          </w:tcPr>
          <w:p>
            <w:pPr>
              <w:jc w:val="center"/>
              <w:ind w:right="390"/>
              <w:spacing w:after="0"/>
              <w:rPr>
                <w:sz w:val="20"/>
                <w:szCs w:val="20"/>
                <w:color w:val="auto"/>
              </w:rPr>
            </w:pPr>
            <w:r>
              <w:rPr>
                <w:rFonts w:ascii="Arial" w:cs="Arial" w:eastAsia="Arial" w:hAnsi="Arial"/>
                <w:sz w:val="18"/>
                <w:szCs w:val="18"/>
                <w:b w:val="1"/>
                <w:bCs w:val="1"/>
                <w:color w:val="auto"/>
                <w:w w:val="86"/>
              </w:rPr>
              <w:t>(650) 752-2000</w:t>
            </w:r>
          </w:p>
        </w:tc>
        <w:tc>
          <w:tcPr>
            <w:tcW w:w="4620" w:type="dxa"/>
            <w:vAlign w:val="bottom"/>
          </w:tcPr>
          <w:p>
            <w:pPr>
              <w:jc w:val="right"/>
              <w:ind w:right="590"/>
              <w:spacing w:after="0"/>
              <w:rPr>
                <w:sz w:val="20"/>
                <w:szCs w:val="20"/>
                <w:color w:val="auto"/>
              </w:rPr>
            </w:pPr>
            <w:r>
              <w:rPr>
                <w:rFonts w:ascii="Arial" w:cs="Arial" w:eastAsia="Arial" w:hAnsi="Arial"/>
                <w:sz w:val="18"/>
                <w:szCs w:val="18"/>
                <w:b w:val="1"/>
                <w:bCs w:val="1"/>
                <w:color w:val="auto"/>
              </w:rPr>
              <w:t>(510) 648-3553</w:t>
            </w:r>
          </w:p>
        </w:tc>
      </w:tr>
    </w:tbl>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From time to time after this Registration Statement becomes effective.</w:t>
      </w:r>
    </w:p>
    <w:p>
      <w:pPr>
        <w:spacing w:after="0" w:line="88" w:lineRule="exact"/>
        <w:rPr>
          <w:sz w:val="24"/>
          <w:szCs w:val="24"/>
          <w:color w:val="auto"/>
        </w:rPr>
      </w:pPr>
    </w:p>
    <w:p>
      <w:pPr>
        <w:ind w:left="500" w:right="520" w:firstLine="360"/>
        <w:spacing w:after="0" w:line="226"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left="500" w:right="620" w:firstLine="360"/>
        <w:spacing w:after="0" w:line="21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left="500" w:right="680" w:firstLine="360"/>
        <w:spacing w:after="0" w:line="226" w:lineRule="exact"/>
        <w:rPr>
          <w:sz w:val="20"/>
          <w:szCs w:val="20"/>
          <w:color w:val="auto"/>
        </w:rPr>
      </w:pPr>
      <w:r>
        <w:rPr>
          <w:rFonts w:ascii="Arial" w:cs="Arial" w:eastAsia="Arial" w:hAnsi="Arial"/>
          <w:sz w:val="17"/>
          <w:szCs w:val="17"/>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2" w:lineRule="exact"/>
        <w:rPr>
          <w:sz w:val="24"/>
          <w:szCs w:val="24"/>
          <w:color w:val="auto"/>
        </w:rPr>
      </w:pPr>
    </w:p>
    <w:p>
      <w:pPr>
        <w:ind w:left="500" w:right="660" w:firstLine="360"/>
        <w:spacing w:after="0" w:line="226" w:lineRule="exact"/>
        <w:rPr>
          <w:sz w:val="20"/>
          <w:szCs w:val="20"/>
          <w:color w:val="auto"/>
        </w:rPr>
      </w:pPr>
      <w:r>
        <w:rPr>
          <w:rFonts w:ascii="Arial" w:cs="Arial" w:eastAsia="Arial" w:hAnsi="Arial"/>
          <w:sz w:val="17"/>
          <w:szCs w:val="17"/>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2" w:lineRule="exact"/>
        <w:rPr>
          <w:sz w:val="24"/>
          <w:szCs w:val="24"/>
          <w:color w:val="auto"/>
        </w:rPr>
      </w:pPr>
    </w:p>
    <w:p>
      <w:pPr>
        <w:ind w:left="500" w:right="620" w:firstLine="36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680" w:type="dxa"/>
            <w:vAlign w:val="bottom"/>
          </w:tcPr>
          <w:p>
            <w:pPr>
              <w:ind w:left="860"/>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30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r>
        <w:trPr>
          <w:trHeight w:val="256"/>
        </w:trPr>
        <w:tc>
          <w:tcPr>
            <w:tcW w:w="2680" w:type="dxa"/>
            <w:vAlign w:val="bottom"/>
          </w:tcPr>
          <w:p>
            <w:pPr>
              <w:ind w:left="860"/>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30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6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30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26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39" w:right="59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ind w:left="500" w:right="400" w:firstLine="3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108585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40"/>
        </w:trPr>
        <w:tc>
          <w:tcPr>
            <w:tcW w:w="376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vMerge w:val="restart"/>
          </w:tcPr>
          <w:p>
            <w:pPr>
              <w:jc w:val="right"/>
              <w:ind w:right="317"/>
              <w:spacing w:after="0"/>
              <w:rPr>
                <w:sz w:val="20"/>
                <w:szCs w:val="20"/>
                <w:color w:val="auto"/>
              </w:rPr>
            </w:pPr>
            <w:r>
              <w:rPr>
                <w:rFonts w:ascii="Arial" w:cs="Arial" w:eastAsia="Arial" w:hAnsi="Arial"/>
                <w:sz w:val="14"/>
                <w:szCs w:val="14"/>
                <w:b w:val="1"/>
                <w:bCs w:val="1"/>
                <w:color w:val="auto"/>
              </w:rPr>
              <w:t>Amount To Be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Proposed Maximum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Proposed Maximum</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Of</w:t>
            </w:r>
          </w:p>
        </w:tc>
        <w:tc>
          <w:tcPr>
            <w:tcW w:w="0" w:type="dxa"/>
            <w:vAlign w:val="bottom"/>
          </w:tcPr>
          <w:p>
            <w:pPr>
              <w:spacing w:after="0"/>
              <w:rPr>
                <w:sz w:val="1"/>
                <w:szCs w:val="1"/>
                <w:color w:val="auto"/>
              </w:rPr>
            </w:pPr>
          </w:p>
        </w:tc>
      </w:tr>
      <w:tr>
        <w:trPr>
          <w:trHeight w:val="144"/>
        </w:trPr>
        <w:tc>
          <w:tcPr>
            <w:tcW w:w="3760" w:type="dxa"/>
            <w:vAlign w:val="bottom"/>
            <w:tcBorders>
              <w:right w:val="single" w:sz="8" w:color="auto"/>
            </w:tcBorders>
          </w:tcPr>
          <w:p>
            <w:pPr>
              <w:ind w:left="860"/>
              <w:spacing w:after="0" w:line="145" w:lineRule="exact"/>
              <w:rPr>
                <w:sz w:val="20"/>
                <w:szCs w:val="20"/>
                <w:color w:val="auto"/>
              </w:rPr>
            </w:pPr>
            <w:r>
              <w:rPr>
                <w:rFonts w:ascii="Arial" w:cs="Arial" w:eastAsia="Arial" w:hAnsi="Arial"/>
                <w:sz w:val="14"/>
                <w:szCs w:val="14"/>
                <w:b w:val="1"/>
                <w:bCs w:val="1"/>
                <w:color w:val="auto"/>
              </w:rPr>
              <w:t>Title Of Each Class Of Securities</w:t>
            </w:r>
          </w:p>
        </w:tc>
        <w:tc>
          <w:tcPr>
            <w:tcW w:w="14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Aggregate Offering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To Be Registered</w:t>
            </w:r>
          </w:p>
        </w:tc>
        <w:tc>
          <w:tcPr>
            <w:tcW w:w="1480" w:type="dxa"/>
            <w:vAlign w:val="bottom"/>
            <w:tcBorders>
              <w:bottom w:val="single" w:sz="8" w:color="auto"/>
              <w:right w:val="single" w:sz="8" w:color="auto"/>
            </w:tcBorders>
          </w:tcPr>
          <w:p>
            <w:pPr>
              <w:jc w:val="right"/>
              <w:ind w:right="337"/>
              <w:spacing w:after="0" w:line="230" w:lineRule="exact"/>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21"/>
                <w:szCs w:val="21"/>
                <w:b w:val="1"/>
                <w:bCs w:val="1"/>
                <w:color w:val="auto"/>
                <w:vertAlign w:val="superscript"/>
              </w:rPr>
              <w:t>(1)</w:t>
            </w:r>
          </w:p>
        </w:tc>
        <w:tc>
          <w:tcPr>
            <w:tcW w:w="148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88"/>
              </w:rPr>
              <w:t>Per Security</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5"/>
              </w:rPr>
              <w:t>Registration Fee</w:t>
            </w:r>
            <w:r>
              <w:rPr>
                <w:rFonts w:ascii="Arial" w:cs="Arial" w:eastAsia="Arial" w:hAnsi="Arial"/>
                <w:sz w:val="21"/>
                <w:szCs w:val="21"/>
                <w:b w:val="1"/>
                <w:bCs w:val="1"/>
                <w:color w:val="auto"/>
                <w:w w:val="85"/>
                <w:vertAlign w:val="superscript"/>
              </w:rPr>
              <w:t>(2)</w:t>
            </w:r>
          </w:p>
        </w:tc>
        <w:tc>
          <w:tcPr>
            <w:tcW w:w="0" w:type="dxa"/>
            <w:vAlign w:val="bottom"/>
          </w:tcPr>
          <w:p>
            <w:pPr>
              <w:spacing w:after="0"/>
              <w:rPr>
                <w:sz w:val="1"/>
                <w:szCs w:val="1"/>
                <w:color w:val="auto"/>
              </w:rPr>
            </w:pPr>
          </w:p>
        </w:tc>
      </w:tr>
      <w:tr>
        <w:trPr>
          <w:trHeight w:val="257"/>
        </w:trPr>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Primary Offering</w:t>
            </w:r>
          </w:p>
        </w:tc>
        <w:tc>
          <w:tcPr>
            <w:tcW w:w="1480" w:type="dxa"/>
            <w:vAlign w:val="bottom"/>
            <w:tcBorders>
              <w:bottom w:val="single" w:sz="8" w:color="auto"/>
              <w:right w:val="single" w:sz="8" w:color="auto"/>
            </w:tcBorders>
            <w:shd w:val="clear" w:color="auto" w:fill="CCEEFF"/>
          </w:tcPr>
          <w:p>
            <w:pPr>
              <w:spacing w:after="0"/>
              <w:rPr>
                <w:sz w:val="22"/>
                <w:szCs w:val="22"/>
                <w:color w:val="auto"/>
              </w:rPr>
            </w:pPr>
          </w:p>
        </w:tc>
        <w:tc>
          <w:tcPr>
            <w:tcW w:w="1480" w:type="dxa"/>
            <w:vAlign w:val="bottom"/>
            <w:tcBorders>
              <w:bottom w:val="single" w:sz="8" w:color="auto"/>
              <w:right w:val="single" w:sz="8" w:color="auto"/>
            </w:tcBorders>
            <w:shd w:val="clear" w:color="auto" w:fill="CCEEFF"/>
          </w:tcPr>
          <w:p>
            <w:pPr>
              <w:spacing w:after="0"/>
              <w:rPr>
                <w:sz w:val="22"/>
                <w:szCs w:val="22"/>
                <w:color w:val="auto"/>
              </w:rPr>
            </w:pPr>
          </w:p>
        </w:tc>
        <w:tc>
          <w:tcPr>
            <w:tcW w:w="1600" w:type="dxa"/>
            <w:vAlign w:val="bottom"/>
            <w:tcBorders>
              <w:bottom w:val="single" w:sz="8" w:color="auto"/>
              <w:right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Class A common stock, par value $0.0001 per</w:t>
            </w:r>
          </w:p>
        </w:tc>
        <w:tc>
          <w:tcPr>
            <w:tcW w:w="1480" w:type="dxa"/>
            <w:vAlign w:val="bottom"/>
            <w:tcBorders>
              <w:right w:val="single" w:sz="8" w:color="auto"/>
            </w:tcBorders>
            <w:vMerge w:val="restart"/>
          </w:tcPr>
          <w:p>
            <w:pPr>
              <w:jc w:val="right"/>
              <w:ind w:right="117"/>
              <w:spacing w:after="0"/>
              <w:rPr>
                <w:sz w:val="20"/>
                <w:szCs w:val="20"/>
                <w:color w:val="auto"/>
              </w:rPr>
            </w:pPr>
            <w:r>
              <w:rPr>
                <w:rFonts w:ascii="Arial" w:cs="Arial" w:eastAsia="Arial" w:hAnsi="Arial"/>
                <w:sz w:val="18"/>
                <w:szCs w:val="18"/>
                <w:color w:val="auto"/>
              </w:rPr>
              <w:t>85,750,000</w:t>
            </w:r>
            <w:r>
              <w:rPr>
                <w:rFonts w:ascii="Arial" w:cs="Arial" w:eastAsia="Arial" w:hAnsi="Arial"/>
                <w:sz w:val="26"/>
                <w:szCs w:val="26"/>
                <w:color w:val="auto"/>
                <w:vertAlign w:val="superscript"/>
              </w:rPr>
              <w:t>(3)</w:t>
            </w:r>
          </w:p>
        </w:tc>
        <w:tc>
          <w:tcPr>
            <w:tcW w:w="1480" w:type="dxa"/>
            <w:vAlign w:val="bottom"/>
            <w:tcBorders>
              <w:right w:val="single" w:sz="8" w:color="auto"/>
            </w:tcBorders>
            <w:vMerge w:val="restart"/>
          </w:tcPr>
          <w:p>
            <w:pPr>
              <w:jc w:val="center"/>
              <w:ind w:left="39"/>
              <w:spacing w:after="0"/>
              <w:rPr>
                <w:sz w:val="20"/>
                <w:szCs w:val="20"/>
                <w:color w:val="auto"/>
              </w:rPr>
            </w:pPr>
            <w:r>
              <w:rPr>
                <w:rFonts w:ascii="Arial" w:cs="Arial" w:eastAsia="Arial" w:hAnsi="Arial"/>
                <w:sz w:val="18"/>
                <w:szCs w:val="18"/>
                <w:color w:val="auto"/>
                <w:w w:val="89"/>
              </w:rPr>
              <w:t>$11.50</w:t>
            </w:r>
            <w:r>
              <w:rPr>
                <w:rFonts w:ascii="Arial" w:cs="Arial" w:eastAsia="Arial" w:hAnsi="Arial"/>
                <w:sz w:val="26"/>
                <w:szCs w:val="26"/>
                <w:color w:val="auto"/>
                <w:w w:val="89"/>
                <w:vertAlign w:val="superscript"/>
              </w:rPr>
              <w:t>(4)</w:t>
            </w:r>
          </w:p>
        </w:tc>
        <w:tc>
          <w:tcPr>
            <w:tcW w:w="16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share</w:t>
            </w:r>
          </w:p>
        </w:tc>
        <w:tc>
          <w:tcPr>
            <w:tcW w:w="1480" w:type="dxa"/>
            <w:vAlign w:val="bottom"/>
            <w:tcBorders>
              <w:bottom w:val="single" w:sz="8" w:color="auto"/>
              <w:right w:val="single" w:sz="8" w:color="auto"/>
            </w:tcBorders>
            <w:vMerge w:val="continue"/>
          </w:tcPr>
          <w:p>
            <w:pPr>
              <w:spacing w:after="0"/>
              <w:rPr>
                <w:sz w:val="22"/>
                <w:szCs w:val="22"/>
                <w:color w:val="auto"/>
              </w:rPr>
            </w:pPr>
          </w:p>
        </w:tc>
        <w:tc>
          <w:tcPr>
            <w:tcW w:w="1480" w:type="dxa"/>
            <w:vAlign w:val="bottom"/>
            <w:tcBorders>
              <w:bottom w:val="single" w:sz="8" w:color="auto"/>
              <w:right w:val="single" w:sz="8" w:color="auto"/>
            </w:tcBorders>
            <w:vMerge w:val="continue"/>
          </w:tcPr>
          <w:p>
            <w:pPr>
              <w:spacing w:after="0"/>
              <w:rPr>
                <w:sz w:val="22"/>
                <w:szCs w:val="22"/>
                <w:color w:val="auto"/>
              </w:rPr>
            </w:pP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$986,125,000.00</w:t>
            </w:r>
          </w:p>
        </w:tc>
        <w:tc>
          <w:tcPr>
            <w:tcW w:w="140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$107,586.24</w:t>
            </w:r>
          </w:p>
        </w:tc>
        <w:tc>
          <w:tcPr>
            <w:tcW w:w="0" w:type="dxa"/>
            <w:vAlign w:val="bottom"/>
          </w:tcPr>
          <w:p>
            <w:pPr>
              <w:spacing w:after="0"/>
              <w:rPr>
                <w:sz w:val="1"/>
                <w:szCs w:val="1"/>
                <w:color w:val="auto"/>
              </w:rPr>
            </w:pPr>
          </w:p>
        </w:tc>
      </w:tr>
      <w:tr>
        <w:trPr>
          <w:trHeight w:val="257"/>
        </w:trPr>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Secondary Offering</w:t>
            </w:r>
          </w:p>
        </w:tc>
        <w:tc>
          <w:tcPr>
            <w:tcW w:w="1480" w:type="dxa"/>
            <w:vAlign w:val="bottom"/>
            <w:tcBorders>
              <w:bottom w:val="single" w:sz="8" w:color="auto"/>
              <w:right w:val="single" w:sz="8" w:color="auto"/>
            </w:tcBorders>
            <w:shd w:val="clear" w:color="auto" w:fill="CCEEFF"/>
          </w:tcPr>
          <w:p>
            <w:pPr>
              <w:spacing w:after="0"/>
              <w:rPr>
                <w:sz w:val="22"/>
                <w:szCs w:val="22"/>
                <w:color w:val="auto"/>
              </w:rPr>
            </w:pPr>
          </w:p>
        </w:tc>
        <w:tc>
          <w:tcPr>
            <w:tcW w:w="1480" w:type="dxa"/>
            <w:vAlign w:val="bottom"/>
            <w:tcBorders>
              <w:bottom w:val="single" w:sz="8" w:color="auto"/>
              <w:right w:val="single" w:sz="8" w:color="auto"/>
            </w:tcBorders>
            <w:shd w:val="clear" w:color="auto" w:fill="CCEEFF"/>
          </w:tcPr>
          <w:p>
            <w:pPr>
              <w:spacing w:after="0"/>
              <w:rPr>
                <w:sz w:val="22"/>
                <w:szCs w:val="22"/>
                <w:color w:val="auto"/>
              </w:rPr>
            </w:pPr>
          </w:p>
        </w:tc>
        <w:tc>
          <w:tcPr>
            <w:tcW w:w="1600" w:type="dxa"/>
            <w:vAlign w:val="bottom"/>
            <w:tcBorders>
              <w:bottom w:val="single" w:sz="8" w:color="auto"/>
              <w:right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Class A common stock, par value $0.0001 per</w:t>
            </w:r>
          </w:p>
        </w:tc>
        <w:tc>
          <w:tcPr>
            <w:tcW w:w="1480" w:type="dxa"/>
            <w:vAlign w:val="bottom"/>
            <w:tcBorders>
              <w:right w:val="single" w:sz="8" w:color="auto"/>
            </w:tcBorders>
            <w:vMerge w:val="restart"/>
          </w:tcPr>
          <w:p>
            <w:pPr>
              <w:jc w:val="right"/>
              <w:ind w:right="117"/>
              <w:spacing w:after="0"/>
              <w:rPr>
                <w:sz w:val="20"/>
                <w:szCs w:val="20"/>
                <w:color w:val="auto"/>
              </w:rPr>
            </w:pPr>
            <w:r>
              <w:rPr>
                <w:rFonts w:ascii="Arial" w:cs="Arial" w:eastAsia="Arial" w:hAnsi="Arial"/>
                <w:sz w:val="18"/>
                <w:szCs w:val="18"/>
                <w:color w:val="auto"/>
                <w:w w:val="92"/>
              </w:rPr>
              <w:t>1,336,329,949</w:t>
            </w:r>
            <w:r>
              <w:rPr>
                <w:rFonts w:ascii="Arial" w:cs="Arial" w:eastAsia="Arial" w:hAnsi="Arial"/>
                <w:sz w:val="26"/>
                <w:szCs w:val="26"/>
                <w:color w:val="auto"/>
                <w:w w:val="92"/>
                <w:vertAlign w:val="superscript"/>
              </w:rPr>
              <w:t>(5)</w:t>
            </w:r>
          </w:p>
        </w:tc>
        <w:tc>
          <w:tcPr>
            <w:tcW w:w="1480" w:type="dxa"/>
            <w:vAlign w:val="bottom"/>
            <w:tcBorders>
              <w:right w:val="single" w:sz="8" w:color="auto"/>
            </w:tcBorders>
            <w:vMerge w:val="restart"/>
          </w:tcPr>
          <w:p>
            <w:pPr>
              <w:jc w:val="center"/>
              <w:ind w:left="39"/>
              <w:spacing w:after="0"/>
              <w:rPr>
                <w:sz w:val="20"/>
                <w:szCs w:val="20"/>
                <w:color w:val="auto"/>
              </w:rPr>
            </w:pPr>
            <w:r>
              <w:rPr>
                <w:rFonts w:ascii="Arial" w:cs="Arial" w:eastAsia="Arial" w:hAnsi="Arial"/>
                <w:sz w:val="18"/>
                <w:szCs w:val="18"/>
                <w:color w:val="auto"/>
                <w:w w:val="89"/>
              </w:rPr>
              <w:t>$23.55</w:t>
            </w:r>
            <w:r>
              <w:rPr>
                <w:rFonts w:ascii="Arial" w:cs="Arial" w:eastAsia="Arial" w:hAnsi="Arial"/>
                <w:sz w:val="26"/>
                <w:szCs w:val="26"/>
                <w:color w:val="auto"/>
                <w:w w:val="89"/>
                <w:vertAlign w:val="superscript"/>
              </w:rPr>
              <w:t>(6)</w:t>
            </w:r>
          </w:p>
        </w:tc>
        <w:tc>
          <w:tcPr>
            <w:tcW w:w="16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share</w:t>
            </w:r>
          </w:p>
        </w:tc>
        <w:tc>
          <w:tcPr>
            <w:tcW w:w="1480" w:type="dxa"/>
            <w:vAlign w:val="bottom"/>
            <w:tcBorders>
              <w:bottom w:val="single" w:sz="8" w:color="auto"/>
              <w:right w:val="single" w:sz="8" w:color="auto"/>
            </w:tcBorders>
            <w:vMerge w:val="continue"/>
          </w:tcPr>
          <w:p>
            <w:pPr>
              <w:spacing w:after="0"/>
              <w:rPr>
                <w:sz w:val="22"/>
                <w:szCs w:val="22"/>
                <w:color w:val="auto"/>
              </w:rPr>
            </w:pPr>
          </w:p>
        </w:tc>
        <w:tc>
          <w:tcPr>
            <w:tcW w:w="1480" w:type="dxa"/>
            <w:vAlign w:val="bottom"/>
            <w:tcBorders>
              <w:bottom w:val="single" w:sz="8" w:color="auto"/>
              <w:right w:val="single" w:sz="8" w:color="auto"/>
            </w:tcBorders>
            <w:vMerge w:val="continue"/>
          </w:tcPr>
          <w:p>
            <w:pPr>
              <w:spacing w:after="0"/>
              <w:rPr>
                <w:sz w:val="22"/>
                <w:szCs w:val="22"/>
                <w:color w:val="auto"/>
              </w:rPr>
            </w:pP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4"/>
              </w:rPr>
              <w:t>$31,470,570,298.95</w:t>
            </w:r>
          </w:p>
        </w:tc>
        <w:tc>
          <w:tcPr>
            <w:tcW w:w="140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$3,433,439.22</w:t>
            </w:r>
          </w:p>
        </w:tc>
        <w:tc>
          <w:tcPr>
            <w:tcW w:w="0" w:type="dxa"/>
            <w:vAlign w:val="bottom"/>
          </w:tcPr>
          <w:p>
            <w:pPr>
              <w:spacing w:after="0"/>
              <w:rPr>
                <w:sz w:val="1"/>
                <w:szCs w:val="1"/>
                <w:color w:val="auto"/>
              </w:rPr>
            </w:pPr>
          </w:p>
        </w:tc>
      </w:tr>
      <w:tr>
        <w:trPr>
          <w:trHeight w:val="222"/>
        </w:trPr>
        <w:tc>
          <w:tcPr>
            <w:tcW w:w="37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Warrants to purchase shares of Class A</w:t>
            </w:r>
          </w:p>
        </w:tc>
        <w:tc>
          <w:tcPr>
            <w:tcW w:w="1480" w:type="dxa"/>
            <w:vAlign w:val="bottom"/>
            <w:tcBorders>
              <w:right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8"/>
                <w:szCs w:val="18"/>
                <w:color w:val="auto"/>
              </w:rPr>
              <w:t>44,350,000</w:t>
            </w:r>
            <w:r>
              <w:rPr>
                <w:rFonts w:ascii="Arial" w:cs="Arial" w:eastAsia="Arial" w:hAnsi="Arial"/>
                <w:sz w:val="26"/>
                <w:szCs w:val="26"/>
                <w:color w:val="auto"/>
                <w:vertAlign w:val="superscript"/>
              </w:rPr>
              <w:t>(7)</w:t>
            </w:r>
          </w:p>
        </w:tc>
        <w:tc>
          <w:tcPr>
            <w:tcW w:w="1480" w:type="dxa"/>
            <w:vAlign w:val="bottom"/>
            <w:tcBorders>
              <w:right w:val="single" w:sz="8" w:color="auto"/>
            </w:tcBorders>
            <w:shd w:val="clear" w:color="auto" w:fill="CCEEFF"/>
          </w:tcPr>
          <w:p>
            <w:pPr>
              <w:spacing w:after="0"/>
              <w:rPr>
                <w:sz w:val="19"/>
                <w:szCs w:val="19"/>
                <w:color w:val="auto"/>
              </w:rPr>
            </w:pPr>
          </w:p>
        </w:tc>
        <w:tc>
          <w:tcPr>
            <w:tcW w:w="1600" w:type="dxa"/>
            <w:vAlign w:val="bottom"/>
            <w:tcBorders>
              <w:right w:val="single" w:sz="8" w:color="auto"/>
            </w:tcBorders>
            <w:shd w:val="clear" w:color="auto" w:fill="CCEEFF"/>
          </w:tcPr>
          <w:p>
            <w:pPr>
              <w:spacing w:after="0"/>
              <w:rPr>
                <w:sz w:val="19"/>
                <w:szCs w:val="19"/>
                <w:color w:val="auto"/>
              </w:rPr>
            </w:pPr>
          </w:p>
        </w:tc>
        <w:tc>
          <w:tcPr>
            <w:tcW w:w="1400" w:type="dxa"/>
            <w:vAlign w:val="bottom"/>
            <w:vMerge w:val="restart"/>
            <w:shd w:val="clear" w:color="auto" w:fill="CCEEFF"/>
          </w:tcPr>
          <w:p>
            <w:pPr>
              <w:jc w:val="right"/>
              <w:ind w:right="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(8)</w:t>
            </w:r>
          </w:p>
        </w:tc>
        <w:tc>
          <w:tcPr>
            <w:tcW w:w="0" w:type="dxa"/>
            <w:vAlign w:val="bottom"/>
          </w:tcPr>
          <w:p>
            <w:pPr>
              <w:spacing w:after="0"/>
              <w:rPr>
                <w:sz w:val="1"/>
                <w:szCs w:val="1"/>
                <w:color w:val="auto"/>
              </w:rPr>
            </w:pPr>
          </w:p>
        </w:tc>
      </w:tr>
      <w:tr>
        <w:trPr>
          <w:trHeight w:val="257"/>
        </w:trPr>
        <w:tc>
          <w:tcPr>
            <w:tcW w:w="37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48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480" w:type="dxa"/>
            <w:vAlign w:val="bottom"/>
            <w:tcBorders>
              <w:bottom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$32,456,695,298.95</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$3,541,025.46</w:t>
            </w: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60" w:right="160" w:hanging="368"/>
        <w:spacing w:after="0" w:line="263"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the registrant is also registering an indeterminate number of additional securities that may become issuable to prevent dilution as a result of any stock dividend, stock split, recapitalization or other similar transaction.</w:t>
      </w:r>
    </w:p>
    <w:p>
      <w:pPr>
        <w:spacing w:after="0" w:line="35" w:lineRule="exact"/>
        <w:rPr>
          <w:rFonts w:ascii="Arial" w:cs="Arial" w:eastAsia="Arial" w:hAnsi="Arial"/>
          <w:sz w:val="18"/>
          <w:szCs w:val="18"/>
          <w:color w:val="auto"/>
        </w:rPr>
      </w:pPr>
    </w:p>
    <w:p>
      <w:pPr>
        <w:ind w:left="860" w:hanging="368"/>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by multiplying the proposed maximum aggregate offering price of securities to be registered by 0.0001091.</w:t>
      </w:r>
    </w:p>
    <w:p>
      <w:pPr>
        <w:spacing w:after="0" w:line="88" w:lineRule="exact"/>
        <w:rPr>
          <w:rFonts w:ascii="Arial" w:cs="Arial" w:eastAsia="Arial" w:hAnsi="Arial"/>
          <w:sz w:val="17"/>
          <w:szCs w:val="17"/>
          <w:color w:val="auto"/>
        </w:rPr>
      </w:pPr>
    </w:p>
    <w:p>
      <w:pPr>
        <w:ind w:left="860" w:right="220" w:hanging="368"/>
        <w:spacing w:after="0" w:line="275"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the primary issuance of an aggregate of 85,750,000 shares of common stock, par value $0.0001 per share (“</w:t>
      </w:r>
      <w:r>
        <w:rPr>
          <w:rFonts w:ascii="Arial" w:cs="Arial" w:eastAsia="Arial" w:hAnsi="Arial"/>
          <w:sz w:val="17"/>
          <w:szCs w:val="17"/>
          <w:i w:val="1"/>
          <w:iCs w:val="1"/>
          <w:color w:val="auto"/>
        </w:rPr>
        <w:t>Class A common stock</w:t>
      </w:r>
      <w:r>
        <w:rPr>
          <w:rFonts w:ascii="Arial" w:cs="Arial" w:eastAsia="Arial" w:hAnsi="Arial"/>
          <w:sz w:val="17"/>
          <w:szCs w:val="17"/>
          <w:color w:val="auto"/>
        </w:rPr>
        <w:t>”), consisting of (a) 41,400,000 shares of Class A common stock issuable upon exercise of the Public Warrants (as defined below) by the holders thereof, (b) 42,850,000 shares of Class A common stock issuable upon exercise of the Private Placement Warrants (as defined below) by the holders thereof and (c) 1,500,000 shares of Class A common stock issuable upon exercise of the Working Capital Warrants (as defined below) by the holders thereof.</w:t>
      </w:r>
    </w:p>
    <w:p>
      <w:pPr>
        <w:spacing w:after="0" w:line="41" w:lineRule="exact"/>
        <w:rPr>
          <w:rFonts w:ascii="Arial" w:cs="Arial" w:eastAsia="Arial" w:hAnsi="Arial"/>
          <w:sz w:val="17"/>
          <w:szCs w:val="17"/>
          <w:color w:val="auto"/>
        </w:rPr>
      </w:pPr>
    </w:p>
    <w:p>
      <w:pPr>
        <w:ind w:left="860" w:right="200" w:hanging="368"/>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based on the exercise price of the Public Warrants, Private Placement Warrants and Working Capital Warrants.</w:t>
      </w:r>
    </w:p>
    <w:p>
      <w:pPr>
        <w:spacing w:after="0" w:line="21" w:lineRule="exact"/>
        <w:rPr>
          <w:rFonts w:ascii="Arial" w:cs="Arial" w:eastAsia="Arial" w:hAnsi="Arial"/>
          <w:sz w:val="18"/>
          <w:szCs w:val="18"/>
          <w:color w:val="auto"/>
        </w:rPr>
      </w:pPr>
    </w:p>
    <w:p>
      <w:pPr>
        <w:ind w:left="860" w:hanging="368"/>
        <w:spacing w:after="0" w:line="274"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1,336,329,949 shares of Class A common stock registered for resale by the selling securityholders named in this registration statement, consisting of (i) 1,244,157,121 issued and outstanding shares of Class A common stock,</w:t>
      </w:r>
    </w:p>
    <w:p>
      <w:pPr>
        <w:ind w:left="860" w:right="80"/>
        <w:spacing w:after="0" w:line="255" w:lineRule="auto"/>
        <w:rPr>
          <w:rFonts w:ascii="Arial" w:cs="Arial" w:eastAsia="Arial" w:hAnsi="Arial"/>
          <w:sz w:val="17"/>
          <w:szCs w:val="17"/>
          <w:color w:val="auto"/>
        </w:rPr>
      </w:pPr>
      <w:r>
        <w:rPr>
          <w:rFonts w:ascii="Arial" w:cs="Arial" w:eastAsia="Arial" w:hAnsi="Arial"/>
          <w:sz w:val="18"/>
          <w:szCs w:val="18"/>
          <w:color w:val="auto"/>
        </w:rPr>
        <w:t>(ii) 47,822,828 shares of Class A common stock subject to vesting and/or exercise of the assumed Lucid Equity Awards (as defined below) and (iii) 44,350,000 shares of Class A common stock issuable upon exercise of the Private Placement Warrants and the Working Capital Warrants.</w:t>
      </w:r>
    </w:p>
    <w:p>
      <w:pPr>
        <w:spacing w:after="0" w:line="41" w:lineRule="exact"/>
        <w:rPr>
          <w:rFonts w:ascii="Arial" w:cs="Arial" w:eastAsia="Arial" w:hAnsi="Arial"/>
          <w:sz w:val="17"/>
          <w:szCs w:val="17"/>
          <w:color w:val="auto"/>
        </w:rPr>
      </w:pPr>
    </w:p>
    <w:p>
      <w:pPr>
        <w:ind w:left="860" w:right="20" w:hanging="368"/>
        <w:spacing w:after="0" w:line="259"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457(a) under the Securities Act, and solely for the purpose of calculating the registration fee, the proposed maximum offering price is $23.55 per share, which is the average of the high and low prices of shares of the Class A common stock on July 2, 2021 (such date being within five business days of the date that this registration statement was filed with the U.S. Securities and Exchange Commission) on the New York Stock Exchange.</w:t>
      </w:r>
    </w:p>
    <w:p>
      <w:pPr>
        <w:spacing w:after="0" w:line="51" w:lineRule="exact"/>
        <w:rPr>
          <w:rFonts w:ascii="Arial" w:cs="Arial" w:eastAsia="Arial" w:hAnsi="Arial"/>
          <w:sz w:val="18"/>
          <w:szCs w:val="18"/>
          <w:color w:val="auto"/>
        </w:rPr>
      </w:pPr>
    </w:p>
    <w:p>
      <w:pPr>
        <w:ind w:left="860" w:right="20" w:hanging="368"/>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resale of 42,850,000 Private Placement Warrants and 1,500,000 Working Capital Warrants held by certain of the selling securityholders named in this registration statement.</w:t>
      </w:r>
    </w:p>
    <w:p>
      <w:pPr>
        <w:spacing w:after="0" w:line="21" w:lineRule="exact"/>
        <w:rPr>
          <w:rFonts w:ascii="Arial" w:cs="Arial" w:eastAsia="Arial" w:hAnsi="Arial"/>
          <w:sz w:val="18"/>
          <w:szCs w:val="18"/>
          <w:color w:val="auto"/>
        </w:rPr>
      </w:pPr>
    </w:p>
    <w:p>
      <w:pPr>
        <w:ind w:left="860" w:hanging="368"/>
        <w:spacing w:after="0" w:line="286"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accordance with Rule 457(i), the entire registration fee for the Private Placement Warrants and Working Capital Warrants is allocated to the shares of Class A common stock underlying the Private Placement Warrants and Working Capital Warrants, and no separate fee is payable for the Private Placement Warrants or Working Capital Warrants.</w:t>
      </w:r>
    </w:p>
    <w:p>
      <w:pPr>
        <w:spacing w:after="0" w:line="53" w:lineRule="exact"/>
        <w:rPr>
          <w:sz w:val="20"/>
          <w:szCs w:val="20"/>
          <w:color w:val="auto"/>
        </w:rPr>
      </w:pPr>
    </w:p>
    <w:p>
      <w:pPr>
        <w:jc w:val="both"/>
        <w:ind w:left="500" w:right="240" w:firstLine="360"/>
        <w:spacing w:after="0" w:line="329"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80010</wp:posOffset>
            </wp:positionV>
            <wp:extent cx="618934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1001395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10220"/>
          </w:cols>
          <w:pgMar w:left="580" w:top="131" w:right="1099"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83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 filed</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buy these securities in any</w:t>
            </w:r>
          </w:p>
        </w:tc>
      </w:tr>
      <w:tr>
        <w:trPr>
          <w:trHeight w:val="172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not soliciting an offer to</w:t>
            </w:r>
          </w:p>
        </w:tc>
      </w:tr>
      <w:tr>
        <w:trPr>
          <w:trHeight w:val="28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it is</w:t>
            </w:r>
          </w:p>
        </w:tc>
      </w:tr>
      <w:tr>
        <w:trPr>
          <w:trHeight w:val="171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Securityholders may not</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sell these securities and</w:t>
            </w:r>
          </w:p>
        </w:tc>
      </w:tr>
      <w:tr>
        <w:trPr>
          <w:trHeight w:val="51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Selling</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offer to</w:t>
            </w:r>
          </w:p>
        </w:tc>
      </w:tr>
      <w:tr>
        <w:trPr>
          <w:trHeight w:val="148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and the</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prospectus is not an</w:t>
            </w:r>
          </w:p>
        </w:tc>
      </w:tr>
      <w:tr>
        <w:trPr>
          <w:trHeight w:val="515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 and may be</w:t>
            </w:r>
          </w:p>
        </w:tc>
        <w:tc>
          <w:tcPr>
            <w:tcW w:w="320" w:type="dxa"/>
            <w:vAlign w:val="bottom"/>
            <w:textDirection w:val="btLr"/>
          </w:tcPr>
          <w:p>
            <w:pPr>
              <w:ind w:left="182"/>
              <w:spacing w:after="0"/>
              <w:rPr>
                <w:sz w:val="20"/>
                <w:szCs w:val="20"/>
                <w:color w:val="auto"/>
              </w:rPr>
            </w:pPr>
            <w:r>
              <w:rPr>
                <w:rFonts w:ascii="Arial" w:cs="Arial" w:eastAsia="Arial" w:hAnsi="Arial"/>
                <w:sz w:val="12"/>
                <w:szCs w:val="12"/>
                <w:b w:val="1"/>
                <w:bCs w:val="1"/>
                <w:color w:val="FC0014"/>
                <w:w w:val="73"/>
              </w:rPr>
              <w:t>with the Securities and Exchange Commission is effective. This preliminaryjurisdictionwheretheofferorsaleisnotpermitted.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C0014"/>
        </w:rPr>
        <w:t>Subject to Completion, Dated July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128905</wp:posOffset>
            </wp:positionV>
            <wp:extent cx="355727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727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Up to 85,750,000 Shares of Class A Common Stock</w:t>
      </w:r>
    </w:p>
    <w:p>
      <w:pPr>
        <w:jc w:val="center"/>
        <w:ind w:right="40"/>
        <w:spacing w:after="0" w:line="234" w:lineRule="auto"/>
        <w:rPr>
          <w:sz w:val="20"/>
          <w:szCs w:val="20"/>
          <w:color w:val="auto"/>
        </w:rPr>
      </w:pPr>
      <w:r>
        <w:rPr>
          <w:rFonts w:ascii="Arial" w:cs="Arial" w:eastAsia="Arial" w:hAnsi="Arial"/>
          <w:sz w:val="25"/>
          <w:szCs w:val="25"/>
          <w:b w:val="1"/>
          <w:bCs w:val="1"/>
          <w:color w:val="auto"/>
        </w:rPr>
        <w:t>and</w:t>
      </w:r>
    </w:p>
    <w:p>
      <w:pPr>
        <w:jc w:val="center"/>
        <w:ind w:right="40"/>
        <w:spacing w:after="0" w:line="225" w:lineRule="auto"/>
        <w:rPr>
          <w:sz w:val="20"/>
          <w:szCs w:val="20"/>
          <w:color w:val="auto"/>
        </w:rPr>
      </w:pPr>
      <w:r>
        <w:rPr>
          <w:rFonts w:ascii="Arial" w:cs="Arial" w:eastAsia="Arial" w:hAnsi="Arial"/>
          <w:sz w:val="25"/>
          <w:szCs w:val="25"/>
          <w:b w:val="1"/>
          <w:bCs w:val="1"/>
          <w:color w:val="auto"/>
        </w:rPr>
        <w:t>Up to 1,336,329,949 Shares of Class A Common Stock</w:t>
      </w:r>
    </w:p>
    <w:p>
      <w:pPr>
        <w:jc w:val="center"/>
        <w:ind w:right="40"/>
        <w:spacing w:after="0" w:line="226" w:lineRule="auto"/>
        <w:rPr>
          <w:sz w:val="20"/>
          <w:szCs w:val="20"/>
          <w:color w:val="auto"/>
        </w:rPr>
      </w:pPr>
      <w:r>
        <w:rPr>
          <w:rFonts w:ascii="Arial" w:cs="Arial" w:eastAsia="Arial" w:hAnsi="Arial"/>
          <w:sz w:val="25"/>
          <w:szCs w:val="25"/>
          <w:b w:val="1"/>
          <w:bCs w:val="1"/>
          <w:color w:val="auto"/>
        </w:rPr>
        <w:t>Up to 44,350,000 Warrants to Purchase Class A Common Stock</w:t>
      </w:r>
    </w:p>
    <w:p>
      <w:pPr>
        <w:jc w:val="center"/>
        <w:ind w:right="-39"/>
        <w:spacing w:after="0"/>
        <w:rPr>
          <w:sz w:val="20"/>
          <w:szCs w:val="20"/>
          <w:color w:val="auto"/>
        </w:rPr>
      </w:pPr>
      <w:r>
        <w:rPr>
          <w:rFonts w:ascii="Arial" w:cs="Arial" w:eastAsia="Arial" w:hAnsi="Arial"/>
          <w:sz w:val="25"/>
          <w:szCs w:val="25"/>
          <w:b w:val="1"/>
          <w:bCs w:val="1"/>
          <w:color w:val="auto"/>
        </w:rPr>
        <w:t>Offered by the Selling Securityholders</w:t>
      </w:r>
    </w:p>
    <w:p>
      <w:pPr>
        <w:spacing w:after="0" w:line="125" w:lineRule="exact"/>
        <w:rPr>
          <w:sz w:val="20"/>
          <w:szCs w:val="20"/>
          <w:color w:val="auto"/>
        </w:rPr>
      </w:pPr>
    </w:p>
    <w:p>
      <w:pPr>
        <w:ind w:right="120" w:firstLine="360"/>
        <w:spacing w:after="0" w:line="259" w:lineRule="auto"/>
        <w:rPr>
          <w:sz w:val="20"/>
          <w:szCs w:val="20"/>
          <w:color w:val="auto"/>
        </w:rPr>
      </w:pPr>
      <w:r>
        <w:rPr>
          <w:rFonts w:ascii="Arial" w:cs="Arial" w:eastAsia="Arial" w:hAnsi="Arial"/>
          <w:sz w:val="17"/>
          <w:szCs w:val="17"/>
          <w:color w:val="auto"/>
        </w:rPr>
        <w:t>This prospectus relates to the issuance by us of an aggregate of up to 85,750,000 shares of our common stock, par value $0.0001 per share (“</w:t>
      </w:r>
      <w:r>
        <w:rPr>
          <w:rFonts w:ascii="Arial" w:cs="Arial" w:eastAsia="Arial" w:hAnsi="Arial"/>
          <w:sz w:val="17"/>
          <w:szCs w:val="17"/>
          <w:i w:val="1"/>
          <w:iCs w:val="1"/>
          <w:color w:val="auto"/>
        </w:rPr>
        <w:t>Class A common stock</w:t>
      </w:r>
      <w:r>
        <w:rPr>
          <w:rFonts w:ascii="Arial" w:cs="Arial" w:eastAsia="Arial" w:hAnsi="Arial"/>
          <w:sz w:val="17"/>
          <w:szCs w:val="17"/>
          <w:color w:val="auto"/>
        </w:rPr>
        <w:t>”), consisting of (a) 41,400,000 shares of Class A common stock issuable upon exercise of the Public Warrants (as defined below), (b) 42,850,000 shares of Class A common stock issuable upon exercise of the Private Placement Warrants (as defined below) and (c) 1,500,000 shares of Class A common stock issuable upon exercise of the Working Capital Warrants (as defined below).</w:t>
      </w:r>
    </w:p>
    <w:p>
      <w:pPr>
        <w:spacing w:after="0" w:line="106" w:lineRule="exact"/>
        <w:rPr>
          <w:sz w:val="20"/>
          <w:szCs w:val="20"/>
          <w:color w:val="auto"/>
        </w:rPr>
      </w:pPr>
    </w:p>
    <w:p>
      <w:pPr>
        <w:ind w:right="40" w:firstLine="360"/>
        <w:spacing w:after="0" w:line="252" w:lineRule="auto"/>
        <w:rPr>
          <w:sz w:val="20"/>
          <w:szCs w:val="20"/>
          <w:color w:val="auto"/>
        </w:rPr>
      </w:pPr>
      <w:r>
        <w:rPr>
          <w:rFonts w:ascii="Arial" w:cs="Arial" w:eastAsia="Arial" w:hAnsi="Arial"/>
          <w:sz w:val="17"/>
          <w:szCs w:val="17"/>
          <w:color w:val="auto"/>
        </w:rPr>
        <w:t>The prospectus also relates to the offer and sale from time to time by the selling securityholders named in this prospectus (the “</w:t>
      </w:r>
      <w:r>
        <w:rPr>
          <w:rFonts w:ascii="Arial" w:cs="Arial" w:eastAsia="Arial" w:hAnsi="Arial"/>
          <w:sz w:val="17"/>
          <w:szCs w:val="17"/>
          <w:i w:val="1"/>
          <w:iCs w:val="1"/>
          <w:color w:val="auto"/>
        </w:rPr>
        <w:t>Selling Securityholders</w:t>
      </w:r>
      <w:r>
        <w:rPr>
          <w:rFonts w:ascii="Arial" w:cs="Arial" w:eastAsia="Arial" w:hAnsi="Arial"/>
          <w:sz w:val="17"/>
          <w:szCs w:val="17"/>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(as defined below) and (iii) 44,350,000 shares of Class A common stock issuable upon exercise of the Private Placement Warrants and the Working Capital Warrants, and (b) 44,350,000 warrants representing the Private Placement Warrants and the Working Capital Warrants. We will not receive any proceeds from the sale of shares of Class A common stock or warrants by the Selling Securityholders pursuant to this prospectus, except with respect to amounts received by us upon exercise of the warrants to the extent such warrants are exercised for cash.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02" w:lineRule="exact"/>
        <w:rPr>
          <w:sz w:val="20"/>
          <w:szCs w:val="20"/>
          <w:color w:val="auto"/>
        </w:rPr>
      </w:pPr>
    </w:p>
    <w:p>
      <w:pPr>
        <w:ind w:right="120" w:firstLine="360"/>
        <w:spacing w:after="0" w:line="255" w:lineRule="auto"/>
        <w:rPr>
          <w:sz w:val="20"/>
          <w:szCs w:val="20"/>
          <w:color w:val="auto"/>
        </w:rPr>
      </w:pPr>
      <w:r>
        <w:rPr>
          <w:rFonts w:ascii="Arial" w:cs="Arial" w:eastAsia="Arial" w:hAnsi="Arial"/>
          <w:sz w:val="17"/>
          <w:szCs w:val="17"/>
          <w:color w:val="auto"/>
        </w:rPr>
        <w:t xml:space="preserve">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 </w:t>
      </w:r>
      <w:r>
        <w:rPr>
          <w:rFonts w:ascii="Arial" w:cs="Arial" w:eastAsia="Arial" w:hAnsi="Arial"/>
          <w:sz w:val="17"/>
          <w:szCs w:val="17"/>
          <w:i w:val="1"/>
          <w:iCs w:val="1"/>
          <w:color w:val="auto"/>
        </w:rPr>
        <w:t>Plan of Distribution</w:t>
      </w:r>
      <w:r>
        <w:rPr>
          <w:rFonts w:ascii="Arial" w:cs="Arial" w:eastAsia="Arial" w:hAnsi="Arial"/>
          <w:sz w:val="17"/>
          <w:szCs w:val="17"/>
          <w:color w:val="auto"/>
        </w:rPr>
        <w:t>.”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 for more information.</w:t>
      </w:r>
    </w:p>
    <w:p>
      <w:pPr>
        <w:spacing w:after="0" w:line="112" w:lineRule="exact"/>
        <w:rPr>
          <w:sz w:val="20"/>
          <w:szCs w:val="20"/>
          <w:color w:val="auto"/>
        </w:rPr>
      </w:pPr>
    </w:p>
    <w:p>
      <w:pPr>
        <w:ind w:right="120" w:firstLine="360"/>
        <w:spacing w:after="0" w:line="248" w:lineRule="auto"/>
        <w:rPr>
          <w:sz w:val="20"/>
          <w:szCs w:val="20"/>
          <w:color w:val="auto"/>
        </w:rPr>
      </w:pPr>
      <w:r>
        <w:rPr>
          <w:rFonts w:ascii="Arial" w:cs="Arial" w:eastAsia="Arial" w:hAnsi="Arial"/>
          <w:sz w:val="18"/>
          <w:szCs w:val="18"/>
          <w:color w:val="auto"/>
        </w:rPr>
        <w:t>We are an “emerging growth company” as defined in Section 2(a) of the Securities Act (as defined below) and are subject to reduced public company reporting requirements. We expect that we will cease to be an emerging growth company as of December 31, 2021.</w:t>
      </w:r>
    </w:p>
    <w:p>
      <w:pPr>
        <w:spacing w:after="0" w:line="114" w:lineRule="exact"/>
        <w:rPr>
          <w:sz w:val="20"/>
          <w:szCs w:val="20"/>
          <w:color w:val="auto"/>
        </w:rPr>
      </w:pPr>
    </w:p>
    <w:p>
      <w:pPr>
        <w:ind w:firstLine="360"/>
        <w:spacing w:after="0" w:line="243" w:lineRule="auto"/>
        <w:rPr>
          <w:sz w:val="20"/>
          <w:szCs w:val="20"/>
          <w:color w:val="auto"/>
        </w:rPr>
      </w:pPr>
      <w:r>
        <w:rPr>
          <w:rFonts w:ascii="Arial" w:cs="Arial" w:eastAsia="Arial" w:hAnsi="Arial"/>
          <w:sz w:val="18"/>
          <w:szCs w:val="18"/>
          <w:color w:val="auto"/>
        </w:rPr>
        <w:t>Our majority stockholder, Ayar, owns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 (as defined below).</w:t>
      </w:r>
    </w:p>
    <w:p>
      <w:pPr>
        <w:spacing w:after="0" w:line="107" w:lineRule="exact"/>
        <w:rPr>
          <w:sz w:val="20"/>
          <w:szCs w:val="20"/>
          <w:color w:val="auto"/>
        </w:rPr>
      </w:pPr>
    </w:p>
    <w:p>
      <w:pPr>
        <w:ind w:right="220" w:firstLine="360"/>
        <w:spacing w:after="0" w:line="243" w:lineRule="auto"/>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 Our Class A common stock and Public Warrants are listed on The Nasdaq Stock Market LLC under the symbols “LCID” and “LCIDW,” respectively. On July 29, 2021, the closing price of our Class A common stock was $23.35 per share and the closing price for our Public Warrants was $11.26.</w:t>
      </w:r>
    </w:p>
    <w:p>
      <w:pPr>
        <w:spacing w:after="0" w:line="116" w:lineRule="exact"/>
        <w:rPr>
          <w:sz w:val="20"/>
          <w:szCs w:val="20"/>
          <w:color w:val="auto"/>
        </w:rPr>
      </w:pPr>
    </w:p>
    <w:p>
      <w:pPr>
        <w:ind w:right="660" w:firstLine="36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Factors</w:t>
      </w:r>
      <w:r>
        <w:rPr>
          <w:rFonts w:ascii="Arial" w:cs="Arial" w:eastAsia="Arial" w:hAnsi="Arial"/>
          <w:sz w:val="18"/>
          <w:szCs w:val="18"/>
          <w:b w:val="1"/>
          <w:bCs w:val="1"/>
          <w:color w:val="auto"/>
        </w:rPr>
        <w:t>” beginning on page</w:t>
      </w:r>
      <w:r>
        <w:rPr>
          <w:rFonts w:ascii="Arial" w:cs="Arial" w:eastAsia="Arial" w:hAnsi="Arial"/>
          <w:sz w:val="18"/>
          <w:szCs w:val="18"/>
          <w:b w:val="1"/>
          <w:bCs w:val="1"/>
          <w:i w:val="1"/>
          <w:iCs w:val="1"/>
          <w:color w:val="auto"/>
        </w:rPr>
        <w:t xml:space="preserve"> </w:t>
      </w:r>
      <w:hyperlink w:anchor="page18">
        <w:r>
          <w:rPr>
            <w:rFonts w:ascii="Arial" w:cs="Arial" w:eastAsia="Arial" w:hAnsi="Arial"/>
            <w:sz w:val="18"/>
            <w:szCs w:val="18"/>
            <w:b w:val="1"/>
            <w:bCs w:val="1"/>
            <w:u w:val="single" w:color="auto"/>
            <w:color w:val="0000EE"/>
          </w:rPr>
          <w:t>8</w:t>
        </w:r>
      </w:hyperlink>
      <w:r>
        <w:rPr>
          <w:rFonts w:ascii="Arial" w:cs="Arial" w:eastAsia="Arial" w:hAnsi="Arial"/>
          <w:sz w:val="18"/>
          <w:szCs w:val="18"/>
          <w:b w:val="1"/>
          <w:bCs w:val="1"/>
          <w:color w:val="auto"/>
        </w:rPr>
        <w:t>.</w:t>
      </w:r>
    </w:p>
    <w:p>
      <w:pPr>
        <w:spacing w:after="0" w:line="95" w:lineRule="exact"/>
        <w:rPr>
          <w:sz w:val="20"/>
          <w:szCs w:val="20"/>
          <w:color w:val="auto"/>
        </w:rPr>
      </w:pPr>
    </w:p>
    <w:p>
      <w:pPr>
        <w:ind w:right="20" w:firstLine="36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10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241935</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080"/>
          </w:cols>
          <w:pgMar w:left="580" w:top="131" w:right="1099"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231775</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0"/>
                <w:szCs w:val="10"/>
                <w:b w:val="1"/>
                <w:bCs w:val="1"/>
                <w:color w:val="auto"/>
                <w:w w:val="96"/>
              </w:rPr>
              <w:t>AGE</w:t>
            </w:r>
          </w:p>
        </w:tc>
      </w:tr>
      <w:tr>
        <w:trPr>
          <w:trHeight w:val="39"/>
        </w:trPr>
        <w:tc>
          <w:tcPr>
            <w:tcW w:w="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0"/>
        </w:trPr>
        <w:tc>
          <w:tcPr>
            <w:tcW w:w="172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6180" w:type="dxa"/>
            <w:vAlign w:val="bottom"/>
            <w:tcBorders>
              <w:bottom w:val="single" w:sz="8" w:color="CCEEFF"/>
            </w:tcBorders>
            <w:gridSpan w:val="13"/>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20" w:type="dxa"/>
            <w:vAlign w:val="bottom"/>
          </w:tcPr>
          <w:p>
            <w:pPr>
              <w:spacing w:after="0"/>
              <w:rPr>
                <w:sz w:val="20"/>
                <w:szCs w:val="20"/>
                <w:color w:val="auto"/>
              </w:rPr>
            </w:pPr>
          </w:p>
        </w:tc>
      </w:tr>
      <w:tr>
        <w:trPr>
          <w:trHeight w:val="216"/>
        </w:trPr>
        <w:tc>
          <w:tcPr>
            <w:tcW w:w="79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Frequently Used Terms</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340" w:type="dxa"/>
            <w:vAlign w:val="bottom"/>
            <w:tcBorders>
              <w:bottom w:val="single" w:sz="8" w:color="0000EE"/>
            </w:tcBorders>
            <w:gridSpan w:val="18"/>
            <w:shd w:val="clear" w:color="auto" w:fill="CCEEFF"/>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Cautionary Note Regarding Forward-Looking Statements</w:t>
              </w:r>
            </w:hyperlink>
          </w:p>
        </w:tc>
        <w:tc>
          <w:tcPr>
            <w:tcW w:w="3560" w:type="dxa"/>
            <w:vAlign w:val="bottom"/>
            <w:tcBorders>
              <w:bottom w:val="single" w:sz="8" w:color="CCEEFF"/>
            </w:tcBorders>
            <w:gridSpan w:val="5"/>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8"/>
                <w:szCs w:val="18"/>
                <w:color w:val="0000EE"/>
                <w:w w:val="82"/>
              </w:rPr>
            </w:pPr>
            <w:hyperlink w:anchor="page9">
              <w:r>
                <w:rPr>
                  <w:rFonts w:ascii="Arial" w:cs="Arial" w:eastAsia="Arial" w:hAnsi="Arial"/>
                  <w:sz w:val="18"/>
                  <w:szCs w:val="18"/>
                  <w:color w:val="0000EE"/>
                  <w:w w:val="82"/>
                </w:rPr>
                <w:t>vii</w:t>
              </w:r>
            </w:hyperlink>
          </w:p>
        </w:tc>
        <w:tc>
          <w:tcPr>
            <w:tcW w:w="20" w:type="dxa"/>
            <w:vAlign w:val="bottom"/>
          </w:tcPr>
          <w:p>
            <w:pPr>
              <w:spacing w:after="0"/>
              <w:rPr>
                <w:sz w:val="20"/>
                <w:szCs w:val="20"/>
                <w:color w:val="auto"/>
              </w:rPr>
            </w:pPr>
          </w:p>
        </w:tc>
      </w:tr>
      <w:tr>
        <w:trPr>
          <w:trHeight w:val="216"/>
        </w:trPr>
        <w:tc>
          <w:tcPr>
            <w:tcW w:w="790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Prospectus Summary</w:t>
              </w:r>
            </w:hyperlink>
          </w:p>
        </w:tc>
        <w:tc>
          <w:tcPr>
            <w:tcW w:w="30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w:t>
              </w:r>
            </w:hyperlink>
          </w:p>
        </w:tc>
        <w:tc>
          <w:tcPr>
            <w:tcW w:w="20" w:type="dxa"/>
            <w:vAlign w:val="bottom"/>
          </w:tcPr>
          <w:p>
            <w:pPr>
              <w:spacing w:after="0"/>
              <w:rPr>
                <w:sz w:val="18"/>
                <w:szCs w:val="18"/>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900" w:type="dxa"/>
            <w:vAlign w:val="bottom"/>
            <w:gridSpan w:val="23"/>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8</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300" w:type="dxa"/>
            <w:vAlign w:val="bottom"/>
            <w:gridSpan w:val="4"/>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56</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7"/>
              </w:rPr>
            </w:pPr>
            <w:hyperlink w:anchor="page67">
              <w:r>
                <w:rPr>
                  <w:rFonts w:ascii="Arial" w:cs="Arial" w:eastAsia="Arial" w:hAnsi="Arial"/>
                  <w:sz w:val="18"/>
                  <w:szCs w:val="18"/>
                  <w:color w:val="0000EE"/>
                  <w:w w:val="97"/>
                </w:rPr>
                <w:t>Determination of Offering Price</w:t>
              </w:r>
            </w:hyperlink>
          </w:p>
        </w:tc>
        <w:tc>
          <w:tcPr>
            <w:tcW w:w="5480" w:type="dxa"/>
            <w:vAlign w:val="bottom"/>
            <w:tcBorders>
              <w:bottom w:val="single" w:sz="8" w:color="CCEEFF"/>
            </w:tcBorders>
            <w:gridSpan w:val="9"/>
            <w:shd w:val="clear" w:color="auto" w:fill="CCEEFF"/>
          </w:tcPr>
          <w:p>
            <w:pPr>
              <w:spacing w:after="0"/>
              <w:rPr>
                <w:sz w:val="21"/>
                <w:szCs w:val="21"/>
                <w:color w:val="auto"/>
              </w:rPr>
            </w:pPr>
          </w:p>
        </w:tc>
        <w:tc>
          <w:tcPr>
            <w:tcW w:w="14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7"/>
                <w:szCs w:val="17"/>
                <w:color w:val="0000EE"/>
                <w:w w:val="73"/>
              </w:rPr>
            </w:pPr>
            <w:hyperlink w:anchor="page67">
              <w:r>
                <w:rPr>
                  <w:rFonts w:ascii="Arial" w:cs="Arial" w:eastAsia="Arial" w:hAnsi="Arial"/>
                  <w:sz w:val="17"/>
                  <w:szCs w:val="17"/>
                  <w:color w:val="0000EE"/>
                  <w:w w:val="73"/>
                </w:rPr>
                <w:t>57</w:t>
              </w:r>
            </w:hyperlink>
          </w:p>
        </w:tc>
        <w:tc>
          <w:tcPr>
            <w:tcW w:w="20" w:type="dxa"/>
            <w:vAlign w:val="bottom"/>
          </w:tcPr>
          <w:p>
            <w:pPr>
              <w:spacing w:after="0"/>
              <w:rPr>
                <w:sz w:val="21"/>
                <w:szCs w:val="2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Market Information for Common Stock and Dividend Policy</w:t>
              </w:r>
            </w:hyperlink>
          </w:p>
        </w:tc>
        <w:tc>
          <w:tcPr>
            <w:tcW w:w="30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58</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Unaudited Pro Forma Condensed Combined Financial Information</w:t>
              </w:r>
            </w:hyperlink>
          </w:p>
        </w:tc>
        <w:tc>
          <w:tcPr>
            <w:tcW w:w="286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7"/>
                <w:szCs w:val="17"/>
                <w:color w:val="0000EE"/>
                <w:w w:val="73"/>
              </w:rPr>
            </w:pPr>
            <w:hyperlink w:anchor="page69">
              <w:r>
                <w:rPr>
                  <w:rFonts w:ascii="Arial" w:cs="Arial" w:eastAsia="Arial" w:hAnsi="Arial"/>
                  <w:sz w:val="17"/>
                  <w:szCs w:val="17"/>
                  <w:color w:val="0000EE"/>
                  <w:w w:val="73"/>
                </w:rPr>
                <w:t>59</w:t>
              </w:r>
            </w:hyperlink>
          </w:p>
        </w:tc>
        <w:tc>
          <w:tcPr>
            <w:tcW w:w="20" w:type="dxa"/>
            <w:vAlign w:val="bottom"/>
          </w:tcPr>
          <w:p>
            <w:pPr>
              <w:spacing w:after="0"/>
              <w:rPr>
                <w:sz w:val="21"/>
                <w:szCs w:val="2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30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73</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900" w:type="dxa"/>
            <w:vAlign w:val="bottom"/>
            <w:gridSpan w:val="23"/>
            <w:shd w:val="clear" w:color="auto" w:fill="CCEEFF"/>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Business</w:t>
              </w:r>
            </w:hyperlink>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95</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Management</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23">
              <w:r>
                <w:rPr>
                  <w:rFonts w:ascii="Arial" w:cs="Arial" w:eastAsia="Arial" w:hAnsi="Arial"/>
                  <w:sz w:val="18"/>
                  <w:szCs w:val="18"/>
                  <w:color w:val="0000EE"/>
                  <w:w w:val="93"/>
                </w:rPr>
                <w:t>113</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8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Executive Compensation</w:t>
              </w:r>
            </w:hyperlink>
          </w:p>
        </w:tc>
        <w:tc>
          <w:tcPr>
            <w:tcW w:w="6020" w:type="dxa"/>
            <w:vAlign w:val="bottom"/>
            <w:tcBorders>
              <w:bottom w:val="single" w:sz="8" w:color="CCEEFF"/>
            </w:tcBorders>
            <w:gridSpan w:val="11"/>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120</w:t>
              </w:r>
            </w:hyperlink>
          </w:p>
        </w:tc>
        <w:tc>
          <w:tcPr>
            <w:tcW w:w="20" w:type="dxa"/>
            <w:vAlign w:val="bottom"/>
          </w:tcPr>
          <w:p>
            <w:pPr>
              <w:spacing w:after="0"/>
              <w:rPr>
                <w:sz w:val="21"/>
                <w:szCs w:val="21"/>
                <w:color w:val="auto"/>
              </w:rPr>
            </w:pPr>
          </w:p>
        </w:tc>
      </w:tr>
      <w:tr>
        <w:trPr>
          <w:trHeight w:val="230"/>
        </w:trPr>
        <w:tc>
          <w:tcPr>
            <w:tcW w:w="7900" w:type="dxa"/>
            <w:vAlign w:val="bottom"/>
            <w:gridSpan w:val="23"/>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Certain Relationships and Related Party Transactions</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37">
              <w:r>
                <w:rPr>
                  <w:rFonts w:ascii="Arial" w:cs="Arial" w:eastAsia="Arial" w:hAnsi="Arial"/>
                  <w:sz w:val="18"/>
                  <w:szCs w:val="18"/>
                  <w:color w:val="0000EE"/>
                  <w:w w:val="93"/>
                </w:rPr>
                <w:t>127</w:t>
              </w:r>
            </w:hyperlink>
          </w:p>
        </w:tc>
        <w:tc>
          <w:tcPr>
            <w:tcW w:w="2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00" w:type="dxa"/>
            <w:vAlign w:val="bottom"/>
            <w:gridSpan w:val="23"/>
            <w:shd w:val="clear" w:color="auto" w:fill="CCEEFF"/>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Beneficial Ownership of Securities</w:t>
              </w:r>
            </w:hyperlink>
          </w:p>
        </w:tc>
        <w:tc>
          <w:tcPr>
            <w:tcW w:w="300" w:type="dxa"/>
            <w:vAlign w:val="bottom"/>
            <w:gridSpan w:val="4"/>
            <w:shd w:val="clear" w:color="auto" w:fill="CCEEFF"/>
          </w:tcPr>
          <w:p>
            <w:pPr>
              <w:jc w:val="right"/>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133</w:t>
              </w:r>
            </w:hyperlink>
          </w:p>
        </w:tc>
        <w:tc>
          <w:tcPr>
            <w:tcW w:w="20" w:type="dxa"/>
            <w:vAlign w:val="bottom"/>
          </w:tcPr>
          <w:p>
            <w:pPr>
              <w:spacing w:after="0"/>
              <w:rPr>
                <w:sz w:val="21"/>
                <w:szCs w:val="21"/>
                <w:color w:val="auto"/>
              </w:rPr>
            </w:pPr>
          </w:p>
        </w:tc>
      </w:tr>
      <w:tr>
        <w:trPr>
          <w:trHeight w:val="230"/>
        </w:trPr>
        <w:tc>
          <w:tcPr>
            <w:tcW w:w="2640" w:type="dxa"/>
            <w:vAlign w:val="bottom"/>
            <w:tcBorders>
              <w:top w:val="single" w:sz="8" w:color="0000EE"/>
            </w:tcBorders>
            <w:gridSpan w:val="15"/>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Selling Securityholders</w:t>
              </w:r>
            </w:hyperlink>
          </w:p>
        </w:tc>
        <w:tc>
          <w:tcPr>
            <w:tcW w:w="5260" w:type="dxa"/>
            <w:vAlign w:val="bottom"/>
            <w:tcBorders>
              <w:top w:val="single" w:sz="8" w:color="CCEEFF"/>
            </w:tcBorders>
            <w:gridSpan w:val="8"/>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135</w:t>
              </w:r>
            </w:hyperlink>
          </w:p>
        </w:tc>
        <w:tc>
          <w:tcPr>
            <w:tcW w:w="2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8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5"/>
              </w:rPr>
            </w:pPr>
            <w:hyperlink w:anchor="page162">
              <w:r>
                <w:rPr>
                  <w:rFonts w:ascii="Arial" w:cs="Arial" w:eastAsia="Arial" w:hAnsi="Arial"/>
                  <w:sz w:val="18"/>
                  <w:szCs w:val="18"/>
                  <w:color w:val="0000EE"/>
                  <w:w w:val="95"/>
                </w:rPr>
                <w:t>Description of Securities</w:t>
              </w:r>
            </w:hyperlink>
          </w:p>
        </w:tc>
        <w:tc>
          <w:tcPr>
            <w:tcW w:w="6020" w:type="dxa"/>
            <w:vAlign w:val="bottom"/>
            <w:tcBorders>
              <w:bottom w:val="single" w:sz="8" w:color="CCEEFF"/>
            </w:tcBorders>
            <w:gridSpan w:val="11"/>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152</w:t>
              </w:r>
            </w:hyperlink>
          </w:p>
        </w:tc>
        <w:tc>
          <w:tcPr>
            <w:tcW w:w="20" w:type="dxa"/>
            <w:vAlign w:val="bottom"/>
          </w:tcPr>
          <w:p>
            <w:pPr>
              <w:spacing w:after="0"/>
              <w:rPr>
                <w:sz w:val="21"/>
                <w:szCs w:val="21"/>
                <w:color w:val="auto"/>
              </w:rPr>
            </w:pPr>
          </w:p>
        </w:tc>
      </w:tr>
      <w:tr>
        <w:trPr>
          <w:trHeight w:val="230"/>
        </w:trPr>
        <w:tc>
          <w:tcPr>
            <w:tcW w:w="7900" w:type="dxa"/>
            <w:vAlign w:val="bottom"/>
            <w:gridSpan w:val="23"/>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Material United States Federal Income and Estate Tax Consequences to Non-U.S. Holders</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72">
              <w:r>
                <w:rPr>
                  <w:rFonts w:ascii="Arial" w:cs="Arial" w:eastAsia="Arial" w:hAnsi="Arial"/>
                  <w:sz w:val="18"/>
                  <w:szCs w:val="18"/>
                  <w:color w:val="0000EE"/>
                  <w:w w:val="93"/>
                </w:rPr>
                <w:t>162</w:t>
              </w:r>
            </w:hyperlink>
          </w:p>
        </w:tc>
        <w:tc>
          <w:tcPr>
            <w:tcW w:w="2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7"/>
              </w:rPr>
            </w:pPr>
            <w:hyperlink w:anchor="page175">
              <w:r>
                <w:rPr>
                  <w:rFonts w:ascii="Arial" w:cs="Arial" w:eastAsia="Arial" w:hAnsi="Arial"/>
                  <w:sz w:val="18"/>
                  <w:szCs w:val="18"/>
                  <w:color w:val="0000EE"/>
                  <w:w w:val="97"/>
                </w:rPr>
                <w:t>Plan of Distribution</w:t>
              </w:r>
            </w:hyperlink>
          </w:p>
        </w:tc>
        <w:tc>
          <w:tcPr>
            <w:tcW w:w="6400" w:type="dxa"/>
            <w:vAlign w:val="bottom"/>
            <w:tcBorders>
              <w:bottom w:val="single" w:sz="8" w:color="CCEEFF"/>
            </w:tcBorders>
            <w:gridSpan w:val="1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75">
              <w:r>
                <w:rPr>
                  <w:rFonts w:ascii="Arial" w:cs="Arial" w:eastAsia="Arial" w:hAnsi="Arial"/>
                  <w:sz w:val="18"/>
                  <w:szCs w:val="18"/>
                  <w:color w:val="0000EE"/>
                  <w:w w:val="86"/>
                </w:rPr>
                <w:t>165</w:t>
              </w:r>
            </w:hyperlink>
          </w:p>
        </w:tc>
        <w:tc>
          <w:tcPr>
            <w:tcW w:w="20" w:type="dxa"/>
            <w:vAlign w:val="bottom"/>
          </w:tcPr>
          <w:p>
            <w:pPr>
              <w:spacing w:after="0"/>
              <w:rPr>
                <w:sz w:val="21"/>
                <w:szCs w:val="2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Legal Matters</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80">
              <w:r>
                <w:rPr>
                  <w:rFonts w:ascii="Arial" w:cs="Arial" w:eastAsia="Arial" w:hAnsi="Arial"/>
                  <w:sz w:val="18"/>
                  <w:szCs w:val="18"/>
                  <w:color w:val="0000EE"/>
                  <w:w w:val="93"/>
                </w:rPr>
                <w:t>170</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Borders>
              <w:bottom w:val="single" w:sz="8" w:color="0000EE"/>
            </w:tcBorders>
            <w:shd w:val="clear" w:color="auto" w:fill="CCEEFF"/>
          </w:tcPr>
          <w:p>
            <w:pPr>
              <w:spacing w:after="0"/>
              <w:rPr>
                <w:rFonts w:ascii="Arial" w:cs="Arial" w:eastAsia="Arial" w:hAnsi="Arial"/>
                <w:sz w:val="18"/>
                <w:szCs w:val="18"/>
                <w:color w:val="0000EE"/>
                <w:w w:val="91"/>
              </w:rPr>
            </w:pPr>
            <w:hyperlink w:anchor="page181">
              <w:r>
                <w:rPr>
                  <w:rFonts w:ascii="Arial" w:cs="Arial" w:eastAsia="Arial" w:hAnsi="Arial"/>
                  <w:sz w:val="18"/>
                  <w:szCs w:val="18"/>
                  <w:color w:val="0000EE"/>
                  <w:w w:val="91"/>
                </w:rPr>
                <w:t>Experts</w:t>
              </w:r>
            </w:hyperlink>
          </w:p>
        </w:tc>
        <w:tc>
          <w:tcPr>
            <w:tcW w:w="7320" w:type="dxa"/>
            <w:vAlign w:val="bottom"/>
            <w:tcBorders>
              <w:bottom w:val="single" w:sz="8" w:color="CCEEFF"/>
            </w:tcBorders>
            <w:gridSpan w:val="2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81">
              <w:r>
                <w:rPr>
                  <w:rFonts w:ascii="Arial" w:cs="Arial" w:eastAsia="Arial" w:hAnsi="Arial"/>
                  <w:sz w:val="18"/>
                  <w:szCs w:val="18"/>
                  <w:color w:val="0000EE"/>
                  <w:w w:val="86"/>
                </w:rPr>
                <w:t>171</w:t>
              </w:r>
            </w:hyperlink>
          </w:p>
        </w:tc>
        <w:tc>
          <w:tcPr>
            <w:tcW w:w="20" w:type="dxa"/>
            <w:vAlign w:val="bottom"/>
          </w:tcPr>
          <w:p>
            <w:pPr>
              <w:spacing w:after="0"/>
              <w:rPr>
                <w:sz w:val="21"/>
                <w:szCs w:val="2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Change in Auditor</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82">
              <w:r>
                <w:rPr>
                  <w:rFonts w:ascii="Arial" w:cs="Arial" w:eastAsia="Arial" w:hAnsi="Arial"/>
                  <w:sz w:val="18"/>
                  <w:szCs w:val="18"/>
                  <w:color w:val="0000EE"/>
                  <w:w w:val="93"/>
                </w:rPr>
                <w:t>172</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6"/>
              </w:rPr>
            </w:pPr>
            <w:hyperlink w:anchor="page183">
              <w:r>
                <w:rPr>
                  <w:rFonts w:ascii="Arial" w:cs="Arial" w:eastAsia="Arial" w:hAnsi="Arial"/>
                  <w:sz w:val="18"/>
                  <w:szCs w:val="18"/>
                  <w:color w:val="0000EE"/>
                  <w:w w:val="96"/>
                </w:rPr>
                <w:t>Where You Can Find More Information</w:t>
              </w:r>
            </w:hyperlink>
          </w:p>
        </w:tc>
        <w:tc>
          <w:tcPr>
            <w:tcW w:w="4900" w:type="dxa"/>
            <w:vAlign w:val="bottom"/>
            <w:tcBorders>
              <w:bottom w:val="single" w:sz="8" w:color="CCEEFF"/>
            </w:tcBorders>
            <w:gridSpan w:val="7"/>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173</w:t>
              </w:r>
            </w:hyperlink>
          </w:p>
        </w:tc>
        <w:tc>
          <w:tcPr>
            <w:tcW w:w="20" w:type="dxa"/>
            <w:vAlign w:val="bottom"/>
          </w:tcPr>
          <w:p>
            <w:pPr>
              <w:spacing w:after="0"/>
              <w:rPr>
                <w:sz w:val="21"/>
                <w:szCs w:val="21"/>
                <w:color w:val="auto"/>
              </w:rPr>
            </w:pPr>
          </w:p>
        </w:tc>
      </w:tr>
      <w:tr>
        <w:trPr>
          <w:trHeight w:val="230"/>
        </w:trPr>
        <w:tc>
          <w:tcPr>
            <w:tcW w:w="7900" w:type="dxa"/>
            <w:vAlign w:val="bottom"/>
            <w:gridSpan w:val="23"/>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Index to Financial Statements</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3"/>
          </w:tcPr>
          <w:p>
            <w:pPr>
              <w:jc w:val="right"/>
              <w:ind w:right="20"/>
              <w:spacing w:after="0"/>
              <w:rPr>
                <w:rFonts w:ascii="Arial" w:cs="Arial" w:eastAsia="Arial" w:hAnsi="Arial"/>
                <w:sz w:val="13"/>
                <w:szCs w:val="13"/>
                <w:color w:val="0000EE"/>
                <w:w w:val="71"/>
              </w:rPr>
            </w:pPr>
            <w:hyperlink w:anchor="page184">
              <w:r>
                <w:rPr>
                  <w:rFonts w:ascii="Arial" w:cs="Arial" w:eastAsia="Arial" w:hAnsi="Arial"/>
                  <w:sz w:val="13"/>
                  <w:szCs w:val="13"/>
                  <w:color w:val="0000EE"/>
                  <w:w w:val="71"/>
                </w:rPr>
                <w:t>F-1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-4071620</wp:posOffset>
            </wp:positionV>
            <wp:extent cx="50145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This prospectus is part of a registration statement on Form S-1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We may use the shelf registration statement to issue up to an aggregate of 85,750,000 shares of Class A common stock upon exercise of our warrants. The Selling Securityholders may use the shelf registration statement to sell up to an aggregate of 1,336,329,949 shares of Class A common stock (which includes up to 1,244,157,121 issued and outstanding shares of Class A common stock, 47,822,828 shares of Class A common stock subject to vesting and/or exercise of the assumed Lucid Equity Awards and 44,350,000 shares of Class A common stock issuable upon the exercise of our outstanding warrants) and up to 44,350,000 warrants from time to time through any means described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More specific terms of any securities that the Selling Securityholders offer and sell may be provided in a prospectus supplement that describes, among other things, the specific amounts and prices of the Class A common stock and/or warrants being offered and the terms of the offering.</w:t>
      </w:r>
    </w:p>
    <w:p>
      <w:pPr>
        <w:spacing w:after="0" w:line="130"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09"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5"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25"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On July 23, 2021, or the Closing Date, Churchill consummated the Transactions, including the previously announced Merger pursuant to the terms of the Merger Agreement, which, among other things, provided for the merger of Merger Sub with and into Atieva, Inc., d/b/a Lucid Motors, with Atieva, Inc. surviving such merger as a wholly owned subsidiary of Churchill (each defined term as defined below). In connection with the Transactions, Churchill changed its name to Lucid Group, Inc. and listed shares of Class A common stock and the Public Warrants on the Nasdaq Global Select Market under the ticker symbols “LCID” and “LCIDW,”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FREQUENTLY USED TERMS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2009 Plan</w:t>
      </w:r>
      <w:r>
        <w:rPr>
          <w:rFonts w:ascii="Arial" w:cs="Arial" w:eastAsia="Arial" w:hAnsi="Arial"/>
          <w:sz w:val="17"/>
          <w:szCs w:val="17"/>
          <w:color w:val="auto"/>
        </w:rPr>
        <w:t>” are to the Atieva, Inc. 2009 Share Plan duly adopted by the board of directors of Atieva,</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w:t>
      </w:r>
    </w:p>
    <w:p>
      <w:pPr>
        <w:spacing w:after="0" w:line="143"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Plan</w:t>
      </w:r>
      <w:r>
        <w:rPr>
          <w:rFonts w:ascii="Arial" w:cs="Arial" w:eastAsia="Arial" w:hAnsi="Arial"/>
          <w:sz w:val="18"/>
          <w:szCs w:val="18"/>
          <w:color w:val="auto"/>
        </w:rPr>
        <w:t>” are to the Atieva, Inc. 2014 Share Plan duly adopted by the board of directors of Atieva, Inc. on May 14, 2014;</w:t>
      </w:r>
    </w:p>
    <w:p>
      <w:pPr>
        <w:spacing w:after="0" w:line="89"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are to the Atieva, Inc. 2021 Stock Incentive Plan duly adopted by the compensation committee of the board of directors of Atieva, Inc. on January 13, 2021 and approved by Lucid’s shareholders on January 21, 2021;</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158"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are, prior to consummation of the Transactions, to the board of directors of Atieva, Inc., d/b/a Lucid Motors, an exempted company incorporated with limited liability under the laws of the Cayman Islands, and, following consummation of the Transactions, to Lucid Group Inc., a Delaware corporation;</w:t>
      </w:r>
    </w:p>
    <w:p>
      <w:pPr>
        <w:spacing w:after="0" w:line="84"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w:t>
      </w:r>
      <w:r>
        <w:rPr>
          <w:rFonts w:ascii="Arial" w:cs="Arial" w:eastAsia="Arial" w:hAnsi="Arial"/>
          <w:sz w:val="18"/>
          <w:szCs w:val="18"/>
          <w:color w:val="auto"/>
        </w:rPr>
        <w:t>”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15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A common stock”</w:t>
      </w:r>
      <w:r>
        <w:rPr>
          <w:rFonts w:ascii="Arial" w:cs="Arial" w:eastAsia="Arial" w:hAnsi="Arial"/>
          <w:sz w:val="18"/>
          <w:szCs w:val="18"/>
          <w:color w:val="auto"/>
        </w:rPr>
        <w:t xml:space="preserve"> are, prior to consummation of the Transactions, to Churchill’s Class A common stock, par value $0.0001 per share and, following consummation of the Transactions, to our Class A common stock;</w:t>
      </w:r>
    </w:p>
    <w:p>
      <w:pPr>
        <w:spacing w:after="0" w:line="103" w:lineRule="exact"/>
        <w:rPr>
          <w:sz w:val="20"/>
          <w:szCs w:val="20"/>
          <w:color w:val="auto"/>
        </w:rPr>
      </w:pPr>
    </w:p>
    <w:p>
      <w:pPr>
        <w:jc w:val="both"/>
        <w:ind w:left="1260" w:right="6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B common stock</w:t>
      </w:r>
      <w:r>
        <w:rPr>
          <w:rFonts w:ascii="Arial" w:cs="Arial" w:eastAsia="Arial" w:hAnsi="Arial"/>
          <w:sz w:val="18"/>
          <w:szCs w:val="18"/>
          <w:color w:val="auto"/>
        </w:rPr>
        <w:t>” are to Churchill’s Class B common stock, par value $0.0001 per share;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are to Lucid Group, Inc.’s common stock, par value $.0001 per share;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 on the Closing Date;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158"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are, prior to the consummation of the Transactions, to Churchill’s Class A common stock and Churchill’s Class B common stock and, following the consummation of the Transactions, to the Class A common stock;</w:t>
      </w:r>
    </w:p>
    <w:p>
      <w:pPr>
        <w:spacing w:after="0" w:line="116"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are, prior to the consummation of the Transactions, to Churchill and its consolidated subsidiaries and, following consummation of the Transactions, to Lucid Group, Inc. and its consolidated subsidiaries;</w:t>
      </w:r>
    </w:p>
    <w:p>
      <w:pPr>
        <w:spacing w:after="0" w:line="103"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bylaws</w:t>
      </w:r>
      <w:r>
        <w:rPr>
          <w:rFonts w:ascii="Arial" w:cs="Arial" w:eastAsia="Arial" w:hAnsi="Arial"/>
          <w:sz w:val="18"/>
          <w:szCs w:val="18"/>
          <w:color w:val="auto"/>
        </w:rPr>
        <w:t>” are to the Company’s Amended and Restated Bylaws in effect as of the date of this prospectus;</w:t>
      </w:r>
    </w:p>
    <w:p>
      <w:pPr>
        <w:spacing w:after="0" w:line="103"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are to the Company’s Second Amended and Restated Certificate of Incorporation in effect as of the date of this prospectus;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are to the Delaware General Corporation Law, as amended;</w:t>
      </w:r>
    </w:p>
    <w:p>
      <w:pPr>
        <w:spacing w:after="0" w:line="15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Earnback Period</w:t>
      </w:r>
      <w:r>
        <w:rPr>
          <w:rFonts w:ascii="Arial" w:cs="Arial" w:eastAsia="Arial" w:hAnsi="Arial"/>
          <w:sz w:val="18"/>
          <w:szCs w:val="18"/>
          <w:color w:val="auto"/>
        </w:rPr>
        <w:t>” are to the time period between the Closing and the five-year anniversary of the Closing;</w:t>
      </w:r>
    </w:p>
    <w:p>
      <w:pPr>
        <w:spacing w:after="0" w:line="103"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Earnback Triggering Event I</w:t>
      </w:r>
      <w:r>
        <w:rPr>
          <w:rFonts w:ascii="Arial" w:cs="Arial" w:eastAsia="Arial" w:hAnsi="Arial"/>
          <w:sz w:val="17"/>
          <w:szCs w:val="17"/>
          <w:color w:val="auto"/>
        </w:rPr>
        <w:t>” are to the earliest of the following during the Earnback Period: (i) the date on which the volume-weighted average trading sale price of one share of Class A common stock quoted on Nasdaq is greater than or equal to $20.00 for any 40 trading days within any 60 consecutive trading day</w:t>
      </w:r>
    </w:p>
    <w:p>
      <w:pPr>
        <w:spacing w:after="0" w:line="34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period or (ii) a change in control of Lucid Group pursuant to which stockholders of Lucid Group have the right to receive consideration implying a value per share greater than or equal to $20.00;</w:t>
      </w:r>
    </w:p>
    <w:p>
      <w:pPr>
        <w:spacing w:after="0" w:line="89"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Earnback Triggering Event II</w:t>
      </w:r>
      <w:r>
        <w:rPr>
          <w:rFonts w:ascii="Arial" w:cs="Arial" w:eastAsia="Arial" w:hAnsi="Arial"/>
          <w:sz w:val="17"/>
          <w:szCs w:val="17"/>
          <w:color w:val="auto"/>
        </w:rPr>
        <w:t>” are to the earliest of the following during the Earnback Period: (i) the date on which the volume-weighted average trading sale price of one share of Class A common stock quoted on Nasdaq is greater than or equal to $25.00 for any 40 trading days within any 60 consecutive trading day period or (ii) a change in control of Lucid Group pursuant to which stockholders of Lucid Group have the right to receive consideration implying a value per share greater than or equal to $25.00;</w:t>
      </w:r>
    </w:p>
    <w:p>
      <w:pPr>
        <w:spacing w:after="0" w:line="109"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Earnback Triggering Event III</w:t>
      </w:r>
      <w:r>
        <w:rPr>
          <w:rFonts w:ascii="Arial" w:cs="Arial" w:eastAsia="Arial" w:hAnsi="Arial"/>
          <w:sz w:val="17"/>
          <w:szCs w:val="17"/>
          <w:color w:val="auto"/>
        </w:rPr>
        <w:t>” are to the earliest of the following during the Earnback Period: (i) the date on which the volume-weighted average trading sale price of one share of Class A common stock quoted on Nasdaq is greater than or equal to $30.00 for any 40 trading days within any 60 consecutive trading day period or (ii) a change in control of Lucid Group pursuant to which stockholders of Lucid Group have the right to receive consideration implying a value per share greater than or equal to $30.00;</w:t>
      </w:r>
    </w:p>
    <w:p>
      <w:pPr>
        <w:spacing w:after="0" w:line="109"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Earnback Triggering Events</w:t>
      </w:r>
      <w:r>
        <w:rPr>
          <w:rFonts w:ascii="Arial" w:cs="Arial" w:eastAsia="Arial" w:hAnsi="Arial"/>
          <w:sz w:val="18"/>
          <w:szCs w:val="18"/>
          <w:color w:val="auto"/>
        </w:rPr>
        <w:t>” are to Earnback Trigger Event I, Earnback Trigger Event II, and Earnback Trigger Event III;</w:t>
      </w:r>
    </w:p>
    <w:p>
      <w:pPr>
        <w:spacing w:after="0" w:line="89" w:lineRule="exact"/>
        <w:rPr>
          <w:sz w:val="20"/>
          <w:szCs w:val="20"/>
          <w:color w:val="auto"/>
        </w:rPr>
      </w:pPr>
    </w:p>
    <w:p>
      <w:pPr>
        <w:ind w:left="1620" w:right="2499"/>
        <w:spacing w:after="0" w:line="44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Effective Time</w:t>
      </w:r>
      <w:r>
        <w:rPr>
          <w:rFonts w:ascii="Arial" w:cs="Arial" w:eastAsia="Arial" w:hAnsi="Arial"/>
          <w:sz w:val="17"/>
          <w:szCs w:val="17"/>
          <w:color w:val="auto"/>
        </w:rPr>
        <w:t>” are to the date and time when the Merger became effective; “</w:t>
      </w:r>
      <w:r>
        <w:rPr>
          <w:rFonts w:ascii="Arial" w:cs="Arial" w:eastAsia="Arial" w:hAnsi="Arial"/>
          <w:sz w:val="17"/>
          <w:szCs w:val="17"/>
          <w:i w:val="1"/>
          <w:iCs w:val="1"/>
          <w:color w:val="auto"/>
        </w:rPr>
        <w:t>Exchange Act</w:t>
      </w:r>
      <w:r>
        <w:rPr>
          <w:rFonts w:ascii="Arial" w:cs="Arial" w:eastAsia="Arial" w:hAnsi="Arial"/>
          <w:sz w:val="17"/>
          <w:szCs w:val="17"/>
          <w:color w:val="auto"/>
        </w:rPr>
        <w:t>” are to the Securities Exchange Act of 1934, as amended;</w:t>
      </w:r>
    </w:p>
    <w:p>
      <w:pPr>
        <w:spacing w:after="0" w:line="1"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are to the quotient as defined in, and calculated in accordance with, the Merger Agreement, which is 2.644;</w:t>
      </w:r>
    </w:p>
    <w:p>
      <w:pPr>
        <w:spacing w:after="0" w:line="8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are to shares of Churchill’s Class B common stock and Churchill’s Class A common stock issued upon the automatic conversion thereof in connection with the Closing;</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are to accounting principles generally accepted in the United States of America;</w:t>
      </w:r>
    </w:p>
    <w:p>
      <w:pPr>
        <w:spacing w:after="0" w:line="15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are to the Lucid Group, Inc. 2021 Stock Incentive Plan, including the Lucid Group, Inc. 2021 Employee Stock Purchase Plan (the “</w:t>
      </w:r>
      <w:r>
        <w:rPr>
          <w:rFonts w:ascii="Arial" w:cs="Arial" w:eastAsia="Arial" w:hAnsi="Arial"/>
          <w:sz w:val="18"/>
          <w:szCs w:val="18"/>
          <w:i w:val="1"/>
          <w:iCs w:val="1"/>
          <w:color w:val="auto"/>
        </w:rPr>
        <w:t>ESPP Addendum</w:t>
      </w:r>
      <w:r>
        <w:rPr>
          <w:rFonts w:ascii="Arial" w:cs="Arial" w:eastAsia="Arial" w:hAnsi="Arial"/>
          <w:sz w:val="18"/>
          <w:szCs w:val="18"/>
          <w:color w:val="auto"/>
        </w:rPr>
        <w:t>”) attached thereto;</w:t>
      </w:r>
    </w:p>
    <w:p>
      <w:pPr>
        <w:spacing w:after="0" w:line="89"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Insiders</w:t>
      </w:r>
      <w:r>
        <w:rPr>
          <w:rFonts w:ascii="Arial" w:cs="Arial" w:eastAsia="Arial" w:hAnsi="Arial"/>
          <w:sz w:val="18"/>
          <w:szCs w:val="18"/>
          <w:color w:val="auto"/>
        </w:rPr>
        <w:t>” are to Michael Klein, Jay Taragin, Glenn R. August, William J. Bynum, Bonnie Jonas, Mark Klein, Malcolm S. McDermid and Karen G. Mills;</w:t>
      </w:r>
    </w:p>
    <w:p>
      <w:pPr>
        <w:spacing w:after="0" w:line="103"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are to the Investor Rights Agreement, dated as of February 22, 2021, by and among the Company, the Sponsor, Ayar and certain other parties thereto;</w:t>
      </w:r>
    </w:p>
    <w:p>
      <w:pPr>
        <w:spacing w:after="0" w:line="10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Common Shares</w:t>
      </w:r>
      <w:r>
        <w:rPr>
          <w:rFonts w:ascii="Arial" w:cs="Arial" w:eastAsia="Arial" w:hAnsi="Arial"/>
          <w:sz w:val="18"/>
          <w:szCs w:val="18"/>
          <w:color w:val="auto"/>
        </w:rPr>
        <w:t>” are to the common shares, par value $0.0001 per share, of Lucid;</w:t>
      </w:r>
    </w:p>
    <w:p>
      <w:pPr>
        <w:spacing w:after="0" w:line="15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Equity Awards</w:t>
      </w:r>
      <w:r>
        <w:rPr>
          <w:rFonts w:ascii="Arial" w:cs="Arial" w:eastAsia="Arial" w:hAnsi="Arial"/>
          <w:sz w:val="18"/>
          <w:szCs w:val="18"/>
          <w:color w:val="auto"/>
        </w:rPr>
        <w:t>” are to all issued and outstanding stock options, restricted stock units or other compensatory equity securities in respect of shares of Lucid outstanding as of immediately prior to the closing of the Merger, including, without limitation, any Lucid Options and Lucid RSUs;</w:t>
      </w:r>
    </w:p>
    <w:p>
      <w:pPr>
        <w:spacing w:after="0" w:line="116" w:lineRule="exact"/>
        <w:rPr>
          <w:sz w:val="20"/>
          <w:szCs w:val="20"/>
          <w:color w:val="auto"/>
        </w:rPr>
      </w:pPr>
    </w:p>
    <w:p>
      <w:pPr>
        <w:ind w:left="1620" w:right="799"/>
        <w:spacing w:after="0" w:line="41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w:t>
      </w:r>
      <w:r>
        <w:rPr>
          <w:rFonts w:ascii="Arial" w:cs="Arial" w:eastAsia="Arial" w:hAnsi="Arial"/>
          <w:sz w:val="18"/>
          <w:szCs w:val="18"/>
          <w:color w:val="auto"/>
        </w:rPr>
        <w:t>” are to Lucid Group, Inc., a Delaware corporation, and its consolidated subsidiaries; “</w:t>
      </w:r>
      <w:r>
        <w:rPr>
          <w:rFonts w:ascii="Arial" w:cs="Arial" w:eastAsia="Arial" w:hAnsi="Arial"/>
          <w:sz w:val="18"/>
          <w:szCs w:val="18"/>
          <w:i w:val="1"/>
          <w:iCs w:val="1"/>
          <w:color w:val="auto"/>
        </w:rPr>
        <w:t>Lucid Group Awards</w:t>
      </w:r>
      <w:r>
        <w:rPr>
          <w:rFonts w:ascii="Arial" w:cs="Arial" w:eastAsia="Arial" w:hAnsi="Arial"/>
          <w:sz w:val="18"/>
          <w:szCs w:val="18"/>
          <w:color w:val="auto"/>
        </w:rPr>
        <w:t>” are to Lucid Group Options and Lucid Group RSUs;</w:t>
      </w:r>
    </w:p>
    <w:p>
      <w:pPr>
        <w:spacing w:after="0" w:line="1"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Options</w:t>
      </w:r>
      <w:r>
        <w:rPr>
          <w:rFonts w:ascii="Arial" w:cs="Arial" w:eastAsia="Arial" w:hAnsi="Arial"/>
          <w:sz w:val="18"/>
          <w:szCs w:val="18"/>
          <w:color w:val="auto"/>
        </w:rPr>
        <w:t>” are to all issued and outstanding options to purchase shares of Class A common stock immediately following the closing of the Merger;</w:t>
      </w:r>
    </w:p>
    <w:p>
      <w:pPr>
        <w:spacing w:after="0" w:line="89"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Lucid Share Plans</w:t>
      </w:r>
      <w:r>
        <w:rPr>
          <w:rFonts w:ascii="Arial" w:cs="Arial" w:eastAsia="Arial" w:hAnsi="Arial"/>
          <w:sz w:val="17"/>
          <w:szCs w:val="17"/>
          <w:color w:val="auto"/>
        </w:rPr>
        <w:t>” are to the 2009 Plan, the 2014 Plan, the 2021 Plan, in each case as amended from time to time in accordance with their terms, and any other share incentive plan or similar equity-based compensation plan maintained for employees of Lucid that may be adopted from time to time;</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RSUs</w:t>
      </w:r>
      <w:r>
        <w:rPr>
          <w:rFonts w:ascii="Arial" w:cs="Arial" w:eastAsia="Arial" w:hAnsi="Arial"/>
          <w:sz w:val="18"/>
          <w:szCs w:val="18"/>
          <w:color w:val="auto"/>
        </w:rPr>
        <w:t>” are to all issued and outstanding restricted stock unit awards with respect to shares of Class A common stock immediately following the closing of the Merger;</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Warrants</w:t>
      </w:r>
      <w:r>
        <w:rPr>
          <w:rFonts w:ascii="Arial" w:cs="Arial" w:eastAsia="Arial" w:hAnsi="Arial"/>
          <w:sz w:val="18"/>
          <w:szCs w:val="18"/>
          <w:color w:val="auto"/>
        </w:rPr>
        <w:t>” are to all issued and outstanding warrants to purchase shares of Class A common stock immediately following the closing of the Merger;</w:t>
      </w:r>
    </w:p>
    <w:p>
      <w:pPr>
        <w:spacing w:after="0" w:line="90"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Options</w:t>
      </w:r>
      <w:r>
        <w:rPr>
          <w:rFonts w:ascii="Arial" w:cs="Arial" w:eastAsia="Arial" w:hAnsi="Arial"/>
          <w:sz w:val="18"/>
          <w:szCs w:val="18"/>
          <w:color w:val="auto"/>
        </w:rPr>
        <w:t>” are to all issued and outstanding options to purchase or otherwise acquire Lucid Common Shares (whether or not vested) held by any person, including Lucid share options granted under any Lucid Share Plan;</w:t>
      </w:r>
    </w:p>
    <w:p>
      <w:pPr>
        <w:spacing w:after="0" w:line="114"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Preferred Shares</w:t>
      </w:r>
      <w:r>
        <w:rPr>
          <w:rFonts w:ascii="Arial" w:cs="Arial" w:eastAsia="Arial" w:hAnsi="Arial"/>
          <w:sz w:val="18"/>
          <w:szCs w:val="18"/>
          <w:color w:val="auto"/>
        </w:rPr>
        <w:t>” are to, collectively, Lucid Series A Preferred Shares, Lucid Series B Preferred Shares, Lucid Series C Preferred Shares, Lucid Series D Preferred Shares and Lucid Series E Preferred Shares;</w:t>
      </w:r>
    </w:p>
    <w:p>
      <w:pPr>
        <w:spacing w:after="0" w:line="114"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A Preferred Shares</w:t>
      </w:r>
      <w:r>
        <w:rPr>
          <w:rFonts w:ascii="Arial" w:cs="Arial" w:eastAsia="Arial" w:hAnsi="Arial"/>
          <w:sz w:val="18"/>
          <w:szCs w:val="18"/>
          <w:color w:val="auto"/>
        </w:rPr>
        <w:t>” are to the Series A preferred shares, par value $0.0001 per share, of Lucid;</w:t>
      </w:r>
    </w:p>
    <w:p>
      <w:pPr>
        <w:spacing w:after="0" w:line="90"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B Preferred Shares</w:t>
      </w:r>
      <w:r>
        <w:rPr>
          <w:rFonts w:ascii="Arial" w:cs="Arial" w:eastAsia="Arial" w:hAnsi="Arial"/>
          <w:sz w:val="18"/>
          <w:szCs w:val="18"/>
          <w:color w:val="auto"/>
        </w:rPr>
        <w:t>” are to the Series B preferred shares, par value $0.0001 per share, of Lucid;</w:t>
      </w:r>
    </w:p>
    <w:p>
      <w:pPr>
        <w:spacing w:after="0" w:line="10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C Preferred Shares</w:t>
      </w:r>
      <w:r>
        <w:rPr>
          <w:rFonts w:ascii="Arial" w:cs="Arial" w:eastAsia="Arial" w:hAnsi="Arial"/>
          <w:sz w:val="18"/>
          <w:szCs w:val="18"/>
          <w:color w:val="auto"/>
        </w:rPr>
        <w:t>” are to the Series C preferred shares, par value $0.0001 per share, of Lucid;</w:t>
      </w:r>
    </w:p>
    <w:p>
      <w:pPr>
        <w:spacing w:after="0" w:line="103"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D Preferred Shares</w:t>
      </w:r>
      <w:r>
        <w:rPr>
          <w:rFonts w:ascii="Arial" w:cs="Arial" w:eastAsia="Arial" w:hAnsi="Arial"/>
          <w:sz w:val="18"/>
          <w:szCs w:val="18"/>
          <w:color w:val="auto"/>
        </w:rPr>
        <w:t>” are to the Series D preferred shares, par value $0.0001 per share, of Lucid;</w:t>
      </w:r>
    </w:p>
    <w:p>
      <w:pPr>
        <w:spacing w:after="0" w:line="90"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E Preferred Shares</w:t>
      </w:r>
      <w:r>
        <w:rPr>
          <w:rFonts w:ascii="Arial" w:cs="Arial" w:eastAsia="Arial" w:hAnsi="Arial"/>
          <w:sz w:val="18"/>
          <w:szCs w:val="18"/>
          <w:color w:val="auto"/>
        </w:rPr>
        <w:t>” are to the Series E preferred shares, par value $0.0001 per share, of Lucid;</w:t>
      </w:r>
    </w:p>
    <w:p>
      <w:pPr>
        <w:spacing w:after="0" w:line="103"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RSUs</w:t>
      </w:r>
      <w:r>
        <w:rPr>
          <w:rFonts w:ascii="Arial" w:cs="Arial" w:eastAsia="Arial" w:hAnsi="Arial"/>
          <w:sz w:val="18"/>
          <w:szCs w:val="18"/>
          <w:color w:val="auto"/>
        </w:rPr>
        <w:t>” are to all issued and outstanding restricted stock unit awards with respect to Lucid Common Shares outstanding under any Lucid Share Plan;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Shares</w:t>
      </w:r>
      <w:r>
        <w:rPr>
          <w:rFonts w:ascii="Arial" w:cs="Arial" w:eastAsia="Arial" w:hAnsi="Arial"/>
          <w:sz w:val="18"/>
          <w:szCs w:val="18"/>
          <w:color w:val="auto"/>
        </w:rPr>
        <w:t>” are to the Lucid Common Shares and Lucid Preferred Shares;</w:t>
      </w:r>
    </w:p>
    <w:p>
      <w:pPr>
        <w:spacing w:after="0" w:line="144"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Warrants</w:t>
      </w:r>
      <w:r>
        <w:rPr>
          <w:rFonts w:ascii="Arial" w:cs="Arial" w:eastAsia="Arial" w:hAnsi="Arial"/>
          <w:sz w:val="18"/>
          <w:szCs w:val="18"/>
          <w:color w:val="auto"/>
        </w:rPr>
        <w:t>” are to all issued and outstanding warrants entitling the holder to purchase Lucid Common Shares;</w:t>
      </w:r>
    </w:p>
    <w:p>
      <w:pPr>
        <w:spacing w:after="0" w:line="103"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 Klein and Company</w:t>
      </w:r>
      <w:r>
        <w:rPr>
          <w:rFonts w:ascii="Arial" w:cs="Arial" w:eastAsia="Arial" w:hAnsi="Arial"/>
          <w:sz w:val="18"/>
          <w:szCs w:val="18"/>
          <w:color w:val="auto"/>
        </w:rPr>
        <w:t>” are to M. Klein and Company, LLC, a Delaware limited liability company, and its affiliates;</w:t>
      </w:r>
    </w:p>
    <w:p>
      <w:pPr>
        <w:spacing w:after="0" w:line="103"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are to the merger of Merger Sub and Lucid, with Lucid surviving such merger as a wholly owned subsidiary of Churchill;</w:t>
      </w:r>
    </w:p>
    <w:p>
      <w:pPr>
        <w:spacing w:after="0" w:line="90"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February 22, 2021, by and among Churchill, Lucid and Merger Sub, as the same has been or may be amended, modified, supplemented or waived from time to time;</w:t>
      </w:r>
    </w:p>
    <w:p>
      <w:pPr>
        <w:spacing w:after="0" w:line="11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are to the aggregate consideration paid to the shareholders of Lucid pursuant to the Merger Agreement;</w:t>
      </w:r>
    </w:p>
    <w:p>
      <w:pPr>
        <w:spacing w:after="0" w:line="103"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are to Air Merger Sub, Inc., a Delaware corporation and a direct, wholly-owned subsidiary of Churchill;</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are to The Nasdaq Stock Market LLC;</w:t>
      </w:r>
    </w:p>
    <w:p>
      <w:pPr>
        <w:spacing w:after="0" w:line="158" w:lineRule="exact"/>
        <w:rPr>
          <w:sz w:val="20"/>
          <w:szCs w:val="20"/>
          <w:color w:val="auto"/>
        </w:rPr>
      </w:pPr>
    </w:p>
    <w:p>
      <w:pPr>
        <w:jc w:val="both"/>
        <w:ind w:left="1260" w:right="10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PIF</w:t>
      </w:r>
      <w:r>
        <w:rPr>
          <w:rFonts w:ascii="Arial" w:cs="Arial" w:eastAsia="Arial" w:hAnsi="Arial"/>
          <w:sz w:val="17"/>
          <w:szCs w:val="17"/>
          <w:color w:val="auto"/>
        </w:rPr>
        <w:t>” are to the Public Investment Fund, the sovereign wealth fund of the Kingdom of Saudi Arabia;</w:t>
      </w:r>
    </w:p>
    <w:p>
      <w:pPr>
        <w:spacing w:after="0" w:line="16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pursuant to which Churchill entered into PIPE Subscription Agreements (containing commitments to funding that are subject only to conditions that generally align with the conditions set forth in the Merger Agreement) with certain investors whereby Churchill has agreed to issue and sell to the PIPE Investors $2.5 billion of Churchill’s Class A common stock at a purchase price of $15.00 per share;</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117"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Subscription Agreements</w:t>
      </w:r>
      <w:r>
        <w:rPr>
          <w:rFonts w:ascii="Arial" w:cs="Arial" w:eastAsia="Arial" w:hAnsi="Arial"/>
          <w:sz w:val="18"/>
          <w:szCs w:val="18"/>
          <w:color w:val="auto"/>
        </w:rPr>
        <w:t>” are to the common stock subscription agreements entered into by and among Churchill, and the investors party thereto, in each case, dated as of February 22, 2021 and entered into in connection with the PIPE Investment;</w:t>
      </w:r>
    </w:p>
    <w:p>
      <w:pPr>
        <w:spacing w:after="0" w:line="7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are to Churchill’s warrants issued to the Sponsor in a private placement simultaneously with the closing of the Churchill IPO;</w:t>
      </w:r>
    </w:p>
    <w:p>
      <w:pPr>
        <w:spacing w:after="0" w:line="62" w:lineRule="exact"/>
        <w:rPr>
          <w:sz w:val="20"/>
          <w:szCs w:val="20"/>
          <w:color w:val="auto"/>
        </w:rPr>
      </w:pPr>
    </w:p>
    <w:p>
      <w:pPr>
        <w:ind w:left="1260" w:right="14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w:t>
      </w:r>
      <w:r>
        <w:rPr>
          <w:rFonts w:ascii="Arial" w:cs="Arial" w:eastAsia="Arial" w:hAnsi="Arial"/>
          <w:sz w:val="18"/>
          <w:szCs w:val="18"/>
          <w:color w:val="auto"/>
        </w:rPr>
        <w:t>” are to giving pro forma effect to the Transactions and the other related events contemplated by the Merger Agreement;</w:t>
      </w:r>
    </w:p>
    <w:p>
      <w:pPr>
        <w:spacing w:after="0" w:line="62"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public shares</w:t>
      </w:r>
      <w:r>
        <w:rPr>
          <w:rFonts w:ascii="Arial" w:cs="Arial" w:eastAsia="Arial" w:hAnsi="Arial"/>
          <w:sz w:val="17"/>
          <w:szCs w:val="17"/>
          <w:color w:val="auto"/>
        </w:rPr>
        <w:t>” are to shares of Churchill’s Class A common stock sold as part of the units in the Churchill IPO (whether they were purchased in the Churchill IPO or thereafter in the open market);</w:t>
      </w:r>
    </w:p>
    <w:p>
      <w:pPr>
        <w:spacing w:after="0" w:line="3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are to the holders of Churchill’s public shares, including the Sponsor and Churchill’s officers and directors to the extent the Sponsor and Churchill’s officers or directors purchase public shares, provided that each of their status as a “public stockholder” shall only exist with respect to such public shares;</w:t>
      </w:r>
    </w:p>
    <w:p>
      <w:pPr>
        <w:spacing w:after="0" w:line="79"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Churchill’s warrants sold as part of the units in the Churchill IPO (whether they were purchased in the Churchill IPO or thereafter in the open market);</w:t>
      </w:r>
    </w:p>
    <w:p>
      <w:pPr>
        <w:spacing w:after="0" w:line="62" w:lineRule="exact"/>
        <w:rPr>
          <w:sz w:val="20"/>
          <w:szCs w:val="20"/>
          <w:color w:val="auto"/>
        </w:rPr>
      </w:pPr>
    </w:p>
    <w:p>
      <w:pPr>
        <w:ind w:left="1620" w:right="2999"/>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 are to the United States Securities and Exchange Commission; “</w:t>
      </w:r>
      <w:r>
        <w:rPr>
          <w:rFonts w:ascii="Arial" w:cs="Arial" w:eastAsia="Arial" w:hAnsi="Arial"/>
          <w:sz w:val="17"/>
          <w:szCs w:val="17"/>
          <w:i w:val="1"/>
          <w:iCs w:val="1"/>
          <w:color w:val="auto"/>
        </w:rPr>
        <w:t>Securities Act</w:t>
      </w:r>
      <w:r>
        <w:rPr>
          <w:rFonts w:ascii="Arial" w:cs="Arial" w:eastAsia="Arial" w:hAnsi="Arial"/>
          <w:sz w:val="17"/>
          <w:szCs w:val="17"/>
          <w:color w:val="auto"/>
        </w:rPr>
        <w:t>” are to the Securities Act of 1933, as amended;</w:t>
      </w:r>
    </w:p>
    <w:p>
      <w:pPr>
        <w:spacing w:after="0" w:line="1"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Sponsor</w:t>
      </w:r>
      <w:r>
        <w:rPr>
          <w:rFonts w:ascii="Arial" w:cs="Arial" w:eastAsia="Arial" w:hAnsi="Arial"/>
          <w:sz w:val="17"/>
          <w:szCs w:val="17"/>
          <w:color w:val="auto"/>
        </w:rPr>
        <w:t>” are to Churchill Sponsor IV LLC, a Delaware limited liability company and an affiliate of M. Klein and Company in which certain of Churchill’s directors and officers hold membership interests;</w:t>
      </w:r>
    </w:p>
    <w:p>
      <w:pPr>
        <w:spacing w:after="0" w:line="3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Agreement</w:t>
      </w:r>
      <w:r>
        <w:rPr>
          <w:rFonts w:ascii="Arial" w:cs="Arial" w:eastAsia="Arial" w:hAnsi="Arial"/>
          <w:sz w:val="18"/>
          <w:szCs w:val="18"/>
          <w:color w:val="auto"/>
        </w:rPr>
        <w:t>” are to the Amended and Restated Sponsor Agreement, dated as of February 22, 2021, by and among the Company, the Sponsor and the Insiders;</w:t>
      </w:r>
    </w:p>
    <w:p>
      <w:pPr>
        <w:spacing w:after="0" w:line="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Earnback Shares</w:t>
      </w:r>
      <w:r>
        <w:rPr>
          <w:rFonts w:ascii="Arial" w:cs="Arial" w:eastAsia="Arial" w:hAnsi="Arial"/>
          <w:sz w:val="18"/>
          <w:szCs w:val="18"/>
          <w:color w:val="auto"/>
        </w:rPr>
        <w:t>” are to are to those 17,250,000 issued and outstanding shares of Class A common stock, comprised of three separate tranches of 5,750,000 shares per tranche, held by the Sponsor that will remain restricted from transfer and subject to potential forfeiture to Lucid Group for no consideration, subject to the occurrence of the applicable Earnback Triggering Events during the Earnback Period;</w:t>
      </w:r>
    </w:p>
    <w:p>
      <w:pPr>
        <w:spacing w:after="0" w:line="80"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Earnback Warrants</w:t>
      </w:r>
      <w:r>
        <w:rPr>
          <w:rFonts w:ascii="Arial" w:cs="Arial" w:eastAsia="Arial" w:hAnsi="Arial"/>
          <w:sz w:val="18"/>
          <w:szCs w:val="18"/>
          <w:color w:val="auto"/>
        </w:rPr>
        <w:t>” are to those 14,283,333 issued and outstanding warrants to purchase shares of Class A common stock, comprised of three separate tranches of 4,761,111 warrants per tranche, held by the Sponsor that will remain restricted from transfer and subject to potential forfeiture to Lucid Group for no consideration, subject to the occurrence of the applicable Earnback Triggering Events during the Earnback Period;</w:t>
      </w:r>
    </w:p>
    <w:p>
      <w:pPr>
        <w:spacing w:after="0" w:line="80"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the Merger, together with the other transactions contemplated by the Merger Agreement and the related agreements;</w:t>
      </w:r>
    </w:p>
    <w:p>
      <w:pPr>
        <w:spacing w:after="0" w:line="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are to the trust account of Churchill that held the proceeds from the Churchill IPO prior to the consummation of the Transactions;</w:t>
      </w:r>
    </w:p>
    <w:p>
      <w:pPr>
        <w:spacing w:after="0" w:line="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Support Agreement</w:t>
      </w:r>
      <w:r>
        <w:rPr>
          <w:rFonts w:ascii="Arial" w:cs="Arial" w:eastAsia="Arial" w:hAnsi="Arial"/>
          <w:sz w:val="18"/>
          <w:szCs w:val="18"/>
          <w:color w:val="auto"/>
        </w:rPr>
        <w:t>” are to Voting and Support Agreement, dated as of February 22, 2021, by and among Churchill, Lucid and Ayar;</w:t>
      </w:r>
    </w:p>
    <w:p>
      <w:pPr>
        <w:spacing w:after="0" w:line="62"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are to the Public Warrants, the Private Placement Warrants and the Working Capital Warrants;</w:t>
      </w:r>
    </w:p>
    <w:p>
      <w:pPr>
        <w:spacing w:after="0" w:line="62"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 Agreement</w:t>
      </w:r>
      <w:r>
        <w:rPr>
          <w:rFonts w:ascii="Arial" w:cs="Arial" w:eastAsia="Arial" w:hAnsi="Arial"/>
          <w:sz w:val="17"/>
          <w:szCs w:val="17"/>
          <w:color w:val="auto"/>
        </w:rPr>
        <w:t>” are to the Warrant Agreement, dated July 29, 2020, entered into in connection with the Churchill IPO by and between Continental Stock Transfer &amp; Trust Company and Churchill;</w:t>
      </w:r>
    </w:p>
    <w:p>
      <w:pPr>
        <w:spacing w:after="0" w:line="38"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are, prior to consummation of the Transactions, to Lucid and, following consummation of the Transactions, to Lucid Group; and</w:t>
      </w:r>
    </w:p>
    <w:p>
      <w:pPr>
        <w:spacing w:after="0" w:line="89" w:lineRule="exact"/>
        <w:rPr>
          <w:sz w:val="20"/>
          <w:szCs w:val="20"/>
          <w:color w:val="auto"/>
        </w:rPr>
      </w:pPr>
    </w:p>
    <w:p>
      <w:pPr>
        <w:jc w:val="both"/>
        <w:ind w:left="1260" w:right="10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Working Capital Warrants</w:t>
      </w:r>
      <w:r>
        <w:rPr>
          <w:rFonts w:ascii="Arial" w:cs="Arial" w:eastAsia="Arial" w:hAnsi="Arial"/>
          <w:sz w:val="16"/>
          <w:szCs w:val="16"/>
          <w:color w:val="auto"/>
        </w:rPr>
        <w:t>” are to the warrants to purchase Churchill’s Class A common stock pursuant to the terms of the Note, on terms identical to the terms of the Private Placement Warrants.</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This prospectus contains statements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our ability to recognize the anticipated benefits of the Transactions,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and the potential success of our go-to- market strategy. Such forward-looking statements are based on available current market material and our current expectations, beliefs and forecasts concerning future developments. Factors that may impact such forward-looking statements include:</w:t>
      </w:r>
    </w:p>
    <w:p>
      <w:pPr>
        <w:spacing w:after="0" w:line="94" w:lineRule="exact"/>
        <w:rPr>
          <w:sz w:val="20"/>
          <w:szCs w:val="20"/>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relating to the uncertainty of our projected financial information, including conversion of reservations into binding orders;</w:t>
      </w:r>
    </w:p>
    <w:p>
      <w:pPr>
        <w:spacing w:after="0" w:line="62"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the timing of expected business milestones and commercial launch, including our ability to mass produce the Lucid Air and complete the tooling of our manufacturing facility;</w:t>
      </w:r>
    </w:p>
    <w:p>
      <w:pPr>
        <w:spacing w:after="0" w:line="38" w:lineRule="exact"/>
        <w:rPr>
          <w:rFonts w:ascii="Arial" w:cs="Arial" w:eastAsia="Arial" w:hAnsi="Arial"/>
          <w:sz w:val="17"/>
          <w:szCs w:val="17"/>
          <w:color w:val="auto"/>
        </w:rPr>
      </w:pPr>
    </w:p>
    <w:p>
      <w:pPr>
        <w:ind w:left="1800" w:right="9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and the increase of our production capacity;</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30"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deliver Environmental Protection Agency (“</w:t>
      </w:r>
      <w:r>
        <w:rPr>
          <w:rFonts w:ascii="Arial" w:cs="Arial" w:eastAsia="Arial" w:hAnsi="Arial"/>
          <w:sz w:val="18"/>
          <w:szCs w:val="18"/>
          <w:i w:val="1"/>
          <w:iCs w:val="1"/>
          <w:color w:val="auto"/>
        </w:rPr>
        <w:t>EPA</w:t>
      </w:r>
      <w:r>
        <w:rPr>
          <w:rFonts w:ascii="Arial" w:cs="Arial" w:eastAsia="Arial" w:hAnsi="Arial"/>
          <w:sz w:val="18"/>
          <w:szCs w:val="18"/>
          <w:color w:val="auto"/>
        </w:rPr>
        <w:t>”) estimated driving ranges that match or exceed our pre-production projected driving ranges;</w:t>
      </w:r>
    </w:p>
    <w:p>
      <w:pPr>
        <w:spacing w:after="0" w:line="62"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75"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global COVID-19 pandemic on our projected results of operations, financial performance or other financial metrics, or on any of the foregoing risks;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this prospectus; and</w:t>
      </w:r>
    </w:p>
    <w:p>
      <w:pPr>
        <w:spacing w:after="0" w:line="117"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those factors discussed in our Annual Report on Form 10-K/A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and our other documents filed, or to be filed, with the SEC, including any accompanying prospectus supplement.</w:t>
      </w:r>
    </w:p>
    <w:p>
      <w:pPr>
        <w:spacing w:after="0" w:line="10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forward-looking statements contained in this prospectus or any accompanying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Should one or more of these risks or uncertainties materialize, or should any of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459" w:firstLine="360"/>
        <w:spacing w:after="0" w:line="272"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that you should consider before investing in our Class A common stock or warrants. You should read this entire prospectus carefully, including the matters discussed under the sections titled “Risk Factors,” “Management’s Discussion and Analysis of Financial Condition and Results of Operations,” “Unaudited Pro Forma Condensed Combined Financial Information,” “Business” and the consolidated financial statements and related notes included elsewhere in this prospectus, and any accompanying prospectus supplement before making an investment decision.</w:t>
      </w:r>
    </w:p>
    <w:p>
      <w:pPr>
        <w:spacing w:after="0" w:line="1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Mission</w:t>
      </w:r>
    </w:p>
    <w:p>
      <w:pPr>
        <w:spacing w:after="0" w:line="162" w:lineRule="exact"/>
        <w:rPr>
          <w:sz w:val="20"/>
          <w:szCs w:val="20"/>
          <w:color w:val="auto"/>
        </w:rPr>
      </w:pPr>
    </w:p>
    <w:p>
      <w:pPr>
        <w:ind w:left="1280" w:right="459" w:firstLine="360"/>
        <w:spacing w:after="0" w:line="277" w:lineRule="auto"/>
        <w:rPr>
          <w:sz w:val="20"/>
          <w:szCs w:val="20"/>
          <w:color w:val="auto"/>
        </w:rPr>
      </w:pPr>
      <w:r>
        <w:rPr>
          <w:rFonts w:ascii="Arial" w:cs="Arial" w:eastAsia="Arial" w:hAnsi="Arial"/>
          <w:sz w:val="18"/>
          <w:szCs w:val="18"/>
          <w:color w:val="auto"/>
        </w:rPr>
        <w:t>Lucid’s mission is to inspire the adoption of sustainable transportation by creating the most captivating luxury electric vehicles centered around the human experience.</w:t>
      </w:r>
    </w:p>
    <w:p>
      <w:pPr>
        <w:spacing w:after="0" w:line="16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About Lucid</w:t>
      </w:r>
    </w:p>
    <w:p>
      <w:pPr>
        <w:spacing w:after="0" w:line="148"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We are a technology and automotive company. We were founded in Silicon Valley in 2007 to develop the next generation of electric vehicle (“</w:t>
      </w:r>
      <w:r>
        <w:rPr>
          <w:rFonts w:ascii="Arial" w:cs="Arial" w:eastAsia="Arial" w:hAnsi="Arial"/>
          <w:sz w:val="18"/>
          <w:szCs w:val="18"/>
          <w:i w:val="1"/>
          <w:iCs w:val="1"/>
          <w:color w:val="auto"/>
        </w:rPr>
        <w:t>EV</w:t>
      </w:r>
      <w:r>
        <w:rPr>
          <w:rFonts w:ascii="Arial" w:cs="Arial" w:eastAsia="Arial" w:hAnsi="Arial"/>
          <w:sz w:val="18"/>
          <w:szCs w:val="18"/>
          <w:color w:val="auto"/>
        </w:rPr>
        <w:t>”) technologies. Today, we are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 Our focus on in-house technological innovation and a “clean-sheet” approach to engineering and design have led to the development of our groundbreaking electric vehicle, the Lucid Air, which we expect to go into production in the second half of 2021.</w:t>
      </w:r>
    </w:p>
    <w:p>
      <w:pPr>
        <w:spacing w:after="0" w:line="129" w:lineRule="exact"/>
        <w:rPr>
          <w:sz w:val="20"/>
          <w:szCs w:val="20"/>
          <w:color w:val="auto"/>
        </w:rPr>
      </w:pPr>
    </w:p>
    <w:p>
      <w:pPr>
        <w:ind w:left="1280" w:right="559" w:firstLine="360"/>
        <w:spacing w:after="0" w:line="259"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Our Space Concept underpins its design, merging a spacious interior with a smaller exterior profile that is reminiscent of a high-performance sports car. This achievement is enabled by our miniaturized drive-train components, which also result in increased storage capacity.</w:t>
      </w:r>
    </w:p>
    <w:p>
      <w:pPr>
        <w:spacing w:after="0" w:line="119" w:lineRule="exact"/>
        <w:rPr>
          <w:sz w:val="20"/>
          <w:szCs w:val="20"/>
          <w:color w:val="auto"/>
        </w:rPr>
      </w:pPr>
    </w:p>
    <w:p>
      <w:pPr>
        <w:ind w:left="1280" w:right="599" w:firstLine="360"/>
        <w:spacing w:after="0" w:line="279" w:lineRule="auto"/>
        <w:rPr>
          <w:sz w:val="20"/>
          <w:szCs w:val="20"/>
          <w:color w:val="auto"/>
        </w:rPr>
      </w:pPr>
      <w:r>
        <w:rPr>
          <w:rFonts w:ascii="Arial" w:cs="Arial" w:eastAsia="Arial" w:hAnsi="Arial"/>
          <w:sz w:val="17"/>
          <w:szCs w:val="17"/>
          <w:color w:val="auto"/>
        </w:rPr>
        <w:t>The Lucid Air will be manufactured at our greenfield electric vehicle manufacturing facility in Casa Grande, Arizona. We plan to sell vehicles directly to consumers through both its retail sales network and through direct online sales. We are also establishing an in-house vehicle service footprint, with brick-and-mortar service centers in various geographies and a planned mobile service fleet.</w:t>
      </w:r>
    </w:p>
    <w:p>
      <w:pPr>
        <w:spacing w:after="0" w:line="90" w:lineRule="exact"/>
        <w:rPr>
          <w:sz w:val="20"/>
          <w:szCs w:val="20"/>
          <w:color w:val="auto"/>
        </w:rPr>
      </w:pPr>
    </w:p>
    <w:p>
      <w:pPr>
        <w:ind w:left="1280" w:right="539" w:firstLine="360"/>
        <w:spacing w:after="0" w:line="255" w:lineRule="auto"/>
        <w:rPr>
          <w:sz w:val="20"/>
          <w:szCs w:val="20"/>
          <w:color w:val="auto"/>
        </w:rPr>
      </w:pPr>
      <w:r>
        <w:rPr>
          <w:rFonts w:ascii="Arial" w:cs="Arial" w:eastAsia="Arial" w:hAnsi="Arial"/>
          <w:sz w:val="18"/>
          <w:szCs w:val="18"/>
          <w:color w:val="auto"/>
        </w:rPr>
        <w:t>We expect to launch additional vehicles over the coming decade. We have already commenced engineering and design work for Project Gravity, a luxury sports utility vehicle that is expected to leverage the same platform as the Lucid Air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w:t>
      </w:r>
    </w:p>
    <w:p>
      <w:pPr>
        <w:spacing w:after="0" w:line="125" w:lineRule="exact"/>
        <w:rPr>
          <w:sz w:val="20"/>
          <w:szCs w:val="20"/>
          <w:color w:val="auto"/>
        </w:rPr>
      </w:pPr>
    </w:p>
    <w:p>
      <w:pPr>
        <w:ind w:left="1280" w:right="479" w:firstLine="360"/>
        <w:spacing w:after="0" w:line="279" w:lineRule="auto"/>
        <w:rPr>
          <w:sz w:val="20"/>
          <w:szCs w:val="20"/>
          <w:color w:val="auto"/>
        </w:rPr>
      </w:pPr>
      <w:r>
        <w:rPr>
          <w:rFonts w:ascii="Arial" w:cs="Arial" w:eastAsia="Arial" w:hAnsi="Arial"/>
          <w:sz w:val="17"/>
          <w:szCs w:val="17"/>
          <w:color w:val="auto"/>
        </w:rPr>
        <w:t>We further believe that our battery systems expertise positions us to produce compelling stationary energy storage system products. Beyond the sale of Lucid branded vehicles, we believe that our technological prowess and manufacturing capabilities present a further opportunity to generate revenue and combat climate change through the sale or licensing of electric vehicle powertrain and battery technology.</w:t>
      </w:r>
    </w:p>
    <w:p>
      <w:pPr>
        <w:spacing w:after="0" w:line="167"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Background</w:t>
      </w:r>
    </w:p>
    <w:p>
      <w:pPr>
        <w:spacing w:after="0" w:line="162" w:lineRule="exact"/>
        <w:rPr>
          <w:sz w:val="20"/>
          <w:szCs w:val="20"/>
          <w:color w:val="auto"/>
        </w:rPr>
      </w:pPr>
    </w:p>
    <w:p>
      <w:pPr>
        <w:ind w:left="1280" w:right="499" w:firstLine="360"/>
        <w:spacing w:after="0" w:line="273" w:lineRule="auto"/>
        <w:rPr>
          <w:sz w:val="20"/>
          <w:szCs w:val="20"/>
          <w:color w:val="auto"/>
        </w:rPr>
      </w:pPr>
      <w:r>
        <w:rPr>
          <w:rFonts w:ascii="Arial" w:cs="Arial" w:eastAsia="Arial" w:hAnsi="Arial"/>
          <w:sz w:val="17"/>
          <w:szCs w:val="17"/>
          <w:color w:val="auto"/>
        </w:rPr>
        <w:t>We were originally known as Churchill Capital Corp IV. On July 23, 2021, Churchill, our predecessor company, consummated the Merger pursuant to the Merger Agreement, by and among Churchill, Lucid and Merger Sub. Pursuant to the Merger Agreement, Merger Sub merged with and into Lucid, with Lucid being the surviving company in the Merger. In connection with the Closing, each share of Churchill’s Class B common stock was converted on a one-to-one basis into a share of Class A common stock. On the Closing Date, and in connection with the Closing, Churchill changed its name to Lucid Group, Inc.</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399" w:firstLine="360"/>
        <w:spacing w:after="0" w:line="272" w:lineRule="auto"/>
        <w:rPr>
          <w:sz w:val="20"/>
          <w:szCs w:val="20"/>
          <w:color w:val="auto"/>
        </w:rPr>
      </w:pPr>
      <w:r>
        <w:rPr>
          <w:rFonts w:ascii="Arial" w:cs="Arial" w:eastAsia="Arial" w:hAnsi="Arial"/>
          <w:sz w:val="17"/>
          <w:szCs w:val="17"/>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96"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color w:val="auto"/>
        </w:rPr>
        <w:t>Immediately prior to the Closing, all of Lucid Preferred Shares then issued and outstanding were converted into Lucid Common Shares, in accordance with the terms of Lucid’s Memorandum and Articles of Association, such that each converted Lucid Preferred Share was no longer outstanding and ceased to exist, and each holder thereof thereafter ceased to have any rights with respect to such securities. At the Effective Time, each Lucid Common Share then issued and outstanding was automatically cancelled and the holders of Lucid Common Shares received 2.644 shares of Class A common stock in exchange for each Lucid Common Share they held at such time. The holders of the Lucid Common Shares were issued 1,193,226,511 shares of Class A common stock at the Closing.</w:t>
      </w:r>
    </w:p>
    <w:p>
      <w:pPr>
        <w:spacing w:after="0" w:line="124" w:lineRule="exact"/>
        <w:rPr>
          <w:sz w:val="20"/>
          <w:szCs w:val="20"/>
          <w:color w:val="auto"/>
        </w:rPr>
      </w:pPr>
    </w:p>
    <w:p>
      <w:pPr>
        <w:ind w:left="1280" w:right="419" w:firstLine="360"/>
        <w:spacing w:after="0" w:line="257" w:lineRule="auto"/>
        <w:rPr>
          <w:sz w:val="20"/>
          <w:szCs w:val="20"/>
          <w:color w:val="auto"/>
        </w:rPr>
      </w:pPr>
      <w:r>
        <w:rPr>
          <w:rFonts w:ascii="Arial" w:cs="Arial" w:eastAsia="Arial" w:hAnsi="Arial"/>
          <w:sz w:val="18"/>
          <w:szCs w:val="18"/>
          <w:color w:val="auto"/>
        </w:rPr>
        <w:t>In February 2021, Churchill entered into PIPE Subscription Agreements pursuant to which certain investors agreed to subscribe for 166,666,667 shares of Class A common stock at a purchase price of $15.00 per share for an aggregate commitment of $2,500,000,005 as part of the PIPE Investment. Ayar, Lucid’s majority shareholder, agreed to purchase 13,333,333 of such shares. At the Closing, we consummated such PIPE Investment.</w:t>
      </w:r>
    </w:p>
    <w:p>
      <w:pPr>
        <w:spacing w:after="0" w:line="120"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After giving effect to the Transactions, there were 1,618,621,534 shares of our Class A common stock and 85,750,000 of our warrants issued and outstanding. Class A common stock and our Public Warrants are listed on the Nasdaq Global Select Market under the ticker symbols “LCID” and “LCIDW,” respectively. As of the Closing, former Churchill’s public stockholders owned approximately 12.8% of the outstanding shares of Class A common stock, former Lucid’s shareholders owned approximately 73.7% of the outstanding shares of Class A common stock (with Ayar owning approximately 62.7% of the outstanding shares of Class A common stock), the Sponsor owned approximately 3.2% of the outstanding shares of Class A common stock, and the investors in the PIPE Investment owned approximately 10.3% of the outstanding shares of Class A common stock.</w:t>
      </w:r>
    </w:p>
    <w:p>
      <w:pPr>
        <w:spacing w:after="0" w:line="115" w:lineRule="exact"/>
        <w:rPr>
          <w:sz w:val="20"/>
          <w:szCs w:val="20"/>
          <w:color w:val="auto"/>
        </w:rPr>
      </w:pPr>
    </w:p>
    <w:p>
      <w:pPr>
        <w:ind w:left="1280" w:right="419" w:firstLine="360"/>
        <w:spacing w:after="0" w:line="259" w:lineRule="auto"/>
        <w:rPr>
          <w:sz w:val="20"/>
          <w:szCs w:val="20"/>
          <w:color w:val="auto"/>
        </w:rPr>
      </w:pPr>
      <w:r>
        <w:rPr>
          <w:rFonts w:ascii="Arial" w:cs="Arial" w:eastAsia="Arial" w:hAnsi="Arial"/>
          <w:sz w:val="18"/>
          <w:szCs w:val="18"/>
          <w:color w:val="auto"/>
        </w:rPr>
        <w:t>The rights of holders of our Class A common stock and warrants are governed by our current certificate of incorporation, our current bylaws and the DGCL, and, in the case of the warrants, the Warrant Agreement. See the sections entitled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and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w:t>
      </w:r>
    </w:p>
    <w:p>
      <w:pPr>
        <w:spacing w:after="0" w:line="18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399" w:firstLine="360"/>
        <w:spacing w:after="0" w:line="255" w:lineRule="auto"/>
        <w:rPr>
          <w:sz w:val="20"/>
          <w:szCs w:val="20"/>
          <w:color w:val="auto"/>
        </w:rPr>
      </w:pPr>
      <w:r>
        <w:rPr>
          <w:rFonts w:ascii="Arial" w:cs="Arial" w:eastAsia="Arial" w:hAnsi="Arial"/>
          <w:sz w:val="18"/>
          <w:szCs w:val="18"/>
          <w:color w:val="auto"/>
        </w:rPr>
        <w:t>Lucid Group, Inc. is a Delaware corporation. Our principal executive offices are located at 7373 Gateway Blvd. Newark, CA 94560 and our telephone number at that address is (510) 648-3553. Our 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8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w:t>
      </w:r>
      <w:r>
        <w:rPr>
          <w:rFonts w:ascii="Arial" w:cs="Arial" w:eastAsia="Arial" w:hAnsi="Arial"/>
          <w:sz w:val="18"/>
          <w:szCs w:val="18"/>
          <w:i w:val="1"/>
          <w:iCs w:val="1"/>
          <w:color w:val="auto"/>
        </w:rPr>
        <w:t>JOBS Act</w:t>
      </w:r>
      <w:r>
        <w:rPr>
          <w:rFonts w:ascii="Arial" w:cs="Arial" w:eastAsia="Arial" w:hAnsi="Arial"/>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Arial" w:cs="Arial" w:eastAsia="Arial" w:hAnsi="Arial"/>
          <w:sz w:val="18"/>
          <w:szCs w:val="18"/>
          <w:i w:val="1"/>
          <w:iCs w:val="1"/>
          <w:color w:val="auto"/>
        </w:rPr>
        <w:t>Sarbanes-Oxley Act</w:t>
      </w:r>
      <w:r>
        <w:rPr>
          <w:rFonts w:ascii="Arial" w:cs="Arial" w:eastAsia="Arial" w:hAnsi="Arial"/>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77" w:lineRule="auto"/>
        <w:rPr>
          <w:sz w:val="20"/>
          <w:szCs w:val="20"/>
          <w:color w:val="auto"/>
        </w:rPr>
      </w:pPr>
      <w:r>
        <w:rPr>
          <w:rFonts w:ascii="Arial" w:cs="Arial" w:eastAsia="Arial" w:hAnsi="Arial"/>
          <w:sz w:val="18"/>
          <w:szCs w:val="18"/>
          <w:color w:val="auto"/>
        </w:rPr>
        <w:t>some investors find our securities less attractive as a result, there may be a less active trading market for our securities and the prices of our securities may be more volatile.</w:t>
      </w:r>
    </w:p>
    <w:p>
      <w:pPr>
        <w:spacing w:after="0" w:line="8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439" w:hanging="2"/>
        <w:spacing w:after="0" w:line="252" w:lineRule="auto"/>
        <w:tabs>
          <w:tab w:leader="none" w:pos="1539"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the Churchill IPO,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$1.00 billion in non-convertible debt during the prior three-year period. References herein to “emerging growth company” shall have the meaning associated with it in the JOBS Act. We expect that we will cease to be an emerging growth company as of December 31, 2021.</w:t>
      </w:r>
    </w:p>
    <w:p>
      <w:pPr>
        <w:spacing w:after="0" w:line="18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Controlled Company Exemption</w:t>
      </w:r>
    </w:p>
    <w:p>
      <w:pPr>
        <w:spacing w:after="0" w:line="162" w:lineRule="exact"/>
        <w:rPr>
          <w:sz w:val="20"/>
          <w:szCs w:val="20"/>
          <w:color w:val="auto"/>
        </w:rPr>
      </w:pPr>
    </w:p>
    <w:p>
      <w:pPr>
        <w:ind w:left="1280" w:right="459" w:firstLine="360"/>
        <w:spacing w:after="0" w:line="273" w:lineRule="auto"/>
        <w:rPr>
          <w:sz w:val="20"/>
          <w:szCs w:val="20"/>
          <w:color w:val="auto"/>
        </w:rPr>
      </w:pPr>
      <w:r>
        <w:rPr>
          <w:rFonts w:ascii="Arial" w:cs="Arial" w:eastAsia="Arial" w:hAnsi="Arial"/>
          <w:sz w:val="17"/>
          <w:szCs w:val="17"/>
          <w:color w:val="auto"/>
        </w:rPr>
        <w:t>Our majority stockholder, Ayar, owns approximately 62.7% of our outstanding shares of Class A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Please see the section entitled “</w:t>
      </w:r>
      <w:r>
        <w:rPr>
          <w:rFonts w:ascii="Arial" w:cs="Arial" w:eastAsia="Arial" w:hAnsi="Arial"/>
          <w:sz w:val="17"/>
          <w:szCs w:val="17"/>
          <w:i w:val="1"/>
          <w:iCs w:val="1"/>
          <w:color w:val="auto"/>
        </w:rPr>
        <w:t>Management — Corporate Governance — Controlled Company Exemption</w:t>
      </w:r>
      <w:r>
        <w:rPr>
          <w:rFonts w:ascii="Arial" w:cs="Arial" w:eastAsia="Arial" w:hAnsi="Arial"/>
          <w:sz w:val="17"/>
          <w:szCs w:val="17"/>
          <w:color w:val="auto"/>
        </w:rPr>
        <w:t>.” Ayar also currently has the ability to nominate five of the nine directors to our Board.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559" w:firstLine="360"/>
        <w:spacing w:after="0" w:line="241" w:lineRule="auto"/>
        <w:rPr>
          <w:sz w:val="20"/>
          <w:szCs w:val="20"/>
          <w:color w:val="auto"/>
        </w:rPr>
      </w:pPr>
      <w:r>
        <w:rPr>
          <w:rFonts w:ascii="Arial" w:cs="Arial" w:eastAsia="Arial" w:hAnsi="Arial"/>
          <w:sz w:val="18"/>
          <w:szCs w:val="18"/>
          <w:color w:val="auto"/>
        </w:rPr>
        <w:t>We are registering the issuance by us of an aggregate of up to 85,750,000 shares of our Class A common stock,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w:t>
      </w:r>
    </w:p>
    <w:p>
      <w:pPr>
        <w:spacing w:after="0" w:line="122" w:lineRule="exact"/>
        <w:rPr>
          <w:sz w:val="20"/>
          <w:szCs w:val="20"/>
          <w:color w:val="auto"/>
        </w:rPr>
      </w:pPr>
    </w:p>
    <w:p>
      <w:pPr>
        <w:ind w:left="1280" w:right="799" w:firstLine="360"/>
        <w:spacing w:after="0" w:line="258" w:lineRule="auto"/>
        <w:rPr>
          <w:sz w:val="20"/>
          <w:szCs w:val="20"/>
          <w:color w:val="auto"/>
        </w:rPr>
      </w:pPr>
      <w:r>
        <w:rPr>
          <w:rFonts w:ascii="Arial" w:cs="Arial" w:eastAsia="Arial" w:hAnsi="Arial"/>
          <w:sz w:val="17"/>
          <w:szCs w:val="17"/>
          <w:color w:val="auto"/>
        </w:rPr>
        <w:t>We are also registering the offer and sale from time to time by the Selling Securityholders, or their permitted transferees, of (a) up to 1,336,329,949 shares of Class A common stock, consisting of</w:t>
      </w:r>
    </w:p>
    <w:p>
      <w:pPr>
        <w:spacing w:after="0" w:line="1" w:lineRule="exact"/>
        <w:rPr>
          <w:sz w:val="20"/>
          <w:szCs w:val="20"/>
          <w:color w:val="auto"/>
        </w:rPr>
      </w:pPr>
    </w:p>
    <w:p>
      <w:pPr>
        <w:ind w:left="1280" w:right="419" w:hanging="2"/>
        <w:spacing w:after="0" w:line="237" w:lineRule="auto"/>
        <w:tabs>
          <w:tab w:leader="none" w:pos="1509"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10" w:lineRule="exact"/>
        <w:rPr>
          <w:sz w:val="20"/>
          <w:szCs w:val="20"/>
          <w:color w:val="auto"/>
        </w:rPr>
      </w:pPr>
    </w:p>
    <w:p>
      <w:pPr>
        <w:ind w:left="1280" w:right="579" w:firstLine="360"/>
        <w:spacing w:after="0" w:line="248" w:lineRule="auto"/>
        <w:rPr>
          <w:sz w:val="20"/>
          <w:szCs w:val="20"/>
          <w:color w:val="auto"/>
        </w:rPr>
      </w:pPr>
      <w:r>
        <w:rPr>
          <w:rFonts w:ascii="Arial" w:cs="Arial" w:eastAsia="Arial" w:hAnsi="Arial"/>
          <w:sz w:val="18"/>
          <w:szCs w:val="18"/>
          <w:color w:val="auto"/>
        </w:rPr>
        <w:t>Any investment in the securities offered hereby is speculative and involves a high degree of risk. 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8 of this prospectus.</w:t>
      </w:r>
    </w:p>
    <w:p>
      <w:pPr>
        <w:sectPr>
          <w:pgSz w:w="11900" w:h="16838" w:orient="portrait"/>
          <w:cols w:equalWidth="0" w:num="1">
            <w:col w:w="9879"/>
          </w:cols>
          <w:pgMar w:left="580" w:top="132" w:right="1440" w:bottom="1440" w:gutter="0" w:footer="0" w:header="0"/>
        </w:sectPr>
      </w:pP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Issuance of Class A Common Stock</w:t>
      </w:r>
    </w:p>
    <w:p>
      <w:pPr>
        <w:spacing w:after="0" w:line="144" w:lineRule="exact"/>
        <w:rPr>
          <w:sz w:val="20"/>
          <w:szCs w:val="20"/>
          <w:color w:val="auto"/>
        </w:rPr>
      </w:pPr>
    </w:p>
    <w:p>
      <w:pPr>
        <w:ind w:left="1460" w:right="360" w:hanging="179"/>
        <w:spacing w:after="0" w:line="277" w:lineRule="auto"/>
        <w:rPr>
          <w:sz w:val="20"/>
          <w:szCs w:val="20"/>
          <w:color w:val="auto"/>
        </w:rPr>
      </w:pPr>
      <w:r>
        <w:rPr>
          <w:rFonts w:ascii="Arial" w:cs="Arial" w:eastAsia="Arial" w:hAnsi="Arial"/>
          <w:sz w:val="18"/>
          <w:szCs w:val="18"/>
          <w:color w:val="auto"/>
        </w:rPr>
        <w:t>Shares of Class A Common Stock Offered by Us</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Shares of Class A Common Stock</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Outstanding Prior to Exercise of All</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Warrants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Shares of Class A Common Stock</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Outstanding Assuming Exercise of</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All Warrants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Exercise Price of Warrants</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Resale of Class A Common Stock,</w:t>
      </w:r>
    </w:p>
    <w:p>
      <w:pPr>
        <w:spacing w:after="0" w:line="3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Private Placement Warrants and</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Working Capital Warrants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Shares of Class A Common Stock</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Offered by the Selling</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60" w:right="500" w:hanging="179"/>
        <w:spacing w:after="0" w:line="277" w:lineRule="auto"/>
        <w:rPr>
          <w:sz w:val="20"/>
          <w:szCs w:val="20"/>
          <w:color w:val="auto"/>
        </w:rPr>
      </w:pPr>
      <w:r>
        <w:rPr>
          <w:rFonts w:ascii="Arial" w:cs="Arial" w:eastAsia="Arial" w:hAnsi="Arial"/>
          <w:sz w:val="18"/>
          <w:szCs w:val="18"/>
          <w:color w:val="auto"/>
        </w:rPr>
        <w:t>Warrants Offered by the 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85,750,000 shares that are issuable upon the exercise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85,750,000 warrants by the holders thereof</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1,618,621,534 shares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1,704,371,534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$11.50 per share, subject to adjustment as described herein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up to an aggregate of approximately</w:t>
      </w:r>
    </w:p>
    <w:p>
      <w:pPr>
        <w:spacing w:after="0" w:line="23" w:lineRule="exact"/>
        <w:rPr>
          <w:sz w:val="20"/>
          <w:szCs w:val="20"/>
          <w:color w:val="auto"/>
        </w:rPr>
      </w:pPr>
    </w:p>
    <w:p>
      <w:pPr>
        <w:ind w:right="459"/>
        <w:spacing w:after="0" w:line="260" w:lineRule="auto"/>
        <w:rPr>
          <w:sz w:val="20"/>
          <w:szCs w:val="20"/>
          <w:color w:val="auto"/>
        </w:rPr>
      </w:pPr>
      <w:r>
        <w:rPr>
          <w:rFonts w:ascii="Arial" w:cs="Arial" w:eastAsia="Arial" w:hAnsi="Arial"/>
          <w:sz w:val="18"/>
          <w:szCs w:val="18"/>
          <w:color w:val="auto"/>
        </w:rPr>
        <w:t>$986.1 million from the exercise of all warrants, assuming the exercise in full of all such warrants for cash.</w:t>
      </w:r>
    </w:p>
    <w:p>
      <w:pPr>
        <w:spacing w:after="0" w:line="118" w:lineRule="exact"/>
        <w:rPr>
          <w:sz w:val="20"/>
          <w:szCs w:val="20"/>
          <w:color w:val="auto"/>
        </w:rPr>
      </w:pPr>
    </w:p>
    <w:p>
      <w:pPr>
        <w:ind w:right="399"/>
        <w:spacing w:after="0" w:line="241" w:lineRule="auto"/>
        <w:rPr>
          <w:sz w:val="20"/>
          <w:szCs w:val="20"/>
          <w:color w:val="auto"/>
        </w:rPr>
      </w:pPr>
      <w:r>
        <w:rPr>
          <w:rFonts w:ascii="Arial" w:cs="Arial" w:eastAsia="Arial" w:hAnsi="Arial"/>
          <w:sz w:val="18"/>
          <w:szCs w:val="18"/>
          <w:color w:val="auto"/>
        </w:rPr>
        <w:t>Unless we inform you otherwise in a prospectus supplement or free writing prospectus, we intend to use the net proceeds from the exercise of such warrants for general corporate purposes, which may include capital expenditures and working capital.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39"/>
        <w:spacing w:after="0" w:line="296" w:lineRule="auto"/>
        <w:rPr>
          <w:sz w:val="20"/>
          <w:szCs w:val="20"/>
          <w:color w:val="auto"/>
        </w:rPr>
      </w:pPr>
      <w:r>
        <w:rPr>
          <w:rFonts w:ascii="Arial" w:cs="Arial" w:eastAsia="Arial" w:hAnsi="Arial"/>
          <w:sz w:val="16"/>
          <w:szCs w:val="16"/>
          <w:color w:val="auto"/>
        </w:rPr>
        <w:t>1,336,329,949 shares, consisting of (i) 1,244,157,121 issued and outstanding shares, (ii) 47,822,828 shares subject to vesting and/or exercise of the assumed Lucid Equity Awards and (iii) 44,350,000 shares issuable upon exercise of the Private Placement Warrants and the Working Capital Warrants</w:t>
      </w:r>
    </w:p>
    <w:p>
      <w:pPr>
        <w:spacing w:after="0" w:line="269"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color w:val="auto"/>
        </w:rPr>
        <w:t>44,350,000 warrants (representing the Private Placement Warrants and Working Capital Warrants)</w:t>
      </w:r>
    </w:p>
    <w:p>
      <w:pPr>
        <w:spacing w:after="0" w:line="200" w:lineRule="exact"/>
        <w:rPr>
          <w:sz w:val="20"/>
          <w:szCs w:val="20"/>
          <w:color w:val="auto"/>
        </w:rPr>
      </w:pPr>
    </w:p>
    <w:p>
      <w:pPr>
        <w:sectPr>
          <w:pgSz w:w="11900" w:h="16838" w:orient="portrait"/>
          <w:cols w:equalWidth="0" w:num="2">
            <w:col w:w="4180" w:space="560"/>
            <w:col w:w="5139"/>
          </w:cols>
          <w:pgMar w:left="580" w:top="132" w:right="1440" w:bottom="1440" w:gutter="0" w:footer="0" w:header="0"/>
          <w:type w:val="continuous"/>
        </w:sectPr>
      </w:pPr>
    </w:p>
    <w:p>
      <w:pPr>
        <w:spacing w:after="0" w:line="38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will not receive any proceeds from the sale of Class A</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and warrants to be offered by the Selling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Securityholders. With respect to shares of Class A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underlying the warrants, we will not receive any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proceeds from such shares except with respect to amounts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received by us upon exercise of such warrants to the extent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such warrants are exercised for cash.</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Lock-up Restrictions</w:t>
      </w:r>
      <w:r>
        <w:rPr>
          <w:sz w:val="20"/>
          <w:szCs w:val="20"/>
          <w:color w:val="auto"/>
        </w:rPr>
        <w:tab/>
      </w:r>
      <w:r>
        <w:rPr>
          <w:rFonts w:ascii="Arial" w:cs="Arial" w:eastAsia="Arial" w:hAnsi="Arial"/>
          <w:sz w:val="17"/>
          <w:szCs w:val="17"/>
          <w:color w:val="auto"/>
        </w:rPr>
        <w:t>Certain of our stockholders are subject to certain restrictions</w:t>
      </w:r>
    </w:p>
    <w:p>
      <w:pPr>
        <w:spacing w:after="0" w:line="23"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on transfer until the termination of applicable lock-up periods.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Plan of Distribution — Lock-Up Agreements</w:t>
      </w:r>
      <w:r>
        <w:rPr>
          <w:rFonts w:ascii="Arial" w:cs="Arial" w:eastAsia="Arial" w:hAnsi="Arial"/>
          <w:sz w:val="17"/>
          <w:szCs w:val="17"/>
          <w:color w:val="auto"/>
        </w:rPr>
        <w:t>” for further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discussion.</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Nasdaq Global Select Market Ticker</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Symbols</w:t>
      </w:r>
      <w:r>
        <w:rPr>
          <w:sz w:val="20"/>
          <w:szCs w:val="20"/>
          <w:color w:val="auto"/>
        </w:rPr>
        <w:tab/>
      </w:r>
      <w:r>
        <w:rPr>
          <w:rFonts w:ascii="Arial" w:cs="Arial" w:eastAsia="Arial" w:hAnsi="Arial"/>
          <w:sz w:val="18"/>
          <w:szCs w:val="18"/>
          <w:color w:val="auto"/>
        </w:rPr>
        <w:t>“LCID” and “LCIDW” for Class A common stock and Public</w:t>
      </w:r>
    </w:p>
    <w:p>
      <w:pPr>
        <w:spacing w:after="0" w:line="9"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Warrants, respectively</w:t>
      </w:r>
    </w:p>
    <w:p>
      <w:pPr>
        <w:spacing w:after="0" w:line="130" w:lineRule="exact"/>
        <w:rPr>
          <w:sz w:val="20"/>
          <w:szCs w:val="20"/>
          <w:color w:val="auto"/>
        </w:rPr>
      </w:pPr>
    </w:p>
    <w:p>
      <w:pPr>
        <w:ind w:left="1280" w:right="499" w:firstLine="360"/>
        <w:spacing w:after="0" w:line="279" w:lineRule="auto"/>
        <w:rPr>
          <w:sz w:val="20"/>
          <w:szCs w:val="20"/>
          <w:color w:val="auto"/>
        </w:rPr>
      </w:pPr>
      <w:r>
        <w:rPr>
          <w:rFonts w:ascii="Arial" w:cs="Arial" w:eastAsia="Arial" w:hAnsi="Arial"/>
          <w:sz w:val="17"/>
          <w:szCs w:val="17"/>
          <w:color w:val="auto"/>
        </w:rPr>
        <w:t>Unless we specifically state otherwise or the context otherwise requires, the information above is as of the Closing Date, does not give effect to issuances of our Class A common stock, warrants or options to purchase shares of our Class A common stock or RSUs covering shares of our Class A common stock after such date, or the exercise of warrants or options or the settlement of RSUs after such date, and excludes:</w:t>
      </w:r>
    </w:p>
    <w:p>
      <w:pPr>
        <w:spacing w:after="0" w:line="63" w:lineRule="exact"/>
        <w:rPr>
          <w:sz w:val="20"/>
          <w:szCs w:val="20"/>
          <w:color w:val="auto"/>
        </w:rPr>
      </w:pPr>
    </w:p>
    <w:p>
      <w:pPr>
        <w:ind w:left="1820" w:right="1199" w:hanging="182"/>
        <w:spacing w:after="0" w:line="342" w:lineRule="auto"/>
        <w:tabs>
          <w:tab w:leader="none" w:pos="1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85,750,000 shares of our Class A common stock issuable upon the exercise of our warrants outstanding as of the Closing Date, each with an exercise price of $11.50 per share;</w:t>
      </w:r>
    </w:p>
    <w:p>
      <w:pPr>
        <w:spacing w:after="0" w:line="15" w:lineRule="exact"/>
        <w:rPr>
          <w:rFonts w:ascii="Arial" w:cs="Arial" w:eastAsia="Arial" w:hAnsi="Arial"/>
          <w:sz w:val="16"/>
          <w:szCs w:val="16"/>
          <w:color w:val="auto"/>
        </w:rPr>
      </w:pPr>
    </w:p>
    <w:p>
      <w:pPr>
        <w:ind w:left="1820" w:right="93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21,644 shares of Class A common stock that were validly redeemed in connection with the Transactions;</w:t>
      </w:r>
    </w:p>
    <w:p>
      <w:pPr>
        <w:spacing w:after="0" w:line="62" w:lineRule="exact"/>
        <w:rPr>
          <w:rFonts w:ascii="Arial" w:cs="Arial" w:eastAsia="Arial" w:hAnsi="Arial"/>
          <w:sz w:val="18"/>
          <w:szCs w:val="18"/>
          <w:color w:val="auto"/>
        </w:rPr>
      </w:pPr>
    </w:p>
    <w:p>
      <w:pPr>
        <w:ind w:left="1820" w:right="1019" w:hanging="182"/>
        <w:spacing w:after="0" w:line="342" w:lineRule="auto"/>
        <w:tabs>
          <w:tab w:leader="none" w:pos="1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68,121,210 shares of our Class A common stock issuable upon the exercise of stock options outstanding as of the Closing Date with a weighted average exercise price of $1.10 per share;</w:t>
      </w:r>
    </w:p>
    <w:p>
      <w:pPr>
        <w:spacing w:after="0" w:line="15" w:lineRule="exact"/>
        <w:rPr>
          <w:rFonts w:ascii="Arial" w:cs="Arial" w:eastAsia="Arial" w:hAnsi="Arial"/>
          <w:sz w:val="16"/>
          <w:szCs w:val="16"/>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43,409,870 shares subject to RSUs (as defined below) outstanding as of the Closing Date; and</w:t>
      </w:r>
    </w:p>
    <w:p>
      <w:pPr>
        <w:spacing w:after="0" w:line="117" w:lineRule="exact"/>
        <w:rPr>
          <w:rFonts w:ascii="Arial" w:cs="Arial" w:eastAsia="Arial" w:hAnsi="Arial"/>
          <w:sz w:val="18"/>
          <w:szCs w:val="18"/>
          <w:color w:val="auto"/>
        </w:rPr>
      </w:pPr>
    </w:p>
    <w:p>
      <w:pPr>
        <w:ind w:left="1820" w:right="559" w:hanging="182"/>
        <w:spacing w:after="0" w:line="255"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22,953,890 shares of our Class A common stock reserved for future issuance under the Incentive Plan, including under the ESPP Addendum, as well as: (i) any automatic increases in the number of shares of Class A common stock reserved for future issuance under the Incentive Plan and (ii) upon the forfeiture, termination, expiration or reacquisition of any shares of Class A common stock underlying outstanding stock awards granted under the Prior Plans (as defined below), an equal number of shares of our Class A common stock.</w:t>
      </w:r>
    </w:p>
    <w:p>
      <w:pPr>
        <w:spacing w:after="0" w:line="125"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Unless the context otherwise requires or otherwise indicated, the outstanding shares set forth in this prospectus include the unvested shares of Class A common stock held by the Sponsor and described elsewhere in this 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99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19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Risk Factor Summary</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i w:val="1"/>
          <w:iCs w:val="1"/>
          <w:color w:val="auto"/>
        </w:rPr>
        <w:t>Our business is subject to numerous risks and uncertainties, including those highlighted in the section titled “Risk Factors,” that represent challenges that we face in connection with the successful implementation of our strategy and growth of our business. The occurrence of one or more of the events or circumstances described in the section titled “Risk Factors,” alone or in combination with other events or circumstances, may adversely affect our ability realize the anticipated benefits of the Transactions, and may have an adverse effect on our business, cash flows, financial condition and results of operations. Such risks include, but are not limited to:</w:t>
      </w:r>
    </w:p>
    <w:p>
      <w:pPr>
        <w:spacing w:after="0" w:line="87" w:lineRule="exact"/>
        <w:rPr>
          <w:sz w:val="20"/>
          <w:szCs w:val="20"/>
          <w:color w:val="auto"/>
        </w:rPr>
      </w:pPr>
    </w:p>
    <w:p>
      <w:pPr>
        <w:ind w:left="1820" w:right="7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ongoing COVID-19 pandemic has adversely affected our business, results of operations and financial condition.</w:t>
      </w:r>
    </w:p>
    <w:p>
      <w:pPr>
        <w:spacing w:after="0" w:line="62" w:lineRule="exact"/>
        <w:rPr>
          <w:rFonts w:ascii="Arial" w:cs="Arial" w:eastAsia="Arial" w:hAnsi="Arial"/>
          <w:sz w:val="18"/>
          <w:szCs w:val="18"/>
          <w:color w:val="auto"/>
        </w:rPr>
      </w:pPr>
    </w:p>
    <w:p>
      <w:pPr>
        <w:ind w:left="1820" w:right="65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limited operating history makes evaluating its business and future prospects difficult and may increase the risk of your investment.</w:t>
      </w:r>
    </w:p>
    <w:p>
      <w:pPr>
        <w:spacing w:after="0" w:line="62" w:lineRule="exact"/>
        <w:rPr>
          <w:rFonts w:ascii="Arial" w:cs="Arial" w:eastAsia="Arial" w:hAnsi="Arial"/>
          <w:sz w:val="18"/>
          <w:szCs w:val="18"/>
          <w:color w:val="auto"/>
        </w:rPr>
      </w:pPr>
    </w:p>
    <w:p>
      <w:pPr>
        <w:ind w:left="1820" w:right="6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net losses each year since our inception and expect to incur increasing expenses and substantial losses for the foreseeable future.</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adequately control the substantial costs associated with our operations.</w:t>
      </w:r>
    </w:p>
    <w:p>
      <w:pPr>
        <w:spacing w:after="0" w:line="117" w:lineRule="exact"/>
        <w:rPr>
          <w:rFonts w:ascii="Arial" w:cs="Arial" w:eastAsia="Arial" w:hAnsi="Arial"/>
          <w:sz w:val="18"/>
          <w:szCs w:val="18"/>
          <w:color w:val="auto"/>
        </w:rPr>
      </w:pPr>
    </w:p>
    <w:p>
      <w:pPr>
        <w:ind w:left="1820" w:right="91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received only a limited number of reservations for the Lucid Air, all of which may be cancelled.</w:t>
      </w:r>
    </w:p>
    <w:p>
      <w:pPr>
        <w:spacing w:after="0" w:line="62" w:lineRule="exact"/>
        <w:rPr>
          <w:rFonts w:ascii="Arial" w:cs="Arial" w:eastAsia="Arial" w:hAnsi="Arial"/>
          <w:sz w:val="18"/>
          <w:szCs w:val="18"/>
          <w:color w:val="auto"/>
        </w:rPr>
      </w:pPr>
    </w:p>
    <w:p>
      <w:pPr>
        <w:ind w:left="1820" w:right="11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automotive industry has significant barriers to entry that we must overcome in order to manufacture and sell electric vehicles at scale.</w:t>
      </w:r>
    </w:p>
    <w:p>
      <w:pPr>
        <w:spacing w:after="0" w:line="62" w:lineRule="exact"/>
        <w:rPr>
          <w:rFonts w:ascii="Arial" w:cs="Arial" w:eastAsia="Arial" w:hAnsi="Arial"/>
          <w:sz w:val="18"/>
          <w:szCs w:val="18"/>
          <w:color w:val="auto"/>
        </w:rPr>
      </w:pPr>
    </w:p>
    <w:p>
      <w:pPr>
        <w:ind w:left="1820" w:right="7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automotive market is highly competitive, and we may not be successful in competing in this industry.</w:t>
      </w:r>
    </w:p>
    <w:p>
      <w:pPr>
        <w:spacing w:after="0" w:line="62"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not have a third-party retail product distribution network.</w:t>
      </w:r>
    </w:p>
    <w:p>
      <w:pPr>
        <w:spacing w:after="0" w:line="117" w:lineRule="exact"/>
        <w:rPr>
          <w:rFonts w:ascii="Arial" w:cs="Arial" w:eastAsia="Arial" w:hAnsi="Arial"/>
          <w:sz w:val="18"/>
          <w:szCs w:val="18"/>
          <w:color w:val="auto"/>
        </w:rPr>
      </w:pPr>
    </w:p>
    <w:p>
      <w:pPr>
        <w:ind w:left="1820" w:right="459" w:hanging="182"/>
        <w:spacing w:after="0" w:line="308"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experienced and may in the future experience significant delays in the design, manufacture, launch and financing of the Lucid Air, which could harm its business and prospects.</w:t>
      </w:r>
    </w:p>
    <w:p>
      <w:pPr>
        <w:spacing w:after="0" w:line="38" w:lineRule="exact"/>
        <w:rPr>
          <w:rFonts w:ascii="Arial" w:cs="Arial" w:eastAsia="Arial" w:hAnsi="Arial"/>
          <w:sz w:val="17"/>
          <w:szCs w:val="17"/>
          <w:color w:val="auto"/>
        </w:rPr>
      </w:pPr>
    </w:p>
    <w:p>
      <w:pPr>
        <w:ind w:left="1820" w:right="99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challenges providing charging solutions for our vehicles.</w:t>
      </w:r>
    </w:p>
    <w:p>
      <w:pPr>
        <w:spacing w:after="0" w:line="117" w:lineRule="exact"/>
        <w:rPr>
          <w:rFonts w:ascii="Arial" w:cs="Arial" w:eastAsia="Arial" w:hAnsi="Arial"/>
          <w:sz w:val="18"/>
          <w:szCs w:val="18"/>
          <w:color w:val="auto"/>
        </w:rPr>
      </w:pPr>
    </w:p>
    <w:p>
      <w:pPr>
        <w:jc w:val="both"/>
        <w:ind w:left="1820" w:right="459" w:hanging="182"/>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75" w:lineRule="exact"/>
        <w:rPr>
          <w:rFonts w:ascii="Arial" w:cs="Arial" w:eastAsia="Arial" w:hAnsi="Arial"/>
          <w:sz w:val="18"/>
          <w:szCs w:val="18"/>
          <w:color w:val="auto"/>
        </w:rPr>
      </w:pPr>
    </w:p>
    <w:p>
      <w:pPr>
        <w:jc w:val="both"/>
        <w:ind w:left="1820" w:right="939" w:hanging="182"/>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experience to date in high volume manufacture of our vehicles.</w:t>
      </w:r>
    </w:p>
    <w:p>
      <w:pPr>
        <w:spacing w:after="0" w:line="117" w:lineRule="exact"/>
        <w:rPr>
          <w:rFonts w:ascii="Arial" w:cs="Arial" w:eastAsia="Arial" w:hAnsi="Arial"/>
          <w:sz w:val="18"/>
          <w:szCs w:val="18"/>
          <w:color w:val="auto"/>
        </w:rPr>
      </w:pPr>
    </w:p>
    <w:p>
      <w:pPr>
        <w:ind w:left="1820" w:right="559" w:hanging="182"/>
        <w:spacing w:after="0" w:line="308"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successfully tool our manufacturing facilities or if our manufacturing facilities become inoperable, we will be unable to produce our vehicles and our business will be harmed.</w:t>
      </w:r>
    </w:p>
    <w:p>
      <w:pPr>
        <w:spacing w:after="0" w:line="38" w:lineRule="exact"/>
        <w:rPr>
          <w:rFonts w:ascii="Arial" w:cs="Arial" w:eastAsia="Arial" w:hAnsi="Arial"/>
          <w:sz w:val="17"/>
          <w:szCs w:val="17"/>
          <w:color w:val="auto"/>
        </w:rPr>
      </w:pPr>
    </w:p>
    <w:p>
      <w:pPr>
        <w:ind w:left="1820" w:right="779" w:hanging="182"/>
        <w:spacing w:after="0" w:line="25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start production and our future growth depend upon our ability to maintain relationships with our existing suppliers and source suppliers for our critical components, and to complete building out our supply chain, while effectively managing the risks due to such relationships.</w:t>
      </w:r>
    </w:p>
    <w:p>
      <w:pPr>
        <w:spacing w:after="0" w:line="78" w:lineRule="exact"/>
        <w:rPr>
          <w:rFonts w:ascii="Arial" w:cs="Arial" w:eastAsia="Arial" w:hAnsi="Arial"/>
          <w:sz w:val="18"/>
          <w:szCs w:val="18"/>
          <w:color w:val="auto"/>
        </w:rPr>
      </w:pPr>
    </w:p>
    <w:p>
      <w:pPr>
        <w:ind w:left="1820" w:right="779" w:hanging="182"/>
        <w:spacing w:after="0" w:line="25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599" w:hanging="182"/>
        <w:spacing w:after="0" w:line="259"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78" w:lineRule="exact"/>
        <w:rPr>
          <w:rFonts w:ascii="Arial" w:cs="Arial" w:eastAsia="Arial" w:hAnsi="Arial"/>
          <w:sz w:val="18"/>
          <w:szCs w:val="18"/>
          <w:color w:val="auto"/>
        </w:rPr>
      </w:pPr>
    </w:p>
    <w:p>
      <w:pPr>
        <w:ind w:left="1820" w:right="49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could harm our business.</w:t>
      </w:r>
    </w:p>
    <w:p>
      <w:pPr>
        <w:spacing w:after="0" w:line="62" w:lineRule="exact"/>
        <w:rPr>
          <w:rFonts w:ascii="Arial" w:cs="Arial" w:eastAsia="Arial" w:hAnsi="Arial"/>
          <w:sz w:val="18"/>
          <w:szCs w:val="18"/>
          <w:color w:val="auto"/>
        </w:rPr>
      </w:pPr>
    </w:p>
    <w:p>
      <w:pPr>
        <w:ind w:left="1820" w:right="539" w:hanging="182"/>
        <w:spacing w:after="0" w:line="259"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78" w:lineRule="exact"/>
        <w:rPr>
          <w:rFonts w:ascii="Arial" w:cs="Arial" w:eastAsia="Arial" w:hAnsi="Arial"/>
          <w:sz w:val="18"/>
          <w:szCs w:val="18"/>
          <w:color w:val="auto"/>
        </w:rPr>
      </w:pPr>
    </w:p>
    <w:p>
      <w:pPr>
        <w:ind w:left="1820" w:right="87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personnel or an inability to attract, retain and motivate qualified personnel may impair our ability to expand our business.</w:t>
      </w:r>
    </w:p>
    <w:p>
      <w:pPr>
        <w:spacing w:after="0" w:line="62" w:lineRule="exact"/>
        <w:rPr>
          <w:rFonts w:ascii="Arial" w:cs="Arial" w:eastAsia="Arial" w:hAnsi="Arial"/>
          <w:sz w:val="18"/>
          <w:szCs w:val="18"/>
          <w:color w:val="auto"/>
        </w:rPr>
      </w:pPr>
    </w:p>
    <w:p>
      <w:pPr>
        <w:ind w:left="1820" w:right="53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62" w:lineRule="exact"/>
        <w:rPr>
          <w:rFonts w:ascii="Arial" w:cs="Arial" w:eastAsia="Arial" w:hAnsi="Arial"/>
          <w:sz w:val="18"/>
          <w:szCs w:val="18"/>
          <w:color w:val="auto"/>
        </w:rPr>
      </w:pPr>
    </w:p>
    <w:p>
      <w:pPr>
        <w:ind w:left="1820" w:right="459" w:hanging="182"/>
        <w:spacing w:after="0" w:line="259"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78"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62" w:lineRule="exact"/>
        <w:rPr>
          <w:rFonts w:ascii="Arial" w:cs="Arial" w:eastAsia="Arial" w:hAnsi="Arial"/>
          <w:sz w:val="18"/>
          <w:szCs w:val="18"/>
          <w:color w:val="auto"/>
        </w:rPr>
      </w:pPr>
    </w:p>
    <w:p>
      <w:pPr>
        <w:ind w:left="1820" w:right="399" w:hanging="182"/>
        <w:spacing w:after="0" w:line="259"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78"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additional capital to support business growth, and this capital might not be available on commercially reasonable terms, or at all.</w:t>
      </w:r>
    </w:p>
    <w:p>
      <w:pPr>
        <w:spacing w:after="0" w:line="62" w:lineRule="exact"/>
        <w:rPr>
          <w:rFonts w:ascii="Arial" w:cs="Arial" w:eastAsia="Arial" w:hAnsi="Arial"/>
          <w:sz w:val="18"/>
          <w:szCs w:val="18"/>
          <w:color w:val="auto"/>
        </w:rPr>
      </w:pPr>
    </w:p>
    <w:p>
      <w:pPr>
        <w:ind w:left="1820" w:right="419" w:hanging="182"/>
        <w:spacing w:after="0" w:line="275"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68" w:lineRule="exact"/>
        <w:rPr>
          <w:rFonts w:ascii="Arial" w:cs="Arial" w:eastAsia="Arial" w:hAnsi="Arial"/>
          <w:sz w:val="17"/>
          <w:szCs w:val="17"/>
          <w:color w:val="auto"/>
        </w:rPr>
      </w:pPr>
    </w:p>
    <w:p>
      <w:pPr>
        <w:ind w:left="1820" w:right="439" w:hanging="182"/>
        <w:spacing w:after="0" w:line="286"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57" w:lineRule="exact"/>
        <w:rPr>
          <w:rFonts w:ascii="Arial" w:cs="Arial" w:eastAsia="Arial" w:hAnsi="Arial"/>
          <w:sz w:val="17"/>
          <w:szCs w:val="17"/>
          <w:color w:val="auto"/>
        </w:rPr>
      </w:pPr>
    </w:p>
    <w:p>
      <w:pPr>
        <w:ind w:left="1820" w:right="119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may not continue to list our securities, which could limit investors’ ability to make transactions in our securities and subject us to additional trading restrictions.</w:t>
      </w:r>
    </w:p>
    <w:p>
      <w:pPr>
        <w:spacing w:after="0" w:line="62" w:lineRule="exact"/>
        <w:rPr>
          <w:rFonts w:ascii="Arial" w:cs="Arial" w:eastAsia="Arial" w:hAnsi="Arial"/>
          <w:sz w:val="18"/>
          <w:szCs w:val="18"/>
          <w:color w:val="auto"/>
        </w:rPr>
      </w:pPr>
    </w:p>
    <w:p>
      <w:pPr>
        <w:ind w:left="1820" w:right="73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Sponsor, Ayar and the PIPE Investors beneficially own a significant equity interest in us and may take actions that conflict with your interests.</w:t>
      </w:r>
    </w:p>
    <w:p>
      <w:pPr>
        <w:spacing w:after="0" w:line="62" w:lineRule="exact"/>
        <w:rPr>
          <w:rFonts w:ascii="Arial" w:cs="Arial" w:eastAsia="Arial" w:hAnsi="Arial"/>
          <w:sz w:val="18"/>
          <w:szCs w:val="18"/>
          <w:color w:val="auto"/>
        </w:rPr>
      </w:pPr>
    </w:p>
    <w:p>
      <w:pPr>
        <w:ind w:left="1820" w:right="43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no guarantee that the warrants will ever be in the money, and they may expire worthless and the terms of our warrants may be amended.</w:t>
      </w:r>
    </w:p>
    <w:p>
      <w:pPr>
        <w:spacing w:after="0" w:line="62" w:lineRule="exact"/>
        <w:rPr>
          <w:rFonts w:ascii="Arial" w:cs="Arial" w:eastAsia="Arial" w:hAnsi="Arial"/>
          <w:sz w:val="18"/>
          <w:szCs w:val="18"/>
          <w:color w:val="auto"/>
        </w:rPr>
      </w:pPr>
    </w:p>
    <w:p>
      <w:pPr>
        <w:ind w:left="1820" w:right="1379" w:hanging="182"/>
        <w:spacing w:after="0" w:line="308"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Churchill’s due diligence investigation of the Lucid business was inadequate, then our stockholders following the Transactions could lose some or all of their investment.</w:t>
      </w:r>
    </w:p>
    <w:p>
      <w:pPr>
        <w:spacing w:after="0" w:line="38" w:lineRule="exact"/>
        <w:rPr>
          <w:rFonts w:ascii="Arial" w:cs="Arial" w:eastAsia="Arial" w:hAnsi="Arial"/>
          <w:sz w:val="17"/>
          <w:szCs w:val="17"/>
          <w:color w:val="auto"/>
        </w:rPr>
      </w:pPr>
    </w:p>
    <w:p>
      <w:pPr>
        <w:ind w:left="1820" w:right="439" w:hanging="182"/>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market for our securities may not continue, which would adversely affect the liquidity and price of our securities.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following risk factors, in addition to the risks and uncertainties discussed above under “Cautionary Note Regarding Forward-Looking Statements,” together with all of the other information included in this prospectus or any accompanying prospectus supplement, before making an investment decision. The occurrence of one or more of the events or circumstances described in these risk factors, alone or in combination with other events or circumstances, may adversely affect our ability to realize the anticipated benefits of the Transactions, and may have an adverse effect on our business, cash flows, financial condition and results of operations. You should also carefully consider the following risk factors in addition to the other information included in this prospectus, including matters addressed in the section entitled “Cautionary Note Regarding Forward -Looking Statements.” We may face additional risks and uncertainties that are not presently known to us that we currently deem immaterial, which may also impair our business or financial condition. The following discussion should be read in conjunction with the financial statements and notes to the financial statements included herein.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ind w:left="1260" w:right="1119"/>
        <w:spacing w:after="0" w:line="261" w:lineRule="auto"/>
        <w:rPr>
          <w:sz w:val="20"/>
          <w:szCs w:val="20"/>
          <w:color w:val="auto"/>
        </w:rPr>
      </w:pPr>
      <w:r>
        <w:rPr>
          <w:rFonts w:ascii="Arial" w:cs="Arial" w:eastAsia="Arial" w:hAnsi="Arial"/>
          <w:sz w:val="18"/>
          <w:szCs w:val="18"/>
          <w:b w:val="1"/>
          <w:bCs w:val="1"/>
          <w:i w:val="1"/>
          <w:iCs w:val="1"/>
          <w:color w:val="auto"/>
        </w:rPr>
        <w:t>The ongoing COVID-19 pandemic has adversely affected our business, results of operations and financial condition.</w:t>
      </w:r>
    </w:p>
    <w:p>
      <w:pPr>
        <w:spacing w:after="0" w:line="10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13"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The spread of COVID-19 has also periodically disrupted the manufacturing operations of other vehicle manufacturers and their suppliers. Any such disruptions to us or our suppliers could result in delays to our plans to begin commercial production of our first vehicle, the Lucid Air sedan, in the second half of 2021, and could negatively affect our production volume. Our manufacturing operations at a limited number of facilities in Casa Grande, Arizona concentrate these risks.</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mostly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In addition, the COVID-19 pandemic has resulted in extreme volatility in the global financial markets, which could increase our cost of capital or limit our ability to access financing when it needs it.</w:t>
      </w:r>
    </w:p>
    <w:p>
      <w:pPr>
        <w:spacing w:after="0" w:line="66"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severity, magnitude and duration of the COVID-19 pandemic and our economic and regulatory consequences are rapidly changing and uncertain. Accordingly, we cannot predict the ultimate impact of the COVID-19 pandemic on our business, financial condition and results of operations.</w:t>
      </w:r>
    </w:p>
    <w:p>
      <w:pPr>
        <w:spacing w:after="0" w:line="164" w:lineRule="exact"/>
        <w:rPr>
          <w:sz w:val="20"/>
          <w:szCs w:val="20"/>
          <w:color w:val="auto"/>
        </w:rPr>
      </w:pPr>
    </w:p>
    <w:p>
      <w:pPr>
        <w:ind w:left="1260" w:right="399"/>
        <w:spacing w:after="0" w:line="261"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your investment.</w:t>
      </w:r>
    </w:p>
    <w:p>
      <w:pPr>
        <w:spacing w:after="0" w:line="103"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7"/>
          <w:szCs w:val="17"/>
          <w:color w:val="auto"/>
        </w:rPr>
        <w:t>We are an early-stage company with a limited operating history, operating in a rapidly evolving and highly regulated market. Furthermore, we have not yet released a commercially available vehicle, and we have no experience manufacturing or selling a commercial product at scale. Because we have yet to generate revenue from the sale of electric vehicles, and as a result of the capital-intensive nature of our business, we expect to continue to incur substantial operating losses for the foreseeable future.</w:t>
      </w:r>
    </w:p>
    <w:p>
      <w:pPr>
        <w:spacing w:after="0" w:line="106"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We have encountered and expect to continue to encounter risks and uncertainties frequently experienced by early-stage companies in rapidly changing markets, including risks relating to our ability to, among other things:</w:t>
      </w:r>
    </w:p>
    <w:p>
      <w:pPr>
        <w:spacing w:after="0" w:line="60" w:lineRule="exact"/>
        <w:rPr>
          <w:sz w:val="20"/>
          <w:szCs w:val="20"/>
          <w:color w:val="auto"/>
        </w:rPr>
      </w:pPr>
    </w:p>
    <w:p>
      <w:pPr>
        <w:ind w:left="1800" w:right="77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launch commercial production and sales of the Lucid Air on the timing and with the specifications we had planned;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hire, integrate and retain professional and technical talent, including key members of management;</w:t>
      </w:r>
    </w:p>
    <w:p>
      <w:pPr>
        <w:spacing w:after="0" w:line="12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obtain, maintain, protect and enforce our intellectual property and defend against claims of intellectual property infringement, misappropriation or other violation;</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refine our commercial manufacturing capabilities and distribution infrastructure;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third-party suppliers;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117"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anticipate and adapt to changing market conditions, including consumer demand for certain vehicle types, models or trim levels, technological developments and changes in competitive landscape; and</w:t>
      </w:r>
    </w:p>
    <w:p>
      <w:pPr>
        <w:spacing w:after="0" w:line="38" w:lineRule="exact"/>
        <w:rPr>
          <w:rFonts w:ascii="Arial" w:cs="Arial" w:eastAsia="Arial" w:hAnsi="Arial"/>
          <w:sz w:val="17"/>
          <w:szCs w:val="17"/>
          <w:color w:val="auto"/>
        </w:rPr>
      </w:pPr>
    </w:p>
    <w:p>
      <w:pPr>
        <w:ind w:left="1800" w:right="7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models of electric vehicles to follow the Lucid Air.</w:t>
      </w:r>
    </w:p>
    <w:p>
      <w:pPr>
        <w:spacing w:after="0" w:line="170"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We have incurred net losses each year since our inception and expects to incur increasing expenses and substantial losses for the foreseeable future.</w:t>
      </w:r>
    </w:p>
    <w:p>
      <w:pPr>
        <w:spacing w:after="0" w:line="90"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7"/>
          <w:szCs w:val="17"/>
          <w:color w:val="auto"/>
        </w:rPr>
        <w:t>We have incurred net losses each year since our inception, including net loss attributable to common shareholders of approximately $2,915.3 million for the three months ended March 31, 2021 and</w:t>
      </w:r>
    </w:p>
    <w:p>
      <w:pPr>
        <w:spacing w:after="0" w:line="1" w:lineRule="exact"/>
        <w:rPr>
          <w:sz w:val="20"/>
          <w:szCs w:val="20"/>
          <w:color w:val="auto"/>
        </w:rPr>
      </w:pPr>
    </w:p>
    <w:p>
      <w:pPr>
        <w:jc w:val="both"/>
        <w:ind w:left="1260" w:right="599"/>
        <w:spacing w:after="0" w:line="239" w:lineRule="auto"/>
        <w:rPr>
          <w:sz w:val="20"/>
          <w:szCs w:val="20"/>
          <w:color w:val="auto"/>
        </w:rPr>
      </w:pPr>
      <w:r>
        <w:rPr>
          <w:rFonts w:ascii="Arial" w:cs="Arial" w:eastAsia="Arial" w:hAnsi="Arial"/>
          <w:sz w:val="18"/>
          <w:szCs w:val="18"/>
          <w:color w:val="auto"/>
        </w:rPr>
        <w:t>$705.6 million for the year ended December 31, 2020. As of March 31, 2021, our accumulated deficit was approximately $4,234.1 million. We expect to continue to incur substantial losses and increasing expenses in the foreseeable future as we:</w:t>
      </w:r>
    </w:p>
    <w:p>
      <w:pPr>
        <w:spacing w:after="0" w:line="81"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design and develop and begins to manufacture our vehicles;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 and expand our manufacturing facilities to produce our vehicles in Arizona, and potentially in international locations;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up inventories of parts and components for our vehicles;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an available inventory of our vehicles;</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deploy vehicle charging partnerships;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design, research, development, maintenance and repair capabilities;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growing operations and status as a public company.</w:t>
      </w:r>
    </w:p>
    <w:p>
      <w:pPr>
        <w:spacing w:after="0" w:line="103"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If our product development or commercialization is delayed, our costs and expenses may be significantly higher than we currently expect. Because we will incur the costs and expenses from these efforts before we receive any incremental revenues with respect thereto, we expect our losses in future periods will be significant. Our ability to generate product revenues will depend on our ability to finalize and begin commercial production of the Lucid Air, which we do not expect will occur until the second half of 2021, and we may never achieve profitability.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adequately control the substantial costs associated with our operations.</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scales our operations and incur the costs of being a public company. In addition, we expect to incur significant costs servicing and maintaining customers’ vehicles, including establishing our service operations and facilities. As a company, we do not have experience forecasting and budgeting for any of these expenses, and these expenses could be significantly higher than we currently anticipate. In addition, any delays in the start of production,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21"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the Lucid Air, all of which may be cancelled.</w:t>
      </w:r>
    </w:p>
    <w:p>
      <w:pPr>
        <w:spacing w:after="0" w:line="15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As of June 21, 2021, we had reservations for more than 10,000 units of our first vehicle, the Lucid Air, with fully refundable deposits. Our customers may cancel their reservations without penalty and for any reason until they place an order for their vehicle. In addition, any further delays in the expected start of production of the Lucid Air could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the start of production of the Lucid Air that further lengthen wait times, a significant number of reservations may be cancelled.</w:t>
      </w:r>
    </w:p>
    <w:p>
      <w:pPr>
        <w:spacing w:after="0" w:line="184"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b w:val="1"/>
          <w:bCs w:val="1"/>
          <w:i w:val="1"/>
          <w:iCs w:val="1"/>
          <w:color w:val="auto"/>
        </w:rPr>
        <w:t>The automotive industry has significant barriers to entry that we must overcome in order to manufacture and sell electric vehicles at scale.</w:t>
      </w:r>
    </w:p>
    <w:p>
      <w:pPr>
        <w:spacing w:after="0" w:line="90"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prototypes of our electric sedan and have completed the first phase of construction of our commercial manufacturing facility in Casa Grande, Arizona, we have not finished tooling all production lines at our Casa Grande facilities, finalized the design and specifications of the Lucid Air or begun commercial manufacturing processes for the Lucid Air. If we are not able to overcome these barriers, our business, prospects, results of operations and financial condition will be negatively impacted, and our ability to grow our business will be harmed.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 automotive market is highly competitive, and we may not be successful in competing in this industry.</w:t>
      </w:r>
    </w:p>
    <w:p>
      <w:pPr>
        <w:spacing w:after="0" w:line="167"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2021 or 2022. We also compete with established automobile manufacturers in the luxury vehicle segment, many of which have entered or have announced plans to enter the alternative fuel and electric vehicle market with either fully electric or plug -in hybrid versions of their vehicles. We also expect to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93"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0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will initially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the end of 2023.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network.</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Third-party dealer networks are the traditional method of vehicle sales distribution. Because we plan to sell directly to consumers, we will not have a traditional dealer product distribution network. We do not have experience distributing directly to consumers, and we expect that the building of an in-house sales and marketing function, including a physical sales and marketing footprint via our Lucid Studios, will be expensive and time consuming. If our lack of a traditional dealer distribution network results in lost opportunities to generate sales, it could limit our ability to grow. Moreover, our plans to sell directly to consumers may be limited by regulatory constraints. To the extent we are unable to successfully execute on</w:t>
      </w:r>
    </w:p>
    <w:p>
      <w:pPr>
        <w:spacing w:after="0" w:line="35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color w:val="auto"/>
        </w:rPr>
        <w:t>such plans, we may be required to develop a third-party dealer distribution network, which may prove costly, time-consuming or ineffective. If our use of an in-house sales and marketing team is not effective, our results of operations and financial conditions could be adversely affected.</w:t>
      </w:r>
    </w:p>
    <w:p>
      <w:pPr>
        <w:spacing w:after="0" w:line="182" w:lineRule="exact"/>
        <w:rPr>
          <w:sz w:val="20"/>
          <w:szCs w:val="20"/>
          <w:color w:val="auto"/>
        </w:rPr>
      </w:pPr>
    </w:p>
    <w:p>
      <w:pPr>
        <w:ind w:left="1260" w:right="1099"/>
        <w:spacing w:after="0" w:line="291" w:lineRule="auto"/>
        <w:rPr>
          <w:sz w:val="20"/>
          <w:szCs w:val="20"/>
          <w:color w:val="auto"/>
        </w:rPr>
      </w:pPr>
      <w:r>
        <w:rPr>
          <w:rFonts w:ascii="Arial" w:cs="Arial" w:eastAsia="Arial" w:hAnsi="Arial"/>
          <w:sz w:val="17"/>
          <w:szCs w:val="17"/>
          <w:b w:val="1"/>
          <w:bCs w:val="1"/>
          <w:i w:val="1"/>
          <w:iCs w:val="1"/>
          <w:color w:val="auto"/>
        </w:rPr>
        <w:t>Our sales will depend in part on our ability to establish and maintain confidence in our long-term business prospects among consumers, analysts and others within our industry.</w:t>
      </w:r>
    </w:p>
    <w:p>
      <w:pPr>
        <w:spacing w:after="0" w:line="66"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 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Our ability to generate meaningful product revenue will depend on consumer adoption of electric vehicles.</w:t>
      </w:r>
    </w:p>
    <w:p>
      <w:pPr>
        <w:spacing w:after="0" w:line="18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are only developing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117"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w:t>
      </w:r>
    </w:p>
    <w:p>
      <w:pPr>
        <w:spacing w:after="0" w:line="103"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62"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17"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charging stations and cost to charge an electric vehicle, especially in international markets, and related infrastructure costs and standardization;</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44"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65"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our vehicles.</w:t>
      </w:r>
    </w:p>
    <w:p>
      <w:pPr>
        <w:spacing w:after="0" w:line="103"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87" w:lineRule="exact"/>
        <w:rPr>
          <w:sz w:val="20"/>
          <w:szCs w:val="20"/>
          <w:color w:val="auto"/>
        </w:rPr>
      </w:pPr>
    </w:p>
    <w:p>
      <w:pPr>
        <w:jc w:val="both"/>
        <w:ind w:left="1260" w:right="959"/>
        <w:spacing w:after="0" w:line="465" w:lineRule="auto"/>
        <w:rPr>
          <w:sz w:val="20"/>
          <w:szCs w:val="20"/>
          <w:color w:val="auto"/>
        </w:rPr>
      </w:pPr>
      <w:r>
        <w:rPr>
          <w:rFonts w:ascii="Arial" w:cs="Arial" w:eastAsia="Arial" w:hAnsi="Arial"/>
          <w:sz w:val="13"/>
          <w:szCs w:val="13"/>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0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80" w:lineRule="exact"/>
        <w:rPr>
          <w:sz w:val="20"/>
          <w:szCs w:val="20"/>
          <w:color w:val="auto"/>
        </w:rPr>
      </w:pPr>
    </w:p>
    <w:p>
      <w:pPr>
        <w:ind w:left="1260" w:right="599"/>
        <w:spacing w:after="0" w:line="324" w:lineRule="auto"/>
        <w:rPr>
          <w:sz w:val="20"/>
          <w:szCs w:val="20"/>
          <w:color w:val="auto"/>
        </w:rPr>
      </w:pPr>
      <w:r>
        <w:rPr>
          <w:rFonts w:ascii="Arial" w:cs="Arial" w:eastAsia="Arial" w:hAnsi="Arial"/>
          <w:sz w:val="16"/>
          <w:szCs w:val="16"/>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43"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02"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8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01"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95"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b w:val="1"/>
          <w:bCs w:val="1"/>
          <w:i w:val="1"/>
          <w:iCs w:val="1"/>
          <w:color w:val="auto"/>
        </w:rPr>
        <w:t>If we fail to manage our future growth effectively, we may not be able to develop, manufacture, distribute, market and sell our vehicles successfully.</w:t>
      </w:r>
    </w:p>
    <w:p>
      <w:pPr>
        <w:spacing w:after="0" w:line="76"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management team;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130"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including in connection with our transition to a public company; and</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into new markets and establishing sales, service and manufacturing operations in such markets.</w:t>
      </w:r>
    </w:p>
    <w:p>
      <w:pPr>
        <w:spacing w:after="0" w:line="103"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manufacturing and servicing electric vehicles is intense, and we may not be able to attract, integrate, train, motivate or retain additional highly qualified personnel in the future. The failure to attract, integrate, train, motivate and retain these additional employees could seriously harm our business and prospects. In addition, we have no experience to date in high volume manufacturing of our vehicles. We cannot assure you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if our manufacturing facilities are not constructed in conformity with our requirements, repair or remediation could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adversely affect our ability to timely sell and deliver our electric vehicles to customers, or impose substantial additional costs, any of which consequences could have a material adverse effect on our business, prospects, results of operations and financial condition.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98" w:lineRule="exact"/>
        <w:rPr>
          <w:sz w:val="20"/>
          <w:szCs w:val="20"/>
          <w:color w:val="auto"/>
        </w:rPr>
      </w:pPr>
    </w:p>
    <w:p>
      <w:pPr>
        <w:jc w:val="both"/>
        <w:ind w:left="1260" w:right="719"/>
        <w:spacing w:after="0" w:line="311" w:lineRule="auto"/>
        <w:rPr>
          <w:sz w:val="20"/>
          <w:szCs w:val="20"/>
          <w:color w:val="auto"/>
        </w:rPr>
      </w:pPr>
      <w:r>
        <w:rPr>
          <w:rFonts w:ascii="Arial" w:cs="Arial" w:eastAsia="Arial" w:hAnsi="Arial"/>
          <w:sz w:val="16"/>
          <w:szCs w:val="16"/>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8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While we currently intend to offer leasing and financing of our vehicles to potential customers through a third-party financing partner or partners, we currently have no agreements in place with any potential financing partners. We cannot provide any assurance that such third-party financing partners would be able or willing to provide such services on terms acceptable to us or our customers, or to provide such services at all. Furthermore, because we have not yet sold any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78" w:lineRule="exact"/>
        <w:rPr>
          <w:sz w:val="20"/>
          <w:szCs w:val="20"/>
          <w:color w:val="auto"/>
        </w:rPr>
      </w:pPr>
    </w:p>
    <w:p>
      <w:pPr>
        <w:jc w:val="both"/>
        <w:ind w:left="1260" w:right="459"/>
        <w:spacing w:after="0" w:line="263" w:lineRule="auto"/>
        <w:rPr>
          <w:sz w:val="20"/>
          <w:szCs w:val="20"/>
          <w:color w:val="auto"/>
        </w:rPr>
      </w:pPr>
      <w:r>
        <w:rPr>
          <w:rFonts w:ascii="Arial" w:cs="Arial" w:eastAsia="Arial" w:hAnsi="Arial"/>
          <w:sz w:val="18"/>
          <w:szCs w:val="18"/>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0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Our vehicles are being designed with autonomous driving (“</w:t>
      </w:r>
      <w:r>
        <w:rPr>
          <w:rFonts w:ascii="Arial" w:cs="Arial" w:eastAsia="Arial" w:hAnsi="Arial"/>
          <w:sz w:val="18"/>
          <w:szCs w:val="18"/>
          <w:i w:val="1"/>
          <w:iCs w:val="1"/>
          <w:color w:val="auto"/>
        </w:rPr>
        <w:t>AD</w:t>
      </w:r>
      <w:r>
        <w:rPr>
          <w:rFonts w:ascii="Arial" w:cs="Arial" w:eastAsia="Arial" w:hAnsi="Arial"/>
          <w:sz w:val="18"/>
          <w:szCs w:val="18"/>
          <w:color w:val="auto"/>
        </w:rPr>
        <w:t>”) and advanced driver assistance system (“</w:t>
      </w:r>
      <w:r>
        <w:rPr>
          <w:rFonts w:ascii="Arial" w:cs="Arial" w:eastAsia="Arial" w:hAnsi="Arial"/>
          <w:sz w:val="18"/>
          <w:szCs w:val="18"/>
          <w:i w:val="1"/>
          <w:iCs w:val="1"/>
          <w:color w:val="auto"/>
        </w:rPr>
        <w:t>ADAS</w:t>
      </w:r>
      <w:r>
        <w:rPr>
          <w:rFonts w:ascii="Arial" w:cs="Arial" w:eastAsia="Arial" w:hAnsi="Arial"/>
          <w:sz w:val="18"/>
          <w:szCs w:val="18"/>
          <w:color w:val="auto"/>
        </w:rPr>
        <w:t>”) hardware, and we expect to launch the Lucid Air and Project Gravity with Level 2 (partial automation) ADAS functionality, which we plan to upgrade with additional capabilities over time. AD/ADAS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our AD/ADAS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3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addition, we face substantial competition in the development and deployment of AD/ADAS technologies. Many of our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Nuro and Ghost.ai, have devoted significant time and resources to developing self-driving technologies. If we are unable to develop competitive Level 2 or more advanced AD/ADAS technologies in-house or acquire access to such technologies via partnerships or investments in other companies or assets, we may be unable to equip our vehicles with competitive AD/ADAS features, which could damage our brand, reduce consumer demand for our vehicles or trigger cancellations of reservations and could have a material adverse effect on our business, results of operations, prospects and financial condition.</w:t>
      </w:r>
    </w:p>
    <w:p>
      <w:pPr>
        <w:spacing w:after="0" w:line="111"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 xml:space="preserve">AD/ADAS technology is also subject to considerable regulatory uncertainty, which exposes us to additional risks. See “— </w:t>
      </w:r>
      <w:r>
        <w:rPr>
          <w:rFonts w:ascii="Arial" w:cs="Arial" w:eastAsia="Arial" w:hAnsi="Arial"/>
          <w:sz w:val="18"/>
          <w:szCs w:val="18"/>
          <w:i w:val="1"/>
          <w:iCs w:val="1"/>
          <w:color w:val="auto"/>
        </w:rPr>
        <w:t>Risks Related to Litigation and Regulation — AD/ADAS technology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 and evolving regulations.</w:t>
      </w:r>
      <w:r>
        <w:rPr>
          <w:rFonts w:ascii="Arial" w:cs="Arial" w:eastAsia="Arial" w:hAnsi="Arial"/>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business and prospects depend significantly on our brand.</w:t>
      </w:r>
    </w:p>
    <w:p>
      <w:pPr>
        <w:spacing w:after="0" w:line="14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may be required to change our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our brand.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In addition, from time to time, our vehicles may be evaluated and reviewed by third parties.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88"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b w:val="1"/>
          <w:bCs w:val="1"/>
          <w:i w:val="1"/>
          <w:iCs w:val="1"/>
          <w:color w:val="auto"/>
        </w:rPr>
        <w:t>We face risks associated with international operations, including unfavorable regulatory, political, tax and labor conditions, which could harm our business.</w:t>
      </w:r>
    </w:p>
    <w:p>
      <w:pPr>
        <w:spacing w:after="0" w:line="9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86" w:lineRule="exact"/>
        <w:rPr>
          <w:sz w:val="20"/>
          <w:szCs w:val="20"/>
          <w:color w:val="auto"/>
        </w:rPr>
      </w:pPr>
    </w:p>
    <w:p>
      <w:pPr>
        <w:ind w:left="1800" w:right="41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conforming our vehicles to various international regulatory requirements where our vehicles are sold, or homologation;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localized supply chains and managing international supply chain and logistics costs;</w:t>
      </w:r>
    </w:p>
    <w:p>
      <w:pPr>
        <w:spacing w:after="0" w:line="128" w:lineRule="exact"/>
        <w:rPr>
          <w:rFonts w:ascii="Arial" w:cs="Arial" w:eastAsia="Arial" w:hAnsi="Arial"/>
          <w:sz w:val="17"/>
          <w:szCs w:val="17"/>
          <w:color w:val="auto"/>
        </w:rPr>
      </w:pPr>
    </w:p>
    <w:p>
      <w:pPr>
        <w:ind w:left="1800" w:right="47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sufficient charging points for our customers in those jurisdictions, via partnerships or, if necessary, via development of our own charging networks;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117"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75" w:lineRule="exact"/>
        <w:rPr>
          <w:rFonts w:ascii="Arial" w:cs="Arial" w:eastAsia="Arial" w:hAnsi="Arial"/>
          <w:sz w:val="18"/>
          <w:szCs w:val="18"/>
          <w:color w:val="auto"/>
        </w:rPr>
      </w:pPr>
    </w:p>
    <w:p>
      <w:pPr>
        <w:ind w:left="1800" w:right="899" w:hanging="180"/>
        <w:spacing w:after="0" w:line="308"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fluctuations in foreign currency exchange rates and interest rates, including risks related to any forward currency contracts, interest rate swaps or other hedging activities we undertake;</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natural disasters, pandemics (including the ongoing COVID-19 pandemic), war or events of terrorism;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15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If we fail to successfully address these risks, our business, prospects, results of operations and financial condition could be materially harmed.</w:t>
      </w:r>
    </w:p>
    <w:p>
      <w:pPr>
        <w:spacing w:after="0" w:line="170"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b w:val="1"/>
          <w:bCs w:val="1"/>
          <w:i w:val="1"/>
          <w:iCs w:val="1"/>
          <w:color w:val="auto"/>
        </w:rPr>
        <w:t>Uninsured losses could result in payment of substantial damages, which would decrease our cash reserves and could harm our cash flow and financial condition.</w:t>
      </w:r>
    </w:p>
    <w:p>
      <w:pPr>
        <w:spacing w:after="0" w:line="103"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In the ordinary course of business, we may be subject to losses resulting from product liability, accidents, acts of God and other claims against us, for which we may have no insurance coverage. While we currently carry commercial general liability, commercial automobile liability, excess liability, product</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liability, cybersecurity, crime, special crime, drone, cargo stock throughput, builder’s risk, owner controlled insurance program, property, owners protective, workers’ compensation, employment practices, employed lawyers, production, fiduciary liability and directors’ and officers’ insurance policies,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29" w:lineRule="exact"/>
        <w:rPr>
          <w:sz w:val="20"/>
          <w:szCs w:val="20"/>
          <w:color w:val="auto"/>
        </w:rPr>
      </w:pPr>
    </w:p>
    <w:p>
      <w:pPr>
        <w:ind w:left="1260" w:right="639"/>
        <w:spacing w:after="0" w:line="342" w:lineRule="auto"/>
        <w:rPr>
          <w:sz w:val="20"/>
          <w:szCs w:val="20"/>
          <w:color w:val="auto"/>
        </w:rPr>
      </w:pPr>
      <w:r>
        <w:rPr>
          <w:rFonts w:ascii="Arial" w:cs="Arial" w:eastAsia="Arial" w:hAnsi="Arial"/>
          <w:sz w:val="16"/>
          <w:szCs w:val="16"/>
          <w:b w:val="1"/>
          <w:bCs w:val="1"/>
          <w:i w:val="1"/>
          <w:iCs w:val="1"/>
          <w:color w:val="auto"/>
        </w:rPr>
        <w:t>We have experienced and may in the future experience significant delays in the design, manufacture, launch and financing of the Lucid Air, which could harm our business and prospects.</w:t>
      </w:r>
    </w:p>
    <w:p>
      <w:pPr>
        <w:spacing w:after="0" w:line="4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Our vehicles are still in the development and testing phase, and production of the Lucid Air sedan and the Project Gravity SUV is not expected to begin until the second half of 2021 and the end of 2023, respectively, and may occur later or not at all. Any delay in the financing, design, manufacture and launch of the Lucid Air, including planned future variants, and any future electric vehicles could materially damage our business, prospects, financial condition and results of operations. Automobile manufacturers often experience delays in the design, manufacture and commercial release of new vehicle models, and we have experienced in the past, and may experience in the future, such delays with regard to the Lucid Air. For example, we have experienced delays in the engineering of certain of our vehicle systems. Our plan to commercially manufacture and sell the Lucid Air is dependent upon the timely availability of funds, upon our finalizing of the related design, engineering, component procurement, testing, build-out and manufacturing plans in a timely manner and also upon our ability to execute these plans within the planned timeline. Prior to mass production of our electric vehicles, we will also need the vehicles to be fully approved for sale according to differing requirements, including but not limited to regulatory requirements, in the different geographies where we intend to launch our vehicles. To the extent we further delay the launch of the Lucid Air, our growth prospects could be adversely affected as we may fail to grow our market share.</w:t>
      </w:r>
    </w:p>
    <w:p>
      <w:pPr>
        <w:spacing w:after="0" w:line="127"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For example, in certain instances, international travel restrictions have prevented our supply quality engineers from conducting in-person visits and quality engineering for parts production with international suppliers, which has contributed to delays in our supply chain. Likewise, we may encounter delays with the design, construction and regulatory or other approvals necessary to bring online our Casa Grande, Arizona manufacturing facilities, future expansions of the Casa Grande manufacturing facilities, or other future manufacturing facilities. 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19"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continued development of and the ability to start manufacturing our vehicles, including the Lucid Air and Project Gravity, are and will be subject to risks, including with respect to:</w:t>
      </w:r>
    </w:p>
    <w:p>
      <w:pPr>
        <w:spacing w:after="0" w:line="62" w:lineRule="exact"/>
        <w:rPr>
          <w:sz w:val="20"/>
          <w:szCs w:val="20"/>
          <w:color w:val="auto"/>
        </w:rPr>
      </w:pPr>
    </w:p>
    <w:p>
      <w:pPr>
        <w:ind w:left="1800" w:right="5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ensure readiness of firmware features and functions to be integrated into the Lucid Air as planned and on the desired timeline;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finalize release candidate specifications as planned and on the desired timeline;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delays by us in delivering final component designs to our suppliers;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or our suppliers’ ability to successfully tool their manufacturing facilities as planned and on the desired timeline;</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ensure working supply chain and desired supplier part quality as planned and on the desired timeline;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accurately manufacture vehicles within specified design tolerances;</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occurrence of product defects that cannot be remedied without adversely affecting the expected start of production;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negotiate and execute definitive agreements with various suppliers for hardware, software, or services necessary to engineer or manufacture our vehicles;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certifications;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environmental, safety, and similar regulations and in a timely manner;</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secure necessary components, services, or licenses on acceptable terms and in a timely manner;</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recruit, hire, retain and train skilled employees;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implement effective and efficient quality controls;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disruptions in our supply chain including raw material supplies;</w:t>
      </w:r>
    </w:p>
    <w:p>
      <w:pPr>
        <w:spacing w:after="0" w:line="117" w:lineRule="exact"/>
        <w:rPr>
          <w:rFonts w:ascii="Arial" w:cs="Arial" w:eastAsia="Arial" w:hAnsi="Arial"/>
          <w:sz w:val="18"/>
          <w:szCs w:val="18"/>
          <w:color w:val="auto"/>
        </w:rPr>
      </w:pPr>
    </w:p>
    <w:p>
      <w:pPr>
        <w:ind w:left="1800" w:right="579" w:hanging="180"/>
        <w:spacing w:after="0" w:line="308"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maintain arrangements on commercially reasonable terms with our suppliers, delivery and other partners, after sales service providers, and other operationally significant third parties;</w:t>
      </w:r>
    </w:p>
    <w:p>
      <w:pPr>
        <w:spacing w:after="0" w:line="24" w:lineRule="exact"/>
        <w:rPr>
          <w:rFonts w:ascii="Arial" w:cs="Arial" w:eastAsia="Arial" w:hAnsi="Arial"/>
          <w:sz w:val="17"/>
          <w:szCs w:val="17"/>
          <w:color w:val="auto"/>
        </w:rPr>
      </w:pPr>
    </w:p>
    <w:p>
      <w:pPr>
        <w:ind w:left="1800" w:right="9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ongoing COVID-19 pandemic, including related business interruptions and other effects; and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14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Although we expect the net proceeds from the Transactions to be sufficient to finance the initial commercial production of the Lucid Air, 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w:t>
      </w:r>
    </w:p>
    <w:p>
      <w:pPr>
        <w:spacing w:after="0" w:line="189"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If our vehicles fail to perform as expected, our ability to develop, market and sell or lease our products could be harmed.</w:t>
      </w:r>
    </w:p>
    <w:p>
      <w:pPr>
        <w:spacing w:after="0" w:line="10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Once production commences, our vehicles may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20"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Any defects, delays or legal restrictions on vehicle features, or other failure of our vehicles to perform as expected, could harm our reputation and result in delivery delays, product recalls, product liability claims,</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breach of warranty claims and significant warranty and other expenses, and could have a material adverse impact on our business, results of operations, prospects and financial condition. 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9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face challenges providing charging solutions for our vehicles.</w:t>
      </w:r>
    </w:p>
    <w:p>
      <w:pPr>
        <w:spacing w:after="0" w:line="15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a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or at all, which could serve to limit the development of public charging infrastructure and increase the relative attractiveness to potential customers of a proprietary charging solution.</w:t>
      </w:r>
    </w:p>
    <w:p>
      <w:pPr>
        <w:spacing w:after="0" w:line="12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79"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b w:val="1"/>
          <w:bCs w:val="1"/>
          <w:i w:val="1"/>
          <w:iCs w:val="1"/>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03"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Because we do not plan to begin commercial production of the Lucid Air until the second half of 2021 at the earliest, we have no experience servicing or repairing our vehicles. Servicing electric vehicles is different than servicing vehicles with internal combustion engines and requires specialized skills, including high voltage training and servicing techniques. In addition, we plan to partner with certain third parties to perform some of the service on our vehicles, and there can be no assurance that we will be able to enter into</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acceptable arrangements with any such third-party providers. Further, although such servicing partners may have experience in servicing other electric vehicles, they will initially have no experience in servicing our vehicles.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9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In addition, the motor vehicle industry laws in many states require that service facilities be available to service vehicles physically sold from locations in the state. While we anticipate developing a service program that would satisfy regulatory requirements in these circumstances, the specifics of our service program are still in development, and at some point may need to be restructured to comply with state law, which may impact our business, financial condition, results of operations and prospects.</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83" w:lineRule="exact"/>
        <w:rPr>
          <w:sz w:val="20"/>
          <w:szCs w:val="20"/>
          <w:color w:val="auto"/>
        </w:rPr>
      </w:pPr>
    </w:p>
    <w:p>
      <w:pPr>
        <w:jc w:val="both"/>
        <w:ind w:left="1260" w:right="879"/>
        <w:spacing w:after="0" w:line="248" w:lineRule="auto"/>
        <w:rPr>
          <w:sz w:val="20"/>
          <w:szCs w:val="20"/>
          <w:color w:val="auto"/>
        </w:rPr>
      </w:pPr>
      <w:r>
        <w:rPr>
          <w:rFonts w:ascii="Arial" w:cs="Arial" w:eastAsia="Arial" w:hAnsi="Arial"/>
          <w:sz w:val="18"/>
          <w:szCs w:val="18"/>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14"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We will provide a manufacturer’s warranty on all vehicles and powertrain components and systems we sell. Once our vehicles are in commercial production, we will need to maintain reserves to cover part replacement and other vehicle repair needs, including any potential software upgrades or warranty claims. In addition, we expect to provide a manufacturer’s warranty on any future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no experience to date in high volume manufacture of our vehicles.</w:t>
      </w:r>
    </w:p>
    <w:p>
      <w:pPr>
        <w:spacing w:after="0" w:line="144"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We cannot provide any assurance as to whether we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satisfy the requirements of customers and potential customers. Any failure to develop such production processes and capabilities within our projected costs and timelines could have a material adverse effect on our business, results of operations, prospects and financial condition. Bottlenecks and other unexpected challenges may also arise as we ramp production of the Lucid Air, and it will be important that we address them promptly while continuing to control our manufacturing costs. If we are not successful in doing so, or if we experience issues with our manufacturing process improvements, we could face delays in establishing and/or sustaining our production ramps or be unable to meet our related cost and profitability targets.</w:t>
      </w:r>
    </w:p>
    <w:p>
      <w:pPr>
        <w:spacing w:after="0" w:line="186" w:lineRule="exact"/>
        <w:rPr>
          <w:sz w:val="20"/>
          <w:szCs w:val="20"/>
          <w:color w:val="auto"/>
        </w:rPr>
      </w:pPr>
    </w:p>
    <w:p>
      <w:pPr>
        <w:ind w:left="1260" w:right="539"/>
        <w:spacing w:after="0" w:line="291" w:lineRule="auto"/>
        <w:rPr>
          <w:sz w:val="20"/>
          <w:szCs w:val="20"/>
          <w:color w:val="auto"/>
        </w:rPr>
      </w:pPr>
      <w:r>
        <w:rPr>
          <w:rFonts w:ascii="Arial" w:cs="Arial" w:eastAsia="Arial" w:hAnsi="Arial"/>
          <w:sz w:val="17"/>
          <w:szCs w:val="17"/>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66"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While we have completed the initial phase of construction at our manufacturing facilities in Casa Grande, Arizona, tooling our facilities for production of our vehicles and our future expansion plans are complicated and present significant challenges. For example, our manufacturing plans contemplate a compressed time period between finalization of the Lucid Air’s specifications for commercial production and the start of commercial production, which would require finalization of tooling in a short time period. In addition, certain of our suppliers may be unable to complete tooling with respect to finalized components of the Lucid Air in the planned timeframe after we deliver final component specifications, which could adversely affect our ability to begin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order to commence commercial production at our Casa Grande facilities, we will also need to hire and train a significant number of employees and integrate a yet-to-be- fully-developed supply chain. A failure to commence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1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projections.</w:t>
      </w:r>
    </w:p>
    <w:p>
      <w:pPr>
        <w:spacing w:after="0" w:line="111"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In addition, 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AD/ADAS hardware. There is no guarantee that we will be able to successfully and timely introduce and scale any such new processes or features.</w:t>
      </w:r>
    </w:p>
    <w:p>
      <w:pPr>
        <w:spacing w:after="0" w:line="111"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Furthermore, our Casa Grande facilities and the equipment we use to manufacture our vehicles will be costly to repair or replace and could require substantial lead time to repair or replace and qualify for use. We will rely heavily on complex machinery for our operations, and our production will involve a significant</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0" w:lineRule="auto"/>
        <w:rPr>
          <w:sz w:val="20"/>
          <w:szCs w:val="20"/>
          <w:color w:val="auto"/>
        </w:rPr>
      </w:pPr>
      <w:r>
        <w:rPr>
          <w:rFonts w:ascii="Arial" w:cs="Arial" w:eastAsia="Arial" w:hAnsi="Arial"/>
          <w:sz w:val="17"/>
          <w:szCs w:val="17"/>
          <w:color w:val="auto"/>
        </w:rPr>
        <w:t>degree of uncertainty and risk in terms of operational performance and costs. Our manufacturing plant will employ large-scale, complex machinery combining many components, which once deployed may suffer unexpected malfunctions from time to time and will depend on repairs and spare parts that may not be available when needed. 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94" w:lineRule="exact"/>
        <w:rPr>
          <w:sz w:val="20"/>
          <w:szCs w:val="20"/>
          <w:color w:val="auto"/>
        </w:rPr>
      </w:pPr>
    </w:p>
    <w:p>
      <w:pPr>
        <w:ind w:left="1260" w:right="539"/>
        <w:spacing w:after="0" w:line="294" w:lineRule="auto"/>
        <w:rPr>
          <w:sz w:val="20"/>
          <w:szCs w:val="20"/>
          <w:color w:val="auto"/>
        </w:rPr>
      </w:pPr>
      <w:r>
        <w:rPr>
          <w:rFonts w:ascii="Arial" w:cs="Arial" w:eastAsia="Arial" w:hAnsi="Arial"/>
          <w:sz w:val="16"/>
          <w:szCs w:val="16"/>
          <w:b w:val="1"/>
          <w:bCs w:val="1"/>
          <w:i w:val="1"/>
          <w:iCs w:val="1"/>
          <w:color w:val="auto"/>
        </w:rPr>
        <w:t>Our ability to start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66"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Our success, including our ability to start production of the Lucid Air, will be dependent upon our ability to enter into supplier agreements and maintain our relationships with suppliers who are critical and necessary to the output and production of our vehicles. We also rely on suppliers to provide us with the components for our vehicles. The supplier agreements we have or may enter into with key suppliers in the future may have provisions where such agreements can be terminated in various circumstances, including potentially without cause. If these suppliers become unable to provide, or experience delays in providing, components, or if the supplier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21"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Further, we have not secured supply agreements for all of our components. We may be at a disadvantage in negotiating supply agreements for the production of our vehicles due to our limited operating history and the limited time period before the planned start of production of the Lucid Air. In addition, there is the possibility that finalizing the supply agreements for the parts and components of our vehicles will cause significant disruption to our operations, or such supply agreements could be at costs that make it difficult for us to operate profitably.</w:t>
      </w:r>
    </w:p>
    <w:p>
      <w:pPr>
        <w:spacing w:after="0" w:line="12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we do not enter into long- term supplier agreements with guaranteed pricing for our parts or components, we may be exposed to fluctuations in prices of components, materials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91" w:lineRule="exact"/>
        <w:rPr>
          <w:sz w:val="20"/>
          <w:szCs w:val="20"/>
          <w:color w:val="auto"/>
        </w:rPr>
      </w:pPr>
    </w:p>
    <w:p>
      <w:pPr>
        <w:ind w:left="1260" w:right="419"/>
        <w:spacing w:after="0" w:line="284" w:lineRule="auto"/>
        <w:rPr>
          <w:sz w:val="20"/>
          <w:szCs w:val="20"/>
          <w:color w:val="auto"/>
        </w:rPr>
      </w:pPr>
      <w:r>
        <w:rPr>
          <w:rFonts w:ascii="Arial" w:cs="Arial" w:eastAsia="Arial" w:hAnsi="Arial"/>
          <w:sz w:val="16"/>
          <w:szCs w:val="16"/>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pacing w:after="0" w:line="74"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We rely on hundreds of third- party suppliers for the provision and development of many of the key components and materials used in our vehicles. While we plan to obtain components from multiple sources</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whenever possible, many of the components used in our vehicles will be purchased by us from a single source, and our limited, and in many cases single-source, supply chain exposes us to multiple potential sources of delivery failure or component shortages for our production. Our third- party suppliers may not be able to meet our required product specifications and performance characteristics, which would impact our ability to achieve our product specifications and performance characteristics as well. This risk is heightened by the compressed period we anticipate between finalization of the Lucid Air and the start of commercial production, which may not provide all suppliers with sufficient time to begin production of finalized components of the Lucid Air in the planned timeframe or at the quality levels we demand and could cause delays in the planned start of production of the Lucid Air or issues with initial quality levels of the Lucid Air. Additionally, our third-party suppliers may be unable to obtain required certifications or provide necessary warranties for their products that are necessary for use in our vehicles. We may also be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9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In addition, we could experience delays if our suppliers do not meet agreed upon timelines or experience capacity constraints. Any disruption in the supply of components, whether or not from a single source supplier, could temporarily disrupt production of our vehicles until an alternative supplier is able to supply the required material.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favorable pricing and other terms, or at all. Any of the foregoing could materially and adversely affect our results of operations, financial condition and prospects.</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If we are unable to accurately match the timing and quantities of component purchases to our actual needs or successfully implement automation, inventory management and other systems to accommodate the increased complexity in our supply chain, we may incur unexpected production disruption, storage, transportation and write-off costs, which could have a material adverse effect on our results of operations and financial condition.</w:t>
      </w:r>
    </w:p>
    <w:p>
      <w:pPr>
        <w:spacing w:after="0" w:line="127"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In addition, as we develop an international manufacturing footprint, we will face additional challenges with respect to international supply chain management and logistics costs. If we are unable to access or develop localized supply chains in the regions where we develop manufacturing facilities with the quality, costs and capabilities required, we could be required to source components from distant suppliers, which would increase our logistics and manufacturing costs, increase the risk and complexity of our supply chain and significantly impair our ability to develop cost-effective manufacturing operations, which could have a material adverse effect on our business, results of operations and financial condition.</w:t>
      </w:r>
    </w:p>
    <w:p>
      <w:pPr>
        <w:spacing w:after="0" w:line="9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attempts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89" w:lineRule="exact"/>
        <w:rPr>
          <w:sz w:val="20"/>
          <w:szCs w:val="20"/>
          <w:color w:val="auto"/>
        </w:rPr>
      </w:pPr>
    </w:p>
    <w:p>
      <w:pPr>
        <w:ind w:left="1260" w:right="459"/>
        <w:spacing w:after="0" w:line="294" w:lineRule="auto"/>
        <w:rPr>
          <w:sz w:val="20"/>
          <w:szCs w:val="20"/>
          <w:color w:val="auto"/>
        </w:rPr>
      </w:pPr>
      <w:r>
        <w:rPr>
          <w:rFonts w:ascii="Arial" w:cs="Arial" w:eastAsia="Arial" w:hAnsi="Arial"/>
          <w:sz w:val="16"/>
          <w:szCs w:val="16"/>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6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183" w:lineRule="exact"/>
        <w:rPr>
          <w:sz w:val="20"/>
          <w:szCs w:val="20"/>
          <w:color w:val="auto"/>
        </w:rPr>
      </w:pPr>
    </w:p>
    <w:p>
      <w:pPr>
        <w:ind w:left="1260" w:right="1539"/>
        <w:spacing w:after="0" w:line="261" w:lineRule="auto"/>
        <w:rPr>
          <w:sz w:val="20"/>
          <w:szCs w:val="20"/>
          <w:color w:val="auto"/>
        </w:rPr>
      </w:pPr>
      <w:r>
        <w:rPr>
          <w:rFonts w:ascii="Arial" w:cs="Arial" w:eastAsia="Arial" w:hAnsi="Arial"/>
          <w:sz w:val="18"/>
          <w:szCs w:val="18"/>
          <w:b w:val="1"/>
          <w:bCs w:val="1"/>
          <w:i w:val="1"/>
          <w:iCs w:val="1"/>
          <w:color w:val="auto"/>
        </w:rPr>
        <w:t>Increases in costs, disruption of supply or shortage of materials, in particular for lithium-ion cells or semiconductors, could harm our business.</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Once we begin commercial production of our vehicles or any future energy storage systems, we may experience increases in the cost of or a sustained interruption in the supply or shortage of materials. Any such increase, supply interruption or shortage could materially and adversely impact our business, results of operations, prospects and financial condition. We use various materials in our business, including aluminum, steel, lithium, nickel, copper, cobalt, neodymium, terbium, praseodymium and manganese, as well as lithium -ion cells and semiconductors from suppliers. The prices for these materials fluctuate, and their available supply may be unstable, depending on market conditions and global demand for these materials, including as a result of increased production of electric vehicles and energy storage products by our competitors, and could adversely affect our business and results of operations. For instance, we are exposed to multiple risks relating to lithium-ion cells. These risks include:</w:t>
      </w:r>
    </w:p>
    <w:p>
      <w:pPr>
        <w:spacing w:after="0" w:line="72" w:lineRule="exact"/>
        <w:rPr>
          <w:sz w:val="20"/>
          <w:szCs w:val="20"/>
          <w:color w:val="auto"/>
        </w:rPr>
      </w:pPr>
    </w:p>
    <w:p>
      <w:pPr>
        <w:ind w:left="1800" w:right="439" w:hanging="180"/>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75"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materials, such as cobalt, used in lithium-ion cells;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disruption in the supply of cells due to quality issues or recalls by battery cell manufacturers; and</w:t>
      </w:r>
    </w:p>
    <w:p>
      <w:pPr>
        <w:spacing w:after="0" w:line="115" w:lineRule="exact"/>
        <w:rPr>
          <w:rFonts w:ascii="Arial" w:cs="Arial" w:eastAsia="Arial" w:hAnsi="Arial"/>
          <w:sz w:val="17"/>
          <w:szCs w:val="17"/>
          <w:color w:val="auto"/>
        </w:rPr>
      </w:pPr>
    </w:p>
    <w:p>
      <w:pPr>
        <w:ind w:left="1800" w:right="699" w:hanging="180"/>
        <w:spacing w:after="0" w:line="342" w:lineRule="auto"/>
        <w:tabs>
          <w:tab w:leader="none" w:pos="1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the value of any foreign currencies, and the Korean Won in particular, in which battery cell and related raw material purchases are or may be denominated against the U.S. dollar.</w:t>
      </w:r>
    </w:p>
    <w:p>
      <w:pPr>
        <w:spacing w:after="0" w:line="56"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suppliers, which could delay the start of production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93" w:lineRule="exact"/>
        <w:rPr>
          <w:sz w:val="20"/>
          <w:szCs w:val="20"/>
          <w:color w:val="auto"/>
        </w:rPr>
      </w:pPr>
    </w:p>
    <w:p>
      <w:pPr>
        <w:ind w:left="1260" w:right="459"/>
        <w:spacing w:after="0" w:line="433" w:lineRule="auto"/>
        <w:rPr>
          <w:sz w:val="20"/>
          <w:szCs w:val="20"/>
          <w:color w:val="auto"/>
        </w:rPr>
      </w:pPr>
      <w:r>
        <w:rPr>
          <w:rFonts w:ascii="Arial" w:cs="Arial" w:eastAsia="Arial" w:hAnsi="Arial"/>
          <w:sz w:val="13"/>
          <w:szCs w:val="13"/>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vehicles, including the Lucid Air, will use a substantial amount of third-party and in-house software and complex technological hardware to operate, some of which is still subject to further development and testing. The development and implementation of such advanced technologies is inherently complex, and we will need to coordinate with our vendors and suppliers in order to integrate such technology into our electric vehicles and ensure it interoperates with other complex technology as designed and as expected. 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86"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delayed start of production and delivery of our vehicles, including the Lucid Air;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delayed market acceptance of our vehicles;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customers or inability to attract new customers;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brand or reputation;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In addition, if we are unable to develop the software and technology systems necessary to operate our vehicles, our competitive position will be harmed. We rely on third-party suppliers to develop a number of technologies for use in our products, including Continental, Bosch, Valeo, Cogent, Quanta, Robosense, Via, Primax, Eletrobit, Here, Ublox, Renesas, Blackberry, Qt and DSP Concepts.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81"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health epidemics or pandemics, or security incidents.</w:t>
      </w:r>
    </w:p>
    <w:p>
      <w:pPr>
        <w:spacing w:after="0" w:line="9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w:t>
      </w:r>
    </w:p>
    <w:p>
      <w:pPr>
        <w:spacing w:after="0" w:line="2"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 xml:space="preserve">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 and Regulation — A failure to properly comply with foreign trade zone laws and regulations could increase the cost of our duties and tariffs.</w:t>
      </w:r>
      <w:r>
        <w:rPr>
          <w:rFonts w:ascii="Arial" w:cs="Arial" w:eastAsia="Arial" w:hAnsi="Arial"/>
          <w:sz w:val="18"/>
          <w:szCs w:val="18"/>
          <w:color w:val="auto"/>
        </w:rPr>
        <w:t>” We may incur significant expenses or delays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events outside of our control, which could have a material adverse impact on our business, results of operations and financial condition.</w:t>
      </w:r>
    </w:p>
    <w:p>
      <w:pPr>
        <w:spacing w:after="0" w:line="198" w:lineRule="exact"/>
        <w:rPr>
          <w:sz w:val="20"/>
          <w:szCs w:val="20"/>
          <w:color w:val="auto"/>
        </w:rPr>
      </w:pPr>
    </w:p>
    <w:p>
      <w:pPr>
        <w:ind w:left="1260" w:right="499"/>
        <w:spacing w:after="0" w:line="286" w:lineRule="auto"/>
        <w:rPr>
          <w:sz w:val="20"/>
          <w:szCs w:val="20"/>
          <w:color w:val="auto"/>
        </w:rPr>
      </w:pPr>
      <w:r>
        <w:rPr>
          <w:rFonts w:ascii="Arial" w:cs="Arial" w:eastAsia="Arial" w:hAnsi="Arial"/>
          <w:sz w:val="17"/>
          <w:szCs w:val="17"/>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84"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initiate and ramps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78"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Our vehicles will make use of lithium-ion battery cells, which have been observed to catch fire or vent smoke and flame.</w:t>
      </w:r>
    </w:p>
    <w:p>
      <w:pPr>
        <w:spacing w:after="0" w:line="10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The battery packs within our vehicles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once our vehicles are commercially available, a field or testing failure of our vehicles or other battery packs that we produce could occur.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19"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addition, once we begin manufacturing our vehicles and any future energy storage products, we will need to store a significant number of lithium-ion cells at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229" w:lineRule="exact"/>
        <w:rPr>
          <w:sz w:val="20"/>
          <w:szCs w:val="20"/>
          <w:color w:val="auto"/>
        </w:rPr>
      </w:pPr>
    </w:p>
    <w:p>
      <w:pPr>
        <w:ind w:left="1260" w:right="639"/>
        <w:spacing w:after="0" w:line="294" w:lineRule="auto"/>
        <w:rPr>
          <w:sz w:val="20"/>
          <w:szCs w:val="20"/>
          <w:color w:val="auto"/>
        </w:rPr>
      </w:pPr>
      <w:r>
        <w:rPr>
          <w:rFonts w:ascii="Arial" w:cs="Arial" w:eastAsia="Arial" w:hAnsi="Arial"/>
          <w:sz w:val="16"/>
          <w:szCs w:val="16"/>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6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products contain complex information technology systems. For example, our vehicles are designed with built-in data connectivity to accept and install periodic remote updates to improve their functionality. 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designed, implemented and tested information security policies and deployed systems and measures to implement such policies, including encryption technologies,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Furthermore, hackers may in the future attempt to gain unauthorized access to, modify, alter and use our vehicles, products and systems to (i) gain control of, (ii) change the functionality, user interface and performance characteristics of or (iii) gain access to data stored in or generated by, our vehicles, products and systems. Advances in technology, an increased level of sophistication and diversity of our products and services, an increased level of expertise of hackers and new discoveries in the field of cryptography could lead to a compromise or breach of the measures that we or our third-party service providers use. We and our third-party service providers’ systems have in the past and may in the future be affected by security incidents. Our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our products and systems. Our and our third-party service providers’ or vendors’ data centers could be subject to break- ins, sabotage and intentional acts of vandalism causing potential disruptions. Some of our systems will not be fully redundant, and our disaster recovery planning cannot account for all eventualities. Any problems at our or our third-party service providers’ or vendors’ data centers could result in lengthy interruptions in our service. There can be no assurance that any security or other operational measures that we or our third-party service providers or vendors have implemented will be effective against any of the foregoing threats or issues.</w:t>
      </w:r>
    </w:p>
    <w:p>
      <w:pPr>
        <w:spacing w:after="0" w:line="11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capable of being “hacked,” could negatively affect our brand. In addition, some members of the U.S. federal government, including certain members of Congress and the National Highway Traffic Safety Administration (“</w:t>
      </w:r>
      <w:r>
        <w:rPr>
          <w:rFonts w:ascii="Arial" w:cs="Arial" w:eastAsia="Arial" w:hAnsi="Arial"/>
          <w:sz w:val="17"/>
          <w:szCs w:val="17"/>
          <w:i w:val="1"/>
          <w:iCs w:val="1"/>
          <w:color w:val="auto"/>
        </w:rPr>
        <w:t>NHTSA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spacing w:after="0" w:line="270" w:lineRule="auto"/>
        <w:rPr>
          <w:sz w:val="20"/>
          <w:szCs w:val="20"/>
          <w:color w:val="auto"/>
        </w:rPr>
      </w:pPr>
      <w:r>
        <w:rPr>
          <w:rFonts w:ascii="Arial" w:cs="Arial" w:eastAsia="Arial" w:hAnsi="Arial"/>
          <w:sz w:val="17"/>
          <w:szCs w:val="17"/>
          <w:color w:val="auto"/>
        </w:rPr>
        <w:t>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83"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 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08"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6"/>
          <w:szCs w:val="16"/>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procurement, inventory management, production planning and execution,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31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would then be responsible for installing such updates to the software and their software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80" w:lineRule="exact"/>
        <w:rPr>
          <w:sz w:val="20"/>
          <w:szCs w:val="20"/>
          <w:color w:val="auto"/>
        </w:rPr>
      </w:pPr>
    </w:p>
    <w:p>
      <w:pPr>
        <w:ind w:left="1260" w:right="539"/>
        <w:spacing w:after="0" w:line="340" w:lineRule="auto"/>
        <w:rPr>
          <w:sz w:val="20"/>
          <w:szCs w:val="20"/>
          <w:color w:val="auto"/>
        </w:rPr>
      </w:pPr>
      <w:r>
        <w:rPr>
          <w:rFonts w:ascii="Arial" w:cs="Arial" w:eastAsia="Arial" w:hAnsi="Arial"/>
          <w:sz w:val="15"/>
          <w:szCs w:val="15"/>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50"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In the course of our operations, we collect, use, store, disclose, transfer and otherwise process personal information from our customers, employees and third parties with whom we conduct business, including names, accounts, user IDs and passwords, and payment or transaction related information. Additionally, we will use our vehicles’ electronic systems to log information about each vehicle’s use, such as charge time, battery usage, mileage and driving behavior, in order to aid it in vehicle diagnostics, repair and maintenance, as well as to help us customize and improve the driving and riding experience. Accordingly, we are subject</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1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may not be able to monitor and react to all developments in a timely manner. The European Union adopted the General Data Protection Regulation (“</w:t>
      </w:r>
      <w:r>
        <w:rPr>
          <w:rFonts w:ascii="Arial" w:cs="Arial" w:eastAsia="Arial" w:hAnsi="Arial"/>
          <w:sz w:val="17"/>
          <w:szCs w:val="17"/>
          <w:i w:val="1"/>
          <w:iCs w:val="1"/>
          <w:color w:val="auto"/>
        </w:rPr>
        <w:t>GDPR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on May 25, 2018, and California adopted the California Consumer Privacy Act of 2018 (“</w:t>
      </w:r>
      <w:r>
        <w:rPr>
          <w:rFonts w:ascii="Arial" w:cs="Arial" w:eastAsia="Arial" w:hAnsi="Arial"/>
          <w:sz w:val="17"/>
          <w:szCs w:val="17"/>
          <w:i w:val="1"/>
          <w:iCs w:val="1"/>
          <w:color w:val="auto"/>
        </w:rPr>
        <w:t>CCPA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in January 2020. Both the GDPR and the CCPA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us to legal and reputational risks.</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 xml:space="preserve">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respects starting on January 1, 2023, the California Privacy Rights Act (“ </w:t>
      </w:r>
      <w:r>
        <w:rPr>
          <w:rFonts w:ascii="Arial" w:cs="Arial" w:eastAsia="Arial" w:hAnsi="Arial"/>
          <w:sz w:val="17"/>
          <w:szCs w:val="17"/>
          <w:i w:val="1"/>
          <w:iCs w:val="1"/>
          <w:color w:val="auto"/>
        </w:rPr>
        <w:t>CPRA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1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Other states have begun to propose similar laws. Compliance with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0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post public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21"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Employees and Human Resources</w:t>
      </w:r>
    </w:p>
    <w:p>
      <w:pPr>
        <w:spacing w:after="0" w:line="22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The loss of key personnel or an inability to attract, retain and motivate qualified personnel may impair our ability to expand our business.</w:t>
      </w:r>
    </w:p>
    <w:p>
      <w:pPr>
        <w:spacing w:after="0" w:line="9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anticipate that our management and key personnel will remain in place following the Transactions, it is possible that we could lose some key personnel.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highly skilled personnel is frequently intense, especially in the San Francisco Bay Area, where we have a substantial presence and need for highly skilled personnel, including, in particular, engineers.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93"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b w:val="1"/>
          <w:bCs w:val="1"/>
          <w:i w:val="1"/>
          <w:iCs w:val="1"/>
          <w:color w:val="auto"/>
        </w:rPr>
        <w:t>We are highly dependent on the services of Peter Rawlinson, our Chief Executive Officer and Chief Technology Officer.</w:t>
      </w:r>
    </w:p>
    <w:p>
      <w:pPr>
        <w:spacing w:after="0" w:line="103"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88" w:lineRule="exact"/>
        <w:rPr>
          <w:sz w:val="20"/>
          <w:szCs w:val="20"/>
          <w:color w:val="auto"/>
        </w:rPr>
      </w:pPr>
    </w:p>
    <w:p>
      <w:pPr>
        <w:ind w:left="1260" w:right="459"/>
        <w:spacing w:after="0" w:line="342" w:lineRule="auto"/>
        <w:rPr>
          <w:sz w:val="20"/>
          <w:szCs w:val="20"/>
          <w:color w:val="auto"/>
        </w:rPr>
      </w:pPr>
      <w:r>
        <w:rPr>
          <w:rFonts w:ascii="Arial" w:cs="Arial" w:eastAsia="Arial" w:hAnsi="Arial"/>
          <w:sz w:val="16"/>
          <w:szCs w:val="16"/>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56"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We will need to hire and train a significant number of employees to engage in full-scale commercial manufacturing operations. This needs to be accomplished in a very short period of time in order for us to commence commercial production and sales in the second half of 2021 as targeted. There are various risks and challenges associated with hiring, training and managing a large workforce,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If we are unsuccessful in hiring and training a workforce in a timely and cost-effective manner, our business, financial condition and results of operations could be adversely affected.</w:t>
      </w:r>
    </w:p>
    <w:p>
      <w:pPr>
        <w:spacing w:after="0" w:line="104"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companies’ operations. In the event our employees seek to join or form a labor union, we could be subject to risks as we engage in and attempt to finalize negotiations with any such union, including potential work slowdowns or stoppages, delays and increased costs. Furthermore, we may be directly or indirectly dependent upon companies with unionized work forces, such as parts suppliers and trucking and freight companies, and work stoppages or strikes organized by such unions could have a material adverse impact on our business, financial condition or results of operations. If a work stoppage occurs, it could delay the manufacture and sale of our products and have a material adverse effect on our business, prospects, results of operations or financial condition.</w:t>
      </w:r>
    </w:p>
    <w:p>
      <w:pPr>
        <w:spacing w:after="0" w:line="194" w:lineRule="exact"/>
        <w:rPr>
          <w:sz w:val="20"/>
          <w:szCs w:val="20"/>
          <w:color w:val="auto"/>
        </w:rPr>
      </w:pPr>
    </w:p>
    <w:p>
      <w:pPr>
        <w:ind w:left="1260" w:right="879"/>
        <w:spacing w:after="0" w:line="433" w:lineRule="auto"/>
        <w:rPr>
          <w:sz w:val="20"/>
          <w:szCs w:val="20"/>
          <w:color w:val="auto"/>
        </w:rPr>
      </w:pPr>
      <w:r>
        <w:rPr>
          <w:rFonts w:ascii="Arial" w:cs="Arial" w:eastAsia="Arial" w:hAnsi="Arial"/>
          <w:sz w:val="13"/>
          <w:szCs w:val="13"/>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13"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2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229" w:lineRule="exact"/>
        <w:rPr>
          <w:sz w:val="20"/>
          <w:szCs w:val="20"/>
          <w:color w:val="auto"/>
        </w:rPr>
      </w:pPr>
    </w:p>
    <w:p>
      <w:pPr>
        <w:ind w:left="1260" w:right="599"/>
        <w:spacing w:after="0" w:line="340" w:lineRule="auto"/>
        <w:rPr>
          <w:sz w:val="20"/>
          <w:szCs w:val="20"/>
          <w:color w:val="auto"/>
        </w:rPr>
      </w:pPr>
      <w:r>
        <w:rPr>
          <w:rFonts w:ascii="Arial" w:cs="Arial" w:eastAsia="Arial" w:hAnsi="Arial"/>
          <w:sz w:val="15"/>
          <w:szCs w:val="15"/>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50"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our properties and any changes to our operations mandated by new or amended laws, may be significant. We may also face unexpected delays in obtaining permits and approvals required by such laws in connection with our manufacturing facilities, which would hinder our ability to commence or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94"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new model year and changes to the model within a model year.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2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2"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b w:val="1"/>
          <w:bCs w:val="1"/>
          <w:i w:val="1"/>
          <w:iCs w:val="1"/>
          <w:color w:val="auto"/>
        </w:rPr>
        <w:t>We may face regulatory limitations on our ability to sell vehicles directly, which could materially and adversely affect our ability to sell our vehicles.</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Our business plan includes the direct sale of vehicles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anticipate that we can become a licensed dealer in certain states. In some states, we have also opened or expect to open Lucid Studios to educate and inform customers about our vehicles, but not all such Lucid Studios will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1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7"/>
          <w:szCs w:val="17"/>
          <w:color w:val="auto"/>
        </w:rPr>
        <w:t>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For example, the Michigan House of Representatives recently passed a bill, House Bill 6233, which would have restricted our direct sales model. Although the bill was not taken up by the Michigan Senate, similar legislation may be passed in the future in Michigan or in other jurisdictions.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80" w:lineRule="exact"/>
        <w:rPr>
          <w:sz w:val="20"/>
          <w:szCs w:val="20"/>
          <w:color w:val="auto"/>
        </w:rPr>
      </w:pPr>
    </w:p>
    <w:p>
      <w:pPr>
        <w:ind w:left="1260" w:right="599"/>
        <w:spacing w:after="0" w:line="291" w:lineRule="auto"/>
        <w:rPr>
          <w:sz w:val="20"/>
          <w:szCs w:val="20"/>
          <w:color w:val="auto"/>
        </w:rPr>
      </w:pPr>
      <w:r>
        <w:rPr>
          <w:rFonts w:ascii="Arial" w:cs="Arial" w:eastAsia="Arial" w:hAnsi="Arial"/>
          <w:sz w:val="17"/>
          <w:szCs w:val="17"/>
          <w:b w:val="1"/>
          <w:bCs w:val="1"/>
          <w:i w:val="1"/>
          <w:iCs w:val="1"/>
          <w:color w:val="auto"/>
        </w:rPr>
        <w:t>We may choose to or be compelled to undertake product recalls or take other actions, which could adversely affect our business, prospects, results of operations, reputation and financial condition.</w:t>
      </w:r>
    </w:p>
    <w:p>
      <w:pPr>
        <w:spacing w:after="0" w:line="66"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Product recalls in the future may result in adverse publicity, damage our reputation and adversely affect our business, prospects, results of operations and financial condition. In the future, we may, voluntarily or involuntarily, initiate a recall if any of our electric vehicles or components (including our battery cells)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93"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b w:val="1"/>
          <w:bCs w:val="1"/>
          <w:i w:val="1"/>
          <w:iCs w:val="1"/>
          <w:color w:val="auto"/>
        </w:rPr>
        <w:t>We may in the future be subject to legal proceedings, regulatory disputes and governmental inquiries that could cause us to incur significant expenses, divert our management’s attention, and materially harm our business, results of operations, cash flows and financial condition.</w:t>
      </w:r>
    </w:p>
    <w:p>
      <w:pPr>
        <w:spacing w:after="0" w:line="114"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7"/>
          <w:szCs w:val="17"/>
          <w:color w:val="auto"/>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0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1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94"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03"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We may become subject to product liability claims, which could harm our business, prospects, results of operations and financial condition. The automotive industry experiences significant product liability claims,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and we face inherent risks of exposure to claims in the event our future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AD/ADAS features in our vehicles.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there can be no assurance that a field or testing failure of our vehicles or other battery packs that we produce will not occur, in particular due to a high- speed crash.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w:t>
      </w:r>
    </w:p>
    <w:p>
      <w:pPr>
        <w:spacing w:after="0" w:line="10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 successful product liability claim against us could require us to pay a substantial monetary award. Our risks in this area are particularly pronounced given that we have not yet deployed our vehicles for consumer use and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88"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our manufacturing facilities.</w:t>
      </w:r>
    </w:p>
    <w:p>
      <w:pPr>
        <w:spacing w:after="0" w:line="103"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are in the process of applying for and securing other environmental permits and final certificates of occupancy necessary for the commercial operation of such facilities.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Manufacturing and Supply Chain — We have experienced and may in the future experience significant delays in the design, manufacture, launch and financing of the Lucid Air, which could harm our business and prospects.</w:t>
      </w:r>
      <w:r>
        <w:rPr>
          <w:rFonts w:ascii="Arial" w:cs="Arial" w:eastAsia="Arial" w:hAnsi="Arial"/>
          <w:sz w:val="18"/>
          <w:szCs w:val="18"/>
          <w:color w:val="auto"/>
        </w:rPr>
        <w:t>”</w:t>
      </w:r>
    </w:p>
    <w:p>
      <w:pPr>
        <w:spacing w:after="0" w:line="200"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0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needed to comply with environmental laws and regulations can be significant, and violations could result in substantial fines and penalties, third-party damages, suspension of production or a cessation of our operations.</w:t>
      </w:r>
    </w:p>
    <w:p>
      <w:pPr>
        <w:spacing w:after="0" w:line="10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24"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planned start of production of the Lucid Air, which could have a material adverse effect on our business, prospects and results of operations.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AD/ADAS technology is subject to uncertain and evolving regulations.</w:t>
      </w:r>
    </w:p>
    <w:p>
      <w:pPr>
        <w:spacing w:after="0" w:line="15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We expect to introduce certain AD/ADAS technologies into our vehicles over time. AD/ADAS technology is subject to considerable regulatory uncertainty as the law evolves to catch up with the rapidly evolving nature of the technology itself, all of which is beyond our control. There is a variety of international, federal and state regulations that may apply to self -driving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or may delay products or restrict self-driving features and availability, which could adversely affect our business. Our vehicles may not achieve the requisite level of autonomy that may be required in some countries or jurisdictions for certification and rollout to consumers or satisfy changing regulatory requirements which could require us to redesign, modify or update our AD/ADAS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subject to U.S. and foreign anti-corruption, anti-money laundering and anti-boycott laws and regulations.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can face criminal liability and other serious consequences for violations, which can harm our business.</w:t>
      </w:r>
    </w:p>
    <w:p>
      <w:pPr>
        <w:spacing w:after="0" w:line="13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it expects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laws that could subject us to liability if we are not in compliance with such laws.</w:t>
      </w:r>
    </w:p>
    <w:p>
      <w:pPr>
        <w:spacing w:after="0" w:line="89"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18"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81" w:lineRule="exact"/>
        <w:rPr>
          <w:sz w:val="20"/>
          <w:szCs w:val="20"/>
          <w:color w:val="auto"/>
        </w:rPr>
      </w:pPr>
    </w:p>
    <w:p>
      <w:pPr>
        <w:ind w:left="1260" w:right="719"/>
        <w:spacing w:after="0" w:line="308" w:lineRule="auto"/>
        <w:rPr>
          <w:sz w:val="20"/>
          <w:szCs w:val="20"/>
          <w:color w:val="auto"/>
        </w:rPr>
      </w:pPr>
      <w:r>
        <w:rPr>
          <w:rFonts w:ascii="Arial" w:cs="Arial" w:eastAsia="Arial" w:hAnsi="Arial"/>
          <w:sz w:val="17"/>
          <w:szCs w:val="17"/>
          <w:b w:val="1"/>
          <w:bCs w:val="1"/>
          <w:i w:val="1"/>
          <w:iCs w:val="1"/>
          <w:color w:val="auto"/>
        </w:rPr>
        <w:t>Changes in U.S. trade policy, including the imposition of tariffs and the resulting consequences, could adversely affect our business, prospects, results of operations and financial condition.</w:t>
      </w:r>
    </w:p>
    <w:p>
      <w:pPr>
        <w:spacing w:after="0" w:line="79"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86"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b w:val="1"/>
          <w:bCs w:val="1"/>
          <w:i w:val="1"/>
          <w:iCs w:val="1"/>
          <w:color w:val="auto"/>
        </w:rPr>
        <w:t>A failure to properly comply with foreign trade zone laws and regulations could increase the cost of our duties and tariffs.</w:t>
      </w:r>
    </w:p>
    <w:p>
      <w:pPr>
        <w:spacing w:after="0" w:line="8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260" w:right="619"/>
        <w:spacing w:after="0" w:line="279" w:lineRule="auto"/>
        <w:rPr>
          <w:sz w:val="20"/>
          <w:szCs w:val="20"/>
          <w:color w:val="auto"/>
        </w:rPr>
      </w:pPr>
      <w:r>
        <w:rPr>
          <w:rFonts w:ascii="Arial" w:cs="Arial" w:eastAsia="Arial" w:hAnsi="Arial"/>
          <w:sz w:val="17"/>
          <w:szCs w:val="17"/>
          <w:b w:val="1"/>
          <w:bCs w:val="1"/>
          <w:i w:val="1"/>
          <w:iCs w:val="1"/>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90"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protects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17"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measures we take to obtain, maintain, protect and enforce our intellectual property, including preventing unauthorized use by third parties, may not be effective for various reasons, including the following:</w:t>
      </w:r>
    </w:p>
    <w:p>
      <w:pPr>
        <w:spacing w:after="0" w:line="76"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patent applications we file may not result in the issuance of patents;</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the first inventor of the subject matter to which we have filed a particular patent application, and we may not be the first party to file such a patent application;</w:t>
      </w:r>
    </w:p>
    <w:p>
      <w:pPr>
        <w:spacing w:after="0" w:line="75"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of our issued patents may not be broad enough to protect our inventions and proprietary technology;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issued patents may be challenged or invalidated by our competitors or other third parties;</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our patents that cover such products;</w:t>
      </w:r>
    </w:p>
    <w:p>
      <w:pPr>
        <w:spacing w:after="0" w:line="75"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employees, contractors or business partners may breach their confidentiality, non-disclosure and non-use obligations;</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ours;</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and other third parties may circumvent or otherwise design around our patents or other intellectual property.</w:t>
      </w:r>
    </w:p>
    <w:p>
      <w:pPr>
        <w:spacing w:after="0" w:line="103"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1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13"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We have licensed and plan to further license patents and other intellectual property from third parties, including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2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81" w:lineRule="exact"/>
        <w:rPr>
          <w:sz w:val="20"/>
          <w:szCs w:val="20"/>
          <w:color w:val="auto"/>
        </w:rPr>
      </w:pPr>
    </w:p>
    <w:p>
      <w:pPr>
        <w:ind w:left="1260" w:right="659"/>
        <w:spacing w:after="0" w:line="324" w:lineRule="auto"/>
        <w:rPr>
          <w:sz w:val="20"/>
          <w:szCs w:val="20"/>
          <w:color w:val="auto"/>
        </w:rPr>
      </w:pPr>
      <w:r>
        <w:rPr>
          <w:rFonts w:ascii="Arial" w:cs="Arial" w:eastAsia="Arial" w:hAnsi="Arial"/>
          <w:sz w:val="16"/>
          <w:szCs w:val="16"/>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4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75" w:lineRule="exact"/>
        <w:rPr>
          <w:sz w:val="20"/>
          <w:szCs w:val="20"/>
          <w:color w:val="auto"/>
        </w:rPr>
      </w:pPr>
    </w:p>
    <w:p>
      <w:pPr>
        <w:ind w:left="1800" w:right="9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for willful infringement, or ongoing royalty payments;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03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cease developing, selling, leasing, using or incorporating certain components into vehicles or offering goods or services that incorporate or use the asserted intellectual property;</w:t>
      </w:r>
    </w:p>
    <w:p>
      <w:pPr>
        <w:spacing w:after="0" w:line="38" w:lineRule="exact"/>
        <w:rPr>
          <w:rFonts w:ascii="Arial" w:cs="Arial" w:eastAsia="Arial" w:hAnsi="Arial"/>
          <w:sz w:val="17"/>
          <w:szCs w:val="17"/>
          <w:color w:val="auto"/>
        </w:rPr>
      </w:pPr>
    </w:p>
    <w:p>
      <w:pPr>
        <w:ind w:left="1800" w:right="11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 license from the owner of the asserted intellectual property, which license may not be available on reasonable terms, or at all;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other unfavorable terms;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15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01"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or our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94"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Some of our products contain open source software, which may pose particular risks to our proprietary software, products and services in a manner that could harm our business.</w:t>
      </w:r>
    </w:p>
    <w:p>
      <w:pPr>
        <w:spacing w:after="0" w:line="10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19"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color w:val="auto"/>
        </w:rPr>
        <w:t>Additionally, the use of certain open source software can lead to greater risks than use of third-party commercial software, as open source licensors generally do not provide warranties or controls on the origin</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229" w:lineRule="exact"/>
        <w:rPr>
          <w:sz w:val="20"/>
          <w:szCs w:val="20"/>
          <w:color w:val="auto"/>
        </w:rPr>
      </w:pPr>
    </w:p>
    <w:p>
      <w:pPr>
        <w:ind w:left="1260" w:right="1339"/>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to support business growth, and this capital might not be available on commercially reasonable terms, or at all.</w:t>
      </w:r>
    </w:p>
    <w:p>
      <w:pPr>
        <w:spacing w:after="0" w:line="89" w:lineRule="exact"/>
        <w:rPr>
          <w:sz w:val="20"/>
          <w:szCs w:val="20"/>
          <w:color w:val="auto"/>
        </w:rPr>
      </w:pPr>
    </w:p>
    <w:p>
      <w:pPr>
        <w:ind w:left="1260" w:right="539" w:firstLine="360"/>
        <w:spacing w:after="0" w:line="267" w:lineRule="auto"/>
        <w:rPr>
          <w:sz w:val="20"/>
          <w:szCs w:val="20"/>
          <w:color w:val="auto"/>
        </w:rPr>
      </w:pPr>
      <w:r>
        <w:rPr>
          <w:rFonts w:ascii="Arial" w:cs="Arial" w:eastAsia="Arial" w:hAnsi="Arial"/>
          <w:sz w:val="17"/>
          <w:szCs w:val="17"/>
          <w:color w:val="auto"/>
        </w:rPr>
        <w:t>We anticipate that we will need to raise additional funds through equity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the first year following the Closing, we expect to settle tax withholding obligations in connection with vesting of the CEO RSU Award (as defined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 — Critical Accounting Policies and Estimates — CEO RSU Award</w:t>
      </w:r>
      <w:r>
        <w:rPr>
          <w:rFonts w:ascii="Arial" w:cs="Arial" w:eastAsia="Arial" w:hAnsi="Arial"/>
          <w:sz w:val="17"/>
          <w:szCs w:val="17"/>
          <w:color w:val="auto"/>
        </w:rPr>
        <w:t>”) through “net settlement,” i.e., by remitting cash to satisfy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RSUs vesting on any applicable vesting date, such net settlement could require us to expend substantial funds to satisfy tax withholding. Our plan to begin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25"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94" w:lineRule="exact"/>
        <w:rPr>
          <w:sz w:val="20"/>
          <w:szCs w:val="20"/>
          <w:color w:val="auto"/>
        </w:rPr>
      </w:pPr>
    </w:p>
    <w:p>
      <w:pPr>
        <w:ind w:left="1260" w:right="819"/>
        <w:spacing w:after="0" w:line="381" w:lineRule="auto"/>
        <w:rPr>
          <w:sz w:val="20"/>
          <w:szCs w:val="20"/>
          <w:color w:val="auto"/>
        </w:rPr>
      </w:pPr>
      <w:r>
        <w:rPr>
          <w:rFonts w:ascii="Arial" w:cs="Arial" w:eastAsia="Arial" w:hAnsi="Arial"/>
          <w:sz w:val="15"/>
          <w:szCs w:val="15"/>
          <w:b w:val="1"/>
          <w:bCs w:val="1"/>
          <w:i w:val="1"/>
          <w:iCs w:val="1"/>
          <w:color w:val="auto"/>
        </w:rPr>
        <w:t>We will have broad discretion over the use of proceeds from the exercise of our warrants, and we may invest or spend the proceeds in ways with which investors do not agree and in ways that may not yield a return.</w:t>
      </w:r>
    </w:p>
    <w:p>
      <w:pPr>
        <w:spacing w:after="0" w:line="1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will have broad discretion over the use of proceeds from the exercises of our warrants and options. Investors may not agree with our decisions, and our use of the proceeds may not yield a return on investment. We intend to use these net proceeds for general corporate purposes, which may include capital expenditures and working capital. Our use of these proceeds may differ substantially from our current plans. Our</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failure to apply the net proceeds from the exercises of warrants and options effectively could impair our ability to pursue our growth strategy or could require us to raise additional capital.</w:t>
      </w:r>
    </w:p>
    <w:p>
      <w:pPr>
        <w:spacing w:after="0" w:line="171"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i w:val="1"/>
          <w:iCs w:val="1"/>
          <w:color w:val="auto"/>
        </w:rPr>
        <w:t>We may not be able to identify adequate strategic relationship opportunities or form strategic relationships, in the future.</w:t>
      </w:r>
    </w:p>
    <w:p>
      <w:pPr>
        <w:spacing w:after="0" w:line="9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31"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8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its business, dilute stockholder value and adversely affect our results of operations.</w:t>
      </w:r>
    </w:p>
    <w:p>
      <w:pPr>
        <w:spacing w:after="0" w:line="10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8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fluctuations in our operating costs, product demand and other factors.</w:t>
      </w:r>
    </w:p>
    <w:p>
      <w:pPr>
        <w:spacing w:after="0" w:line="89"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We expect our period-to-period financial results to vary based on our operating costs and product demand, which we anticipate will fluctuate as we continue to design, develop and manufacture new vehicles,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In addition, automotive manufacturers typically experience significant seasonality, with comparatively low sales in the first quarter and comparatively high sales in the fourth quarter, and we expect to experience similar seasonality when we begin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ability to use net operating loss carryforwards and certain other tax attributes may be limited.</w:t>
      </w:r>
    </w:p>
    <w:p>
      <w:pPr>
        <w:spacing w:after="0" w:line="156" w:lineRule="exact"/>
        <w:rPr>
          <w:sz w:val="20"/>
          <w:szCs w:val="20"/>
          <w:color w:val="auto"/>
        </w:rPr>
      </w:pPr>
    </w:p>
    <w:p>
      <w:pPr>
        <w:ind w:left="1260" w:right="639" w:firstLine="360"/>
        <w:spacing w:after="0" w:line="291" w:lineRule="auto"/>
        <w:rPr>
          <w:sz w:val="20"/>
          <w:szCs w:val="20"/>
          <w:color w:val="auto"/>
        </w:rPr>
      </w:pPr>
      <w:r>
        <w:rPr>
          <w:rFonts w:ascii="Arial" w:cs="Arial" w:eastAsia="Arial" w:hAnsi="Arial"/>
          <w:sz w:val="17"/>
          <w:szCs w:val="17"/>
          <w:color w:val="auto"/>
        </w:rPr>
        <w:t>As of June 30, 2021, we had accumulated U.S. federal and state net operating loss carryforwards and research and development credits which may be available to offset and reduce future taxable income.</w:t>
      </w:r>
    </w:p>
    <w:p>
      <w:pPr>
        <w:spacing w:after="0" w:line="79"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However, the U.S.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 -change net operating loss carryforwards and other pre-change attributes, such as research tax credits, to offset its post-change income or tax may be limited.</w:t>
      </w:r>
    </w:p>
    <w:p>
      <w:pPr>
        <w:spacing w:after="0" w:line="12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general, an “ownership change” will occur if there is a cumulative change in our ownership by “5-percent shareholders” that exceeds 50 percentage points over a rolling three-year period. Similar rules may apply under state tax laws. We have not yet completed an analysis of whether the business combination caused an “ownership change” for these purposes. In addition, we may experience ownership changes in the future as a result of subsequent shifts in our stock ownership, some of which may be outside of our control. If we undergo an ownership change, we may be prevented from fully utilizing the net operating loss carryforwards and tax credits existing at the time of the ownership change prior to their expiration. Future regulatory changes could also limit our ability to utilize net operating loss carryforwards and tax credits. To the extent we are not able to offset future taxable income with our net operating loss carryforwards and tax credits, our net income and cash flows may be adversely affected.</w:t>
      </w:r>
    </w:p>
    <w:p>
      <w:pPr>
        <w:spacing w:after="0" w:line="99"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U.S. federal net operating losses that were incurred prior to 2018 and the California net operating losses are generally available and can be carried forward for 20 years. The U.S. federal research and development credits can be carried forward for 20 years, and the California research and development credits have no expiration date. It is possible that we will not generate taxable income in time to use these net operating loss carryforwards and research and development credits before their expiration. Under legislative changes enacted in December 2017, U.S. federal net operating losses incurred in 2018 and subsequent years can be carried forward indefinitely, but the annual utilizable net operating losses may not be more than 80% of the taxable income. It is uncertain if and to what extent various states will conform to the newly enacted federal tax law.</w:t>
      </w:r>
    </w:p>
    <w:p>
      <w:pPr>
        <w:spacing w:after="0" w:line="191"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Unanticipated tax laws or any change in the application of existing tax laws to us or our customers may adversely impact our profitability and business.</w:t>
      </w:r>
    </w:p>
    <w:p>
      <w:pPr>
        <w:spacing w:after="0" w:line="10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These contemplated tax initiatives, if finalized and adopted by countries, and the other tax issues described above may materially and adversely impact our operating activities, transfer pricing policies, effective tax rate, deferred tax assets, operating income, and cash flows.</w:t>
      </w:r>
    </w:p>
    <w:p>
      <w:pPr>
        <w:spacing w:after="0" w:line="100"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On April 7, 2021 the current presidential administration proposed changes to the U.S. tax system. The proposals under discussion include changes to the U.S. corporate tax system that would increase U.S. corporate tax rates, impose a corporate minimum book tax and double the tax rate on and make other tax changes to broad categories of income earned by foreign subsidiaries. While it is expected that a tax reform bill will be introduced in the House of Representatives in the near term, many aspects of the current proposals are unclear or underdeveloped. We are unable to predict which, if any, U.S. tax reform proposals will be enacted into law, and what effects any enacted legislation might have on our liability for U.S. federal income taxes. However, it is possible that the enactment of changes in the U.S. corporate tax system could have a material adverse effect on our liability for U.S. corporate tax and our consolidated effective tax rate.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Restatement of Our Previously Issued Financial Statements</w:t>
      </w:r>
    </w:p>
    <w:p>
      <w:pPr>
        <w:spacing w:after="0" w:line="229"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April 12, 2021, the Acting Director of the Division of Corporation Finance and Acting Chief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Accountant of the SEC together issued a public statement (the “</w:t>
      </w:r>
      <w:r>
        <w:rPr>
          <w:rFonts w:ascii="Arial" w:cs="Arial" w:eastAsia="Arial" w:hAnsi="Arial"/>
          <w:sz w:val="17"/>
          <w:szCs w:val="17"/>
          <w:i w:val="1"/>
          <w:iCs w:val="1"/>
          <w:color w:val="auto"/>
        </w:rPr>
        <w:t>SEC Warrant Accounting Statement</w:t>
      </w:r>
      <w:r>
        <w:rPr>
          <w:rFonts w:ascii="Arial" w:cs="Arial" w:eastAsia="Arial" w:hAnsi="Arial"/>
          <w:sz w:val="17"/>
          <w:szCs w:val="17"/>
          <w:color w:val="auto"/>
        </w:rPr>
        <w:t>”)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and reporting considerations for warrants issued by special purpose acquisition companies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SPACs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SEC Warrant Accounting Statement discussed “certain features of warrants issued in SPAC</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transactions” that “may be common across many entities.” The SEC Warrant Accounting Statement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indicated that when one or more of such features is included in a warrant, the warrant “should be classified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a liability measured at fair value, with changes in fair value each period reported in earnings.” In light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SEC Warrant Accounting Statement and guidance in Accounting 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815-</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Churchill’s management evaluated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terms of the Warrant Agreement entered into in connection with the Churchill IPO and concluded that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warrants include provisions that, based on the SEC Warrant Accounting Statement, preclude the warrants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being classified as components of equity. As a result, Churchill classified the warrants as liabilities.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 this accounting treatment, we are required to measure the fair value of the warrants at the end of each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reporting period and recognize changes in the fair value from the prior period in our operating results for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current period. As a result of the recurring fair value measurement, our financial statements and results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operations may fluctuate quarterly based on factors which are outside our control. We expect that we will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recognize non-cash gains or losses due to the quarterly fair valuation of the warrants and that such gains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losses could be material.</w:t>
      </w:r>
    </w:p>
    <w:p>
      <w:pPr>
        <w:spacing w:after="0" w:line="14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 As part of such process, Churchill identified a material weakness in its internal controls over financial reporting, solely related to Churchill’s accounting for warrants. See “</w:t>
      </w:r>
      <w:r>
        <w:rPr>
          <w:rFonts w:ascii="Arial" w:cs="Arial" w:eastAsia="Arial" w:hAnsi="Arial"/>
          <w:sz w:val="17"/>
          <w:szCs w:val="17"/>
          <w:i w:val="1"/>
          <w:iCs w:val="1"/>
          <w:color w:val="auto"/>
        </w:rPr>
        <w:t>We</w:t>
      </w:r>
      <w:r>
        <w:rPr>
          <w:rFonts w:ascii="Arial" w:cs="Arial" w:eastAsia="Arial" w:hAnsi="Arial"/>
          <w:sz w:val="17"/>
          <w:szCs w:val="17"/>
          <w:color w:val="auto"/>
        </w:rPr>
        <w:t xml:space="preserve"> </w:t>
      </w:r>
      <w:r>
        <w:rPr>
          <w:rFonts w:ascii="Arial" w:cs="Arial" w:eastAsia="Arial" w:hAnsi="Arial"/>
          <w:sz w:val="17"/>
          <w:szCs w:val="17"/>
          <w:i w:val="1"/>
          <w:iCs w:val="1"/>
          <w:color w:val="auto"/>
        </w:rPr>
        <w:t>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7"/>
          <w:szCs w:val="17"/>
          <w:color w:val="auto"/>
        </w:rPr>
        <w:t>”</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Public Company Requirements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4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 In addition, we expect to hire additional personnel to support our operations as a public company, which will increase our operating costs in future periods.</w:t>
      </w:r>
    </w:p>
    <w:p>
      <w:pPr>
        <w:spacing w:after="0" w:line="181" w:lineRule="exact"/>
        <w:rPr>
          <w:sz w:val="20"/>
          <w:szCs w:val="20"/>
          <w:color w:val="auto"/>
        </w:rPr>
      </w:pPr>
    </w:p>
    <w:p>
      <w:pPr>
        <w:ind w:left="1260" w:right="499"/>
        <w:spacing w:after="0" w:line="381" w:lineRule="auto"/>
        <w:rPr>
          <w:sz w:val="20"/>
          <w:szCs w:val="20"/>
          <w:color w:val="auto"/>
        </w:rPr>
      </w:pPr>
      <w:r>
        <w:rPr>
          <w:rFonts w:ascii="Arial" w:cs="Arial" w:eastAsia="Arial" w:hAnsi="Arial"/>
          <w:sz w:val="15"/>
          <w:szCs w:val="15"/>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3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and will continue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prospectus. As a result, our stockholders may not have access to certain information they deem important. We will remain an emerging growth company until the earliest of</w:t>
      </w:r>
    </w:p>
    <w:p>
      <w:pPr>
        <w:spacing w:after="0" w:line="1" w:lineRule="exact"/>
        <w:rPr>
          <w:sz w:val="20"/>
          <w:szCs w:val="20"/>
          <w:color w:val="auto"/>
        </w:rPr>
      </w:pPr>
    </w:p>
    <w:p>
      <w:pPr>
        <w:ind w:left="1480" w:hanging="220"/>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day of the fiscal year: (a) following August 3, 2025, the fifth anniversary of the Churchill IPO;</w:t>
      </w:r>
    </w:p>
    <w:p>
      <w:pPr>
        <w:spacing w:after="0" w:line="9" w:lineRule="exact"/>
        <w:rPr>
          <w:rFonts w:ascii="Arial" w:cs="Arial" w:eastAsia="Arial" w:hAnsi="Arial"/>
          <w:sz w:val="18"/>
          <w:szCs w:val="18"/>
          <w:color w:val="auto"/>
        </w:rPr>
      </w:pPr>
    </w:p>
    <w:p>
      <w:pPr>
        <w:ind w:left="1260" w:right="459"/>
        <w:spacing w:after="0" w:line="271" w:lineRule="auto"/>
        <w:tabs>
          <w:tab w:leader="none" w:pos="15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which we have total annual gross revenue of at least $1.07 billion; or (c) in which we are deemed to be a large accelerated filer, which means the market value of our Class A common stock that is held by non-affiliates exceeds $700 million as of the last business day of our prior second fiscal quarter, and (ii) the date on which we have issued more than $1.0 billion in non-convertible debt during the prior three-year period. We expect that we will cease to be an emerging growth company as of December 31, 2021.</w:t>
      </w:r>
    </w:p>
    <w:p>
      <w:pPr>
        <w:spacing w:after="0" w:line="111"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05"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9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 xml:space="preserve">We intend to continue to take advantage of the exemptions described above for as long as we continue to be an emerging growth company. See “— </w:t>
      </w:r>
      <w:r>
        <w:rPr>
          <w:rFonts w:ascii="Arial" w:cs="Arial" w:eastAsia="Arial" w:hAnsi="Arial"/>
          <w:sz w:val="18"/>
          <w:szCs w:val="18"/>
          <w:i w:val="1"/>
          <w:iCs w:val="1"/>
          <w:color w:val="auto"/>
        </w:rPr>
        <w:t>Risks Related to Our Business and Operations — Risks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to Public Company Requirements — The requirements of being a public company may strain our resources and distract our management, which could make it difficult to manage our business, particularly after we are no longer an “emerging growth company</w:t>
      </w:r>
      <w:r>
        <w:rPr>
          <w:rFonts w:ascii="Arial" w:cs="Arial" w:eastAsia="Arial" w:hAnsi="Arial"/>
          <w:sz w:val="18"/>
          <w:szCs w:val="18"/>
          <w:color w:val="auto"/>
        </w:rPr>
        <w:t>.”</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433" w:lineRule="auto"/>
        <w:rPr>
          <w:sz w:val="20"/>
          <w:szCs w:val="20"/>
          <w:color w:val="auto"/>
        </w:rPr>
      </w:pPr>
      <w:r>
        <w:rPr>
          <w:rFonts w:ascii="Arial" w:cs="Arial" w:eastAsia="Arial" w:hAnsi="Arial"/>
          <w:sz w:val="13"/>
          <w:szCs w:val="13"/>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Following the Closing, we are required to comply with various regulatory and reporting requirements, including those required by the SEC and Nasdaq. Complying with these reporting and other regulatory requirements will be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Lastly, a failure to comply with such requirements, as interpreted and applied, could also have a material adverse effect on our results of operations, financial condition or business.</w:t>
      </w:r>
    </w:p>
    <w:p>
      <w:pPr>
        <w:spacing w:after="0" w:line="126"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7"/>
          <w:szCs w:val="17"/>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To implement, maintain and improve the effectiveness of our disclosure controls and procedures, we will need to commit significant resources, hire additional staff and provide additional management oversight. We will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1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We qualify as an “emerging growth company” as defined in the JOBS Act, and we intend to take advantage of certain temporary exemptions from various reporting requirements including, but not limited to, not being required to comply with the auditor attestation requirements of Section 404 of the Sarbanes-Oxley Act and reduced disclosure obligations regarding executive compensation in the combined company’s periodic reports and proxy statements. We may also delay adoption of new or revised accounting pronouncements applicable to public companies until such pronouncements are made applicable to private companies, as permitted by the JOBS Act.</w:t>
      </w:r>
    </w:p>
    <w:p>
      <w:pPr>
        <w:spacing w:after="0" w:line="11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the combined company’s internal control over financial reporting until the later of our second annual report or the first annual report required to be filed with the SEC following the date we are no longer an “emerging growth company” as defined in the JOBS Act. We expect that we will cease to be an emerging growth company as of December 31, 2021. We have identified material weaknesses in our internal control over financial reporting for the year ended December 31, 2020 and cannot assure you that there will not be material weaknesses or significant deficiencies in our internal controls in the future.</w:t>
      </w:r>
    </w:p>
    <w:p>
      <w:pPr>
        <w:spacing w:after="0" w:line="112" w:lineRule="exact"/>
        <w:rPr>
          <w:sz w:val="20"/>
          <w:szCs w:val="20"/>
          <w:color w:val="auto"/>
        </w:rPr>
      </w:pPr>
    </w:p>
    <w:p>
      <w:pPr>
        <w:jc w:val="both"/>
        <w:ind w:left="1260" w:right="719" w:firstLine="360"/>
        <w:spacing w:after="0" w:line="294" w:lineRule="auto"/>
        <w:rPr>
          <w:sz w:val="20"/>
          <w:szCs w:val="20"/>
          <w:color w:val="auto"/>
        </w:rPr>
      </w:pPr>
      <w:r>
        <w:rPr>
          <w:rFonts w:ascii="Arial" w:cs="Arial" w:eastAsia="Arial" w:hAnsi="Arial"/>
          <w:sz w:val="16"/>
          <w:szCs w:val="16"/>
          <w:color w:val="auto"/>
        </w:rPr>
        <w:t>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47" w:lineRule="exact"/>
        <w:rPr>
          <w:sz w:val="20"/>
          <w:szCs w:val="20"/>
          <w:color w:val="auto"/>
        </w:rPr>
      </w:pPr>
    </w:p>
    <w:p>
      <w:pPr>
        <w:ind w:left="1260" w:right="479"/>
        <w:spacing w:after="0" w:line="279"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9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As a privately-held company, Lucid was not required to evaluate its internal control over financial reporting in a manner that meets the standards of publicly traded companies required by Section 404(a) of the Sarbanes-Oxley Act. As a public company, we will be required to provide management’s attestation on internal control over financial reporting. If we are unable to establish or maintain appropriate internal control over financial reporting or implement these additional requirements in a timely manner or with</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adequate compliance, it could result in material misstatements in our consolidated financial statements, failure to meet our reporting obligations on a timely basis, increases in compliance costs, and subject us to adverse regulatory consequences, all of which may adversely affect investor confidence in us and the value of our common stock.</w:t>
      </w:r>
    </w:p>
    <w:p>
      <w:pPr>
        <w:spacing w:after="0" w:line="107"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connection with the preparation and audit of Lucid’s consolidated financial statements as of and for the years ended December 31, 2020 and 2019, material weaknesses were identified in its internal control over financial reporting. A material weakness is a deficiency, or combination of deficiencies, in internal control over financial reporting such that there is a reasonable possibility that a material misstatement of the financial statements will not be prevented or detected on a timely basis. The following material weaknesses were identified:</w:t>
      </w:r>
    </w:p>
    <w:p>
      <w:pPr>
        <w:spacing w:after="0" w:line="81" w:lineRule="exact"/>
        <w:rPr>
          <w:sz w:val="20"/>
          <w:szCs w:val="20"/>
          <w:color w:val="auto"/>
        </w:rPr>
      </w:pPr>
    </w:p>
    <w:p>
      <w:pPr>
        <w:ind w:left="1800" w:right="45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Lucid did not maintain a sufficient complement of personnel with accounting knowledge, experience and training to appropriately analyze, record and disclose accounting matters to provide reasonable assurance of preventing material misstatements;</w:t>
      </w:r>
    </w:p>
    <w:p>
      <w:pPr>
        <w:spacing w:after="0" w:line="75"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Lucid did not maintain an effective process to verify changes to vendor records for payment remittances; and</w:t>
      </w:r>
    </w:p>
    <w:p>
      <w:pPr>
        <w:spacing w:after="0" w:line="62"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Lucid did not maintain effective controls over certain information technology (“</w:t>
      </w:r>
      <w:r>
        <w:rPr>
          <w:rFonts w:ascii="Arial" w:cs="Arial" w:eastAsia="Arial" w:hAnsi="Arial"/>
          <w:sz w:val="18"/>
          <w:szCs w:val="18"/>
          <w:i w:val="1"/>
          <w:iCs w:val="1"/>
          <w:color w:val="auto"/>
        </w:rPr>
        <w:t>IT</w:t>
      </w:r>
      <w:r>
        <w:rPr>
          <w:rFonts w:ascii="Arial" w:cs="Arial" w:eastAsia="Arial" w:hAnsi="Arial"/>
          <w:sz w:val="18"/>
          <w:szCs w:val="18"/>
          <w:color w:val="auto"/>
        </w:rPr>
        <w:t>”) general controls for information systems that are relevant to the preparation of its consolidated financial statements. Specifically, Lucid did not design and maintain user access controls to ensure appropriate segregation of duties and restrict user access to its financial applications to appropriate company personnel.</w:t>
      </w:r>
    </w:p>
    <w:p>
      <w:pPr>
        <w:spacing w:after="0" w:line="120"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The material weaknesses related to the insufficient complement of personnel and formal accounting policies, procedures and controls resulted in adjustments to several accounts and disclosures. The IT deficiencies did not result in a material misstatement to the consolidated financial statements, however, the deficiencies, when aggregated, could result in potential misstatements that would not be prevented or detected. Each of these material weaknesses could result in a material misstatement to the annual or interim consolidated financial statements that would not be prevented or detected.</w:t>
      </w:r>
    </w:p>
    <w:p>
      <w:pPr>
        <w:spacing w:after="0" w:line="94"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We have begun implementing a plan to remediate these material weaknesses. These remediation measures are ongoing and include the following steps:</w:t>
      </w:r>
    </w:p>
    <w:p>
      <w:pPr>
        <w:spacing w:after="0" w:line="63" w:lineRule="exact"/>
        <w:rPr>
          <w:sz w:val="20"/>
          <w:szCs w:val="20"/>
          <w:color w:val="auto"/>
        </w:rPr>
      </w:pPr>
    </w:p>
    <w:p>
      <w:pPr>
        <w:ind w:left="1800" w:right="49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hiring additional accounting and financial reporting personnel with appropriate technical accounting knowledge and public company experience in financial reporting;</w:t>
      </w:r>
    </w:p>
    <w:p>
      <w:pPr>
        <w:spacing w:after="0" w:line="62"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designing and implementing effective processes and controls to prevent payment to unverified vendors;</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designing and implementing security management and change management controls over IT systems, including adjusting user access levels and implementing external logging of activity and periodic review of such logs; and</w:t>
      </w:r>
    </w:p>
    <w:p>
      <w:pPr>
        <w:spacing w:after="0" w:line="75"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engaging an accounting advisory firm to assist with the documentation, evaluation, remediation and testing of our internal control over financial reporting based on the criteria established in Internal Control — Integrated Framework issued by the Committee of Sponsoring Organizations of the Treadway Commission.</w:t>
      </w:r>
    </w:p>
    <w:p>
      <w:pPr>
        <w:spacing w:after="0" w:line="106"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 xml:space="preserve">In addition, in connection with the restatement of Churchill’s financial statement reflected in Churchill’s Annual Report on Form 10-K/A filed on May 14, 2021, Churchill’s management concluded that its disclosure controls and procedures and internal control over financial reporting were not effective as of December 31, 2020 due to a material weakness in internal controls over financial reporting solely related to its accounting for warrants. See “ </w:t>
      </w:r>
      <w:r>
        <w:rPr>
          <w:rFonts w:ascii="Arial" w:cs="Arial" w:eastAsia="Arial" w:hAnsi="Arial"/>
          <w:sz w:val="17"/>
          <w:szCs w:val="17"/>
          <w:i w:val="1"/>
          <w:iCs w:val="1"/>
          <w:color w:val="auto"/>
        </w:rPr>
        <w:t>Risk Factors — Our warrants are accounted for as liabilities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in value of our warrants could have a material effect on our financial results</w:t>
      </w:r>
      <w:r>
        <w:rPr>
          <w:rFonts w:ascii="Arial" w:cs="Arial" w:eastAsia="Arial" w:hAnsi="Arial"/>
          <w:sz w:val="17"/>
          <w:szCs w:val="17"/>
          <w:color w:val="auto"/>
        </w:rPr>
        <w:t>.”</w:t>
      </w:r>
    </w:p>
    <w:p>
      <w:pPr>
        <w:spacing w:after="0" w:line="10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While we are designing and implementing measures to remediate existing material weaknesses, we cannot predict the success of such measures or the outcome of our assessment of these measures at this time. Our current controls and any new controls that we develop may become inadequate because of changes in conditions in our business, personnel, IT systems and applications, or other factors. If we fail to remediate</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it is possible that a material misstatement of our financial statements would not be prevented or detected on a timely basis, investors may lose confidence in the accuracy and completeness of our financial reports, and the market price of our common stock could be negatively affected.</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Transactions</w:t>
      </w:r>
    </w:p>
    <w:p>
      <w:pPr>
        <w:spacing w:after="0" w:line="229" w:lineRule="exact"/>
        <w:rPr>
          <w:sz w:val="20"/>
          <w:szCs w:val="20"/>
          <w:color w:val="auto"/>
        </w:rPr>
      </w:pPr>
    </w:p>
    <w:p>
      <w:pPr>
        <w:ind w:left="1260" w:right="1159"/>
        <w:spacing w:after="0" w:line="291" w:lineRule="auto"/>
        <w:rPr>
          <w:sz w:val="20"/>
          <w:szCs w:val="20"/>
          <w:color w:val="auto"/>
        </w:rPr>
      </w:pPr>
      <w:r>
        <w:rPr>
          <w:rFonts w:ascii="Arial" w:cs="Arial" w:eastAsia="Arial" w:hAnsi="Arial"/>
          <w:sz w:val="17"/>
          <w:szCs w:val="17"/>
          <w:b w:val="1"/>
          <w:bCs w:val="1"/>
          <w:i w:val="1"/>
          <w:iCs w:val="1"/>
          <w:color w:val="auto"/>
        </w:rPr>
        <w:t>Legal proceedings in connection with the Transactions, the outcomes of which are uncertain, could divert management’s attention and adversely affect our daily operations.</w:t>
      </w:r>
    </w:p>
    <w:p>
      <w:pPr>
        <w:spacing w:after="0" w:line="6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On March 3, 2021, Richard Hofman, a purported stockholder of Churchill, filed a complaint, individually and on behalf of other Churchill stockholders, in the Superior Court of the State of California against Churchill, Lucid, and other unnamed defendants. The complaint alleged claims for fraud, negligent misrepresentation, and false advertising and unfair business practices in connection with allegedly false and misleading statements and omissions in Churchill’s public filings, concerning the proposed merger between Churchill and Lucid. The complaint sought injunctive relief, as well as compensatory and punitive damages. On March 8, 2021, plaintiff filed an ex parte application for a temporary restraining order and preliminary injunction, which Churchill opposed and the court denied on March 10, 2021.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 On June 7, 2021, the plaintiff filed a notice voluntarily dismissing the action without prejudice.</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Since April 18, 2021, four actions asserting claims under the federal securities laws have been filed in federal courts in Alabama, California, New Jersey and Indiana, including two putative class actions: Randy Phillips v. Churchill Capital Corporation IV, et al., 1:21-cv-00539-ACA (N.D. Ala., filed Apr. 18, 2021); Arec D. Simeri v. Churchill Capital Corporation IV, et al., 2:21-cv-04295 (C.D. Cal., filed May 24, 2021); Chris Arico v. Churchill Capital Corporation IV, et al., 1:21-cv-12355 (D.N.J., filed June 9, 2021); and Gregory Slabaugh v. Churchill Capital Corporation IV, et al., 1:21-cv-01652 (S.D. Ind., filed June 11, 2021). The complaints name Churchill, Atieva, Inc. (doing business as Lucid), Michael Klein, Jay Taragin, and Peter Rawlinson as defendants and generally allege violations of Sections 10(b) and 20(a) of the Exchange Act in connection with alleged false and misleading statements concerning Lucid’s business plans and prospects, as well as the proposed merger between Churchill and Lucid. The complaints generally seek compensatory and/or punitive damages. We believe the claims are without merit and intend to defend ourselves vigorously.</w:t>
      </w:r>
    </w:p>
    <w:p>
      <w:pPr>
        <w:spacing w:after="0" w:line="133"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Additional lawsuits may be filed against us or our directors and officers in connection with the Transactions. Defending such additional lawsuits could require us to incur significant costs and draw the attention of our management team away from the daily operations of Lucid Group. Further, the defense or settlement of any lawsuit or claim may also adversely affect our business, financial condition, results of operations and cash flows.</w:t>
      </w:r>
    </w:p>
    <w:p>
      <w:pPr>
        <w:spacing w:after="0" w:line="18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03"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Although Churchill has conducted due diligence on the Lucid business, we cannot assure you that this diligence surfaced all material issues that may have been present in such business, that it was possible to uncover all material issues through a customary amount of due diligence, or that factors outside of the Lucid business and outside of our control will not later arise. As a result of these factors, we may be forced to later write-down or write-off assets, restructure operations, or incur impairment or other charges that could result in losses. Even if Churchill’s due diligence successfully identified certain risks, unexpected risks may arise and previously known risks may materialize in a manner not consistent with Churchill’s preliminary risk</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48" w:lineRule="auto"/>
        <w:rPr>
          <w:sz w:val="20"/>
          <w:szCs w:val="20"/>
          <w:color w:val="auto"/>
        </w:rPr>
      </w:pPr>
      <w:r>
        <w:rPr>
          <w:rFonts w:ascii="Arial" w:cs="Arial" w:eastAsia="Arial" w:hAnsi="Arial"/>
          <w:sz w:val="18"/>
          <w:szCs w:val="18"/>
          <w:color w:val="auto"/>
        </w:rPr>
        <w:t>analysis. Even though these charges may be non -cash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8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b w:val="1"/>
          <w:bCs w:val="1"/>
          <w:i w:val="1"/>
          <w:iCs w:val="1"/>
          <w:color w:val="auto"/>
        </w:rPr>
        <w:t>If the benefits of the Transactions do not meet the expectations of investors, stockholders or financial analysts, the market price of our securities may decline.</w:t>
      </w:r>
    </w:p>
    <w:p>
      <w:pPr>
        <w:spacing w:after="0" w:line="90"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If the benefits of the Transactions do not meet the expectations of investors, stockholders or securities analysts, the market price of our securities may decline.</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Fluctuations in the price of our securities could contribute to the loss of all or part of your investment. Immediately prior to the Transactions, there has not been a public market for stock relating to the Lucid business and trading in shares of Churchill’s Class A common stock has not been active. Accordingly, the valuation ascribed to the Lucid business and Churchill’s Class A common stock in the Transactions may not be indicative of the price that will prevail in the trading market following the Transactions.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develop.</w:t>
      </w:r>
    </w:p>
    <w:p>
      <w:pPr>
        <w:spacing w:after="0" w:line="158"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Churchill was a blank check company and there was no public market for Lucid Common Shares since Lucid was a private company. A liquid trading market for our Class A common stock may never develop or, if developed, it may not be sustained. In the absence of a liquid public trading market:</w:t>
      </w:r>
    </w:p>
    <w:p>
      <w:pPr>
        <w:spacing w:after="0" w:line="60" w:lineRule="exact"/>
        <w:rPr>
          <w:sz w:val="20"/>
          <w:szCs w:val="20"/>
          <w:color w:val="auto"/>
        </w:rPr>
      </w:pPr>
    </w:p>
    <w:p>
      <w:pPr>
        <w:ind w:left="1800" w:right="87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our Class A common stock or our warrants;</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may not be able to resell your shares of our Class A common stock or our warrants at or above the price you paid for them;</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price of shares of our Class A common stock or our warrants may experience significant price volatility;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15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 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price of our Class A common stock and warrants may be volatile.</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trading price of our Class A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securities depends on many factors, including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many of which are beyond our control and may not be related to our operating performance. These fluctuations could cause you to lose all or part of your investment in our securities since you might be unable to sell them at or above the price you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17"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03"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ours;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35"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48"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48"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volume of our Class A common stock available for public sale;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03"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by our directors, officers or significant stockholders or the perception that such sales could occur;</w:t>
      </w:r>
    </w:p>
    <w:p>
      <w:pPr>
        <w:spacing w:after="0" w:line="3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risk factors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Class A common stock,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w:t>
      </w:r>
    </w:p>
    <w:p>
      <w:pPr>
        <w:spacing w:after="0" w:line="10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Nasdaq may not continue to list our securities, which could limit investors’ ability to make transactions in our securities and subject us to additional trading restrictions.</w:t>
      </w:r>
    </w:p>
    <w:p>
      <w:pPr>
        <w:spacing w:after="0" w:line="89" w:lineRule="exact"/>
        <w:rPr>
          <w:sz w:val="20"/>
          <w:szCs w:val="20"/>
          <w:color w:val="auto"/>
        </w:rPr>
      </w:pPr>
    </w:p>
    <w:p>
      <w:pPr>
        <w:ind w:left="1260" w:right="719" w:firstLine="360"/>
        <w:spacing w:after="0" w:line="246"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76"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03"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such securities to adhere to more stringent rules and possibly result in a reduced level of trading activity in the secondary trading market for our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60" w:right="619"/>
        <w:spacing w:after="0" w:line="248" w:lineRule="auto"/>
        <w:rPr>
          <w:sz w:val="20"/>
          <w:szCs w:val="20"/>
          <w:color w:val="auto"/>
        </w:rPr>
      </w:pPr>
      <w:r>
        <w:rPr>
          <w:rFonts w:ascii="Arial" w:cs="Arial" w:eastAsia="Arial" w:hAnsi="Arial"/>
          <w:sz w:val="18"/>
          <w:szCs w:val="18"/>
          <w:b w:val="1"/>
          <w:bCs w:val="1"/>
          <w:i w:val="1"/>
          <w:iCs w:val="1"/>
          <w:color w:val="auto"/>
        </w:rPr>
        <w:t>A significant portion of our Class A common stock is restricted from immediate resale, but may be sold into the market in the future. This could cause the market price of our Class A common stock to drop significantly, even if our business is doing well.</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market price of shares of our Class A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20"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As of immediately after the Closing, we had outstanding (i) 1,618,621,534 shares of our Class A common stock, (ii) warrants to purchase 85,750,000 shares of our Class A common stock, and (iii) options and restricted stock units covering 111,531,080 shares of our Class A common stock.</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Pursuant to the Investor Rights Agreement and our current bylaws, and subject to certain exceptions,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holders of: (i) shares of Class A common stock issued as consideration pursuant to the Merger, (ii)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assumed Lucid Equity Awards; or (iii) shares of Class A common stock underlying such assumed Lucid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Equity Awards, in each case, are restricted from selling or transferring any of the securities described 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clauses (i), (ii) or (iii). Such restrictions began at the Closing and will end at the date that is 180 days after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Closing. Pursuant to the Investor Rights Agreement, the Sponsor has agreed to similar restrictions for a</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period of 18 months with respect to Class A common stock and Private Placement Warrants held by it.</w:t>
      </w:r>
    </w:p>
    <w:p>
      <w:pPr>
        <w:ind w:left="1260"/>
        <w:spacing w:after="0"/>
        <w:rPr>
          <w:sz w:val="20"/>
          <w:szCs w:val="20"/>
          <w:color w:val="auto"/>
        </w:rPr>
      </w:pPr>
      <w:r>
        <w:rPr>
          <w:rFonts w:ascii="Arial" w:cs="Arial" w:eastAsia="Arial" w:hAnsi="Arial"/>
          <w:sz w:val="17"/>
          <w:szCs w:val="17"/>
          <w:color w:val="auto"/>
        </w:rPr>
        <w:t>However, following the expiration of such lock-up periods, the Sponsor and the other lock-up parties will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be restricted from selling our securities held by them, other than by applicable securities laws.</w:t>
      </w:r>
    </w:p>
    <w:p>
      <w:pPr>
        <w:ind w:left="1260"/>
        <w:spacing w:after="0"/>
        <w:rPr>
          <w:sz w:val="20"/>
          <w:szCs w:val="20"/>
          <w:color w:val="auto"/>
        </w:rPr>
      </w:pPr>
      <w:r>
        <w:rPr>
          <w:rFonts w:ascii="Arial" w:cs="Arial" w:eastAsia="Arial" w:hAnsi="Arial"/>
          <w:sz w:val="17"/>
          <w:szCs w:val="17"/>
          <w:color w:val="auto"/>
        </w:rPr>
        <w:t>Additionally, the PIPE Investors will not be restricted from selling any of their shares of Class A common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after the expiration of the lock-up period applicable to them and described in the section entitled</w:t>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 of Distribution — Lock-Up Agreements</w:t>
      </w:r>
      <w:r>
        <w:rPr>
          <w:rFonts w:ascii="Arial" w:cs="Arial" w:eastAsia="Arial" w:hAnsi="Arial"/>
          <w:sz w:val="17"/>
          <w:szCs w:val="17"/>
          <w:color w:val="auto"/>
        </w:rPr>
        <w:t>,” other than by applicable securities laws. As such, sales of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substantial number of shares of Class A common stock in the public market could occur at any time. These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sales, or the perception in the market that the holders of a large number of shares intend to sell shares, could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reduce the market price of Class A common stock.</w:t>
      </w:r>
    </w:p>
    <w:p>
      <w:pPr>
        <w:spacing w:after="0" w:line="12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In addition, pursuant to the Investor Rights Agreement, the Sponsor, Ayar and certain other parties thereto are entitled to, among other things, certain registration rights, including demand, piggy-back and shelf registration rights, subject to cut-back provisions. We are also required to register additional shares of our common stock pursuant to the PIPE Subscription Agreements and the Warrant Agreement. To satisfy these obligations, we are registering up to 1,422,079,949 shares of Class A common stock pursuant to the registration statement of which this prospectus is a part.</w:t>
      </w:r>
    </w:p>
    <w:p>
      <w:pPr>
        <w:spacing w:after="0" w:line="189" w:lineRule="exact"/>
        <w:rPr>
          <w:sz w:val="20"/>
          <w:szCs w:val="20"/>
          <w:color w:val="auto"/>
        </w:rPr>
      </w:pPr>
    </w:p>
    <w:p>
      <w:pPr>
        <w:jc w:val="both"/>
        <w:ind w:left="1260" w:right="599"/>
        <w:spacing w:after="0" w:line="294"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rules of Nasdaq and, as a result, qualify for exemptions from certain corporate governance requirements. Our stockholders will not have the same protections afforded to stockholders of companies that are not controlled companies.</w:t>
      </w:r>
    </w:p>
    <w:p>
      <w:pPr>
        <w:spacing w:after="0" w:line="80"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As of the Closing Date, Ayar held approximately 62.7% of our common stock. As a result, we are a “controlled company” within the meaning of the Nasdaq rules, and as a result, we qualify for exemptions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as of the date of this prospectus,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1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178"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b w:val="1"/>
          <w:bCs w:val="1"/>
          <w:i w:val="1"/>
          <w:iCs w:val="1"/>
          <w:color w:val="auto"/>
        </w:rPr>
        <w:t>The Sponsor, Ayar and the PIPE Investors beneficially own a significant equity interest in us and may take actions that conflict with your interests.</w:t>
      </w:r>
    </w:p>
    <w:p>
      <w:pPr>
        <w:spacing w:after="0" w:line="103"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The interests of Sponsor, Ayar and the PIPE Investors may not align with the interests of our other stockholders. The Sponsor, Ayar and the PIPE Investors are each in the business of making investments in companies and may acquire and hold interests in businesses that compete directly or indirectly with us. The Sponsor, Ayar and the PIPE Investors, and their respective affiliates, may also pursue acquisition opportunities that may be complementary to our business and, as a result, those acquisition opportunities may not be available to us.</w:t>
      </w:r>
    </w:p>
    <w:p>
      <w:pPr>
        <w:spacing w:after="0" w:line="192" w:lineRule="exact"/>
        <w:rPr>
          <w:sz w:val="20"/>
          <w:szCs w:val="20"/>
          <w:color w:val="auto"/>
        </w:rPr>
      </w:pPr>
    </w:p>
    <w:p>
      <w:pPr>
        <w:ind w:left="1260" w:right="859"/>
        <w:spacing w:after="0" w:line="381" w:lineRule="auto"/>
        <w:rPr>
          <w:sz w:val="20"/>
          <w:szCs w:val="20"/>
          <w:color w:val="auto"/>
        </w:rPr>
      </w:pPr>
      <w:r>
        <w:rPr>
          <w:rFonts w:ascii="Arial" w:cs="Arial" w:eastAsia="Arial" w:hAnsi="Arial"/>
          <w:sz w:val="15"/>
          <w:szCs w:val="15"/>
          <w:b w:val="1"/>
          <w:bCs w:val="1"/>
          <w:i w:val="1"/>
          <w:iCs w:val="1"/>
          <w:color w:val="auto"/>
        </w:rPr>
        <w:t>We may issue additional shares of our Class A common stock or other equity securities without your approval, which would dilute your ownership interests and may depress the market price of your shares.</w:t>
      </w:r>
    </w:p>
    <w:p>
      <w:pPr>
        <w:spacing w:after="0" w:line="3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We may issue additional shares of our Class A common stock or other equity securities of equal or senior rank in the future in connection with, among other things, future acquisitions, repayment of outstanding indebtedness or under our Incentive Plan, without stockholder approval, in a number of circumstances. In connection with the Transactions, we assumed Lucid Equity Awards covering approximately 111.5 million shares of our Class A common stock.</w:t>
      </w:r>
    </w:p>
    <w:p>
      <w:pPr>
        <w:spacing w:after="0" w:line="107"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Our issuance of additional shares of our Class A common stock or other equity securities of equal or senior rank could have the following effects:</w:t>
      </w:r>
    </w:p>
    <w:p>
      <w:pPr>
        <w:spacing w:after="0" w:line="62"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 proportionate ownership interest in us will decrease;</w:t>
      </w:r>
    </w:p>
    <w:p>
      <w:pPr>
        <w:spacing w:after="0" w:line="130" w:lineRule="exact"/>
        <w:rPr>
          <w:rFonts w:ascii="Arial" w:cs="Arial" w:eastAsia="Arial" w:hAnsi="Arial"/>
          <w:sz w:val="18"/>
          <w:szCs w:val="18"/>
          <w:color w:val="auto"/>
        </w:rPr>
      </w:pPr>
    </w:p>
    <w:p>
      <w:pPr>
        <w:ind w:left="1800" w:right="127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price of our stock may decline.</w:t>
      </w:r>
    </w:p>
    <w:p>
      <w:pPr>
        <w:spacing w:after="0" w:line="225"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b w:val="1"/>
          <w:bCs w:val="1"/>
          <w:i w:val="1"/>
          <w:iCs w:val="1"/>
          <w:color w:val="auto"/>
        </w:rPr>
        <w:t>Our results of operations may differ significantly from the unaudited pro forma condensed combined financial information included in this prospectus.</w:t>
      </w:r>
    </w:p>
    <w:p>
      <w:pPr>
        <w:spacing w:after="0" w:line="89"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This prospectus includes our unaudited pro forma condensed combined financial statements. Our unaudited pro forma condensed combined statement of loss combines the historical results of operations of Churchill.</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set forth in such unaudited pro forma condensed combined financial statements, or the future consolidated results of operations or financial position of Lucid Group. Accordingly, our business, assets, cash flows, results of operations and financial condition may differ significantly from those indicated by the unaudited pro forma condensed combined financial statements included in this prospectus. For more information, please see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85"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b w:val="1"/>
          <w:bCs w:val="1"/>
          <w:i w:val="1"/>
          <w:iCs w:val="1"/>
          <w:color w:val="auto"/>
        </w:rPr>
        <w:t>There is no guarantee that our warrants will be in the money, and they may expire worthless and the terms of our warrants may be amended.</w:t>
      </w:r>
    </w:p>
    <w:p>
      <w:pPr>
        <w:spacing w:after="0" w:line="8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at any given time prior to their expiration. If the trading price of our common stock desclines, the warrants may expire worthless.</w:t>
      </w:r>
    </w:p>
    <w:p>
      <w:pPr>
        <w:spacing w:after="0" w:line="184"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10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200"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b w:val="1"/>
          <w:bCs w:val="1"/>
          <w:i w:val="1"/>
          <w:iCs w:val="1"/>
          <w:color w:val="auto"/>
        </w:rPr>
        <w:t>Our only significant asset is our ownership interest in the Lucid business, and such ownership may not be sufficiently profitable or valuable to enable us to satisfy our other financial obligations. We do not anticipate paying any cash dividends for the foreseeable future.</w:t>
      </w:r>
    </w:p>
    <w:p>
      <w:pPr>
        <w:spacing w:after="0" w:line="116"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We do not expect having any direct operations or any significant assets other than our ownership interest in the Lucid business. We will depend on the Lucid business for distributions, loans and other payments to generate the funds necessary to meet our financial obligations, including our expenses as a publicly traded company. The earnings from, or other available assets of, the Lucid business may not be sufficient to pay dividends or make distributions or loans to enable us to pay any dividends on the common stock or satisfy our other financial obligations.</w:t>
      </w:r>
    </w:p>
    <w:p>
      <w:pPr>
        <w:spacing w:after="0" w:line="111"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In addition, we have never declared or paid cash dividends on its capital stock, and we do not anticipate paying any cash dividends in the foreseeable future. We currently intend to retain its future earnings, if any, for the foreseeable future, to fund the development and growth of our business.</w:t>
      </w:r>
    </w:p>
    <w:p>
      <w:pPr>
        <w:spacing w:after="0" w:line="116" w:lineRule="exact"/>
        <w:rPr>
          <w:sz w:val="20"/>
          <w:szCs w:val="20"/>
          <w:color w:val="auto"/>
        </w:rPr>
      </w:pPr>
    </w:p>
    <w:p>
      <w:pPr>
        <w:jc w:val="both"/>
        <w:ind w:left="1260" w:right="499" w:firstLine="360"/>
        <w:spacing w:after="0" w:line="279" w:lineRule="auto"/>
        <w:rPr>
          <w:sz w:val="20"/>
          <w:szCs w:val="20"/>
          <w:color w:val="auto"/>
        </w:rPr>
      </w:pPr>
      <w:r>
        <w:rPr>
          <w:rFonts w:ascii="Arial" w:cs="Arial" w:eastAsia="Arial" w:hAnsi="Arial"/>
          <w:sz w:val="17"/>
          <w:szCs w:val="17"/>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Class A common stock.</w:t>
      </w:r>
    </w:p>
    <w:p>
      <w:pPr>
        <w:spacing w:after="0" w:line="104"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Liquidity and Capital Resources</w:t>
      </w:r>
      <w:r>
        <w:rPr>
          <w:rFonts w:ascii="Arial" w:cs="Arial" w:eastAsia="Arial" w:hAnsi="Arial"/>
          <w:sz w:val="18"/>
          <w:szCs w:val="18"/>
          <w:color w:val="auto"/>
        </w:rPr>
        <w:t>” for more information.</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308"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60"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74"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48"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75"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103"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1" w:lineRule="exact"/>
        <w:rPr>
          <w:sz w:val="20"/>
          <w:szCs w:val="20"/>
          <w:color w:val="auto"/>
        </w:rPr>
      </w:pPr>
    </w:p>
    <w:p>
      <w:pPr>
        <w:ind w:left="1260" w:right="739"/>
        <w:spacing w:after="0" w:line="291" w:lineRule="auto"/>
        <w:rPr>
          <w:sz w:val="20"/>
          <w:szCs w:val="20"/>
          <w:color w:val="auto"/>
        </w:rPr>
      </w:pPr>
      <w:r>
        <w:rPr>
          <w:rFonts w:ascii="Arial" w:cs="Arial" w:eastAsia="Arial" w:hAnsi="Arial"/>
          <w:sz w:val="17"/>
          <w:szCs w:val="17"/>
          <w:b w:val="1"/>
          <w:bCs w:val="1"/>
          <w:i w:val="1"/>
          <w:iCs w:val="1"/>
          <w:color w:val="auto"/>
        </w:rPr>
        <w:t>Some provisions of Delaware law and our current certificate of incorporation and our current bylaws may deter third parties from acquiring us and diminish the value of our common stock.</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104" w:lineRule="exact"/>
        <w:rPr>
          <w:sz w:val="20"/>
          <w:szCs w:val="20"/>
          <w:color w:val="auto"/>
        </w:rPr>
      </w:pPr>
    </w:p>
    <w:p>
      <w:pPr>
        <w:ind w:left="1800" w:right="61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75" w:lineRule="exact"/>
        <w:rPr>
          <w:rFonts w:ascii="Arial" w:cs="Arial" w:eastAsia="Arial" w:hAnsi="Arial"/>
          <w:sz w:val="18"/>
          <w:szCs w:val="18"/>
          <w:color w:val="auto"/>
        </w:rPr>
      </w:pPr>
    </w:p>
    <w:p>
      <w:pPr>
        <w:ind w:left="1800" w:right="639" w:hanging="180"/>
        <w:spacing w:after="0" w:line="342" w:lineRule="auto"/>
        <w:tabs>
          <w:tab w:leader="none" w:pos="1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subject to the Investor Rights Agreement, advance notice for nominations of directors by stockholders and for stockholders to include matters to be considered at stockholder meetings; and</w:t>
      </w:r>
    </w:p>
    <w:p>
      <w:pPr>
        <w:spacing w:after="0" w:line="15" w:lineRule="exact"/>
        <w:rPr>
          <w:rFonts w:ascii="Arial" w:cs="Arial" w:eastAsia="Arial" w:hAnsi="Arial"/>
          <w:sz w:val="16"/>
          <w:szCs w:val="16"/>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0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03"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ind w:left="1260" w:right="859"/>
        <w:spacing w:after="0" w:line="255" w:lineRule="auto"/>
        <w:rPr>
          <w:sz w:val="20"/>
          <w:szCs w:val="20"/>
          <w:color w:val="auto"/>
        </w:rPr>
      </w:pPr>
      <w:r>
        <w:rPr>
          <w:rFonts w:ascii="Arial" w:cs="Arial" w:eastAsia="Arial" w:hAnsi="Arial"/>
          <w:sz w:val="18"/>
          <w:szCs w:val="18"/>
          <w:color w:val="auto"/>
        </w:rPr>
        <w:t>three years owned, 15% or more of the votes of our outstanding voting stock. For purposes of this provision,” voting stock” means any class or series of stock entitled to vote generally in the election of directors.</w:t>
      </w:r>
    </w:p>
    <w:p>
      <w:pPr>
        <w:spacing w:after="0" w:line="122"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99"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and take other corporate actions.</w:t>
      </w:r>
    </w:p>
    <w:p>
      <w:pPr>
        <w:spacing w:after="0" w:line="178" w:lineRule="exact"/>
        <w:rPr>
          <w:sz w:val="20"/>
          <w:szCs w:val="20"/>
          <w:color w:val="auto"/>
        </w:rPr>
      </w:pPr>
    </w:p>
    <w:p>
      <w:pPr>
        <w:jc w:val="both"/>
        <w:ind w:left="1260" w:right="559"/>
        <w:spacing w:after="0" w:line="311" w:lineRule="auto"/>
        <w:rPr>
          <w:sz w:val="20"/>
          <w:szCs w:val="20"/>
          <w:color w:val="auto"/>
        </w:rPr>
      </w:pPr>
      <w:r>
        <w:rPr>
          <w:rFonts w:ascii="Arial" w:cs="Arial" w:eastAsia="Arial" w:hAnsi="Arial"/>
          <w:sz w:val="16"/>
          <w:szCs w:val="16"/>
          <w:b w:val="1"/>
          <w:bCs w:val="1"/>
          <w:i w:val="1"/>
          <w:iCs w:val="1"/>
          <w:color w:val="auto"/>
        </w:rPr>
        <w:t>Securities or industry analysts may not publish or cease publishing research or reports about us, our business, our market, or change their recommendations regarding our Class A common stock adversely, which could cause the price and trading volume of our Class A common stock to decline.</w:t>
      </w:r>
    </w:p>
    <w:p>
      <w:pPr>
        <w:spacing w:after="0" w:line="6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may publish about us, our business and operations,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Class A common stock would likely decline. If any analyst who may cover us were to cease coverage of us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All of the shares of Class A common stock and the warrants (including shares of Class A common stock underlying such warrants) offered by the Selling Securityholders pursuant to this prospectus will be sold by the Selling Securityholders for their respective accounts. We will not receive any of the proceeds from these sales.</w:t>
      </w:r>
    </w:p>
    <w:p>
      <w:pPr>
        <w:spacing w:after="0" w:line="11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will receive up to an aggregate of approximately $986.1 million from the exercise of all warrants, assuming the exercise in full of all such warrants for cash.</w:t>
      </w:r>
    </w:p>
    <w:p>
      <w:pPr>
        <w:spacing w:after="0" w:line="103"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Unless we inform you otherwise in a prospectus supplement or free writing prospectus, we intend to use the net proceeds from the exercise of such warrants for general corporate purposes, which may include capital expenditures and working capital. Our management will have broad discretion over the use of proceeds from the exercise of the warrants.</w:t>
      </w:r>
    </w:p>
    <w:p>
      <w:pPr>
        <w:spacing w:after="0" w:line="106"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There is no assurance that the holders of the warrants will elect to exercise any or all of the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such warrants of $11.50 per share. The Public Warrants are listed on the Nasdaq Global Select Market under the ticker symbol “LCIDW.”</w:t>
      </w:r>
    </w:p>
    <w:p>
      <w:pPr>
        <w:spacing w:after="0" w:line="116"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the Nasdaq Global Select Market under the ticker symbols “LCID” and “LCIDW,” respectively.</w:t>
      </w:r>
    </w:p>
    <w:p>
      <w:pPr>
        <w:spacing w:after="0" w:line="103"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Prior to the consummation of the Transactions, our units, Churchill’s Class A common stock and Public Warrants were listed on the New York Stock Exchange under the symbols “CCIV.U,” “CCIV” and “CCIV WS,” respectively.</w:t>
      </w:r>
    </w:p>
    <w:p>
      <w:pPr>
        <w:spacing w:after="0" w:line="116" w:lineRule="exact"/>
        <w:rPr>
          <w:sz w:val="20"/>
          <w:szCs w:val="20"/>
          <w:color w:val="auto"/>
        </w:rPr>
      </w:pPr>
    </w:p>
    <w:p>
      <w:pPr>
        <w:ind w:left="1260" w:right="1019" w:firstLine="360"/>
        <w:spacing w:after="0" w:line="308" w:lineRule="auto"/>
        <w:rPr>
          <w:sz w:val="20"/>
          <w:szCs w:val="20"/>
          <w:color w:val="auto"/>
        </w:rPr>
      </w:pPr>
      <w:r>
        <w:rPr>
          <w:rFonts w:ascii="Arial" w:cs="Arial" w:eastAsia="Arial" w:hAnsi="Arial"/>
          <w:sz w:val="17"/>
          <w:szCs w:val="17"/>
          <w:color w:val="auto"/>
        </w:rPr>
        <w:t>As of the Closing Date, following the completion of the Transactions, there were approximately 915 holders of record of our Class A common stock and 6 holders of record of our Public Warrants.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We have not paid any cash dividends on our Class A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2"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In connection with the Transactions, our stockholders approved our Incentive Plan on July 22, 2021, including the ESPP Addendum, which became effective immediately upon the Closing. We intend to file one or more registration statements on Form S-8 under the Securities Act to register the shares of our Class A common stock issued or issuable under the Incentive Plan and the assumed Lucid Options. Any such Form S-8 registration statement will become effective automatically upon filing. Once these shares are registered, they can be sold in the public market upon issuance, subject to applicable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48" w:lineRule="exact"/>
        <w:rPr>
          <w:sz w:val="20"/>
          <w:szCs w:val="20"/>
          <w:color w:val="auto"/>
        </w:rPr>
      </w:pPr>
    </w:p>
    <w:p>
      <w:pPr>
        <w:jc w:val="both"/>
        <w:ind w:left="1260" w:right="579" w:firstLine="360"/>
        <w:spacing w:after="0" w:line="248"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prospectus. Unless the context otherwise requires, all references in this section to “Lucid Group” refer to Lucid’s business after giving effect to the Transactions.</w:t>
      </w:r>
    </w:p>
    <w:p>
      <w:pPr>
        <w:spacing w:after="0" w:line="114"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The unaudited pro forma condensed combined financial information of Lucid Group has been prepared in accordance with Article 11 of Regulation S-X and presents the combination of the historical financial information of Churchill and Lucid adjusted to give effect to the Transactions and the other related events contemplated by the Merger Agreement. The unaudited pro forma condensed combined financial information of Lucid Group also gives effect to other financing events consummated by Lucid that are not yet reflected in the historical financial information of Lucid and are considered material transactions separate from the Transactions.</w:t>
      </w:r>
    </w:p>
    <w:p>
      <w:pPr>
        <w:spacing w:after="0" w:line="123"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The unaudited pro forma condensed combined balance sheet as of March 31, 2021 combines the historical unaudited condensed consolidated balance sheet of Churchill as of March 31, 2021 with the historical unaudited condensed consolidated balance sheet of Lucid as of March 31, 2021 on a pro forma basis as if the Transactions and the other events, summarized below, had been consummated on March 31, 2021.</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unaudited pro forma condensed combined statement of operations for the three months ended March 31, 2021 combines the historical unaudited condensed consolidated statement of operations of Churchill for the three months ended March 31, 2021 with the historical unaudited condensed consolidated statement of operations of Lucid for the three months ended March 31, 2021. The unaudited pro forma condensed combined statement of operations for the year ended December 31, 2020 combines the historical audited statement of operations of Churchill from April 30, 2020 (date of inception) to December 31, 2020 (as restated) with the historical audited consolidated statement of operations of Lucid for the year ended December 31, 2020 on a pro forma basis as if the Transactions and the other events, summarized below, had been consummated on January 1, 2020, the beginning of the earliest period presented.</w:t>
      </w:r>
    </w:p>
    <w:p>
      <w:pPr>
        <w:spacing w:after="0" w:line="116"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74" w:lineRule="exact"/>
        <w:rPr>
          <w:sz w:val="20"/>
          <w:szCs w:val="20"/>
          <w:color w:val="auto"/>
        </w:rPr>
      </w:pPr>
    </w:p>
    <w:p>
      <w:pPr>
        <w:ind w:left="1800" w:right="459" w:hanging="180"/>
        <w:spacing w:after="0" w:line="255"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Churchill as of and for the three months ended March 31, 2021 included in Churchill’s Quarterly Report filed on the Form 10-Q filed with the SEC on June 1, 2021, and the historical audited financial statements of Churchill as of December 31, 2020 and for the period from April 30, 2020 (inception) to December 31, 2020 (as restated) included in Churchill’s Annual Report filed on the Form 10-K/A filed with the SEC on May 14, 2021;</w:t>
      </w:r>
    </w:p>
    <w:p>
      <w:pPr>
        <w:spacing w:after="0" w:line="70"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Lucid as of and for the three months ended March 31, 2021 and the historical audited consolidated financial statements of Lucid as of and for the year ended December 31, 2020; and</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information relating to the Merger Agreement between Churchill and Lucid and the description of certain terms thereof included in this prospectus.</w:t>
      </w:r>
    </w:p>
    <w:p>
      <w:pPr>
        <w:spacing w:after="0" w:line="103"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 entitled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other financial information included elsewhere in this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Transactions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Pursuant to the Merger Agreement, Merger Sub merged with and into Lucid, with Lucid surviving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Merger. Lucid became a wholly owned subsidiary of Churchill and Churchill was immediately renamed</w:t>
      </w:r>
    </w:p>
    <w:p>
      <w:pPr>
        <w:ind w:left="1260"/>
        <w:spacing w:after="0"/>
        <w:rPr>
          <w:sz w:val="20"/>
          <w:szCs w:val="20"/>
          <w:color w:val="auto"/>
        </w:rPr>
      </w:pPr>
      <w:r>
        <w:rPr>
          <w:rFonts w:ascii="Arial" w:cs="Arial" w:eastAsia="Arial" w:hAnsi="Arial"/>
          <w:sz w:val="17"/>
          <w:szCs w:val="17"/>
          <w:color w:val="auto"/>
        </w:rPr>
        <w:t>“Lucid Group, Inc.” Upon the consummation of the Transactions, all holders of 451,295,965 issued and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outstanding Lucid Common Shares received shares of Class A common stock at a deemed value of</w:t>
      </w:r>
    </w:p>
    <w:p>
      <w:pPr>
        <w:ind w:left="1260"/>
        <w:spacing w:after="0" w:line="234" w:lineRule="auto"/>
        <w:rPr>
          <w:sz w:val="20"/>
          <w:szCs w:val="20"/>
          <w:color w:val="auto"/>
        </w:rPr>
      </w:pPr>
      <w:r>
        <w:rPr>
          <w:rFonts w:ascii="Arial" w:cs="Arial" w:eastAsia="Arial" w:hAnsi="Arial"/>
          <w:sz w:val="18"/>
          <w:szCs w:val="18"/>
          <w:color w:val="auto"/>
        </w:rPr>
        <w:t>$10.00 per share after giving effect to the exchange ratio of 2.644 (the “</w:t>
      </w:r>
      <w:r>
        <w:rPr>
          <w:rFonts w:ascii="Arial" w:cs="Arial" w:eastAsia="Arial" w:hAnsi="Arial"/>
          <w:sz w:val="18"/>
          <w:szCs w:val="18"/>
          <w:i w:val="1"/>
          <w:iCs w:val="1"/>
          <w:color w:val="auto"/>
        </w:rPr>
        <w:t>Exchange Ratio</w:t>
      </w:r>
      <w:r>
        <w:rPr>
          <w:rFonts w:ascii="Arial" w:cs="Arial" w:eastAsia="Arial" w:hAnsi="Arial"/>
          <w:sz w:val="18"/>
          <w:szCs w:val="18"/>
          <w:color w:val="auto"/>
        </w:rPr>
        <w:t>”), resulting in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1,193,226,511 shares of Class A common stock issued and outstanding as of the Closing and all holders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42,182,931 issued</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and outstanding Lucid Equity Awards received Lucid Group Awards covering 111,531,080 shares of Class A common stock at a deemed value of $10.00 per share after giving effect to the Exchange Ratio, based on the following events contemplated by the Merger Agreement:</w:t>
      </w:r>
    </w:p>
    <w:p>
      <w:pPr>
        <w:spacing w:after="0" w:line="76" w:lineRule="exact"/>
        <w:rPr>
          <w:sz w:val="20"/>
          <w:szCs w:val="20"/>
          <w:color w:val="auto"/>
        </w:rPr>
      </w:pPr>
    </w:p>
    <w:p>
      <w:pPr>
        <w:ind w:left="1800" w:right="71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Lucid Preferred Shares into 437,182,072 Lucid Common Shares at the conversion rate as calculated pursuant to Lucid’s Memorandum and Articles of Association as of the Effective Time;</w:t>
      </w:r>
    </w:p>
    <w:p>
      <w:pPr>
        <w:spacing w:after="0" w:line="89" w:lineRule="exact"/>
        <w:rPr>
          <w:rFonts w:ascii="Arial" w:cs="Arial" w:eastAsia="Arial" w:hAnsi="Arial"/>
          <w:sz w:val="18"/>
          <w:szCs w:val="18"/>
          <w:color w:val="auto"/>
        </w:rPr>
      </w:pPr>
    </w:p>
    <w:p>
      <w:pPr>
        <w:ind w:left="1800" w:right="579" w:hanging="180"/>
        <w:spacing w:after="0" w:line="286"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surrender and exchange of all 451,295,965 issued and outstanding Lucid Common Shares (including Lucid Common Shares resulting from the conversion of the Lucid Preferred Shares) into 1,193,226,511 shares of Class A common stock as adjusted by the Exchange Ratio;</w:t>
      </w:r>
    </w:p>
    <w:p>
      <w:pPr>
        <w:spacing w:after="0" w:line="57" w:lineRule="exact"/>
        <w:rPr>
          <w:rFonts w:ascii="Arial" w:cs="Arial" w:eastAsia="Arial" w:hAnsi="Arial"/>
          <w:sz w:val="17"/>
          <w:szCs w:val="17"/>
          <w:color w:val="auto"/>
        </w:rPr>
      </w:pPr>
    </w:p>
    <w:p>
      <w:pPr>
        <w:ind w:left="1800" w:right="539" w:hanging="180"/>
        <w:spacing w:after="0" w:line="259"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Lucid Options into 68,121,210 Lucid Group Options exercisable for shares of Class A common stock with the same terms and vesting conditions except for the number of shares exercisable and the exercise price, each of which was adjusted by the Exchange Ratio; and</w:t>
      </w:r>
    </w:p>
    <w:p>
      <w:pPr>
        <w:spacing w:after="0" w:line="92" w:lineRule="exact"/>
        <w:rPr>
          <w:rFonts w:ascii="Arial" w:cs="Arial" w:eastAsia="Arial" w:hAnsi="Arial"/>
          <w:sz w:val="18"/>
          <w:szCs w:val="18"/>
          <w:color w:val="auto"/>
        </w:rPr>
      </w:pPr>
    </w:p>
    <w:p>
      <w:pPr>
        <w:jc w:val="both"/>
        <w:ind w:left="1800" w:right="559" w:hanging="180"/>
        <w:spacing w:after="0" w:line="311" w:lineRule="auto"/>
        <w:tabs>
          <w:tab w:leader="none" w:pos="1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cancellation and exchange of all 16,418,321 granted and outstanding vested and unvested Lucid RSUs into 43,409,870 Lucid Group RSUs for shares of Class A common stock with the same terms and vesting conditions except for the number of shares, which was adjusted by the Exchange Ratio.</w:t>
      </w:r>
    </w:p>
    <w:p>
      <w:pPr>
        <w:spacing w:after="0" w:line="81"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determination of the 1,193,226,511 shares of Class A common stock immediately issued and outstanding as of the Closing and the Lucid Group Awards covering 111,531,080 shares reserved for the potential future issuance of Class A common stock is summarized below:</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Lucid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Lucid Group</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Shares and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Conversion of</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Lucid</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Additional Lucid</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Lucid</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and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and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Capitalization</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Preferred</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Awards held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Activity, net</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Shares into</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by Lucid</w:t>
            </w: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13"/>
                <w:szCs w:val="13"/>
                <w:color w:val="auto"/>
              </w:rPr>
            </w:pPr>
          </w:p>
        </w:tc>
        <w:tc>
          <w:tcPr>
            <w:tcW w:w="118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97"/>
              </w:rPr>
              <w:t>After</w:t>
            </w: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Common</w:t>
            </w: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Prior to</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229"/>
        </w:trPr>
        <w:tc>
          <w:tcPr>
            <w:tcW w:w="19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2021</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3"/>
          </w:tcPr>
          <w:p>
            <w:pPr>
              <w:jc w:val="center"/>
              <w:spacing w:after="0" w:line="230" w:lineRule="exact"/>
              <w:rPr>
                <w:sz w:val="20"/>
                <w:szCs w:val="20"/>
                <w:color w:val="auto"/>
              </w:rPr>
            </w:pPr>
            <w:r>
              <w:rPr>
                <w:rFonts w:ascii="Arial" w:cs="Arial" w:eastAsia="Arial" w:hAnsi="Arial"/>
                <w:sz w:val="14"/>
                <w:szCs w:val="14"/>
                <w:b w:val="1"/>
                <w:bCs w:val="1"/>
                <w:color w:val="auto"/>
                <w:w w:val="89"/>
              </w:rPr>
              <w:t>March 31, 2021</w:t>
            </w:r>
            <w:r>
              <w:rPr>
                <w:rFonts w:ascii="Arial" w:cs="Arial" w:eastAsia="Arial" w:hAnsi="Arial"/>
                <w:sz w:val="21"/>
                <w:szCs w:val="21"/>
                <w:b w:val="1"/>
                <w:bCs w:val="1"/>
                <w:color w:val="auto"/>
                <w:w w:val="89"/>
                <w:vertAlign w:val="superscript"/>
              </w:rPr>
              <w:t>(1)</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Closing</w:t>
            </w: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Post Closing</w:t>
            </w:r>
            <w:r>
              <w:rPr>
                <w:rFonts w:ascii="Arial" w:cs="Arial" w:eastAsia="Arial" w:hAnsi="Arial"/>
                <w:sz w:val="21"/>
                <w:szCs w:val="21"/>
                <w:b w:val="1"/>
                <w:bCs w:val="1"/>
                <w:color w:val="auto"/>
                <w:w w:val="81"/>
                <w:vertAlign w:val="superscript"/>
              </w:rPr>
              <w:t>(2)</w:t>
            </w:r>
          </w:p>
        </w:tc>
        <w:tc>
          <w:tcPr>
            <w:tcW w:w="0" w:type="dxa"/>
            <w:vAlign w:val="bottom"/>
          </w:tcPr>
          <w:p>
            <w:pPr>
              <w:spacing w:after="0"/>
              <w:rPr>
                <w:sz w:val="1"/>
                <w:szCs w:val="1"/>
                <w:color w:val="auto"/>
              </w:rPr>
            </w:pPr>
          </w:p>
        </w:tc>
      </w:tr>
      <w:tr>
        <w:trPr>
          <w:trHeight w:val="250"/>
        </w:trPr>
        <w:tc>
          <w:tcPr>
            <w:tcW w:w="24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COMMON SHARES</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400" w:type="dxa"/>
            <w:vAlign w:val="bottom"/>
            <w:gridSpan w:val="3"/>
          </w:tcPr>
          <w:p>
            <w:pPr>
              <w:ind w:left="180"/>
              <w:spacing w:after="0"/>
              <w:rPr>
                <w:sz w:val="20"/>
                <w:szCs w:val="20"/>
                <w:color w:val="auto"/>
              </w:rPr>
            </w:pPr>
            <w:r>
              <w:rPr>
                <w:rFonts w:ascii="Arial" w:cs="Arial" w:eastAsia="Arial" w:hAnsi="Arial"/>
                <w:sz w:val="18"/>
                <w:szCs w:val="18"/>
                <w:color w:val="auto"/>
              </w:rPr>
              <w:t>Common 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13,498,196</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615,697</w:t>
            </w:r>
          </w:p>
        </w:tc>
        <w:tc>
          <w:tcPr>
            <w:tcW w:w="24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437,182,072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451,295,965</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1,193,226,511</w:t>
            </w:r>
          </w:p>
        </w:tc>
        <w:tc>
          <w:tcPr>
            <w:tcW w:w="0" w:type="dxa"/>
            <w:vAlign w:val="bottom"/>
          </w:tcPr>
          <w:p>
            <w:pPr>
              <w:spacing w:after="0"/>
              <w:rPr>
                <w:sz w:val="1"/>
                <w:szCs w:val="1"/>
                <w:color w:val="auto"/>
              </w:rPr>
            </w:pPr>
          </w:p>
        </w:tc>
      </w:tr>
      <w:tr>
        <w:trPr>
          <w:trHeight w:val="257"/>
        </w:trPr>
        <w:tc>
          <w:tcPr>
            <w:tcW w:w="24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PREFERRED SHARES</w:t>
            </w: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00" w:type="dxa"/>
            <w:vAlign w:val="bottom"/>
            <w:gridSpan w:val="3"/>
          </w:tcPr>
          <w:p>
            <w:pPr>
              <w:ind w:left="180"/>
              <w:spacing w:after="0"/>
              <w:rPr>
                <w:sz w:val="20"/>
                <w:szCs w:val="20"/>
                <w:color w:val="auto"/>
              </w:rPr>
            </w:pPr>
            <w:r>
              <w:rPr>
                <w:rFonts w:ascii="Arial" w:cs="Arial" w:eastAsia="Arial" w:hAnsi="Arial"/>
                <w:sz w:val="18"/>
                <w:szCs w:val="18"/>
                <w:color w:val="auto"/>
              </w:rPr>
              <w:t>Series A Preferred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gridSpan w:val="3"/>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12,120,000</w:t>
            </w:r>
          </w:p>
        </w:tc>
        <w:tc>
          <w:tcPr>
            <w:tcW w:w="140" w:type="dxa"/>
            <w:vAlign w:val="bottom"/>
          </w:tcPr>
          <w:p>
            <w:pPr>
              <w:spacing w:after="0"/>
              <w:rPr>
                <w:sz w:val="20"/>
                <w:szCs w:val="20"/>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(12,120,000)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4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Series B Preferred</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40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8,000,000</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gridSpan w:val="3"/>
          </w:tcPr>
          <w:p>
            <w:pPr>
              <w:ind w:left="180"/>
              <w:spacing w:after="0"/>
              <w:rPr>
                <w:sz w:val="20"/>
                <w:szCs w:val="20"/>
                <w:color w:val="auto"/>
              </w:rPr>
            </w:pPr>
            <w:r>
              <w:rPr>
                <w:rFonts w:ascii="Arial" w:cs="Arial" w:eastAsia="Arial" w:hAnsi="Arial"/>
                <w:sz w:val="18"/>
                <w:szCs w:val="18"/>
                <w:color w:val="auto"/>
              </w:rPr>
              <w:t>Series C Preferred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gridSpan w:val="3"/>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22,532,244</w:t>
            </w:r>
          </w:p>
        </w:tc>
        <w:tc>
          <w:tcPr>
            <w:tcW w:w="140" w:type="dxa"/>
            <w:vAlign w:val="bottom"/>
          </w:tcPr>
          <w:p>
            <w:pPr>
              <w:spacing w:after="0"/>
              <w:rPr>
                <w:sz w:val="20"/>
                <w:szCs w:val="20"/>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(22,532,244)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4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Series D Preferred</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40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204,733,847</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(204,733,847)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gridSpan w:val="3"/>
          </w:tcPr>
          <w:p>
            <w:pPr>
              <w:ind w:left="180"/>
              <w:spacing w:after="0"/>
              <w:rPr>
                <w:sz w:val="20"/>
                <w:szCs w:val="20"/>
                <w:color w:val="auto"/>
              </w:rPr>
            </w:pPr>
            <w:r>
              <w:rPr>
                <w:rFonts w:ascii="Arial" w:cs="Arial" w:eastAsia="Arial" w:hAnsi="Arial"/>
                <w:sz w:val="18"/>
                <w:szCs w:val="18"/>
                <w:color w:val="auto"/>
              </w:rPr>
              <w:t>Series E Preferred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3"/>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164,489,851</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25,306,130</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(189,795,981)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Common and</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Shares</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425,374,138</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25,921,827</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451,295,965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1,193,226,511</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gridSpan w:val="3"/>
          </w:tcPr>
          <w:p>
            <w:pPr>
              <w:ind w:left="180"/>
              <w:spacing w:after="0"/>
              <w:rPr>
                <w:sz w:val="20"/>
                <w:szCs w:val="20"/>
                <w:color w:val="auto"/>
              </w:rPr>
            </w:pPr>
            <w:r>
              <w:rPr>
                <w:rFonts w:ascii="Arial" w:cs="Arial" w:eastAsia="Arial" w:hAnsi="Arial"/>
                <w:sz w:val="18"/>
                <w:szCs w:val="18"/>
                <w:color w:val="auto"/>
              </w:rPr>
              <w:t>Lucid Options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26,645,213</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(880,603)</w:t>
            </w:r>
          </w:p>
        </w:tc>
        <w:tc>
          <w:tcPr>
            <w:tcW w:w="2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25,764,610</w:t>
            </w:r>
          </w:p>
        </w:tc>
        <w:tc>
          <w:tcPr>
            <w:tcW w:w="1040" w:type="dxa"/>
            <w:vAlign w:val="bottom"/>
          </w:tcPr>
          <w:p>
            <w:pPr>
              <w:jc w:val="right"/>
              <w:spacing w:after="0"/>
              <w:rPr>
                <w:sz w:val="20"/>
                <w:szCs w:val="20"/>
                <w:color w:val="auto"/>
              </w:rPr>
            </w:pPr>
            <w:r>
              <w:rPr>
                <w:rFonts w:ascii="Arial" w:cs="Arial" w:eastAsia="Arial" w:hAnsi="Arial"/>
                <w:sz w:val="18"/>
                <w:szCs w:val="18"/>
                <w:color w:val="auto"/>
              </w:rPr>
              <w:t>68,121,210</w:t>
            </w:r>
          </w:p>
        </w:tc>
        <w:tc>
          <w:tcPr>
            <w:tcW w:w="0" w:type="dxa"/>
            <w:vAlign w:val="bottom"/>
          </w:tcPr>
          <w:p>
            <w:pPr>
              <w:spacing w:after="0"/>
              <w:rPr>
                <w:sz w:val="1"/>
                <w:szCs w:val="1"/>
                <w:color w:val="auto"/>
              </w:rPr>
            </w:pPr>
          </w:p>
        </w:tc>
      </w:tr>
      <w:tr>
        <w:trPr>
          <w:trHeight w:val="263"/>
        </w:trPr>
        <w:tc>
          <w:tcPr>
            <w:tcW w:w="2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Lucid RSUs</w:t>
            </w:r>
          </w:p>
        </w:tc>
        <w:tc>
          <w:tcPr>
            <w:tcW w:w="220" w:type="dxa"/>
            <w:vAlign w:val="bottom"/>
            <w:tcBorders>
              <w:right w:val="single" w:sz="8" w:color="CCEEFF"/>
            </w:tcBorders>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13,394,808</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3,023,513</w:t>
            </w:r>
          </w:p>
        </w:tc>
        <w:tc>
          <w:tcPr>
            <w:tcW w:w="240" w:type="dxa"/>
            <w:vAlign w:val="bottom"/>
            <w:tcBorders>
              <w:right w:val="single" w:sz="8" w:color="CCEEFF"/>
            </w:tcBorders>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16,418,321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43,409,870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Total Lucid Awards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40,040,021</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2,142,910</w:t>
            </w:r>
          </w:p>
        </w:tc>
        <w:tc>
          <w:tcPr>
            <w:tcW w:w="24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42,182,931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111,531,080</w:t>
            </w:r>
          </w:p>
        </w:tc>
        <w:tc>
          <w:tcPr>
            <w:tcW w:w="0" w:type="dxa"/>
            <w:vAlign w:val="bottom"/>
          </w:tcPr>
          <w:p>
            <w:pPr>
              <w:spacing w:after="0"/>
              <w:rPr>
                <w:sz w:val="1"/>
                <w:szCs w:val="1"/>
                <w:color w:val="auto"/>
              </w:rPr>
            </w:pPr>
          </w:p>
        </w:tc>
      </w:tr>
      <w:tr>
        <w:trPr>
          <w:trHeight w:val="20"/>
        </w:trPr>
        <w:tc>
          <w:tcPr>
            <w:tcW w:w="240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Lucid Shares and</w:t>
            </w: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00" w:type="dxa"/>
            <w:vAlign w:val="bottom"/>
            <w:tcBorders>
              <w:right w:val="single" w:sz="8" w:color="CCEEFF"/>
            </w:tcBorders>
            <w:gridSpan w:val="3"/>
            <w:vMerge w:val="continue"/>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465,414,159</w:t>
            </w:r>
          </w:p>
        </w:tc>
        <w:tc>
          <w:tcPr>
            <w:tcW w:w="10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28,064,737</w:t>
            </w:r>
          </w:p>
        </w:tc>
        <w:tc>
          <w:tcPr>
            <w:tcW w:w="240" w:type="dxa"/>
            <w:vAlign w:val="bottom"/>
            <w:tcBorders>
              <w:right w:val="single" w:sz="8" w:color="CCEEFF"/>
            </w:tcBorders>
            <w:shd w:val="clear" w:color="auto" w:fill="CCEEFF"/>
          </w:tcPr>
          <w:p>
            <w:pPr>
              <w:spacing w:after="0"/>
              <w:rPr>
                <w:sz w:val="19"/>
                <w:szCs w:val="19"/>
                <w:color w:val="auto"/>
              </w:rPr>
            </w:pPr>
          </w:p>
        </w:tc>
        <w:tc>
          <w:tcPr>
            <w:tcW w:w="12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493,478,896</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1,304,757,591</w:t>
            </w:r>
          </w:p>
        </w:tc>
        <w:tc>
          <w:tcPr>
            <w:tcW w:w="0" w:type="dxa"/>
            <w:vAlign w:val="bottom"/>
          </w:tcPr>
          <w:p>
            <w:pPr>
              <w:spacing w:after="0"/>
              <w:rPr>
                <w:sz w:val="1"/>
                <w:szCs w:val="1"/>
                <w:color w:val="auto"/>
              </w:rPr>
            </w:pPr>
          </w:p>
        </w:tc>
      </w:tr>
      <w:tr>
        <w:trPr>
          <w:trHeight w:val="261"/>
        </w:trPr>
        <w:tc>
          <w:tcPr>
            <w:tcW w:w="24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Awards</w:t>
            </w:r>
          </w:p>
        </w:tc>
        <w:tc>
          <w:tcPr>
            <w:tcW w:w="1120" w:type="dxa"/>
            <w:vAlign w:val="bottom"/>
            <w:gridSpan w:val="2"/>
            <w:vMerge w:val="continue"/>
            <w:shd w:val="clear" w:color="auto" w:fill="CCEEFF"/>
          </w:tcPr>
          <w:p>
            <w:pPr>
              <w:spacing w:after="0"/>
              <w:rPr>
                <w:sz w:val="22"/>
                <w:szCs w:val="22"/>
                <w:color w:val="auto"/>
              </w:rPr>
            </w:pPr>
          </w:p>
        </w:tc>
        <w:tc>
          <w:tcPr>
            <w:tcW w:w="1080" w:type="dxa"/>
            <w:vAlign w:val="bottom"/>
            <w:gridSpan w:val="3"/>
            <w:vMerge w:val="continue"/>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200" w:type="dxa"/>
            <w:vAlign w:val="bottom"/>
            <w:tcBorders>
              <w:right w:val="single" w:sz="8" w:color="CCEEFF"/>
            </w:tcBorders>
            <w:gridSpan w:val="2"/>
            <w:vMerge w:val="continue"/>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-419735</wp:posOffset>
            </wp:positionV>
            <wp:extent cx="1460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-419735</wp:posOffset>
            </wp:positionV>
            <wp:extent cx="1454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-419735</wp:posOffset>
            </wp:positionV>
            <wp:extent cx="231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-419735</wp:posOffset>
            </wp:positionV>
            <wp:extent cx="23228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2283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-1259840</wp:posOffset>
            </wp:positionV>
            <wp:extent cx="1460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-1259840</wp:posOffset>
            </wp:positionV>
            <wp:extent cx="1454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-1259840</wp:posOffset>
            </wp:positionV>
            <wp:extent cx="231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-1259840</wp:posOffset>
            </wp:positionV>
            <wp:extent cx="23228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2283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-3265170</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-3265170</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-3265170</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-3265170</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-3265170</wp:posOffset>
            </wp:positionV>
            <wp:extent cx="1517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14" w:lineRule="exact"/>
        <w:rPr>
          <w:sz w:val="20"/>
          <w:szCs w:val="20"/>
          <w:color w:val="auto"/>
        </w:rPr>
      </w:pPr>
    </w:p>
    <w:p>
      <w:pPr>
        <w:ind w:left="1620" w:right="559" w:hanging="360"/>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net capitalization activity of Lucid subsequent to the latest balance sheet date through the period ended July 23, 2021.</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hanging="360"/>
        <w:spacing w:after="0" w:line="25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the terms of the Merger Agreement, no fractional shares of Class A common stock were issued. Each holder of Lucid Shares entitled to a fraction of a share of Class A common stock had its fractional share rounded up or down to the nearest whole share. Each holder of Lucid Awards entitled to a fraction of a Lucid Group Award covering a share of Class A common stock had its fractional award rounded down to the nearest whole share.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Related Events in Connection with the Transactions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related events that occurred in connection with the Transactions are summarized below:</w:t>
      </w:r>
    </w:p>
    <w:p>
      <w:pPr>
        <w:spacing w:after="0" w:line="131" w:lineRule="exact"/>
        <w:rPr>
          <w:sz w:val="20"/>
          <w:szCs w:val="20"/>
          <w:color w:val="auto"/>
        </w:rPr>
      </w:pPr>
    </w:p>
    <w:p>
      <w:pPr>
        <w:ind w:left="1800" w:right="419" w:hanging="180"/>
        <w:spacing w:after="0" w:line="266"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grant of 11,293,177 Lucid RSUs to Lucid’s CEO under the Lucid 2021 Plan (the “</w:t>
      </w:r>
      <w:r>
        <w:rPr>
          <w:rFonts w:ascii="Arial" w:cs="Arial" w:eastAsia="Arial" w:hAnsi="Arial"/>
          <w:sz w:val="17"/>
          <w:szCs w:val="17"/>
          <w:i w:val="1"/>
          <w:iCs w:val="1"/>
          <w:color w:val="auto"/>
        </w:rPr>
        <w:t>CEO RSU</w:t>
      </w:r>
      <w:r>
        <w:rPr>
          <w:rFonts w:ascii="Arial" w:cs="Arial" w:eastAsia="Arial" w:hAnsi="Arial"/>
          <w:sz w:val="17"/>
          <w:szCs w:val="17"/>
          <w:color w:val="auto"/>
        </w:rPr>
        <w:t xml:space="preserve"> </w:t>
      </w:r>
      <w:r>
        <w:rPr>
          <w:rFonts w:ascii="Arial" w:cs="Arial" w:eastAsia="Arial" w:hAnsi="Arial"/>
          <w:sz w:val="17"/>
          <w:szCs w:val="17"/>
          <w:i w:val="1"/>
          <w:iCs w:val="1"/>
          <w:color w:val="auto"/>
        </w:rPr>
        <w:t>Award</w:t>
      </w:r>
      <w:r>
        <w:rPr>
          <w:rFonts w:ascii="Arial" w:cs="Arial" w:eastAsia="Arial" w:hAnsi="Arial"/>
          <w:sz w:val="17"/>
          <w:szCs w:val="17"/>
          <w:color w:val="auto"/>
        </w:rPr>
        <w:t>”). The CEO RSU Award is comprised of (i) 5,232,507 Lucid RSUs subject to a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which was satisfied upon the Closing and service conditions that will be satisfied over 16 equal quarterly installments (the “</w:t>
      </w:r>
      <w:r>
        <w:rPr>
          <w:rFonts w:ascii="Arial" w:cs="Arial" w:eastAsia="Arial" w:hAnsi="Arial"/>
          <w:sz w:val="17"/>
          <w:szCs w:val="17"/>
          <w:i w:val="1"/>
          <w:iCs w:val="1"/>
          <w:color w:val="auto"/>
        </w:rPr>
        <w:t>CEO Time-Based RSUs</w:t>
      </w:r>
      <w:r>
        <w:rPr>
          <w:rFonts w:ascii="Arial" w:cs="Arial" w:eastAsia="Arial" w:hAnsi="Arial"/>
          <w:sz w:val="17"/>
          <w:szCs w:val="17"/>
          <w:color w:val="auto"/>
        </w:rPr>
        <w:t>”) and (ii) 6,060,670 Lucid RSUs subject to a performance condition which was satisfied upon the Closing and market and service conditions that will be satisfied in five tranches based upon the achievement of certain market capitalization hurdles specified for each tranche set for Lucid Group in the post combination period and subject to the continuous employment of the CEO at each vesting date (the “</w:t>
      </w:r>
      <w:r>
        <w:rPr>
          <w:rFonts w:ascii="Arial" w:cs="Arial" w:eastAsia="Arial" w:hAnsi="Arial"/>
          <w:sz w:val="17"/>
          <w:szCs w:val="17"/>
          <w:i w:val="1"/>
          <w:iCs w:val="1"/>
          <w:color w:val="auto"/>
        </w:rPr>
        <w:t>CEO Performance RSUs</w:t>
      </w:r>
      <w:r>
        <w:rPr>
          <w:rFonts w:ascii="Arial" w:cs="Arial" w:eastAsia="Arial" w:hAnsi="Arial"/>
          <w:sz w:val="17"/>
          <w:szCs w:val="17"/>
          <w:color w:val="auto"/>
        </w:rPr>
        <w:t>”). The first four tranches of the CEO Performance RSUs are equal installments of 1,317,537 RSUs per tranche and the fifth tranche is the remaining 790,522 RSUs. During the first year following the Closing, Lucid Group may be required to withhold a number of shares and remit cash payments as necessary to settle tax withholding obligations for vested awards as based on the fair value of its common stock on the settlement date. No tax withholding or cash remittances have been given effect in the</w:t>
      </w:r>
    </w:p>
    <w:p>
      <w:pPr>
        <w:spacing w:after="0" w:line="5" w:lineRule="exact"/>
        <w:rPr>
          <w:rFonts w:ascii="Arial" w:cs="Arial" w:eastAsia="Arial" w:hAnsi="Arial"/>
          <w:sz w:val="17"/>
          <w:szCs w:val="17"/>
          <w:color w:val="auto"/>
        </w:rPr>
      </w:pPr>
    </w:p>
    <w:p>
      <w:pPr>
        <w:ind w:left="1800" w:right="719"/>
        <w:spacing w:after="0" w:line="260" w:lineRule="auto"/>
        <w:rPr>
          <w:rFonts w:ascii="Arial" w:cs="Arial" w:eastAsia="Arial" w:hAnsi="Arial"/>
          <w:sz w:val="17"/>
          <w:szCs w:val="17"/>
          <w:color w:val="auto"/>
        </w:rPr>
      </w:pPr>
      <w:r>
        <w:rPr>
          <w:rFonts w:ascii="Arial" w:cs="Arial" w:eastAsia="Arial" w:hAnsi="Arial"/>
          <w:sz w:val="18"/>
          <w:szCs w:val="18"/>
          <w:color w:val="auto"/>
        </w:rPr>
        <w:t>pro forma financial information as the decision whether to net settle on behalf of the employee or execute a sell to-cover arrangement has not been determined;</w:t>
      </w:r>
    </w:p>
    <w:p>
      <w:pPr>
        <w:spacing w:after="0" w:line="90" w:lineRule="exact"/>
        <w:rPr>
          <w:rFonts w:ascii="Arial" w:cs="Arial" w:eastAsia="Arial" w:hAnsi="Arial"/>
          <w:sz w:val="17"/>
          <w:szCs w:val="17"/>
          <w:color w:val="auto"/>
        </w:rPr>
      </w:pPr>
    </w:p>
    <w:p>
      <w:pPr>
        <w:ind w:left="1800" w:right="999" w:hanging="180"/>
        <w:spacing w:after="0" w:line="30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cash award of $2.0 million granted to Lucid’s CEO with a single vesting term based on a performance condition which was satisfied upon the Closing (the “</w:t>
      </w:r>
      <w:r>
        <w:rPr>
          <w:rFonts w:ascii="Arial" w:cs="Arial" w:eastAsia="Arial" w:hAnsi="Arial"/>
          <w:sz w:val="17"/>
          <w:szCs w:val="17"/>
          <w:i w:val="1"/>
          <w:iCs w:val="1"/>
          <w:color w:val="auto"/>
        </w:rPr>
        <w:t>CEO Transaction Bonus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800" w:right="719" w:hanging="180"/>
        <w:spacing w:after="0" w:line="255"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grants of 5,125,144 Lucid RSUs to employees in February 2021, March 2021, June 2021, and July 2021 that remain outstanding immediately prior to the Closing with vesting terms based on a performance condition and a service condition. The performance condition was satisfied upon the Closing. The service condition for 25% of the Lucid RSUs will be satisfied 375 days after the Closing and the remaining Lucid RSUs will be satisfied in equal quarterly installments thereafter, subject to continuous employment;</w:t>
      </w:r>
    </w:p>
    <w:p>
      <w:pPr>
        <w:spacing w:after="0" w:line="97"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each of which occurred immediately prior to the Effective Time and the closing of the PIPE Investment;</w:t>
      </w:r>
    </w:p>
    <w:p>
      <w:pPr>
        <w:spacing w:after="0" w:line="102" w:lineRule="exact"/>
        <w:rPr>
          <w:rFonts w:ascii="Arial" w:cs="Arial" w:eastAsia="Arial" w:hAnsi="Arial"/>
          <w:sz w:val="18"/>
          <w:szCs w:val="18"/>
          <w:color w:val="auto"/>
        </w:rPr>
      </w:pPr>
    </w:p>
    <w:p>
      <w:pPr>
        <w:ind w:left="1800" w:right="113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sale and issuance of 166,666,667 shares of Class A common stock at a purchase price of $15.00 per share for an aggregate purchase price of $2,500.0 million pursuant to the PIPE Subscription Agreements entered in connection with the PIPE Investment;</w:t>
      </w:r>
    </w:p>
    <w:p>
      <w:pPr>
        <w:spacing w:after="0" w:line="89" w:lineRule="exact"/>
        <w:rPr>
          <w:rFonts w:ascii="Arial" w:cs="Arial" w:eastAsia="Arial" w:hAnsi="Arial"/>
          <w:sz w:val="18"/>
          <w:szCs w:val="18"/>
          <w:color w:val="auto"/>
        </w:rPr>
      </w:pPr>
    </w:p>
    <w:p>
      <w:pPr>
        <w:ind w:left="1800" w:right="659" w:hanging="180"/>
        <w:spacing w:after="0" w:line="274"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the Earnback Period following the Closing, the Sponsor has subjected 17,250,000 shares of issued and outstanding Class A common stock, comprised of three separate tranches of</w:t>
      </w:r>
    </w:p>
    <w:p>
      <w:pPr>
        <w:ind w:left="1800" w:right="639"/>
        <w:spacing w:after="0" w:line="253" w:lineRule="auto"/>
        <w:rPr>
          <w:rFonts w:ascii="Arial" w:cs="Arial" w:eastAsia="Arial" w:hAnsi="Arial"/>
          <w:sz w:val="17"/>
          <w:szCs w:val="17"/>
          <w:color w:val="auto"/>
        </w:rPr>
      </w:pPr>
      <w:r>
        <w:rPr>
          <w:rFonts w:ascii="Arial" w:cs="Arial" w:eastAsia="Arial" w:hAnsi="Arial"/>
          <w:sz w:val="18"/>
          <w:szCs w:val="18"/>
          <w:color w:val="auto"/>
        </w:rPr>
        <w:t>5,750,000 shares per tranche, to potential forfeiture to Lucid Group for no consideration until the occurrence of the respective Earnback Triggering Events. As the Earnback Triggering Events have not yet been achieved, these issued and outstanding Sponsor Earnback Shares are treated as contingently recallable in the pro forma financial information; and</w:t>
      </w:r>
    </w:p>
    <w:p>
      <w:pPr>
        <w:spacing w:after="0" w:line="98" w:lineRule="exact"/>
        <w:rPr>
          <w:rFonts w:ascii="Arial" w:cs="Arial" w:eastAsia="Arial" w:hAnsi="Arial"/>
          <w:sz w:val="17"/>
          <w:szCs w:val="17"/>
          <w:color w:val="auto"/>
        </w:rPr>
      </w:pPr>
    </w:p>
    <w:p>
      <w:pPr>
        <w:ind w:left="1800" w:right="479" w:hanging="180"/>
        <w:spacing w:after="0" w:line="254"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Earnback Period following the Closing, the Sponsor has subjected 14,783,333 warrants of issued and outstanding Lucid Group Warrants underlying Class A common stock, comprised of three separate tranches of (i) 4,927,778 warrants, (ii) 4,927,778 warrants, and (iii) 4,927,777 warrants, respectively, to potential forfeiture to Lucid Group for no consideration until the occurrence of the respective Earnback Triggering Events. As the Earnback Triggering Events have not yet been achieved, these issued and outstanding Sponsor Earnback Warrants are treated as contingently recallable in the pro forma financial information.</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Financing Events</w:t>
      </w:r>
    </w:p>
    <w:p>
      <w:pPr>
        <w:spacing w:after="0" w:line="148"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A financing event consummated by Lucid that is not yet reflected in the historical financial information of Lucid and is considered a material transaction separate from the Transactions is summarized below:</w:t>
      </w:r>
    </w:p>
    <w:p>
      <w:pPr>
        <w:spacing w:after="0" w:line="39" w:lineRule="exact"/>
        <w:rPr>
          <w:sz w:val="20"/>
          <w:szCs w:val="20"/>
          <w:color w:val="auto"/>
        </w:rPr>
      </w:pPr>
    </w:p>
    <w:p>
      <w:pPr>
        <w:ind w:left="1800" w:right="41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issuance and sale of 25,306,130 Lucid Series E Preferred Shares in April 2021 at a purchase price of approximately $7.90 per share for an aggregate purchase price of $200.0 million.</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Expected Accounting Treatment of the Transactions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99"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Lucid has been determined to be the accounting acquirer based on evaluation of the following facts and circumstances under both the no and maximum redemption scenarios:</w:t>
      </w:r>
    </w:p>
    <w:p>
      <w:pPr>
        <w:spacing w:after="0" w:line="63"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Lucid shareholders will have a relative majority of the voting power of Lucid Group;</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of directors of Lucid Group will have nine members, and Lucid shareholders will have the ability to nominate the majority of the members of the board of directors;</w:t>
      </w:r>
    </w:p>
    <w:p>
      <w:pPr>
        <w:spacing w:after="0" w:line="62"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Lucid’s senior management will comprise the senior management roles of Lucid Group and be responsible for the day-to-day operations;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Lucid Group will assume the Lucid name; and</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intended strategy and operations of Lucid Group will continue Lucid’s current strategy and operations to develop the next generation of electric vehicle technology.</w:t>
      </w:r>
    </w:p>
    <w:p>
      <w:pPr>
        <w:spacing w:after="0" w:line="8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We expect the contingently forfeitable Sponsor Earnback Shares to be accounted for as equity classified instruments following the Closing as the Earnback Triggering Events that determine the number of Earnback Shares earned upon settlement or forfeited upon expiration only include events and adjustments that are considered solely indexed to the fair value of Class A common stock.</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expect the Private Placement Warrants held by the Sponsor to remain liability classified instruments following the Closing, which will require the Private Placement Warrants to be recognized at fair value upon the Closing and remeasured to fair value at each balance sheet date in future reporting periods with changes in fair value recorded in the Lucid Group consolidated statement of operations. We also expect the Public Warrants to be reclassified from liability classified instruments to equity classified instruments following the Closing.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Pro Forma Presentation</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unaudited pro forma condensed combined financial information has been prepared in accordance with Article 11 of Regulation S-X. The adjustments in the unaudited pro forma condensed combined financial information have been identified and presented to provide relevant information in accordance with GAAP necessary for an illustrative understanding of Lucid Group upon consummation of the Transactions. Assumptions and estimates underlying the unaudited pro forma adjustments set forth in the unaudited pro forma condensed combined financial information are described in the accompanying notes.</w:t>
      </w:r>
    </w:p>
    <w:p>
      <w:pPr>
        <w:spacing w:after="0" w:line="97"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unaudited pro forma condensed combined financial information has been presented for illustrative purposes only and is not necessarily indicative of the operating results and financial position that would have been achieved had the Transactions occurred on the dates indicated, and does not reflect adjustments for any anticipated synergies, operating efficiencies, tax savings or cost savings. Any cash proceeds remaining after the consummation of the Transactions and the other related events contemplated by the Merger Agreement are expected to be used for general corporate purposes. The unaudited pro forma condensed</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combined financial information does not purport to project the future operating results or financial position of Lucid Group following the completion of the Transactions. The unaudited pro forma adjustments represent management’s estimates based on information available as of the date of these unaudited</w:t>
      </w:r>
    </w:p>
    <w:p>
      <w:pPr>
        <w:ind w:left="1260" w:right="479"/>
        <w:spacing w:after="0" w:line="253" w:lineRule="auto"/>
        <w:rPr>
          <w:sz w:val="20"/>
          <w:szCs w:val="20"/>
          <w:color w:val="auto"/>
        </w:rPr>
      </w:pPr>
      <w:r>
        <w:rPr>
          <w:rFonts w:ascii="Arial" w:cs="Arial" w:eastAsia="Arial" w:hAnsi="Arial"/>
          <w:sz w:val="18"/>
          <w:szCs w:val="18"/>
          <w:color w:val="auto"/>
        </w:rPr>
        <w:t>pro forma condensed combined financial information and are subject to change as additional information becomes available and analyses are performed. Churchill and Lucid have not had any historical relationship prior to the transactions. Accordingly, no pro forma adjustments were required to eliminate activities between the companies.</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unaudited pro forma condensed combined financial information reflects Churchill stockholders’ approval of the Transactions on July 22, 2021 and the redemption of 21,644 public shares of Churchill’s Class A common stock at approximately $10.00 per share based on trust account figures prior to the Closing on July 23, 2021 for an aggregate payment of $0.2 million.</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summarizes Class A common stock issued and outstanding immediately after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Closing on July 23, 2021:</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shareholders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-188595</wp:posOffset>
            </wp:positionV>
            <wp:extent cx="4749165"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line="238" w:lineRule="auto"/>
        <w:rPr>
          <w:sz w:val="20"/>
          <w:szCs w:val="20"/>
          <w:color w:val="auto"/>
        </w:rPr>
      </w:pPr>
      <w:r>
        <w:rPr>
          <w:rFonts w:ascii="Arial" w:cs="Arial" w:eastAsia="Arial" w:hAnsi="Arial"/>
          <w:sz w:val="18"/>
          <w:szCs w:val="18"/>
          <w:color w:val="auto"/>
        </w:rPr>
        <w:t>Churchill Sponsor</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-25400</wp:posOffset>
            </wp:positionV>
            <wp:extent cx="4749165"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7"/>
          <w:szCs w:val="17"/>
          <w:color w:val="auto"/>
        </w:rPr>
        <w:t>Churchill public stockholders</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Investors</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-10795</wp:posOffset>
            </wp:positionV>
            <wp:extent cx="474916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Total</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1234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819"/>
        <w:spacing w:after="0"/>
        <w:rPr>
          <w:sz w:val="20"/>
          <w:szCs w:val="20"/>
          <w:color w:val="auto"/>
        </w:rPr>
      </w:pPr>
      <w:r>
        <w:rPr>
          <w:rFonts w:ascii="Arial" w:cs="Arial" w:eastAsia="Arial" w:hAnsi="Arial"/>
          <w:sz w:val="14"/>
          <w:szCs w:val="14"/>
          <w:b w:val="1"/>
          <w:bCs w:val="1"/>
          <w:color w:val="auto"/>
        </w:rPr>
        <w:t>Share Ownership in Lucid</w:t>
      </w:r>
    </w:p>
    <w:p>
      <w:pPr>
        <w:spacing w:after="0" w:line="17" w:lineRule="exact"/>
        <w:rPr>
          <w:sz w:val="20"/>
          <w:szCs w:val="20"/>
          <w:color w:val="auto"/>
        </w:rPr>
      </w:pPr>
    </w:p>
    <w:p>
      <w:pPr>
        <w:jc w:val="center"/>
        <w:ind w:right="819"/>
        <w:spacing w:after="0"/>
        <w:rPr>
          <w:sz w:val="20"/>
          <w:szCs w:val="20"/>
          <w:color w:val="auto"/>
        </w:rPr>
      </w:pPr>
      <w:r>
        <w:rPr>
          <w:rFonts w:ascii="Arial" w:cs="Arial" w:eastAsia="Arial" w:hAnsi="Arial"/>
          <w:sz w:val="14"/>
          <w:szCs w:val="14"/>
          <w:b w:val="1"/>
          <w:bCs w:val="1"/>
          <w:color w:val="auto"/>
        </w:rPr>
        <w:t>Group</w:t>
      </w:r>
    </w:p>
    <w:p>
      <w:pPr>
        <w:spacing w:after="0" w:line="1"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Pro Forma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2255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Number of</w:t>
            </w:r>
          </w:p>
        </w:tc>
        <w:tc>
          <w:tcPr>
            <w:tcW w:w="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040" w:type="dxa"/>
            <w:vAlign w:val="bottom"/>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5"/>
          </w:tcPr>
          <w:p>
            <w:pPr>
              <w:jc w:val="center"/>
              <w:ind w:left="116"/>
              <w:spacing w:after="0"/>
              <w:rPr>
                <w:sz w:val="20"/>
                <w:szCs w:val="20"/>
                <w:color w:val="auto"/>
              </w:rPr>
            </w:pPr>
            <w:r>
              <w:rPr>
                <w:rFonts w:ascii="Arial" w:cs="Arial" w:eastAsia="Arial" w:hAnsi="Arial"/>
                <w:sz w:val="14"/>
                <w:szCs w:val="14"/>
                <w:b w:val="1"/>
                <w:bCs w:val="1"/>
                <w:color w:val="auto"/>
                <w:w w:val="91"/>
              </w:rPr>
              <w:t>Ownership</w:t>
            </w:r>
          </w:p>
        </w:tc>
      </w:tr>
      <w:tr>
        <w:trPr>
          <w:trHeight w:val="26"/>
        </w:trPr>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1040" w:type="dxa"/>
            <w:vAlign w:val="bottom"/>
          </w:tcPr>
          <w:p>
            <w:pPr>
              <w:jc w:val="right"/>
              <w:spacing w:after="0"/>
              <w:rPr>
                <w:sz w:val="20"/>
                <w:szCs w:val="20"/>
                <w:color w:val="auto"/>
              </w:rPr>
            </w:pPr>
            <w:r>
              <w:rPr>
                <w:rFonts w:ascii="Arial" w:cs="Arial" w:eastAsia="Arial" w:hAnsi="Arial"/>
                <w:sz w:val="18"/>
                <w:szCs w:val="18"/>
                <w:color w:val="auto"/>
                <w:w w:val="88"/>
              </w:rPr>
              <w:t>1,193,226,511</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73.7%</w:t>
            </w: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51,750,000</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1040" w:type="dxa"/>
            <w:vAlign w:val="bottom"/>
          </w:tcPr>
          <w:p>
            <w:pPr>
              <w:jc w:val="right"/>
              <w:spacing w:after="0"/>
              <w:rPr>
                <w:sz w:val="20"/>
                <w:szCs w:val="20"/>
                <w:color w:val="auto"/>
              </w:rPr>
            </w:pPr>
            <w:r>
              <w:rPr>
                <w:rFonts w:ascii="Arial" w:cs="Arial" w:eastAsia="Arial" w:hAnsi="Arial"/>
                <w:sz w:val="18"/>
                <w:szCs w:val="18"/>
                <w:color w:val="auto"/>
              </w:rPr>
              <w:t>206,978,356</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12.8%</w:t>
            </w:r>
          </w:p>
        </w:tc>
      </w:tr>
      <w:tr>
        <w:trPr>
          <w:trHeight w:val="277"/>
        </w:trPr>
        <w:tc>
          <w:tcPr>
            <w:tcW w:w="1040" w:type="dxa"/>
            <w:vAlign w:val="bottom"/>
          </w:tcPr>
          <w:p>
            <w:pPr>
              <w:jc w:val="right"/>
              <w:spacing w:after="0"/>
              <w:rPr>
                <w:sz w:val="20"/>
                <w:szCs w:val="20"/>
                <w:color w:val="auto"/>
              </w:rPr>
            </w:pPr>
            <w:r>
              <w:rPr>
                <w:rFonts w:ascii="Arial" w:cs="Arial" w:eastAsia="Arial" w:hAnsi="Arial"/>
                <w:sz w:val="18"/>
                <w:szCs w:val="18"/>
                <w:color w:val="auto"/>
              </w:rPr>
              <w:t>166,666,667</w:t>
            </w:r>
          </w:p>
        </w:tc>
        <w:tc>
          <w:tcPr>
            <w:tcW w:w="340" w:type="dxa"/>
            <w:vAlign w:val="bottom"/>
            <w:gridSpan w:val="2"/>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w w:val="88"/>
              </w:rPr>
              <w:t>1,618,621,534</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100.0%</w:t>
            </w:r>
          </w:p>
        </w:tc>
      </w:tr>
    </w:tbl>
    <w:p>
      <w:pPr>
        <w:spacing w:after="0" w:line="243" w:lineRule="exact"/>
        <w:rPr>
          <w:sz w:val="20"/>
          <w:szCs w:val="20"/>
          <w:color w:val="auto"/>
        </w:rPr>
      </w:pPr>
    </w:p>
    <w:p>
      <w:pPr>
        <w:sectPr>
          <w:pgSz w:w="11900" w:h="16838" w:orient="portrait"/>
          <w:cols w:equalWidth="0" w:num="2">
            <w:col w:w="6460" w:space="720"/>
            <w:col w:w="2699"/>
          </w:cols>
          <w:pgMar w:left="580" w:top="132" w:right="1440" w:bottom="1440" w:gutter="0" w:footer="0" w:header="0"/>
          <w:type w:val="continuous"/>
        </w:sectPr>
      </w:pPr>
    </w:p>
    <w:p>
      <w:pPr>
        <w:spacing w:after="0" w:line="147" w:lineRule="exact"/>
        <w:rPr>
          <w:sz w:val="20"/>
          <w:szCs w:val="20"/>
          <w:color w:val="auto"/>
        </w:rPr>
      </w:pPr>
    </w:p>
    <w:p>
      <w:pPr>
        <w:ind w:left="1620" w:right="819" w:hanging="360"/>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111,531,080 shares of Class A common stock to be reserved for potential future issuance upon the exercise of Lucid Group Options or settlement of Lucid Group RSUs.</w:t>
      </w:r>
    </w:p>
    <w:p>
      <w:pPr>
        <w:spacing w:after="0" w:line="21" w:lineRule="exact"/>
        <w:rPr>
          <w:rFonts w:ascii="Arial" w:cs="Arial" w:eastAsia="Arial" w:hAnsi="Arial"/>
          <w:sz w:val="18"/>
          <w:szCs w:val="18"/>
          <w:color w:val="auto"/>
        </w:rPr>
      </w:pPr>
    </w:p>
    <w:p>
      <w:pPr>
        <w:ind w:left="1620" w:right="439" w:hanging="360"/>
        <w:spacing w:after="0" w:line="279"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51,750,000 shares beneficially owned by the Sponsor includes the 17,250,000 Sponsor Earnback Shares, which have been restricted from transfer, subject to the occurrence of the Earnback Triggering Events during the Earnback Period. Any such shares not released from these transfer restrictions during the Earnback Period will be forfeited back to Lucid Group for no consideration.</w:t>
      </w:r>
    </w:p>
    <w:p>
      <w:pPr>
        <w:spacing w:after="0" w:line="36" w:lineRule="exact"/>
        <w:rPr>
          <w:rFonts w:ascii="Arial" w:cs="Arial" w:eastAsia="Arial" w:hAnsi="Arial"/>
          <w:sz w:val="17"/>
          <w:szCs w:val="17"/>
          <w:color w:val="auto"/>
        </w:rPr>
      </w:pPr>
    </w:p>
    <w:p>
      <w:pPr>
        <w:ind w:left="1620" w:right="479" w:hanging="360"/>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sale and issuance of 166,666,667 shares of Class A common stock to the PIPE Investors at $15.00 per share, of which Ayar has agreed to purchase 13,333,333 of such shares.</w:t>
      </w:r>
    </w:p>
    <w:p>
      <w:pPr>
        <w:spacing w:after="0" w:line="21" w:lineRule="exact"/>
        <w:rPr>
          <w:rFonts w:ascii="Arial" w:cs="Arial" w:eastAsia="Arial" w:hAnsi="Arial"/>
          <w:sz w:val="18"/>
          <w:szCs w:val="18"/>
          <w:color w:val="auto"/>
        </w:rPr>
      </w:pPr>
    </w:p>
    <w:p>
      <w:pPr>
        <w:ind w:left="1620" w:right="479" w:hanging="360"/>
        <w:spacing w:after="0" w:line="25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the 85,750,000 warrants issued and outstanding, which includes the 41,400,000 Public Warrants and the 44,350,000 Private Placement Warrants held by the Sponsor, of which 1,500,000 Private Placement Warrants held by the Sponsor were issued pursuant to the Sponsor exercising the option to convert the unpaid balance of the issued and outstanding Note into Working Capital Warrants at a price of $1.00 per warrant. The 44,350,000 private warrants beneficially owned by the Sponsor includes the 14,783,333 Sponsor Earnback Warrants, which have been restricted from transfer, subject to the occurrence of the Earnback Triggering Events during the Earnback Period. Any such warrants not released from these transfer restrictions during the Earnback Period will be forfeited back to Lucid Group for no consideration.</w:t>
      </w:r>
    </w:p>
    <w:p>
      <w:pPr>
        <w:spacing w:after="0" w:line="129"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The unaudited pro forma condensed combined balance sheet and statements of operations are based on the assumption that there are no exercises of the issued and outstanding warrants issued in connection with the Churchill IPO as such securities are not exercisable until 30 days after the Closing. There are also no adjustments for the issued and outstanding Lucid Group Awards underlying 111,531,080 shares reserved for the potential future issuance of Class A common stock, as such events have not yet occurred.</w:t>
      </w:r>
    </w:p>
    <w:p>
      <w:pPr>
        <w:spacing w:after="0" w:line="95"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condensed combined financial information will be different and those changes could be material.</w:t>
      </w:r>
    </w:p>
    <w:p>
      <w:pPr>
        <w:sectPr>
          <w:pgSz w:w="11900" w:h="16838" w:orient="portrait"/>
          <w:cols w:equalWidth="0" w:num="1">
            <w:col w:w="9879"/>
          </w:cols>
          <w:pgMar w:left="580" w:top="132" w:right="1440" w:bottom="1440" w:gutter="0" w:footer="0" w:header="0"/>
          <w:type w:val="continuous"/>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Transaction</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b w:val="1"/>
                <w:bCs w:val="1"/>
                <w:color w:val="auto"/>
                <w:w w:val="87"/>
              </w:rPr>
              <w:t>Historical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Financing</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Accounting</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Pro Forma</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b w:val="1"/>
                <w:bCs w:val="1"/>
                <w:color w:val="auto"/>
                <w:w w:val="95"/>
              </w:rPr>
              <w:t>Churchill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Lucid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Events</w:t>
            </w:r>
          </w:p>
        </w:tc>
        <w:tc>
          <w:tcPr>
            <w:tcW w:w="14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6"/>
                <w:szCs w:val="16"/>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Combined</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809,978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92,920</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2,070,267</w:t>
            </w:r>
          </w:p>
        </w:tc>
        <w:tc>
          <w:tcPr>
            <w:tcW w:w="48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5,298,017</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2,500,000</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C</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(175,000)</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E</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F</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25,623</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26,469</w:t>
            </w:r>
          </w:p>
        </w:tc>
        <w:tc>
          <w:tcPr>
            <w:tcW w:w="10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25,551</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25,551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380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868,604</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92,920</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4,393,051</w:t>
            </w: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5,357,489</w:t>
            </w:r>
          </w:p>
        </w:tc>
        <w:tc>
          <w:tcPr>
            <w:tcW w:w="10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790,794</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790,794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2,070,267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(2,070,267)</w:t>
            </w:r>
          </w:p>
        </w:tc>
        <w:tc>
          <w:tcPr>
            <w:tcW w:w="48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B</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109,122</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109,122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31,266</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31,266</w:t>
            </w:r>
          </w:p>
        </w:tc>
        <w:tc>
          <w:tcPr>
            <w:tcW w:w="100" w:type="dxa"/>
            <w:vAlign w:val="bottom"/>
            <w:shd w:val="clear" w:color="auto" w:fill="CCEEFF"/>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2,073,181</w:t>
            </w:r>
          </w:p>
        </w:tc>
        <w:tc>
          <w:tcPr>
            <w:tcW w:w="20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1,799,786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92,920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2,322,784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6,288,671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3800" w:type="dxa"/>
            <w:vAlign w:val="bottom"/>
            <w:tcBorders>
              <w:right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LIABILITIES, PREFERRED SHARES AND</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19,843</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Convertible promissory note – related party,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G</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net of discount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4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 liability</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107,080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(107,080)</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122,921</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122,921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380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259,073</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(107,080)</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153,518</w:t>
            </w:r>
          </w:p>
        </w:tc>
        <w:tc>
          <w:tcPr>
            <w:tcW w:w="10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(72,450)</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D</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forward contract liability</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1,164,610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(1,164,610)</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1,012,267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G</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552,157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(461,610)</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H</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148,917</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148,917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liabilities</w:t>
            </w: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380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1,086,542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1,572,838</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(1,271,690)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(532,860)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854,830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Lucid Preferred Shares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4,454,811</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1,364,610</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(5,819,421)</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I</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3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Churchill’s Class A common stock subject to</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F</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2,070,000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48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(2,069,784)</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K</w:t>
            </w:r>
          </w:p>
        </w:tc>
        <w:tc>
          <w:tcPr>
            <w:tcW w:w="1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gridSpan w:val="3"/>
          </w:tcPr>
          <w:p>
            <w:pPr>
              <w:jc w:val="center"/>
              <w:ind w:right="511"/>
              <w:spacing w:after="0"/>
              <w:rPr>
                <w:sz w:val="20"/>
                <w:szCs w:val="20"/>
                <w:color w:val="auto"/>
              </w:rPr>
            </w:pPr>
            <w:r>
              <w:rPr>
                <w:rFonts w:ascii="Arial" w:cs="Arial" w:eastAsia="Arial" w:hAnsi="Arial"/>
                <w:sz w:val="18"/>
                <w:szCs w:val="18"/>
                <w:color w:val="auto"/>
                <w:w w:val="99"/>
              </w:rPr>
              <w:t>64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6389370</wp:posOffset>
            </wp:positionH>
            <wp:positionV relativeFrom="paragraph">
              <wp:posOffset>-2596515</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-2596515</wp:posOffset>
            </wp:positionV>
            <wp:extent cx="3943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-2596515</wp:posOffset>
            </wp:positionV>
            <wp:extent cx="3943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-2596515</wp:posOffset>
            </wp:positionV>
            <wp:extent cx="939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-2596515</wp:posOffset>
            </wp:positionV>
            <wp:extent cx="30346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34665"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-5014595</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-5014595</wp:posOffset>
            </wp:positionV>
            <wp:extent cx="3943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-5014595</wp:posOffset>
            </wp:positionV>
            <wp:extent cx="3943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-5014595</wp:posOffset>
            </wp:positionV>
            <wp:extent cx="93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-5014595</wp:posOffset>
            </wp:positionV>
            <wp:extent cx="30346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34665"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-6762750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-6762750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-6762750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-6762750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-6762750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-6762750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-6762750</wp:posOffset>
            </wp:positionV>
            <wp:extent cx="30257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Pro Forma Condensed Combined Balance Sheet — (continued)</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Transaction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Historical</w:t>
            </w: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Financing</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Accounting</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Churchill</w:t>
            </w:r>
          </w:p>
        </w:tc>
        <w:tc>
          <w:tcPr>
            <w:tcW w:w="10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Lucid</w:t>
            </w:r>
          </w:p>
        </w:tc>
        <w:tc>
          <w:tcPr>
            <w:tcW w:w="10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Events   Notes</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Adjustments</w:t>
            </w:r>
          </w:p>
        </w:tc>
        <w:tc>
          <w:tcPr>
            <w:tcW w:w="58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87"/>
              </w:rPr>
              <w:t>Notes</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6"/>
        </w:trPr>
        <w:tc>
          <w:tcPr>
            <w:tcW w:w="4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0"/>
                <w:szCs w:val="20"/>
                <w:color w:val="auto"/>
              </w:rPr>
            </w:pPr>
            <w:r>
              <w:rPr>
                <w:rFonts w:ascii="Arial" w:cs="Arial" w:eastAsia="Arial" w:hAnsi="Arial"/>
                <w:sz w:val="18"/>
                <w:szCs w:val="18"/>
                <w:color w:val="auto"/>
              </w:rPr>
              <w:t>Lucid Common Shares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580" w:type="dxa"/>
            <w:vAlign w:val="bottom"/>
            <w:gridSpan w:val="3"/>
            <w:shd w:val="clear" w:color="auto" w:fill="CCEEFF"/>
          </w:tcPr>
          <w:p>
            <w:pPr>
              <w:jc w:val="center"/>
              <w:ind w:right="148"/>
              <w:spacing w:after="0"/>
              <w:rPr>
                <w:sz w:val="20"/>
                <w:szCs w:val="20"/>
                <w:color w:val="auto"/>
              </w:rPr>
            </w:pPr>
            <w:r>
              <w:rPr>
                <w:rFonts w:ascii="Arial" w:cs="Arial" w:eastAsia="Arial" w:hAnsi="Arial"/>
                <w:sz w:val="18"/>
                <w:szCs w:val="18"/>
                <w:b w:val="1"/>
                <w:bCs w:val="1"/>
                <w:color w:val="auto"/>
                <w:w w:val="79"/>
              </w:rPr>
              <w:t>J</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Churchill’s Class B common stock</w:t>
            </w: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580" w:type="dxa"/>
            <w:vAlign w:val="bottom"/>
            <w:gridSpan w:val="3"/>
          </w:tcPr>
          <w:p>
            <w:pPr>
              <w:jc w:val="center"/>
              <w:ind w:right="148"/>
              <w:spacing w:after="0"/>
              <w:rPr>
                <w:sz w:val="20"/>
                <w:szCs w:val="20"/>
                <w:color w:val="auto"/>
              </w:rPr>
            </w:pPr>
            <w:r>
              <w:rPr>
                <w:rFonts w:ascii="Arial" w:cs="Arial" w:eastAsia="Arial" w:hAnsi="Arial"/>
                <w:sz w:val="18"/>
                <w:szCs w:val="18"/>
                <w:b w:val="1"/>
                <w:bCs w:val="1"/>
                <w:color w:val="auto"/>
              </w:rPr>
              <w:t>L</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580" w:type="dxa"/>
            <w:vAlign w:val="bottom"/>
            <w:gridSpan w:val="3"/>
            <w:shd w:val="clear" w:color="auto" w:fill="CCEEFF"/>
          </w:tcPr>
          <w:p>
            <w:pPr>
              <w:jc w:val="center"/>
              <w:ind w:right="148"/>
              <w:spacing w:after="0"/>
              <w:rPr>
                <w:sz w:val="20"/>
                <w:szCs w:val="20"/>
                <w:color w:val="auto"/>
              </w:rPr>
            </w:pPr>
            <w:r>
              <w:rPr>
                <w:rFonts w:ascii="Arial" w:cs="Arial" w:eastAsia="Arial" w:hAnsi="Arial"/>
                <w:sz w:val="18"/>
                <w:szCs w:val="18"/>
                <w:b w:val="1"/>
                <w:bCs w:val="1"/>
                <w:color w:val="auto"/>
                <w:w w:val="91"/>
              </w:rPr>
              <w:t>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580" w:type="dxa"/>
            <w:vAlign w:val="bottom"/>
            <w:gridSpan w:val="3"/>
          </w:tcPr>
          <w:p>
            <w:pPr>
              <w:jc w:val="center"/>
              <w:ind w:right="148"/>
              <w:spacing w:after="0"/>
              <w:rPr>
                <w:sz w:val="20"/>
                <w:szCs w:val="20"/>
                <w:color w:val="auto"/>
              </w:rPr>
            </w:pPr>
            <w:r>
              <w:rPr>
                <w:rFonts w:ascii="Arial" w:cs="Arial" w:eastAsia="Arial" w:hAnsi="Arial"/>
                <w:sz w:val="18"/>
                <w:szCs w:val="18"/>
                <w:b w:val="1"/>
                <w:bCs w:val="1"/>
                <w:color w:val="auto"/>
                <w:w w:val="79"/>
              </w:rPr>
              <w:t>J</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580" w:type="dxa"/>
            <w:vAlign w:val="bottom"/>
            <w:gridSpan w:val="3"/>
            <w:shd w:val="clear" w:color="auto" w:fill="CCEEFF"/>
          </w:tcPr>
          <w:p>
            <w:pPr>
              <w:jc w:val="center"/>
              <w:ind w:right="168"/>
              <w:spacing w:after="0"/>
              <w:rPr>
                <w:sz w:val="20"/>
                <w:szCs w:val="20"/>
                <w:color w:val="auto"/>
              </w:rPr>
            </w:pPr>
            <w:r>
              <w:rPr>
                <w:rFonts w:ascii="Arial" w:cs="Arial" w:eastAsia="Arial" w:hAnsi="Arial"/>
                <w:sz w:val="18"/>
                <w:szCs w:val="18"/>
                <w:b w:val="1"/>
                <w:bCs w:val="1"/>
                <w:color w:val="auto"/>
              </w:rPr>
              <w:t>K</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580" w:type="dxa"/>
            <w:vAlign w:val="bottom"/>
            <w:gridSpan w:val="3"/>
          </w:tcPr>
          <w:p>
            <w:pPr>
              <w:jc w:val="center"/>
              <w:ind w:right="148"/>
              <w:spacing w:after="0"/>
              <w:rPr>
                <w:sz w:val="20"/>
                <w:szCs w:val="20"/>
                <w:color w:val="auto"/>
              </w:rPr>
            </w:pPr>
            <w:r>
              <w:rPr>
                <w:rFonts w:ascii="Arial" w:cs="Arial" w:eastAsia="Arial" w:hAnsi="Arial"/>
                <w:sz w:val="18"/>
                <w:szCs w:val="18"/>
                <w:b w:val="1"/>
                <w:bCs w:val="1"/>
                <w:color w:val="auto"/>
              </w:rPr>
              <w:t>L</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6,198</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2,499,983</w:t>
            </w:r>
          </w:p>
        </w:tc>
        <w:tc>
          <w:tcPr>
            <w:tcW w:w="580" w:type="dxa"/>
            <w:vAlign w:val="bottom"/>
            <w:gridSpan w:val="3"/>
            <w:shd w:val="clear" w:color="auto" w:fill="CCEEFF"/>
          </w:tcPr>
          <w:p>
            <w:pPr>
              <w:jc w:val="center"/>
              <w:ind w:right="148"/>
              <w:spacing w:after="0"/>
              <w:rPr>
                <w:sz w:val="20"/>
                <w:szCs w:val="20"/>
                <w:color w:val="auto"/>
              </w:rPr>
            </w:pPr>
            <w:r>
              <w:rPr>
                <w:rFonts w:ascii="Arial" w:cs="Arial" w:eastAsia="Arial" w:hAnsi="Arial"/>
                <w:sz w:val="18"/>
                <w:szCs w:val="18"/>
                <w:b w:val="1"/>
                <w:bCs w:val="1"/>
                <w:color w:val="auto"/>
                <w:w w:val="91"/>
              </w:rPr>
              <w:t>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9,672,854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(99,437)</w:t>
            </w:r>
          </w:p>
        </w:tc>
        <w:tc>
          <w:tcPr>
            <w:tcW w:w="580" w:type="dxa"/>
            <w:vAlign w:val="bottom"/>
            <w:gridSpan w:val="3"/>
          </w:tcPr>
          <w:p>
            <w:pPr>
              <w:jc w:val="center"/>
              <w:ind w:right="148"/>
              <w:spacing w:after="0"/>
              <w:rPr>
                <w:sz w:val="20"/>
                <w:szCs w:val="20"/>
                <w:color w:val="auto"/>
              </w:rPr>
            </w:pPr>
            <w:r>
              <w:rPr>
                <w:rFonts w:ascii="Arial" w:cs="Arial" w:eastAsia="Arial" w:hAnsi="Arial"/>
                <w:sz w:val="18"/>
                <w:szCs w:val="18"/>
                <w:b w:val="1"/>
                <w:bCs w:val="1"/>
                <w:color w:val="auto"/>
                <w:w w:val="91"/>
              </w:rPr>
              <w:t>D</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580" w:type="dxa"/>
            <w:vAlign w:val="bottom"/>
            <w:gridSpan w:val="3"/>
            <w:shd w:val="clear" w:color="auto" w:fill="CCEEFF"/>
          </w:tcPr>
          <w:p>
            <w:pPr>
              <w:jc w:val="center"/>
              <w:ind w:right="168"/>
              <w:spacing w:after="0"/>
              <w:rPr>
                <w:sz w:val="20"/>
                <w:szCs w:val="20"/>
                <w:color w:val="auto"/>
              </w:rPr>
            </w:pPr>
            <w:r>
              <w:rPr>
                <w:rFonts w:ascii="Arial" w:cs="Arial" w:eastAsia="Arial" w:hAnsi="Arial"/>
                <w:sz w:val="18"/>
                <w:szCs w:val="18"/>
                <w:b w:val="1"/>
                <w:bCs w:val="1"/>
                <w:color w:val="auto"/>
                <w:w w:val="99"/>
              </w:rPr>
              <w:t>G</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461,610</w:t>
            </w:r>
          </w:p>
        </w:tc>
        <w:tc>
          <w:tcPr>
            <w:tcW w:w="580" w:type="dxa"/>
            <w:vAlign w:val="bottom"/>
            <w:gridSpan w:val="3"/>
          </w:tcPr>
          <w:p>
            <w:pPr>
              <w:jc w:val="center"/>
              <w:ind w:right="168"/>
              <w:spacing w:after="0"/>
              <w:rPr>
                <w:sz w:val="20"/>
                <w:szCs w:val="20"/>
                <w:color w:val="auto"/>
              </w:rPr>
            </w:pPr>
            <w:r>
              <w:rPr>
                <w:rFonts w:ascii="Arial" w:cs="Arial" w:eastAsia="Arial" w:hAnsi="Arial"/>
                <w:sz w:val="18"/>
                <w:szCs w:val="18"/>
                <w:b w:val="1"/>
                <w:bCs w:val="1"/>
                <w:color w:val="auto"/>
              </w:rPr>
              <w:t>H</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5,819,377</w:t>
            </w:r>
          </w:p>
        </w:tc>
        <w:tc>
          <w:tcPr>
            <w:tcW w:w="580" w:type="dxa"/>
            <w:vAlign w:val="bottom"/>
            <w:gridSpan w:val="3"/>
            <w:shd w:val="clear" w:color="auto" w:fill="CCEEFF"/>
          </w:tcPr>
          <w:p>
            <w:pPr>
              <w:jc w:val="center"/>
              <w:ind w:right="148"/>
              <w:spacing w:after="0"/>
              <w:rPr>
                <w:sz w:val="20"/>
                <w:szCs w:val="20"/>
                <w:color w:val="auto"/>
              </w:rPr>
            </w:pPr>
            <w:r>
              <w:rPr>
                <w:rFonts w:ascii="Arial" w:cs="Arial" w:eastAsia="Arial" w:hAnsi="Arial"/>
                <w:sz w:val="18"/>
                <w:szCs w:val="18"/>
                <w:b w:val="1"/>
                <w:bCs w:val="1"/>
                <w:color w:val="auto"/>
              </w:rPr>
              <w:t>I</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580" w:type="dxa"/>
            <w:vAlign w:val="bottom"/>
            <w:gridSpan w:val="3"/>
          </w:tcPr>
          <w:p>
            <w:pPr>
              <w:jc w:val="center"/>
              <w:ind w:right="148"/>
              <w:spacing w:after="0"/>
              <w:rPr>
                <w:sz w:val="20"/>
                <w:szCs w:val="20"/>
                <w:color w:val="auto"/>
              </w:rPr>
            </w:pPr>
            <w:r>
              <w:rPr>
                <w:rFonts w:ascii="Arial" w:cs="Arial" w:eastAsia="Arial" w:hAnsi="Arial"/>
                <w:sz w:val="18"/>
                <w:szCs w:val="18"/>
                <w:b w:val="1"/>
                <w:bCs w:val="1"/>
                <w:color w:val="auto"/>
                <w:w w:val="79"/>
              </w:rPr>
              <w:t>J</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2,069,763</w:t>
            </w:r>
          </w:p>
        </w:tc>
        <w:tc>
          <w:tcPr>
            <w:tcW w:w="580" w:type="dxa"/>
            <w:vAlign w:val="bottom"/>
            <w:gridSpan w:val="3"/>
            <w:shd w:val="clear" w:color="auto" w:fill="CCEEFF"/>
          </w:tcPr>
          <w:p>
            <w:pPr>
              <w:jc w:val="center"/>
              <w:ind w:right="168"/>
              <w:spacing w:after="0"/>
              <w:rPr>
                <w:sz w:val="20"/>
                <w:szCs w:val="20"/>
                <w:color w:val="auto"/>
              </w:rPr>
            </w:pPr>
            <w:r>
              <w:rPr>
                <w:rFonts w:ascii="Arial" w:cs="Arial" w:eastAsia="Arial" w:hAnsi="Arial"/>
                <w:sz w:val="18"/>
                <w:szCs w:val="18"/>
                <w:b w:val="1"/>
                <w:bCs w:val="1"/>
                <w:color w:val="auto"/>
              </w:rPr>
              <w:t>K</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(1,083,366)</w:t>
            </w:r>
          </w:p>
        </w:tc>
        <w:tc>
          <w:tcPr>
            <w:tcW w:w="580" w:type="dxa"/>
            <w:vAlign w:val="bottom"/>
            <w:gridSpan w:val="3"/>
          </w:tcPr>
          <w:p>
            <w:pPr>
              <w:jc w:val="center"/>
              <w:ind w:right="148"/>
              <w:spacing w:after="0"/>
              <w:rPr>
                <w:sz w:val="20"/>
                <w:szCs w:val="20"/>
                <w:color w:val="auto"/>
              </w:rPr>
            </w:pPr>
            <w:r>
              <w:rPr>
                <w:rFonts w:ascii="Arial" w:cs="Arial" w:eastAsia="Arial" w:hAnsi="Arial"/>
                <w:sz w:val="18"/>
                <w:szCs w:val="18"/>
                <w:b w:val="1"/>
                <w:bCs w:val="1"/>
                <w:color w:val="auto"/>
              </w:rPr>
              <w:t>M</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(1,083,366)</w:t>
            </w: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(4,234,062)</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(3,113)</w:t>
            </w:r>
          </w:p>
        </w:tc>
        <w:tc>
          <w:tcPr>
            <w:tcW w:w="580" w:type="dxa"/>
            <w:vAlign w:val="bottom"/>
            <w:gridSpan w:val="3"/>
            <w:shd w:val="clear" w:color="auto" w:fill="CCEEFF"/>
          </w:tcPr>
          <w:p>
            <w:pPr>
              <w:jc w:val="center"/>
              <w:ind w:right="148"/>
              <w:spacing w:after="0"/>
              <w:rPr>
                <w:sz w:val="20"/>
                <w:szCs w:val="20"/>
                <w:color w:val="auto"/>
              </w:rPr>
            </w:pPr>
            <w:r>
              <w:rPr>
                <w:rFonts w:ascii="Arial" w:cs="Arial" w:eastAsia="Arial" w:hAnsi="Arial"/>
                <w:sz w:val="18"/>
                <w:szCs w:val="18"/>
                <w:b w:val="1"/>
                <w:bCs w:val="1"/>
                <w:color w:val="auto"/>
                <w:w w:val="91"/>
              </w:rPr>
              <w:t>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(4,239,175)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580" w:type="dxa"/>
            <w:vAlign w:val="bottom"/>
            <w:gridSpan w:val="3"/>
          </w:tcPr>
          <w:p>
            <w:pPr>
              <w:jc w:val="center"/>
              <w:ind w:right="148"/>
              <w:spacing w:after="0"/>
              <w:rPr>
                <w:sz w:val="20"/>
                <w:szCs w:val="20"/>
                <w:color w:val="auto"/>
              </w:rPr>
            </w:pPr>
            <w:r>
              <w:rPr>
                <w:rFonts w:ascii="Arial" w:cs="Arial" w:eastAsia="Arial" w:hAnsi="Arial"/>
                <w:sz w:val="18"/>
                <w:szCs w:val="18"/>
                <w:b w:val="1"/>
                <w:bCs w:val="1"/>
                <w:color w:val="auto"/>
                <w:w w:val="99"/>
              </w:rPr>
              <w:t>E</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0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1,083,366</w:t>
            </w:r>
          </w:p>
        </w:tc>
        <w:tc>
          <w:tcPr>
            <w:tcW w:w="580" w:type="dxa"/>
            <w:vAlign w:val="bottom"/>
            <w:gridSpan w:val="3"/>
            <w:shd w:val="clear" w:color="auto" w:fill="CCEEFF"/>
          </w:tcPr>
          <w:p>
            <w:pPr>
              <w:jc w:val="center"/>
              <w:ind w:right="148"/>
              <w:spacing w:after="0"/>
              <w:rPr>
                <w:sz w:val="20"/>
                <w:szCs w:val="20"/>
                <w:color w:val="auto"/>
              </w:rPr>
            </w:pPr>
            <w:r>
              <w:rPr>
                <w:rFonts w:ascii="Arial" w:cs="Arial" w:eastAsia="Arial" w:hAnsi="Arial"/>
                <w:sz w:val="18"/>
                <w:szCs w:val="18"/>
                <w:b w:val="1"/>
                <w:bCs w:val="1"/>
                <w:color w:val="auto"/>
              </w:rPr>
              <w:t>M</w:t>
            </w:r>
          </w:p>
        </w:tc>
        <w:tc>
          <w:tcPr>
            <w:tcW w:w="7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(1,083,361)</w:t>
            </w: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(4,227,863)</w:t>
            </w:r>
          </w:p>
        </w:tc>
        <w:tc>
          <w:tcPr>
            <w:tcW w:w="100" w:type="dxa"/>
            <w:vAlign w:val="bottom"/>
          </w:tcPr>
          <w:p>
            <w:pPr>
              <w:spacing w:after="0"/>
              <w:rPr>
                <w:sz w:val="24"/>
                <w:szCs w:val="24"/>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10,745,065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5,433,841</w:t>
            </w:r>
          </w:p>
        </w:tc>
        <w:tc>
          <w:tcPr>
            <w:tcW w:w="0" w:type="dxa"/>
            <w:vAlign w:val="bottom"/>
          </w:tcPr>
          <w:p>
            <w:pPr>
              <w:spacing w:after="0"/>
              <w:rPr>
                <w:sz w:val="1"/>
                <w:szCs w:val="1"/>
                <w:color w:val="auto"/>
              </w:rPr>
            </w:pPr>
          </w:p>
        </w:tc>
      </w:tr>
      <w:tr>
        <w:trPr>
          <w:trHeight w:val="20"/>
        </w:trPr>
        <w:tc>
          <w:tcPr>
            <w:tcW w:w="40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 PREFERRED SHARES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40" w:type="dxa"/>
            <w:vAlign w:val="bottom"/>
            <w:tcBorders>
              <w:right w:val="single" w:sz="8" w:color="CCEEFF"/>
            </w:tcBorders>
            <w:vMerge w:val="continue"/>
            <w:shd w:val="clear" w:color="auto" w:fill="CCEEFF"/>
          </w:tcPr>
          <w:p>
            <w:pPr>
              <w:spacing w:after="0"/>
              <w:rPr>
                <w:sz w:val="23"/>
                <w:szCs w:val="2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4"/>
              </w:rPr>
              <w:t>2,073,181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4"/>
              </w:rPr>
              <w:t>1,799,786</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0"/>
              </w:rPr>
              <w:t>92,920</w:t>
            </w:r>
          </w:p>
        </w:tc>
        <w:tc>
          <w:tcPr>
            <w:tcW w:w="3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2,322,784</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6,288,671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AND STOCKHOLDERS’ EQUITY (DEFICIT)</w:t>
            </w:r>
          </w:p>
        </w:tc>
        <w:tc>
          <w:tcPr>
            <w:tcW w:w="80" w:type="dxa"/>
            <w:vAlign w:val="bottom"/>
            <w:vMerge w:val="continue"/>
            <w:shd w:val="clear" w:color="auto" w:fill="CCEEFF"/>
          </w:tcPr>
          <w:p>
            <w:pPr>
              <w:spacing w:after="0"/>
              <w:rPr>
                <w:sz w:val="22"/>
                <w:szCs w:val="22"/>
                <w:color w:val="auto"/>
              </w:rPr>
            </w:pPr>
          </w:p>
        </w:tc>
        <w:tc>
          <w:tcPr>
            <w:tcW w:w="94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92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60" w:type="dxa"/>
            <w:vAlign w:val="bottom"/>
            <w:gridSpan w:val="2"/>
            <w:vMerge w:val="continue"/>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940" w:type="dxa"/>
            <w:vAlign w:val="bottom"/>
            <w:gridSpan w:val="2"/>
            <w:vMerge w:val="continue"/>
            <w:shd w:val="clear" w:color="auto" w:fill="CCEEFF"/>
          </w:tcPr>
          <w:p>
            <w:pPr>
              <w:spacing w:after="0"/>
              <w:rPr>
                <w:sz w:val="22"/>
                <w:szCs w:val="22"/>
                <w:color w:val="auto"/>
              </w:rPr>
            </w:pPr>
          </w:p>
        </w:tc>
        <w:tc>
          <w:tcPr>
            <w:tcW w:w="580" w:type="dxa"/>
            <w:vAlign w:val="bottom"/>
            <w:gridSpan w:val="3"/>
            <w:vMerge w:val="continue"/>
            <w:shd w:val="clear" w:color="auto" w:fill="CCEEFF"/>
          </w:tcPr>
          <w:p>
            <w:pPr>
              <w:spacing w:after="0"/>
              <w:rPr>
                <w:sz w:val="22"/>
                <w:szCs w:val="22"/>
                <w:color w:val="auto"/>
              </w:rPr>
            </w:pPr>
          </w:p>
        </w:tc>
        <w:tc>
          <w:tcPr>
            <w:tcW w:w="780" w:type="dxa"/>
            <w:vAlign w:val="bottom"/>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-367665</wp:posOffset>
            </wp:positionV>
            <wp:extent cx="3943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-367665</wp:posOffset>
            </wp:positionV>
            <wp:extent cx="3943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-367665</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-367665</wp:posOffset>
            </wp:positionV>
            <wp:extent cx="32143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5840730</wp:posOffset>
            </wp:positionH>
            <wp:positionV relativeFrom="paragraph">
              <wp:posOffset>-3839845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-3839845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-3839845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-3839845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-3839845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-3839845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2" w:right="1039"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Transaction</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Historical</w:t>
            </w:r>
          </w:p>
        </w:tc>
        <w:tc>
          <w:tcPr>
            <w:tcW w:w="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Financing</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Accounting</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Churchill</w:t>
            </w:r>
          </w:p>
        </w:tc>
        <w:tc>
          <w:tcPr>
            <w:tcW w:w="10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Lucid</w:t>
            </w:r>
          </w:p>
        </w:tc>
        <w:tc>
          <w:tcPr>
            <w:tcW w:w="80" w:type="dxa"/>
            <w:vAlign w:val="bottom"/>
          </w:tcPr>
          <w:p>
            <w:pPr>
              <w:spacing w:after="0"/>
              <w:rPr>
                <w:sz w:val="16"/>
                <w:szCs w:val="16"/>
                <w:color w:val="auto"/>
              </w:rPr>
            </w:pPr>
          </w:p>
        </w:tc>
        <w:tc>
          <w:tcPr>
            <w:tcW w:w="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Events</w:t>
            </w:r>
          </w:p>
        </w:tc>
        <w:tc>
          <w:tcPr>
            <w:tcW w:w="12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0"/>
              </w:rPr>
              <w:t>Notes Adjustments</w:t>
            </w:r>
          </w:p>
        </w:tc>
        <w:tc>
          <w:tcPr>
            <w:tcW w:w="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Notes</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1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18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167,369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AA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5,891</w:t>
            </w:r>
          </w:p>
        </w:tc>
        <w:tc>
          <w:tcPr>
            <w:tcW w:w="80" w:type="dxa"/>
            <w:vAlign w:val="bottom"/>
          </w:tcPr>
          <w:p>
            <w:pPr>
              <w:spacing w:after="0"/>
              <w:rPr>
                <w:sz w:val="22"/>
                <w:szCs w:val="22"/>
                <w:color w:val="auto"/>
              </w:rPr>
            </w:pPr>
          </w:p>
        </w:tc>
        <w:tc>
          <w:tcPr>
            <w:tcW w:w="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BB</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131,652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AA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33,381</w:t>
            </w:r>
          </w:p>
        </w:tc>
        <w:tc>
          <w:tcPr>
            <w:tcW w:w="80" w:type="dxa"/>
            <w:vAlign w:val="bottom"/>
          </w:tcPr>
          <w:p>
            <w:pPr>
              <w:spacing w:after="0"/>
              <w:rPr>
                <w:sz w:val="22"/>
                <w:szCs w:val="22"/>
                <w:color w:val="auto"/>
              </w:rPr>
            </w:pPr>
          </w:p>
        </w:tc>
        <w:tc>
          <w:tcPr>
            <w:tcW w:w="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BB</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299,021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63,529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365,640</w:t>
            </w:r>
          </w:p>
        </w:tc>
        <w:tc>
          <w:tcPr>
            <w:tcW w:w="0" w:type="dxa"/>
            <w:vAlign w:val="bottom"/>
          </w:tcPr>
          <w:p>
            <w:pPr>
              <w:spacing w:after="0"/>
              <w:rPr>
                <w:sz w:val="1"/>
                <w:szCs w:val="1"/>
                <w:color w:val="auto"/>
              </w:rPr>
            </w:pPr>
          </w:p>
        </w:tc>
      </w:tr>
      <w:tr>
        <w:trPr>
          <w:trHeight w:val="20"/>
        </w:trPr>
        <w:tc>
          <w:tcPr>
            <w:tcW w:w="418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(298,793)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(63,529)</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(442,164)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80" w:type="dxa"/>
            <w:vAlign w:val="bottom"/>
            <w:gridSpan w:val="2"/>
          </w:tcPr>
          <w:p>
            <w:pPr>
              <w:ind w:left="180"/>
              <w:spacing w:after="0"/>
              <w:rPr>
                <w:sz w:val="20"/>
                <w:szCs w:val="20"/>
                <w:color w:val="auto"/>
              </w:rPr>
            </w:pPr>
            <w:r>
              <w:rPr>
                <w:rFonts w:ascii="Arial" w:cs="Arial" w:eastAsia="Arial" w:hAnsi="Arial"/>
                <w:sz w:val="18"/>
                <w:szCs w:val="18"/>
                <w:color w:val="auto"/>
                <w:w w:val="98"/>
              </w:rPr>
              <w:t>Change in fair value of convertible preferred share</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57"/>
        </w:trPr>
        <w:tc>
          <w:tcPr>
            <w:tcW w:w="4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(812,374)</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398,682</w:t>
            </w:r>
          </w:p>
        </w:tc>
        <w:tc>
          <w:tcPr>
            <w:tcW w:w="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CC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4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Interest expense – excess fair value of conversion</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liability</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(56,192)</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Interest expense – amortization of debt discount</w:t>
            </w:r>
          </w:p>
        </w:tc>
        <w:tc>
          <w:tcPr>
            <w:tcW w:w="1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6"/>
        </w:trPr>
        <w:tc>
          <w:tcPr>
            <w:tcW w:w="4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3"/>
            <w:vMerge w:val="restart"/>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DD</w:t>
            </w:r>
          </w:p>
        </w:tc>
        <w:tc>
          <w:tcPr>
            <w:tcW w:w="10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trust account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560" w:type="dxa"/>
            <w:vAlign w:val="bottom"/>
            <w:gridSpan w:val="3"/>
            <w:vMerge w:val="continue"/>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Unrealized gain on marketable securities held in</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9"/>
              </w:rPr>
              <w:t>DD</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trust account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560" w:type="dxa"/>
            <w:vAlign w:val="bottom"/>
            <w:gridSpan w:val="3"/>
            <w:vMerge w:val="continue"/>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(868,685)</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(449,155)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398,501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(919,339)</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(871,775)</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(747,948)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334,972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1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(871,799)</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(747,952)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334,972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80" w:type="dxa"/>
            <w:vAlign w:val="bottom"/>
            <w:gridSpan w:val="2"/>
          </w:tcPr>
          <w:p>
            <w:pPr>
              <w:spacing w:after="0"/>
              <w:rPr>
                <w:sz w:val="20"/>
                <w:szCs w:val="20"/>
                <w:color w:val="auto"/>
              </w:rPr>
            </w:pPr>
            <w:r>
              <w:rPr>
                <w:rFonts w:ascii="Arial" w:cs="Arial" w:eastAsia="Arial" w:hAnsi="Arial"/>
                <w:sz w:val="18"/>
                <w:szCs w:val="18"/>
                <w:color w:val="auto"/>
                <w:w w:val="98"/>
              </w:rPr>
              <w:t>Deemed dividend related to the issuance of Series E</w:t>
            </w:r>
          </w:p>
        </w:tc>
        <w:tc>
          <w:tcPr>
            <w:tcW w:w="100" w:type="dxa"/>
            <w:vAlign w:val="bottom"/>
          </w:tcPr>
          <w:p>
            <w:pPr>
              <w:spacing w:after="0"/>
              <w:rPr>
                <w:sz w:val="22"/>
                <w:szCs w:val="2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1"/>
              </w:rPr>
              <w:t>(2,167,332)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(2,167,332)</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convertible preferred shares</w:t>
            </w:r>
          </w:p>
        </w:tc>
        <w:tc>
          <w:tcPr>
            <w:tcW w:w="10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(871,799)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(2,915,284)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334,972</w:t>
            </w:r>
          </w:p>
        </w:tc>
        <w:tc>
          <w:tcPr>
            <w:tcW w:w="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(3,452,111)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stockholders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(236.07)</w:t>
            </w:r>
          </w:p>
        </w:tc>
        <w:tc>
          <w:tcPr>
            <w:tcW w:w="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6"/>
        </w:trPr>
        <w:tc>
          <w:tcPr>
            <w:tcW w:w="4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65,318,734</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12,349,045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1,522,445,868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-2039620</wp:posOffset>
            </wp:positionV>
            <wp:extent cx="618045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80455" cy="18859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-814070</wp:posOffset>
            </wp:positionV>
            <wp:extent cx="3600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-814070</wp:posOffset>
            </wp:positionV>
            <wp:extent cx="4025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-814070</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-814070</wp:posOffset>
            </wp:positionV>
            <wp:extent cx="32918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-1293495</wp:posOffset>
            </wp:positionV>
            <wp:extent cx="3600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-1293495</wp:posOffset>
            </wp:positionV>
            <wp:extent cx="4025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-1293495</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-1293495</wp:posOffset>
            </wp:positionV>
            <wp:extent cx="32918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-1653540</wp:posOffset>
            </wp:positionV>
            <wp:extent cx="3600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-1653540</wp:posOffset>
            </wp:positionV>
            <wp:extent cx="4025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-1653540</wp:posOffset>
            </wp:positionV>
            <wp:extent cx="102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-1653540</wp:posOffset>
            </wp:positionV>
            <wp:extent cx="32918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-4259580</wp:posOffset>
            </wp:positionV>
            <wp:extent cx="3600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-4259580</wp:posOffset>
            </wp:positionV>
            <wp:extent cx="4025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-4259580</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-4259580</wp:posOffset>
            </wp:positionV>
            <wp:extent cx="32918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-5614035</wp:posOffset>
            </wp:positionV>
            <wp:extent cx="3600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-5614035</wp:posOffset>
            </wp:positionV>
            <wp:extent cx="4025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-5614035</wp:posOffset>
            </wp:positionV>
            <wp:extent cx="102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-5614035</wp:posOffset>
            </wp:positionV>
            <wp:extent cx="32918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-5956935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-5956935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-5956935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-5956935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-5956935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-5956935</wp:posOffset>
            </wp:positionV>
            <wp:extent cx="32829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ectPr>
          <w:pgSz w:w="11900" w:h="16838" w:orient="portrait"/>
          <w:cols w:equalWidth="0" w:num="1">
            <w:col w:w="10280"/>
          </w:cols>
          <w:pgMar w:left="580" w:top="13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1" w:right="1039"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Churchill</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Historical</w:t>
            </w: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Financing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Accounting</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(As Restated)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Lucid</w:t>
            </w:r>
          </w:p>
        </w:tc>
        <w:tc>
          <w:tcPr>
            <w:tcW w:w="12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Events</w:t>
            </w:r>
          </w:p>
        </w:tc>
        <w:tc>
          <w:tcPr>
            <w:tcW w:w="80" w:type="dxa"/>
            <w:vAlign w:val="bottom"/>
          </w:tcPr>
          <w:p>
            <w:pPr>
              <w:spacing w:after="0"/>
              <w:rPr>
                <w:sz w:val="16"/>
                <w:szCs w:val="16"/>
                <w:color w:val="auto"/>
              </w:rPr>
            </w:pPr>
          </w:p>
        </w:tc>
        <w:tc>
          <w:tcPr>
            <w:tcW w:w="12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0"/>
              </w:rPr>
              <w:t>Notes Adjustments</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42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3,976</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3,070</w:t>
            </w:r>
          </w:p>
        </w:tc>
        <w:tc>
          <w:tcPr>
            <w:tcW w:w="2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3,070</w:t>
            </w:r>
          </w:p>
        </w:tc>
        <w:tc>
          <w:tcPr>
            <w:tcW w:w="0" w:type="dxa"/>
            <w:vAlign w:val="bottom"/>
          </w:tcPr>
          <w:p>
            <w:pPr>
              <w:spacing w:after="0"/>
              <w:rPr>
                <w:sz w:val="1"/>
                <w:szCs w:val="1"/>
                <w:color w:val="auto"/>
              </w:rPr>
            </w:pPr>
          </w:p>
        </w:tc>
      </w:tr>
      <w:tr>
        <w:trPr>
          <w:trHeight w:val="20"/>
        </w:trPr>
        <w:tc>
          <w:tcPr>
            <w:tcW w:w="4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906</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511,110</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102,214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AA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55,451</w:t>
            </w: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b w:val="1"/>
                <w:bCs w:val="1"/>
                <w:color w:val="auto"/>
              </w:rPr>
              <w:t>BB</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CC</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89,023</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63,426</w:t>
            </w: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b w:val="1"/>
                <w:bCs w:val="1"/>
                <w:color w:val="auto"/>
              </w:rPr>
              <w:t>AA</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471,483</w:t>
            </w:r>
          </w:p>
        </w:tc>
        <w:tc>
          <w:tcPr>
            <w:tcW w:w="0" w:type="dxa"/>
            <w:vAlign w:val="bottom"/>
          </w:tcPr>
          <w:p>
            <w:pPr>
              <w:spacing w:after="0"/>
              <w:rPr>
                <w:sz w:val="1"/>
                <w:szCs w:val="1"/>
                <w:color w:val="auto"/>
              </w:rPr>
            </w:pPr>
          </w:p>
        </w:tc>
      </w:tr>
      <w:tr>
        <w:trPr>
          <w:trHeight w:val="216"/>
        </w:trPr>
        <w:tc>
          <w:tcPr>
            <w:tcW w:w="4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314,221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BB</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b w:val="1"/>
                <w:bCs w:val="1"/>
                <w:color w:val="auto"/>
              </w:rPr>
              <w:t>CC</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3,113</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DD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7"/>
                <w:szCs w:val="17"/>
                <w:color w:val="auto"/>
              </w:rPr>
              <w:t>Formation and operating costs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2,976</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20"/>
        </w:trPr>
        <w:tc>
          <w:tcPr>
            <w:tcW w:w="4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2,976</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600,133</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540,425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(2,976)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(599,227)</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(540,425)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(1,143,534)</w:t>
            </w:r>
          </w:p>
        </w:tc>
        <w:tc>
          <w:tcPr>
            <w:tcW w:w="0" w:type="dxa"/>
            <w:vAlign w:val="bottom"/>
          </w:tcPr>
          <w:p>
            <w:pPr>
              <w:spacing w:after="0"/>
              <w:rPr>
                <w:sz w:val="1"/>
                <w:szCs w:val="1"/>
                <w:color w:val="auto"/>
              </w:rPr>
            </w:pPr>
          </w:p>
        </w:tc>
      </w:tr>
      <w:tr>
        <w:trPr>
          <w:trHeight w:val="230"/>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40"/>
              <w:spacing w:after="0"/>
              <w:rPr>
                <w:sz w:val="20"/>
                <w:szCs w:val="20"/>
                <w:color w:val="auto"/>
              </w:rPr>
            </w:pPr>
            <w:r>
              <w:rPr>
                <w:rFonts w:ascii="Arial" w:cs="Arial" w:eastAsia="Arial" w:hAnsi="Arial"/>
                <w:sz w:val="17"/>
                <w:szCs w:val="17"/>
                <w:color w:val="auto"/>
              </w:rPr>
              <w:t>Change in fair value of forward contracts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(118,382)</w:t>
            </w:r>
          </w:p>
        </w:tc>
        <w:tc>
          <w:tcPr>
            <w:tcW w:w="2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(118,382)</w:t>
            </w:r>
          </w:p>
        </w:tc>
        <w:tc>
          <w:tcPr>
            <w:tcW w:w="0" w:type="dxa"/>
            <w:vAlign w:val="bottom"/>
          </w:tcPr>
          <w:p>
            <w:pPr>
              <w:spacing w:after="0"/>
              <w:rPr>
                <w:sz w:val="1"/>
                <w:szCs w:val="1"/>
                <w:color w:val="auto"/>
              </w:rPr>
            </w:pPr>
          </w:p>
        </w:tc>
      </w:tr>
      <w:tr>
        <w:trPr>
          <w:trHeight w:val="203"/>
        </w:trPr>
        <w:tc>
          <w:tcPr>
            <w:tcW w:w="42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Change in fair value of convertible preferred share</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(1,205)</w:t>
            </w:r>
          </w:p>
        </w:tc>
        <w:tc>
          <w:tcPr>
            <w:tcW w:w="2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tcBorders>
              <w:right w:val="single" w:sz="8" w:color="CCEEFF"/>
            </w:tcBorders>
            <w:shd w:val="clear" w:color="auto" w:fill="CCEEFF"/>
          </w:tcPr>
          <w:p>
            <w:pPr>
              <w:ind w:left="500"/>
              <w:spacing w:after="0" w:line="189" w:lineRule="exact"/>
              <w:rPr>
                <w:sz w:val="20"/>
                <w:szCs w:val="20"/>
                <w:color w:val="auto"/>
              </w:rPr>
            </w:pPr>
            <w:r>
              <w:rPr>
                <w:rFonts w:ascii="Arial" w:cs="Arial" w:eastAsia="Arial" w:hAnsi="Arial"/>
                <w:sz w:val="17"/>
                <w:szCs w:val="17"/>
                <w:color w:val="auto"/>
              </w:rPr>
              <w:t>warrant liability</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40"/>
              <w:spacing w:after="0"/>
              <w:rPr>
                <w:sz w:val="20"/>
                <w:szCs w:val="20"/>
                <w:color w:val="auto"/>
              </w:rPr>
            </w:pPr>
            <w:r>
              <w:rPr>
                <w:rFonts w:ascii="Arial" w:cs="Arial" w:eastAsia="Arial" w:hAnsi="Arial"/>
                <w:sz w:val="17"/>
                <w:szCs w:val="17"/>
                <w:color w:val="auto"/>
              </w:rPr>
              <w:t>Change in fair value of warrant liability</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(58,779)</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22,356</w:t>
            </w:r>
          </w:p>
        </w:tc>
        <w:tc>
          <w:tcPr>
            <w:tcW w:w="8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b w:val="1"/>
                <w:bCs w:val="1"/>
                <w:color w:val="auto"/>
              </w:rPr>
              <w:t>EE</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(36,423)</w:t>
            </w:r>
          </w:p>
        </w:tc>
        <w:tc>
          <w:tcPr>
            <w:tcW w:w="0" w:type="dxa"/>
            <w:vAlign w:val="bottom"/>
          </w:tcPr>
          <w:p>
            <w:pPr>
              <w:spacing w:after="0"/>
              <w:rPr>
                <w:sz w:val="1"/>
                <w:szCs w:val="1"/>
                <w:color w:val="auto"/>
              </w:rPr>
            </w:pPr>
          </w:p>
        </w:tc>
      </w:tr>
      <w:tr>
        <w:trPr>
          <w:trHeight w:val="230"/>
        </w:trPr>
        <w:tc>
          <w:tcPr>
            <w:tcW w:w="42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Transaction costs</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(2,168)</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3"/>
        </w:trPr>
        <w:tc>
          <w:tcPr>
            <w:tcW w:w="42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w w:val="98"/>
              </w:rPr>
              <w:t>Interest earned on marketable securities held in trust</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(531)</w:t>
            </w:r>
          </w:p>
        </w:tc>
        <w:tc>
          <w:tcPr>
            <w:tcW w:w="46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FF</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tcBorders>
              <w:right w:val="single" w:sz="8" w:color="CCEEFF"/>
            </w:tcBorders>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340"/>
              <w:spacing w:after="0"/>
              <w:rPr>
                <w:sz w:val="20"/>
                <w:szCs w:val="20"/>
                <w:color w:val="auto"/>
              </w:rPr>
            </w:pPr>
            <w:r>
              <w:rPr>
                <w:rFonts w:ascii="Arial" w:cs="Arial" w:eastAsia="Arial" w:hAnsi="Arial"/>
                <w:sz w:val="17"/>
                <w:szCs w:val="17"/>
                <w:color w:val="auto"/>
                <w:w w:val="98"/>
              </w:rPr>
              <w:t>Unrealized loss on marketable securities held in trust</w:t>
            </w:r>
          </w:p>
        </w:tc>
        <w:tc>
          <w:tcPr>
            <w:tcW w:w="100" w:type="dxa"/>
            <w:vAlign w:val="bottom"/>
          </w:tcPr>
          <w:p>
            <w:pPr>
              <w:spacing w:after="0"/>
              <w:rPr>
                <w:sz w:val="17"/>
                <w:szCs w:val="17"/>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vMerge w:val="restart"/>
          </w:tcPr>
          <w:p>
            <w:pPr>
              <w:ind w:left="480"/>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b w:val="1"/>
                <w:bCs w:val="1"/>
                <w:color w:val="auto"/>
              </w:rPr>
              <w:t>FF</w:t>
            </w:r>
          </w:p>
        </w:tc>
        <w:tc>
          <w:tcPr>
            <w:tcW w:w="100" w:type="dxa"/>
            <w:vAlign w:val="bottom"/>
          </w:tcPr>
          <w:p>
            <w:pPr>
              <w:spacing w:after="0"/>
              <w:rPr>
                <w:sz w:val="17"/>
                <w:szCs w:val="17"/>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500"/>
              <w:spacing w:after="0" w:line="189" w:lineRule="exact"/>
              <w:rPr>
                <w:sz w:val="20"/>
                <w:szCs w:val="20"/>
                <w:color w:val="auto"/>
              </w:rPr>
            </w:pPr>
            <w:r>
              <w:rPr>
                <w:rFonts w:ascii="Arial" w:cs="Arial" w:eastAsia="Arial" w:hAnsi="Arial"/>
                <w:sz w:val="17"/>
                <w:szCs w:val="17"/>
                <w:color w:val="auto"/>
              </w:rPr>
              <w:t>account</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income (expense)</w:t>
            </w:r>
          </w:p>
        </w:tc>
        <w:tc>
          <w:tcPr>
            <w:tcW w:w="10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(690)</w:t>
            </w: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Pr>
          <w:p>
            <w:pPr>
              <w:ind w:left="340"/>
              <w:spacing w:after="0"/>
              <w:rPr>
                <w:sz w:val="20"/>
                <w:szCs w:val="20"/>
                <w:color w:val="auto"/>
              </w:rPr>
            </w:pPr>
            <w:r>
              <w:rPr>
                <w:rFonts w:ascii="Arial" w:cs="Arial" w:eastAsia="Arial" w:hAnsi="Arial"/>
                <w:sz w:val="17"/>
                <w:szCs w:val="17"/>
                <w:color w:val="auto"/>
              </w:rPr>
              <w:t>Total other expense, net</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(60,411)</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(120,341)</w:t>
            </w:r>
          </w:p>
        </w:tc>
        <w:tc>
          <w:tcPr>
            <w:tcW w:w="24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21,820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(158,932)</w:t>
            </w:r>
          </w:p>
        </w:tc>
        <w:tc>
          <w:tcPr>
            <w:tcW w:w="0" w:type="dxa"/>
            <w:vAlign w:val="bottom"/>
          </w:tcPr>
          <w:p>
            <w:pPr>
              <w:spacing w:after="0"/>
              <w:rPr>
                <w:sz w:val="1"/>
                <w:szCs w:val="1"/>
                <w:color w:val="auto"/>
              </w:rPr>
            </w:pPr>
          </w:p>
        </w:tc>
      </w:tr>
      <w:tr>
        <w:trPr>
          <w:trHeight w:val="20"/>
        </w:trPr>
        <w:tc>
          <w:tcPr>
            <w:tcW w:w="4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Loss before provision for (benefit from) income taxes</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(63,387)</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(719,568)</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(518,605)</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(188)</w:t>
            </w:r>
          </w:p>
        </w:tc>
        <w:tc>
          <w:tcPr>
            <w:tcW w:w="240" w:type="dxa"/>
            <w:vAlign w:val="bottom"/>
          </w:tcPr>
          <w:p>
            <w:pPr>
              <w:spacing w:after="0"/>
              <w:rPr>
                <w:sz w:val="21"/>
                <w:szCs w:val="21"/>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4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(63,387)</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(719,380)</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(518,605)</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7"/>
                <w:szCs w:val="17"/>
                <w:color w:val="auto"/>
              </w:rPr>
              <w:t>Deemed contribution related to repurchase of Lucid</w:t>
            </w:r>
          </w:p>
        </w:tc>
        <w:tc>
          <w:tcPr>
            <w:tcW w:w="100" w:type="dxa"/>
            <w:vAlign w:val="bottom"/>
          </w:tcPr>
          <w:p>
            <w:pPr>
              <w:spacing w:after="0"/>
              <w:rPr>
                <w:sz w:val="17"/>
                <w:szCs w:val="17"/>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17"/>
                <w:szCs w:val="17"/>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(1,000)</w:t>
            </w:r>
          </w:p>
        </w:tc>
        <w:tc>
          <w:tcPr>
            <w:tcW w:w="4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FF</w:t>
            </w:r>
          </w:p>
        </w:tc>
        <w:tc>
          <w:tcPr>
            <w:tcW w:w="100" w:type="dxa"/>
            <w:vAlign w:val="bottom"/>
          </w:tcPr>
          <w:p>
            <w:pPr>
              <w:spacing w:after="0"/>
              <w:rPr>
                <w:sz w:val="17"/>
                <w:szCs w:val="17"/>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160"/>
              <w:spacing w:after="0" w:line="189" w:lineRule="exact"/>
              <w:rPr>
                <w:sz w:val="20"/>
                <w:szCs w:val="20"/>
                <w:color w:val="auto"/>
              </w:rPr>
            </w:pPr>
            <w:r>
              <w:rPr>
                <w:rFonts w:ascii="Arial" w:cs="Arial" w:eastAsia="Arial" w:hAnsi="Arial"/>
                <w:sz w:val="17"/>
                <w:szCs w:val="17"/>
                <w:color w:val="auto"/>
              </w:rPr>
              <w:t>Series B Preferred Shares</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Deemed contribution related to repurchase of Lucid</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12,784</w:t>
            </w:r>
          </w:p>
        </w:tc>
        <w:tc>
          <w:tcPr>
            <w:tcW w:w="2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(12,784)</w:t>
            </w:r>
          </w:p>
        </w:tc>
        <w:tc>
          <w:tcPr>
            <w:tcW w:w="46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FF</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tcBorders>
              <w:right w:val="single" w:sz="8" w:color="CCEEFF"/>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Series C Preferred Shares</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(63,468)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(705,596)</w:t>
            </w:r>
          </w:p>
        </w:tc>
        <w:tc>
          <w:tcPr>
            <w:tcW w:w="240" w:type="dxa"/>
            <w:vAlign w:val="bottom"/>
          </w:tcPr>
          <w:p>
            <w:pPr>
              <w:jc w:val="right"/>
              <w:ind w:right="61"/>
              <w:spacing w:after="0"/>
              <w:rPr>
                <w:sz w:val="20"/>
                <w:szCs w:val="20"/>
                <w:color w:val="auto"/>
              </w:rPr>
            </w:pPr>
            <w:r>
              <w:rPr>
                <w:rFonts w:ascii="Arial" w:cs="Arial" w:eastAsia="Arial" w:hAnsi="Arial"/>
                <w:sz w:val="17"/>
                <w:szCs w:val="17"/>
                <w:color w:val="auto"/>
                <w:w w:val="84"/>
              </w:rPr>
              <w:t>$</w:t>
            </w: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40" w:type="dxa"/>
            <w:vAlign w:val="bottom"/>
            <w:gridSpan w:val="3"/>
          </w:tcPr>
          <w:p>
            <w:pPr>
              <w:ind w:left="46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(532,389)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(1,301,453)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80" w:type="dxa"/>
            <w:vAlign w:val="bottom"/>
            <w:tcBorders>
              <w:right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Net loss per share attributable to common stockholders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(1.02)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(75.15)</w:t>
            </w:r>
          </w:p>
        </w:tc>
        <w:tc>
          <w:tcPr>
            <w:tcW w:w="240" w:type="dxa"/>
            <w:vAlign w:val="bottom"/>
            <w:vMerge w:val="restart"/>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40" w:type="dxa"/>
            <w:vAlign w:val="bottom"/>
            <w:gridSpan w:val="3"/>
            <w:vMerge w:val="restart"/>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tcBorders>
              <w:right w:val="single" w:sz="8" w:color="CCEEFF"/>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basic and diluted</w:t>
            </w:r>
          </w:p>
        </w:tc>
        <w:tc>
          <w:tcPr>
            <w:tcW w:w="100" w:type="dxa"/>
            <w:vAlign w:val="bottom"/>
            <w:vMerge w:val="continue"/>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tcBorders>
              <w:right w:val="single" w:sz="8" w:color="CCEEFF"/>
            </w:tcBorders>
            <w:gridSpan w:val="2"/>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540" w:type="dxa"/>
            <w:vAlign w:val="bottom"/>
            <w:gridSpan w:val="3"/>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7"/>
                <w:szCs w:val="17"/>
                <w:color w:val="auto"/>
                <w:w w:val="97"/>
              </w:rPr>
              <w:t>Weighted average shares outstanding – basic and diluted</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62,139,948</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9,389,540</w:t>
            </w:r>
          </w:p>
        </w:tc>
        <w:tc>
          <w:tcPr>
            <w:tcW w:w="2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1,143,068,292</w:t>
            </w:r>
          </w:p>
        </w:tc>
        <w:tc>
          <w:tcPr>
            <w:tcW w:w="0" w:type="dxa"/>
            <w:vAlign w:val="bottom"/>
          </w:tcPr>
          <w:p>
            <w:pPr>
              <w:spacing w:after="0"/>
              <w:rPr>
                <w:sz w:val="1"/>
                <w:szCs w:val="1"/>
                <w:color w:val="auto"/>
              </w:rPr>
            </w:pPr>
          </w:p>
        </w:tc>
      </w:tr>
      <w:tr>
        <w:trPr>
          <w:trHeight w:val="203"/>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per share, Class A common stock subject to</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tcBorders>
              <w:right w:val="single" w:sz="8" w:color="CCEEFF"/>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possible redemption – basic and diluted</w:t>
            </w:r>
          </w:p>
        </w:tc>
        <w:tc>
          <w:tcPr>
            <w:tcW w:w="100" w:type="dxa"/>
            <w:vAlign w:val="bottom"/>
            <w:vMerge w:val="continue"/>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7"/>
                <w:szCs w:val="17"/>
                <w:color w:val="auto"/>
                <w:w w:val="99"/>
              </w:rPr>
              <w:t>Weighted average shares outstanding, Class A common</w:t>
            </w:r>
          </w:p>
        </w:tc>
        <w:tc>
          <w:tcPr>
            <w:tcW w:w="100" w:type="dxa"/>
            <w:vAlign w:val="bottom"/>
          </w:tcPr>
          <w:p>
            <w:pPr>
              <w:spacing w:after="0"/>
              <w:rPr>
                <w:sz w:val="17"/>
                <w:szCs w:val="17"/>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w w:val="88"/>
              </w:rPr>
              <w:t>188,268,610</w:t>
            </w:r>
          </w:p>
        </w:tc>
        <w:tc>
          <w:tcPr>
            <w:tcW w:w="100" w:type="dxa"/>
            <w:vAlign w:val="bottom"/>
          </w:tcPr>
          <w:p>
            <w:pPr>
              <w:spacing w:after="0"/>
              <w:rPr>
                <w:sz w:val="17"/>
                <w:szCs w:val="1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160"/>
              <w:spacing w:after="0" w:line="189" w:lineRule="exact"/>
              <w:rPr>
                <w:sz w:val="20"/>
                <w:szCs w:val="20"/>
                <w:color w:val="auto"/>
              </w:rPr>
            </w:pPr>
            <w:r>
              <w:rPr>
                <w:rFonts w:ascii="Arial" w:cs="Arial" w:eastAsia="Arial" w:hAnsi="Arial"/>
                <w:sz w:val="17"/>
                <w:szCs w:val="17"/>
                <w:color w:val="auto"/>
                <w:w w:val="97"/>
              </w:rPr>
              <w:t>stock subject to possible redemption – basic and diluted</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5"/>
              </w:rPr>
              <w:t>Net loss per share, non-redeemable common stock – basic</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tcBorders>
              <w:right w:val="single" w:sz="8" w:color="CCEEFF"/>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and diluted</w:t>
            </w:r>
          </w:p>
        </w:tc>
        <w:tc>
          <w:tcPr>
            <w:tcW w:w="100" w:type="dxa"/>
            <w:vAlign w:val="bottom"/>
            <w:vMerge w:val="continue"/>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7"/>
                <w:szCs w:val="17"/>
                <w:color w:val="auto"/>
              </w:rPr>
              <w:t>Weighted average shares outstanding, non-redeemable</w:t>
            </w:r>
          </w:p>
        </w:tc>
        <w:tc>
          <w:tcPr>
            <w:tcW w:w="100" w:type="dxa"/>
            <w:vAlign w:val="bottom"/>
          </w:tcPr>
          <w:p>
            <w:pPr>
              <w:spacing w:after="0"/>
              <w:rPr>
                <w:sz w:val="17"/>
                <w:szCs w:val="17"/>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w w:val="98"/>
              </w:rPr>
              <w:t>62,139,948</w:t>
            </w:r>
          </w:p>
        </w:tc>
        <w:tc>
          <w:tcPr>
            <w:tcW w:w="100" w:type="dxa"/>
            <w:vAlign w:val="bottom"/>
          </w:tcPr>
          <w:p>
            <w:pPr>
              <w:spacing w:after="0"/>
              <w:rPr>
                <w:sz w:val="17"/>
                <w:szCs w:val="1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7"/>
                <w:szCs w:val="17"/>
                <w:color w:val="auto"/>
              </w:rPr>
              <w:t>common stock – basic and diluted</w:t>
            </w: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-2211070</wp:posOffset>
            </wp:positionV>
            <wp:extent cx="3600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-2211070</wp:posOffset>
            </wp:positionV>
            <wp:extent cx="3683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-2211070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-2211070</wp:posOffset>
            </wp:positionV>
            <wp:extent cx="33947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-2519680</wp:posOffset>
            </wp:positionV>
            <wp:extent cx="3600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-2519680</wp:posOffset>
            </wp:positionV>
            <wp:extent cx="3683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-2519680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-2519680</wp:posOffset>
            </wp:positionV>
            <wp:extent cx="33947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-4611370</wp:posOffset>
            </wp:positionV>
            <wp:extent cx="3600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-4611370</wp:posOffset>
            </wp:positionV>
            <wp:extent cx="3683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-4611370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-4611370</wp:posOffset>
            </wp:positionV>
            <wp:extent cx="33947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-6000115</wp:posOffset>
            </wp:positionV>
            <wp:extent cx="3600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-6000115</wp:posOffset>
            </wp:positionV>
            <wp:extent cx="368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-6000115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-6000115</wp:posOffset>
            </wp:positionV>
            <wp:extent cx="33947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-6291580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-6291580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-6291580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-6291580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-6291580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-6291580</wp:posOffset>
            </wp:positionV>
            <wp:extent cx="33858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ectPr>
          <w:pgSz w:w="11900" w:h="16838" w:orient="portrait"/>
          <w:cols w:equalWidth="0" w:num="1">
            <w:col w:w="10280"/>
          </w:cols>
          <w:pgMar w:left="580" w:top="13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1" w:right="1039"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12" w:lineRule="exact"/>
        <w:rPr>
          <w:sz w:val="20"/>
          <w:szCs w:val="20"/>
          <w:color w:val="auto"/>
        </w:rPr>
      </w:pPr>
    </w:p>
    <w:p>
      <w:pPr>
        <w:ind w:left="1620" w:hanging="360"/>
        <w:spacing w:after="0"/>
        <w:tabs>
          <w:tab w:leader="none" w:pos="16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expect that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presented as those of Lucid in future reports of Lucid Group.</w:t>
      </w:r>
    </w:p>
    <w:p>
      <w:pPr>
        <w:spacing w:after="0" w:line="112"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6"/>
          <w:szCs w:val="16"/>
          <w:color w:val="auto"/>
        </w:rPr>
        <w:t>The unaudited pro forma condensed combined balance sheet as of March 31, 2021 gives pro forma effect to the Transactions and the other events as if consummated on March 31, 2021. The unaudited</w:t>
      </w:r>
    </w:p>
    <w:p>
      <w:pPr>
        <w:spacing w:after="0" w:line="1" w:lineRule="exact"/>
        <w:rPr>
          <w:sz w:val="20"/>
          <w:szCs w:val="20"/>
          <w:color w:val="auto"/>
        </w:rPr>
      </w:pPr>
    </w:p>
    <w:p>
      <w:pPr>
        <w:ind w:left="1260" w:right="539"/>
        <w:spacing w:after="0" w:line="239" w:lineRule="auto"/>
        <w:rPr>
          <w:sz w:val="20"/>
          <w:szCs w:val="20"/>
          <w:color w:val="auto"/>
        </w:rPr>
      </w:pPr>
      <w:r>
        <w:rPr>
          <w:rFonts w:ascii="Arial" w:cs="Arial" w:eastAsia="Arial" w:hAnsi="Arial"/>
          <w:sz w:val="18"/>
          <w:szCs w:val="18"/>
          <w:color w:val="auto"/>
        </w:rPr>
        <w:t>pro forma condensed combined statement of operations for the three months ended March 31, 2021 and for the year ended December 31, 2020 gives pro forma effect to the Transactions and the other events as if consummated on January 1, 2020, the beginning of the earliest period presented.</w:t>
      </w:r>
    </w:p>
    <w:p>
      <w:pPr>
        <w:spacing w:after="0" w:line="108"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74" w:lineRule="exact"/>
        <w:rPr>
          <w:sz w:val="20"/>
          <w:szCs w:val="20"/>
          <w:color w:val="auto"/>
        </w:rPr>
      </w:pPr>
    </w:p>
    <w:p>
      <w:pPr>
        <w:ind w:left="1800" w:right="459" w:hanging="180"/>
        <w:spacing w:after="0" w:line="255"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Churchill as of and for the three months ended March 31, 2021 included in Churchill’s Quarterly Report filed on the Form 10-Q filed with the SEC on June 1, 2021, and the historical audited financial statements of Churchill as of December 31, 2020 and for the period from April 31, 2020 (inception) to December 31, 2020 (as restated) included in Churchill’s Annual Report filed on the Form 10-K/A filed with the SEC on May 14, 2021;</w:t>
      </w:r>
    </w:p>
    <w:p>
      <w:pPr>
        <w:spacing w:after="0" w:line="70"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Lucid as of and for the three months ended March 31, 2021 and the historical audited consolidated financial statements of Lucid as of and for the year ended December 31, 2020; and</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information relating to the Merger Agreement between Churchill and Lucid and the description of certain terms thereof included in this prospectus.</w:t>
      </w:r>
      <w:r>
        <w:rPr>
          <w:rFonts w:ascii="Arial" w:cs="Arial" w:eastAsia="Arial" w:hAnsi="Arial"/>
          <w:sz w:val="18"/>
          <w:szCs w:val="18"/>
          <w:i w:val="1"/>
          <w:iCs w:val="1"/>
          <w:color w:val="auto"/>
        </w:rPr>
        <w:t>.”</w:t>
      </w:r>
    </w:p>
    <w:p>
      <w:pPr>
        <w:spacing w:after="0" w:line="103"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other financial information included elsewhere in this prospectus.</w:t>
      </w:r>
    </w:p>
    <w:p>
      <w:pPr>
        <w:spacing w:after="0" w:line="101"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6"/>
          <w:szCs w:val="16"/>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w:t>
      </w:r>
    </w:p>
    <w:p>
      <w:pPr>
        <w:spacing w:after="0" w:line="92"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One-time direct and incremental transaction costs in connection with the Transactions incurred prior to, or concurrent with, the Closing are treated as cash settled upon the Closing. Under the expected reverse recapitalization accounting treatment, one-time direct and incremental transaction costs, including costs related to the PIPE Investment and the deferred underwriting fees related to the Churchill IPO, incurred by Churchill are reflected in the unaudited pro forma condensed combined balance sheet as a direct reduction of the proceeds remitted to Lucid Group from Churchill. One- time direct and incremental transaction costs incurred by Lucid were allocated on a relative fair value basis between equity and liability classified instruments deemed to be issued for financial reporting purposes at the Closing by Lucid Group. Lucid’s transaction costs allocable to equity classified instruments, including the common stock and the Public Warrants, are reflected in the unaudited pro forma condensed combined balance sheet as a direct reduction to Lucid Group’s additional paid-in capital of the proceeds remitted to Lucid Group from Churchill. Lucid’s transaction costs allocable to liability classified instruments measured at fair value, including the Private Placement Warrants, are charged to the unaudited pro forma condensed combined statement of operations upon the Closing.</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60"/>
        <w:spacing w:after="0"/>
        <w:tabs>
          <w:tab w:leader="none" w:pos="16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Adjustments to Unaudited Pro Forma Condensed Combined Balance Sheet</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adjustments included in the unaudited pro forma condensed combined balance sheet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31, 2021 are as follows:</w:t>
      </w:r>
    </w:p>
    <w:p>
      <w:pPr>
        <w:spacing w:after="0" w:line="143" w:lineRule="exact"/>
        <w:rPr>
          <w:sz w:val="20"/>
          <w:szCs w:val="20"/>
          <w:color w:val="auto"/>
        </w:rPr>
      </w:pPr>
    </w:p>
    <w:p>
      <w:pPr>
        <w:ind w:left="1980" w:right="439" w:hanging="360"/>
        <w:spacing w:after="0" w:line="258"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issuance of 25,306,130 Lucid Series E Preferred Shares, which occurred in April 2021 separate from the Transactions, in exchange for proceeds of $200.0 million, of which</w:t>
      </w:r>
    </w:p>
    <w:p>
      <w:pPr>
        <w:spacing w:after="0" w:line="1" w:lineRule="exact"/>
        <w:rPr>
          <w:rFonts w:ascii="Arial" w:cs="Arial" w:eastAsia="Arial" w:hAnsi="Arial"/>
          <w:sz w:val="18"/>
          <w:szCs w:val="18"/>
          <w:color w:val="auto"/>
        </w:rPr>
      </w:pPr>
    </w:p>
    <w:p>
      <w:pPr>
        <w:ind w:left="1980" w:right="799"/>
        <w:spacing w:after="0" w:line="260" w:lineRule="auto"/>
        <w:rPr>
          <w:rFonts w:ascii="Arial" w:cs="Arial" w:eastAsia="Arial" w:hAnsi="Arial"/>
          <w:sz w:val="18"/>
          <w:szCs w:val="18"/>
          <w:color w:val="auto"/>
        </w:rPr>
      </w:pPr>
      <w:r>
        <w:rPr>
          <w:rFonts w:ascii="Arial" w:cs="Arial" w:eastAsia="Arial" w:hAnsi="Arial"/>
          <w:sz w:val="18"/>
          <w:szCs w:val="18"/>
          <w:color w:val="auto"/>
        </w:rPr>
        <w:t>$107.1 million was received prior to March 31, 2021 and $92.9 million was received upon the issuance and settlement of all shares in April 2021.</w:t>
      </w:r>
    </w:p>
    <w:p>
      <w:pPr>
        <w:spacing w:after="0" w:line="117" w:lineRule="exact"/>
        <w:rPr>
          <w:rFonts w:ascii="Arial" w:cs="Arial" w:eastAsia="Arial" w:hAnsi="Arial"/>
          <w:sz w:val="18"/>
          <w:szCs w:val="18"/>
          <w:color w:val="auto"/>
        </w:rPr>
      </w:pPr>
    </w:p>
    <w:p>
      <w:pPr>
        <w:jc w:val="both"/>
        <w:ind w:left="1980" w:right="719" w:hanging="360"/>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liquidation and reclassification of $2,070.3 million of investments held in the trust account to cash and cash equivalents that becomes available for general corporate use by Lucid Group.</w:t>
      </w:r>
    </w:p>
    <w:p>
      <w:pPr>
        <w:spacing w:after="0" w:line="116" w:lineRule="exact"/>
        <w:rPr>
          <w:rFonts w:ascii="Arial" w:cs="Arial" w:eastAsia="Arial" w:hAnsi="Arial"/>
          <w:sz w:val="18"/>
          <w:szCs w:val="18"/>
          <w:color w:val="auto"/>
        </w:rPr>
      </w:pPr>
    </w:p>
    <w:p>
      <w:pPr>
        <w:ind w:left="1980" w:right="479" w:hanging="360"/>
        <w:spacing w:after="0" w:line="279"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Reflects the proceeds of $2,500.0 million from the sale and issuance of 166,666,667 shares of Class A common stock, of which Ayar purchased 13,333,333 of such shares, at a purchase price of $15.00 per share pursuant to the PIPE Subscription Agreements entered in connection with the PIPE Investment. Refer to tickmark (D) for the treatment of the associated transaction costs.</w:t>
      </w:r>
    </w:p>
    <w:p>
      <w:pPr>
        <w:spacing w:after="0" w:line="90" w:lineRule="exact"/>
        <w:rPr>
          <w:rFonts w:ascii="Arial" w:cs="Arial" w:eastAsia="Arial" w:hAnsi="Arial"/>
          <w:sz w:val="17"/>
          <w:szCs w:val="17"/>
          <w:color w:val="auto"/>
        </w:rPr>
      </w:pPr>
    </w:p>
    <w:p>
      <w:pPr>
        <w:ind w:left="1980" w:hanging="360"/>
        <w:spacing w:after="0"/>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cash disbursement for the estimated direct and incremental transaction costs of</w:t>
      </w:r>
    </w:p>
    <w:p>
      <w:pPr>
        <w:spacing w:after="0" w:line="34" w:lineRule="exact"/>
        <w:rPr>
          <w:rFonts w:ascii="Arial" w:cs="Arial" w:eastAsia="Arial" w:hAnsi="Arial"/>
          <w:sz w:val="17"/>
          <w:szCs w:val="17"/>
          <w:color w:val="auto"/>
        </w:rPr>
      </w:pPr>
    </w:p>
    <w:p>
      <w:pPr>
        <w:ind w:left="1980" w:right="439"/>
        <w:spacing w:after="0" w:line="252" w:lineRule="auto"/>
        <w:rPr>
          <w:rFonts w:ascii="Arial" w:cs="Arial" w:eastAsia="Arial" w:hAnsi="Arial"/>
          <w:sz w:val="17"/>
          <w:szCs w:val="17"/>
          <w:color w:val="auto"/>
        </w:rPr>
      </w:pPr>
      <w:r>
        <w:rPr>
          <w:rFonts w:ascii="Arial" w:cs="Arial" w:eastAsia="Arial" w:hAnsi="Arial"/>
          <w:sz w:val="18"/>
          <w:szCs w:val="18"/>
          <w:color w:val="auto"/>
        </w:rPr>
        <w:t>$175.0 million incurred prior to, or concurrent with the Closing by Churchill, including the PIPE Investment and the deferred underwriting fees related to the Churchill IPO, and Lucid in connection with the Transactions. Of the estimated $47.0 million transaction costs incurred by Lucid, $43.9 million is allocable to common stock issued and is recognized as a direct reduction to additional paid-in capital and the remaining $3.1 million allocable to issued warrants classified as liabilities were charged to the unaudited pro forma condensed combined statement of operations upon the Closing.</w:t>
      </w:r>
    </w:p>
    <w:p>
      <w:pPr>
        <w:spacing w:after="0" w:line="124" w:lineRule="exact"/>
        <w:rPr>
          <w:rFonts w:ascii="Arial" w:cs="Arial" w:eastAsia="Arial" w:hAnsi="Arial"/>
          <w:sz w:val="17"/>
          <w:szCs w:val="17"/>
          <w:color w:val="auto"/>
        </w:rPr>
      </w:pPr>
    </w:p>
    <w:p>
      <w:pPr>
        <w:ind w:left="1980" w:hanging="360"/>
        <w:spacing w:after="0"/>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Reflects the $2.0 million cash disbursement for the CEO Transaction Bonus paid upon the Closing.</w:t>
      </w:r>
    </w:p>
    <w:p>
      <w:pPr>
        <w:spacing w:after="0" w:line="169" w:lineRule="exact"/>
        <w:rPr>
          <w:rFonts w:ascii="Arial" w:cs="Arial" w:eastAsia="Arial" w:hAnsi="Arial"/>
          <w:sz w:val="17"/>
          <w:szCs w:val="17"/>
          <w:color w:val="auto"/>
        </w:rPr>
      </w:pPr>
    </w:p>
    <w:p>
      <w:pPr>
        <w:ind w:left="1980" w:right="659" w:hanging="360"/>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cash disbursed for the redemption of 21,644 public shares of Churchill’s Class A common stock at approximately $10.00 per share based on trust account figures prior to the Closing on July 23, 2021 for an aggregate payment of $0.2 million.</w:t>
      </w:r>
    </w:p>
    <w:p>
      <w:pPr>
        <w:spacing w:after="0" w:line="102" w:lineRule="exact"/>
        <w:rPr>
          <w:rFonts w:ascii="Arial" w:cs="Arial" w:eastAsia="Arial" w:hAnsi="Arial"/>
          <w:sz w:val="18"/>
          <w:szCs w:val="18"/>
          <w:color w:val="auto"/>
        </w:rPr>
      </w:pPr>
    </w:p>
    <w:p>
      <w:pPr>
        <w:ind w:left="1980" w:right="1159" w:hanging="360"/>
        <w:spacing w:after="0" w:line="308"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Reflects conversion of the $1.5 million Note due to the Sponsor into the Working Capital Warrants, which have terms identical to the terms of the Private Placement Warrants.</w:t>
      </w:r>
    </w:p>
    <w:p>
      <w:pPr>
        <w:spacing w:after="0" w:line="78" w:lineRule="exact"/>
        <w:rPr>
          <w:rFonts w:ascii="Arial" w:cs="Arial" w:eastAsia="Arial" w:hAnsi="Arial"/>
          <w:sz w:val="17"/>
          <w:szCs w:val="17"/>
          <w:color w:val="auto"/>
        </w:rPr>
      </w:pPr>
    </w:p>
    <w:p>
      <w:pPr>
        <w:ind w:left="1980" w:right="439" w:hanging="360"/>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reclassification of Churchill’s warrant liability related to the Public Warrants to stockholders’ equity as Churchill’s public warrants are expected to qualify for equity classification following the Closing.</w:t>
      </w:r>
    </w:p>
    <w:p>
      <w:pPr>
        <w:spacing w:after="0" w:line="116" w:lineRule="exact"/>
        <w:rPr>
          <w:rFonts w:ascii="Arial" w:cs="Arial" w:eastAsia="Arial" w:hAnsi="Arial"/>
          <w:sz w:val="18"/>
          <w:szCs w:val="18"/>
          <w:color w:val="auto"/>
        </w:rPr>
      </w:pPr>
    </w:p>
    <w:p>
      <w:pPr>
        <w:ind w:left="1980" w:right="779" w:hanging="360"/>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conversion of Lucid Preferred Shares into Lucid Common Shares on a one-to-one basis pursuant to the conversion rate immediately prior to the Effective Time.</w:t>
      </w:r>
    </w:p>
    <w:p>
      <w:pPr>
        <w:spacing w:after="0" w:line="89" w:lineRule="exact"/>
        <w:rPr>
          <w:rFonts w:ascii="Arial" w:cs="Arial" w:eastAsia="Arial" w:hAnsi="Arial"/>
          <w:sz w:val="18"/>
          <w:szCs w:val="18"/>
          <w:color w:val="auto"/>
        </w:rPr>
      </w:pPr>
    </w:p>
    <w:p>
      <w:pPr>
        <w:ind w:left="1980" w:right="799" w:hanging="360"/>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issuance of 1,193,226,511 shares of Class A common stock to holders of Lucid Common Shares at the Closing pursuant to the Merger Agreement to effect the reverse recapitalization.</w:t>
      </w:r>
    </w:p>
    <w:p>
      <w:pPr>
        <w:spacing w:after="0" w:line="116" w:lineRule="exact"/>
        <w:rPr>
          <w:rFonts w:ascii="Arial" w:cs="Arial" w:eastAsia="Arial" w:hAnsi="Arial"/>
          <w:sz w:val="18"/>
          <w:szCs w:val="18"/>
          <w:color w:val="auto"/>
        </w:rPr>
      </w:pPr>
    </w:p>
    <w:p>
      <w:pPr>
        <w:ind w:left="1980" w:right="559" w:hanging="360"/>
        <w:spacing w:after="0" w:line="286"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Reflects the reclassification of the remaining 206,978,356 public shares of Churchill’s Class A common stock after redemptions into permanent equity and the immediate conversion into shares of Class A common stock on a one-to-one basis in connection with the Transactions.</w:t>
      </w:r>
    </w:p>
    <w:p>
      <w:pPr>
        <w:spacing w:after="0" w:line="84" w:lineRule="exact"/>
        <w:rPr>
          <w:rFonts w:ascii="Arial" w:cs="Arial" w:eastAsia="Arial" w:hAnsi="Arial"/>
          <w:sz w:val="17"/>
          <w:szCs w:val="17"/>
          <w:color w:val="auto"/>
        </w:rPr>
      </w:pPr>
    </w:p>
    <w:p>
      <w:pPr>
        <w:ind w:left="1980" w:right="539" w:hanging="360"/>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conversion of all 51,750,000 shares of Churchill’s Class B common stock into shares of Class A common stock on a one-to-one basis in connection with the Transactions.</w:t>
      </w:r>
    </w:p>
    <w:p>
      <w:pPr>
        <w:spacing w:after="0" w:line="102" w:lineRule="exact"/>
        <w:rPr>
          <w:rFonts w:ascii="Arial" w:cs="Arial" w:eastAsia="Arial" w:hAnsi="Arial"/>
          <w:sz w:val="18"/>
          <w:szCs w:val="18"/>
          <w:color w:val="auto"/>
        </w:rPr>
      </w:pPr>
    </w:p>
    <w:p>
      <w:pPr>
        <w:ind w:left="1980" w:right="439" w:hanging="360"/>
        <w:spacing w:after="0" w:line="308"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Reflects the elimination of Churchill’s historical accumulated deficit with a corresponding adjustment to APIC for Lucid Group in connection with the reverse recapitalization at the Closing.</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144"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The adjustments included in the unaudited pro forma condensed combined statement of operations for the three months ended March 31, 2021 were as follows:</w:t>
      </w:r>
    </w:p>
    <w:p>
      <w:pPr>
        <w:spacing w:after="0" w:line="103" w:lineRule="exact"/>
        <w:rPr>
          <w:sz w:val="20"/>
          <w:szCs w:val="20"/>
          <w:color w:val="auto"/>
        </w:rPr>
      </w:pPr>
    </w:p>
    <w:p>
      <w:pPr>
        <w:ind w:left="2260" w:right="519" w:hanging="640"/>
        <w:spacing w:after="0" w:line="273" w:lineRule="auto"/>
        <w:tabs>
          <w:tab w:leader="none" w:pos="2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for the Lucid RSUs granted prior to the Closing in connection with the Transactions and for which the performance condition was deemed to be satisfied upon the Closing. The grant date fair value of Lucid RSUs will be recognized using a graded vesting attribution method over the service period. The estimated grant date fair value of the Lucid RSUs were based on the estimated fair value of Lucid’s underlying common shares as of the dates of the grants.</w:t>
      </w:r>
    </w:p>
    <w:p>
      <w:pPr>
        <w:spacing w:after="0" w:line="96" w:lineRule="exact"/>
        <w:rPr>
          <w:rFonts w:ascii="Arial" w:cs="Arial" w:eastAsia="Arial" w:hAnsi="Arial"/>
          <w:sz w:val="17"/>
          <w:szCs w:val="17"/>
          <w:color w:val="auto"/>
        </w:rPr>
      </w:pPr>
    </w:p>
    <w:p>
      <w:pPr>
        <w:ind w:left="2260" w:right="459" w:hanging="640"/>
        <w:spacing w:after="0" w:line="269" w:lineRule="auto"/>
        <w:tabs>
          <w:tab w:leader="none" w:pos="2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associated with the CEO RSU Award granted prior to the Closing in connection with the Transactions for which the performance condition was deemed to be satisfied upon the Closing. The grant date fair value of the CEO RSU Award will be recognized using a graded vesting attribution method over the service period. The stock-based compensation expense was allocated between research and development expense and selling, general, and administrative expense based on the estimated time and efforts incurred by the CEO between research and development activities and selling, general, and administrative activities. The estimated grant date fair value of the CEO Time-Based RSUs was based on the estimated fair value of Lucid’s underlying common shares as of the date of the grant. The estimated grant date fair value and the derived service period of the CEO Performance RSUs were based on a Monte Carlo simulation method (see footnote 4 for more information).</w:t>
      </w:r>
    </w:p>
    <w:p>
      <w:pPr>
        <w:spacing w:after="0" w:line="111" w:lineRule="exact"/>
        <w:rPr>
          <w:rFonts w:ascii="Arial" w:cs="Arial" w:eastAsia="Arial" w:hAnsi="Arial"/>
          <w:sz w:val="17"/>
          <w:szCs w:val="17"/>
          <w:color w:val="auto"/>
        </w:rPr>
      </w:pPr>
    </w:p>
    <w:p>
      <w:pPr>
        <w:jc w:val="both"/>
        <w:ind w:left="2260" w:right="1019" w:hanging="640"/>
        <w:spacing w:after="0" w:line="263" w:lineRule="auto"/>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elimination of the loss on Churchill’s warrant liability related to the Public Warrants as Churchill’s public warrants are expected to qualify for equity classification following the Closing.</w:t>
      </w:r>
    </w:p>
    <w:p>
      <w:pPr>
        <w:spacing w:after="0" w:line="102" w:lineRule="exact"/>
        <w:rPr>
          <w:rFonts w:ascii="Arial" w:cs="Arial" w:eastAsia="Arial" w:hAnsi="Arial"/>
          <w:sz w:val="18"/>
          <w:szCs w:val="18"/>
          <w:color w:val="auto"/>
        </w:rPr>
      </w:pPr>
    </w:p>
    <w:p>
      <w:pPr>
        <w:ind w:left="2260" w:right="979" w:hanging="640"/>
        <w:spacing w:after="0" w:line="277" w:lineRule="auto"/>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elimination of investment income related to investments held in the trust account.</w:t>
      </w:r>
    </w:p>
    <w:p>
      <w:pPr>
        <w:spacing w:after="0" w:line="103"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The adjustments included in the unaudited pro forma condensed combined statement of operations for the year end December 31, 2020 were as follows:</w:t>
      </w:r>
    </w:p>
    <w:p>
      <w:pPr>
        <w:spacing w:after="0" w:line="103" w:lineRule="exact"/>
        <w:rPr>
          <w:sz w:val="20"/>
          <w:szCs w:val="20"/>
          <w:color w:val="auto"/>
        </w:rPr>
      </w:pPr>
    </w:p>
    <w:p>
      <w:pPr>
        <w:ind w:left="2260" w:right="519" w:hanging="640"/>
        <w:spacing w:after="0" w:line="273" w:lineRule="auto"/>
        <w:tabs>
          <w:tab w:leader="none" w:pos="2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for the Lucid RSUs granted prior to the Closing in connection with the Transactions and for which the performance condition was deemed to be satisfied upon the Closing. The grant date fair value of Lucid RSUs will be recognized using a graded vesting attribution method over the service period. The estimated grant date fair value of the Lucid RSUs granted were based on the estimated fair value of Lucid’s underlying common shares as of the dates of the grants.</w:t>
      </w:r>
    </w:p>
    <w:p>
      <w:pPr>
        <w:spacing w:after="0" w:line="96" w:lineRule="exact"/>
        <w:rPr>
          <w:rFonts w:ascii="Arial" w:cs="Arial" w:eastAsia="Arial" w:hAnsi="Arial"/>
          <w:sz w:val="17"/>
          <w:szCs w:val="17"/>
          <w:color w:val="auto"/>
        </w:rPr>
      </w:pPr>
    </w:p>
    <w:p>
      <w:pPr>
        <w:ind w:left="2260" w:right="459" w:hanging="640"/>
        <w:spacing w:after="0" w:line="252" w:lineRule="auto"/>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estimated stock-based compensation expense associated with the CEO RSU Award granted prior to the Closing in connection with the Transactions for which the performance condition was deemed to be satisfied upon the Closing. The grant date fair value of CEO RSU Award will be recognized using a graded vesting attribution method over the service period. The stock-based compensation expense was allocated between research and development expense and selling, general, and administrative expense based on the estimated time and efforts incurred by the CEO between research and development activities and selling, general, and administrative activities. The estimated grant date fair value of the CEO Time-Based RSUs was based on the estimated fair value of Lucid’s underlying common shares as of the date of the grant. The estimated grant date fair value and the derived service period of the CEO Performance RSUs were based on a Monte Carlo simulation method (see footnote 4 for more information).</w:t>
      </w:r>
    </w:p>
    <w:p>
      <w:pPr>
        <w:spacing w:after="0" w:line="132" w:lineRule="exact"/>
        <w:rPr>
          <w:rFonts w:ascii="Arial" w:cs="Arial" w:eastAsia="Arial" w:hAnsi="Arial"/>
          <w:sz w:val="18"/>
          <w:szCs w:val="18"/>
          <w:color w:val="auto"/>
        </w:rPr>
      </w:pPr>
    </w:p>
    <w:p>
      <w:pPr>
        <w:ind w:left="2260" w:right="479" w:hanging="640"/>
        <w:spacing w:after="0" w:line="277" w:lineRule="auto"/>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$2.0 million compensation expense for the CEO Transaction Bonus incurred upon the Closing.</w:t>
      </w:r>
    </w:p>
    <w:p>
      <w:pPr>
        <w:spacing w:after="0" w:line="102" w:lineRule="exact"/>
        <w:rPr>
          <w:rFonts w:ascii="Arial" w:cs="Arial" w:eastAsia="Arial" w:hAnsi="Arial"/>
          <w:sz w:val="18"/>
          <w:szCs w:val="18"/>
          <w:color w:val="auto"/>
        </w:rPr>
      </w:pPr>
    </w:p>
    <w:p>
      <w:pPr>
        <w:ind w:left="2260" w:hanging="640"/>
        <w:spacing w:after="0"/>
        <w:tabs>
          <w:tab w:leader="none" w:pos="2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Reflects the direct and incremental transaction costs incurred prior to, or concurrent with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60" w:right="779"/>
        <w:spacing w:after="0" w:line="277" w:lineRule="auto"/>
        <w:rPr>
          <w:sz w:val="20"/>
          <w:szCs w:val="20"/>
          <w:color w:val="auto"/>
        </w:rPr>
      </w:pPr>
      <w:r>
        <w:rPr>
          <w:rFonts w:ascii="Arial" w:cs="Arial" w:eastAsia="Arial" w:hAnsi="Arial"/>
          <w:sz w:val="18"/>
          <w:szCs w:val="18"/>
          <w:color w:val="auto"/>
        </w:rPr>
        <w:t>Closing by Lucid allocable to the Private Placement Warrants which are liability classified instruments measured at fair value.</w:t>
      </w:r>
    </w:p>
    <w:p>
      <w:pPr>
        <w:spacing w:after="0" w:line="89" w:lineRule="exact"/>
        <w:rPr>
          <w:sz w:val="20"/>
          <w:szCs w:val="20"/>
          <w:color w:val="auto"/>
        </w:rPr>
      </w:pPr>
    </w:p>
    <w:p>
      <w:pPr>
        <w:jc w:val="both"/>
        <w:ind w:left="2260" w:right="1019" w:hanging="640"/>
        <w:spacing w:after="0" w:line="263" w:lineRule="auto"/>
        <w:tabs>
          <w:tab w:leader="none" w:pos="2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Reflects the elimination of the loss on Churchill’s warrant liability related to the Public Warrants as Churchill’s public warrants are expected to qualify for equity classification following the Closing.</w:t>
      </w:r>
    </w:p>
    <w:p>
      <w:pPr>
        <w:spacing w:after="0" w:line="116" w:lineRule="exact"/>
        <w:rPr>
          <w:rFonts w:ascii="Arial" w:cs="Arial" w:eastAsia="Arial" w:hAnsi="Arial"/>
          <w:sz w:val="18"/>
          <w:szCs w:val="18"/>
          <w:color w:val="auto"/>
        </w:rPr>
      </w:pPr>
    </w:p>
    <w:p>
      <w:pPr>
        <w:ind w:left="2260" w:right="979" w:hanging="640"/>
        <w:spacing w:after="0" w:line="277" w:lineRule="auto"/>
        <w:tabs>
          <w:tab w:leader="none" w:pos="2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Represents the elimination of investment income related to investments held in the trust account.</w:t>
      </w:r>
    </w:p>
    <w:p>
      <w:pPr>
        <w:spacing w:after="0" w:line="102" w:lineRule="exact"/>
        <w:rPr>
          <w:rFonts w:ascii="Arial" w:cs="Arial" w:eastAsia="Arial" w:hAnsi="Arial"/>
          <w:sz w:val="18"/>
          <w:szCs w:val="18"/>
          <w:color w:val="auto"/>
        </w:rPr>
      </w:pPr>
    </w:p>
    <w:p>
      <w:pPr>
        <w:ind w:left="2260" w:right="1059" w:hanging="640"/>
        <w:spacing w:after="0" w:line="286" w:lineRule="auto"/>
        <w:tabs>
          <w:tab w:leader="none" w:pos="22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Reflects the elimination of the deemed contributions related to the repurchase of Lucid Series B Preferred Shares and Lucid Series C Preferred Shares which is deemed to be converted into shares of Class A common stock as of January 1, 2020.</w:t>
      </w:r>
    </w:p>
    <w:p>
      <w:pPr>
        <w:spacing w:after="0" w:line="161" w:lineRule="exact"/>
        <w:rPr>
          <w:rFonts w:ascii="Arial" w:cs="Arial" w:eastAsia="Arial" w:hAnsi="Arial"/>
          <w:sz w:val="17"/>
          <w:szCs w:val="17"/>
          <w:color w:val="auto"/>
        </w:rPr>
      </w:pPr>
    </w:p>
    <w:p>
      <w:pPr>
        <w:ind w:left="1620" w:hanging="360"/>
        <w:spacing w:after="0"/>
        <w:tabs>
          <w:tab w:leader="none" w:pos="16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Represents the net loss per share calculated using the pro forma basic and diluted weighted average shares outstanding of Class A common stock as a result of the pro forma adjustments. As the Transactions are being reflected as if the reverse recapitalization had occurred on January 1, 2020, the calculation of weighted average shares outstanding for pro forma basic and diluted net loss per share reflects (i) the historical Lucid Shares, as adjusted by the Exchange Ratio, outstanding as of the respective original issuance date and (ii) assumes that the new shares issuable relating to the Other Financing Events, as adjusted by the Exchange Ratio, and the Transactions have been outstanding as of January 1, 2020, the beginning of the earliest period presented. The public shares of Churchill’s Class A common stock redeemed by Churchill public stockholders are eliminated as of January 1, 2020.</w:t>
      </w:r>
    </w:p>
    <w:p>
      <w:pPr>
        <w:spacing w:after="0" w:line="100"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Basic and diluted net loss per share attributable to common stockholders is presented in conformity with the two-class method required for participating securities. The 17,250,000 Sponsor Earnback Shares are participating securities that contractually entitle the holders of such shares to participate in nonforfeitable dividends but does not contractually obligate the holders of such shares to participate in losses. The unaudited pro forma condensed combined statement of operations reflects a net loss for the period presented and, accordingly, no loss amounts have been allocated to the Sponsor Earnback Shares. The Sponsor Earnback Shares have also been excluded from basic and diluted pro forma net loss per share attributable to common stockholders as such shares of Class A common stock are contingently recallable until the Earnback Triggering Events have occurred.</w:t>
      </w:r>
    </w:p>
    <w:p>
      <w:pPr>
        <w:spacing w:after="0" w:line="113"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The unaudited pro forma condensed combined net loss per share has been prepared based on the following information:</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w:t>
            </w:r>
          </w:p>
        </w:tc>
        <w:tc>
          <w:tcPr>
            <w:tcW w:w="200" w:type="dxa"/>
            <w:vAlign w:val="bottom"/>
          </w:tcPr>
          <w:p>
            <w:pPr>
              <w:spacing w:after="0"/>
              <w:rPr>
                <w:sz w:val="14"/>
                <w:szCs w:val="14"/>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Three Months Ended March 31,</w:t>
            </w:r>
          </w:p>
        </w:tc>
        <w:tc>
          <w:tcPr>
            <w:tcW w:w="15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r>
      <w:tr>
        <w:trPr>
          <w:trHeight w:val="192"/>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data)</w:t>
            </w: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r>
      <w:tr>
        <w:trPr>
          <w:trHeight w:val="215"/>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5"/>
        </w:trPr>
        <w:tc>
          <w:tcPr>
            <w:tcW w:w="4300" w:type="dxa"/>
            <w:vAlign w:val="bottom"/>
          </w:tcPr>
          <w:p>
            <w:pPr>
              <w:spacing w:after="0"/>
              <w:rPr>
                <w:sz w:val="20"/>
                <w:szCs w:val="20"/>
                <w:color w:val="auto"/>
              </w:rPr>
            </w:pPr>
            <w:r>
              <w:rPr>
                <w:rFonts w:ascii="Arial" w:cs="Arial" w:eastAsia="Arial" w:hAnsi="Arial"/>
                <w:sz w:val="18"/>
                <w:szCs w:val="18"/>
                <w:color w:val="auto"/>
              </w:rPr>
              <w:t>Net loss attributable to common shareholders – basic</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(3,452,111)</w:t>
            </w:r>
          </w:p>
        </w:tc>
        <w:tc>
          <w:tcPr>
            <w:tcW w:w="2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(1,301,453)</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Lucid shareholders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1,107,289,342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733,380,562</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Vested Lucid Group RSUs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7,011,503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1,542,707</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Churchill Sponsor</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34,500,000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34,500,000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Churchill public stockholders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206,978,356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206,978,356</w:t>
            </w: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PIPE Investors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166,666,667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166,666,667</w:t>
            </w:r>
          </w:p>
        </w:tc>
      </w:tr>
      <w:tr>
        <w:trPr>
          <w:trHeight w:val="20"/>
        </w:trPr>
        <w:tc>
          <w:tcPr>
            <w:tcW w:w="4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Weighted average shares outstanding – basic and diluted</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1,522,445,868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1,143,068,292</w:t>
            </w:r>
          </w:p>
        </w:tc>
      </w:tr>
      <w:tr>
        <w:trPr>
          <w:trHeight w:val="209"/>
        </w:trPr>
        <w:tc>
          <w:tcPr>
            <w:tcW w:w="4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 per share attributable to common</w:t>
            </w: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shareholders – basic and diluted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r>
      <w:tr>
        <w:trPr>
          <w:trHeight w:val="21"/>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-487680</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-487680</wp:posOffset>
            </wp:positionV>
            <wp:extent cx="43548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-1756410</wp:posOffset>
            </wp:positionV>
            <wp:extent cx="137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-1756410</wp:posOffset>
            </wp:positionV>
            <wp:extent cx="1289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9"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Following the Closing, the following outstanding shares of common stock equivalents were excluded from the computation of pro forma diluted net loss per share for all the periods and scenarios presented because including them would have had an anti-dilutive effect:</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Three Months Ended March 31, 2021</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w w:val="88"/>
              </w:rPr>
              <w:t>Year Ended December 31, 2020</w:t>
            </w:r>
          </w:p>
        </w:tc>
      </w:tr>
      <w:tr>
        <w:trPr>
          <w:trHeight w:val="26"/>
        </w:trPr>
        <w:tc>
          <w:tcPr>
            <w:tcW w:w="386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22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28,566,667</w:t>
            </w: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28,566,667</w:t>
            </w: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Public warrants</w:t>
            </w:r>
          </w:p>
        </w:tc>
        <w:tc>
          <w:tcPr>
            <w:tcW w:w="2240" w:type="dxa"/>
            <w:vAlign w:val="bottom"/>
          </w:tcPr>
          <w:p>
            <w:pPr>
              <w:jc w:val="right"/>
              <w:ind w:right="493"/>
              <w:spacing w:after="0"/>
              <w:rPr>
                <w:sz w:val="20"/>
                <w:szCs w:val="20"/>
                <w:color w:val="auto"/>
              </w:rPr>
            </w:pPr>
            <w:r>
              <w:rPr>
                <w:rFonts w:ascii="Arial" w:cs="Arial" w:eastAsia="Arial" w:hAnsi="Arial"/>
                <w:sz w:val="18"/>
                <w:szCs w:val="18"/>
                <w:color w:val="auto"/>
              </w:rPr>
              <w:t>41,400,000</w:t>
            </w:r>
          </w:p>
        </w:tc>
        <w:tc>
          <w:tcPr>
            <w:tcW w:w="220" w:type="dxa"/>
            <w:vAlign w:val="bottom"/>
          </w:tcPr>
          <w:p>
            <w:pPr>
              <w:spacing w:after="0"/>
              <w:rPr>
                <w:sz w:val="22"/>
                <w:szCs w:val="22"/>
                <w:color w:val="auto"/>
              </w:rPr>
            </w:pP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41,400,000</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warrants</w:t>
            </w:r>
          </w:p>
        </w:tc>
        <w:tc>
          <w:tcPr>
            <w:tcW w:w="22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1,500,000</w:t>
            </w:r>
          </w:p>
        </w:tc>
      </w:tr>
      <w:tr>
        <w:trPr>
          <w:trHeight w:val="270"/>
        </w:trPr>
        <w:tc>
          <w:tcPr>
            <w:tcW w:w="3860" w:type="dxa"/>
            <w:vAlign w:val="bottom"/>
          </w:tcPr>
          <w:p>
            <w:pPr>
              <w:spacing w:after="0"/>
              <w:rPr>
                <w:sz w:val="20"/>
                <w:szCs w:val="20"/>
                <w:color w:val="auto"/>
              </w:rPr>
            </w:pPr>
            <w:r>
              <w:rPr>
                <w:rFonts w:ascii="Arial" w:cs="Arial" w:eastAsia="Arial" w:hAnsi="Arial"/>
                <w:sz w:val="18"/>
                <w:szCs w:val="18"/>
                <w:color w:val="auto"/>
              </w:rPr>
              <w:t>Lucid Group Options</w:t>
            </w:r>
          </w:p>
        </w:tc>
        <w:tc>
          <w:tcPr>
            <w:tcW w:w="2240" w:type="dxa"/>
            <w:vAlign w:val="bottom"/>
          </w:tcPr>
          <w:p>
            <w:pPr>
              <w:jc w:val="right"/>
              <w:ind w:right="493"/>
              <w:spacing w:after="0"/>
              <w:rPr>
                <w:sz w:val="20"/>
                <w:szCs w:val="20"/>
                <w:color w:val="auto"/>
              </w:rPr>
            </w:pPr>
            <w:r>
              <w:rPr>
                <w:rFonts w:ascii="Arial" w:cs="Arial" w:eastAsia="Arial" w:hAnsi="Arial"/>
                <w:sz w:val="18"/>
                <w:szCs w:val="18"/>
                <w:color w:val="auto"/>
              </w:rPr>
              <w:t>68,121,210</w:t>
            </w:r>
          </w:p>
        </w:tc>
        <w:tc>
          <w:tcPr>
            <w:tcW w:w="220" w:type="dxa"/>
            <w:vAlign w:val="bottom"/>
          </w:tcPr>
          <w:p>
            <w:pPr>
              <w:spacing w:after="0"/>
              <w:rPr>
                <w:sz w:val="23"/>
                <w:szCs w:val="23"/>
                <w:color w:val="auto"/>
              </w:rPr>
            </w:pP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68,121,210</w:t>
            </w:r>
          </w:p>
        </w:tc>
      </w:tr>
      <w:tr>
        <w:trPr>
          <w:trHeight w:val="27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Lucid Group RSUs</w:t>
            </w:r>
          </w:p>
        </w:tc>
        <w:tc>
          <w:tcPr>
            <w:tcW w:w="22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18,827,621</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23,926,942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-839470</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24517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01"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The 14,783,333 Sponsor Earnback Warrants are excluded from the pro forma anti-dilutive table as the underlying shares are contingently recallable until the Earnback Triggering Events have occurred.</w:t>
      </w:r>
    </w:p>
    <w:p>
      <w:pPr>
        <w:spacing w:after="0" w:line="79"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16,024,411 Lucid Group RSUs expected to vest under the CEO Performance RSUs as adjusted by the Exchange Ratio are excluded from the pro forma anti-dilutive table as the underlying shares are contingently issuable until the market conditions have been satisfied.</w:t>
      </w:r>
    </w:p>
    <w:p>
      <w:pPr>
        <w:spacing w:after="0" w:line="180" w:lineRule="exact"/>
        <w:rPr>
          <w:sz w:val="20"/>
          <w:szCs w:val="20"/>
          <w:color w:val="auto"/>
        </w:rPr>
      </w:pPr>
    </w:p>
    <w:p>
      <w:pPr>
        <w:ind w:left="1620" w:hanging="360"/>
        <w:spacing w:after="0"/>
        <w:tabs>
          <w:tab w:leader="none" w:pos="16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CEO Performance RSUs Valuation</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CEO Performance RSUs vest upon the achievement of a specified market condition for each tranche and the continued employment of Mr. Rawlinson at each vesting date. The estimated grant date fair value for each tranche of CEO Performance RSUs was determined by using the Monte Carlo simulation method with the following key assumptions:</w:t>
      </w:r>
    </w:p>
    <w:p>
      <w:pPr>
        <w:spacing w:after="0" w:line="106" w:lineRule="exact"/>
        <w:rPr>
          <w:sz w:val="20"/>
          <w:szCs w:val="20"/>
          <w:color w:val="auto"/>
        </w:rPr>
      </w:pPr>
    </w:p>
    <w:p>
      <w:pPr>
        <w:ind w:left="1620" w:right="719"/>
        <w:spacing w:after="0" w:line="263" w:lineRule="auto"/>
        <w:rPr>
          <w:sz w:val="20"/>
          <w:szCs w:val="20"/>
          <w:color w:val="auto"/>
        </w:rPr>
      </w:pPr>
      <w:r>
        <w:rPr>
          <w:rFonts w:ascii="Arial" w:cs="Arial" w:eastAsia="Arial" w:hAnsi="Arial"/>
          <w:sz w:val="18"/>
          <w:szCs w:val="18"/>
          <w:i w:val="1"/>
          <w:iCs w:val="1"/>
          <w:color w:val="auto"/>
        </w:rPr>
        <w:t xml:space="preserve">Expected stock price: </w:t>
      </w:r>
      <w:r>
        <w:rPr>
          <w:rFonts w:ascii="Arial" w:cs="Arial" w:eastAsia="Arial" w:hAnsi="Arial"/>
          <w:sz w:val="18"/>
          <w:szCs w:val="18"/>
          <w:color w:val="auto"/>
        </w:rPr>
        <w:t>The expected stock price is determined based on an assumed share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as of the Closing calculated based on the closing trading price of Churchill’s Class A common stock as of the grant date.</w:t>
      </w:r>
    </w:p>
    <w:p>
      <w:pPr>
        <w:spacing w:after="0" w:line="116" w:lineRule="exact"/>
        <w:rPr>
          <w:sz w:val="20"/>
          <w:szCs w:val="20"/>
          <w:color w:val="auto"/>
        </w:rPr>
      </w:pPr>
    </w:p>
    <w:p>
      <w:pPr>
        <w:ind w:left="1620" w:right="115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was determined by using an average of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selected industry peers deemed to be comparable to the Company’s business corresponding to the expected term of the awards.</w:t>
      </w:r>
    </w:p>
    <w:p>
      <w:pPr>
        <w:spacing w:after="0" w:line="116" w:lineRule="exact"/>
        <w:rPr>
          <w:sz w:val="20"/>
          <w:szCs w:val="20"/>
          <w:color w:val="auto"/>
        </w:rPr>
      </w:pPr>
    </w:p>
    <w:p>
      <w:pPr>
        <w:ind w:left="1620" w:right="479"/>
        <w:spacing w:after="0" w:line="26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 for zero-coupon U.S. Treasury notes with maturities corresponding to the expected term of the awards.</w:t>
      </w:r>
    </w:p>
    <w:p>
      <w:pPr>
        <w:spacing w:after="0" w:line="103" w:lineRule="exact"/>
        <w:rPr>
          <w:sz w:val="20"/>
          <w:szCs w:val="20"/>
          <w:color w:val="auto"/>
        </w:rPr>
      </w:pPr>
    </w:p>
    <w:p>
      <w:pPr>
        <w:ind w:left="1620" w:right="699"/>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for valuation of the CEO Performance RSUs is their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five years. The expected term represents the period these awards are expected to remain outstanding and is based on historical experience of similar awards, giving consideration to the contractual terms of the share-based awards, vesting schedules, and expectations of future employee behavior.</w:t>
      </w:r>
    </w:p>
    <w:p>
      <w:pPr>
        <w:spacing w:after="0" w:line="120" w:lineRule="exact"/>
        <w:rPr>
          <w:sz w:val="20"/>
          <w:szCs w:val="20"/>
          <w:color w:val="auto"/>
        </w:rPr>
      </w:pPr>
    </w:p>
    <w:p>
      <w:pPr>
        <w:ind w:left="1620" w:right="103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expected dividend rate is zero as we currently have no history or</w:t>
      </w:r>
      <w:r>
        <w:rPr>
          <w:rFonts w:ascii="Arial" w:cs="Arial" w:eastAsia="Arial" w:hAnsi="Arial"/>
          <w:sz w:val="18"/>
          <w:szCs w:val="18"/>
          <w:i w:val="1"/>
          <w:iCs w:val="1"/>
          <w:color w:val="auto"/>
        </w:rPr>
        <w:t xml:space="preserve"> </w:t>
      </w:r>
      <w:r>
        <w:rPr>
          <w:rFonts w:ascii="Arial" w:cs="Arial" w:eastAsia="Arial" w:hAnsi="Arial"/>
          <w:sz w:val="18"/>
          <w:szCs w:val="18"/>
          <w:color w:val="auto"/>
        </w:rPr>
        <w:t>expectation of declaring dividends.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aggregate estimated grant date fair value of the CEO Performance RSUs is $272.1 million.</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derived service period under the Monte Carlo simulation method was determined based on the median vesting time for the simulations that achieved the vesting hurdle. Share-based compensation expense associated with each of the five tranches under the CEO Performance RSUs will be recognized over the earlier of (i) derived service periods of each tranche and (ii) the date on which the market condition is satisfied, using the graded vesting attribution method. The estimated derived service periods of the five tranches under the CEO Performance RSUs are estimated to be 0.72, 0.79, 1.72, 2.18 and 2.51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RESULTS OF OPERATIONS</w:t>
      </w:r>
    </w:p>
    <w:p>
      <w:pPr>
        <w:spacing w:after="0" w:line="130"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Lucid’s historical audited annual consolidated financial statements as of and for the years ended December 31, 2020 and 2019, and unaudited interim condensed consolidated financial statements as of March 31, 2021 and for the three months ended March 31, 2021 and 2020, and the related accompanying notes that are included elsewhere in this prospectus. The discussion and analysis should also be read together with Lucid Group’s unaudited pro forma condensed combined financial information in the section entitled “Unaudited Pro Forma Condensed Combined Financial Information.” This discussion may contain forward-looking statements based upon our current expectations, estimates and projections that involve risks and uncertainties. Actual results could differ materially from those anticipated in these forward-looking statements due to, among other considerations, the matters discussed in the sections entitled “Risk Factors” and “Cautionary Note Regarding Forward-Looking Statements.” Unless the context otherwise requires, all references in this section to “Lucid,” the “Company,” “we,” “us,” “our,” and other similar terms refer to Lucid’s business prior to the consummation of the Transactions. Lucid Group continues Lucid’s business following the consummation of the Transactions.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We are a technology and automotive company with a mission to inspire the adoption of sustainable transportation by creating the most captivating luxury electric vehicles centered around human experience. Our focus on in-house technological innovation and a “clean sheet” approach to engineering and design have led to the development of our groundbreaking electric vehicle, the Lucid Air, which we expect to go into production in the second half of 2021.</w:t>
      </w:r>
    </w:p>
    <w:p>
      <w:pPr>
        <w:spacing w:after="0" w:line="120"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Through miniaturization of the key drive-train components, the Lucid Air is designed to deliver compelling performance and interior space with an exterior that is reminiscent of a high-performance sports car. We believe our drivetrain and battery pack technologies are significant differentiators and our battery technology has been driven more than twenty million real-world miles since Lucid’s inception. With our 900V+ electrical architecture, we expect that some variants of the Lucid Air will be able to achieve sufficient charge in approximately 20 minutes to travel 300 miles and have travel range in excess of 500 miles on a single charge. The Lucid Air is expected to be available in a variant with over 1,000 horsepower and the ability to travel from zero to 60 miles per hour in less than 2.5 seconds. We are also the supplier of battery technology for the premier EV racing series. We believe the Lucid Air will establish the bar for excellence across future Lucid products and experiences by fusing art and science to capture the potential of electrification.</w:t>
      </w:r>
    </w:p>
    <w:p>
      <w:pPr>
        <w:spacing w:after="0" w:line="119"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The Lucid Air will be manufactured in-house at our greenfield purpose-built electric vehicle manufacturing facilities in Casa Grande, Arizona, named Advanced Manufacturing Plant-1 (“</w:t>
      </w:r>
      <w:r>
        <w:rPr>
          <w:rFonts w:ascii="Arial" w:cs="Arial" w:eastAsia="Arial" w:hAnsi="Arial"/>
          <w:sz w:val="17"/>
          <w:szCs w:val="17"/>
          <w:i w:val="1"/>
          <w:iCs w:val="1"/>
          <w:color w:val="auto"/>
        </w:rPr>
        <w:t>AMP-1</w:t>
      </w:r>
      <w:r>
        <w:rPr>
          <w:rFonts w:ascii="Arial" w:cs="Arial" w:eastAsia="Arial" w:hAnsi="Arial"/>
          <w:sz w:val="17"/>
          <w:szCs w:val="17"/>
          <w:color w:val="auto"/>
        </w:rPr>
        <w:t>”) and Lucid Powertrain Manufacturing Plant (“</w:t>
      </w:r>
      <w:r>
        <w:rPr>
          <w:rFonts w:ascii="Arial" w:cs="Arial" w:eastAsia="Arial" w:hAnsi="Arial"/>
          <w:sz w:val="17"/>
          <w:szCs w:val="17"/>
          <w:i w:val="1"/>
          <w:iCs w:val="1"/>
          <w:color w:val="auto"/>
        </w:rPr>
        <w:t>LPM-1</w:t>
      </w:r>
      <w:r>
        <w:rPr>
          <w:rFonts w:ascii="Arial" w:cs="Arial" w:eastAsia="Arial" w:hAnsi="Arial"/>
          <w:sz w:val="17"/>
          <w:szCs w:val="17"/>
          <w:color w:val="auto"/>
        </w:rPr>
        <w:t>”). Upon completion of our facilities, our manufacturing footprint in Casa Grande is expected to exceed 5 million square feet on 495 acres. Our AMP-1 facility is designed with an initial output capacity to produce up to 34,000 vehicles annually. We are on track to start our production of the Lucid Air utilizing our AMP-1 facility in the second half of 2021.</w:t>
      </w:r>
    </w:p>
    <w:p>
      <w:pPr>
        <w:spacing w:after="0" w:line="110"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We expect to launch additional vehicles over the coming decade. We have already commenced engineering and design work for Project Gravity, a luxury SUV that is expected to leverage the same platform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8"/>
          <w:szCs w:val="18"/>
          <w:i w:val="1"/>
          <w:iCs w:val="1"/>
          <w:color w:val="auto"/>
        </w:rPr>
        <w:t>ESS</w:t>
      </w:r>
      <w:r>
        <w:rPr>
          <w:rFonts w:ascii="Arial" w:cs="Arial" w:eastAsia="Arial" w:hAnsi="Arial"/>
          <w:sz w:val="18"/>
          <w:szCs w:val="18"/>
          <w:color w:val="auto"/>
        </w:rPr>
        <w:t>”) products. ESS is a technologically adjacent opportunity which can leverage the modular design of our battery packs and our extensive experience with battery pack and battery management systems.</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We plan to sell our vehicles directly to consumers through both our retail store or gallery locations, which we refer to as “Studios,” and our online purchasing platform as we believe the direct-to-consumer sales model reflects today’s changing customer preferences. We believe that our direct-to-consumer sales model, combined with a digitally enhanced luxury experience through our website and a refined in-store experience, creates opportunities to tailor to each customer’s purchase and ownership preferences. As of June 30, 2021, we have opened eight retail stores and expect additional stores and service centers to open in North America throughout 2021. We believe in owning our sales and service network in order to control our customers’ experience throughout their journey with us. We are also in the process of establishing an in-house service footprint through brick-and-mortar service centers in various geographies and a planned mobile service fleet. In order to deliver excellent in-house and mobile services to our customers, we also plan to have an approved list of vetted and specially trained body shop technicians.</w:t>
      </w:r>
    </w:p>
    <w:p>
      <w:pPr>
        <w:spacing w:after="0" w:line="10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revenue to date has been generated solely from the sales of battery pack systems, supplies and related services. To date, we have not sold any vehicles, and we do not expect to begin commercial sales of our vehicles until the second half of 2021. We incurred net losses of $748.0 million and $129.7 million for the three months ended March 31, 2021 and 2020, respectively, and $719.4 million and $277.4 million for the years ended December 31, 2020 and 2019, respectively, and we expect to incur significant net losses for the foreseeable future. We plan to make significant investments in capital expenditures to build and expand our manufacturing, sales and service facilities, hire a commercial sales team, and continue to invest in research and development. We expect that our existing cash and cash equivalents, including the net proceeds from the Transactions and the PIPE Investment, will be sufficient to meet our capital expenditure and working capital requirements for a period of at least twelve months from the date of this prospectus.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Closing of Transactions</w:t>
      </w:r>
    </w:p>
    <w:p>
      <w:pPr>
        <w:spacing w:after="0" w:line="158" w:lineRule="exact"/>
        <w:rPr>
          <w:sz w:val="20"/>
          <w:szCs w:val="20"/>
          <w:color w:val="auto"/>
        </w:rPr>
      </w:pPr>
    </w:p>
    <w:p>
      <w:pPr>
        <w:jc w:val="both"/>
        <w:ind w:left="1260" w:right="839" w:firstLine="360"/>
        <w:spacing w:after="0" w:line="286" w:lineRule="auto"/>
        <w:rPr>
          <w:sz w:val="20"/>
          <w:szCs w:val="20"/>
          <w:color w:val="auto"/>
        </w:rPr>
      </w:pPr>
      <w:r>
        <w:rPr>
          <w:rFonts w:ascii="Arial" w:cs="Arial" w:eastAsia="Arial" w:hAnsi="Arial"/>
          <w:sz w:val="17"/>
          <w:szCs w:val="17"/>
          <w:color w:val="auto"/>
        </w:rPr>
        <w:t>On the Closing Date, Churchill and Lucid consummated the Transactions. Pursuant to the Merger Agreement, Merger Sub merged with and into Lucid, with Lucid surviving the Merger. Lucid became a wholly owned subsidiary of Churchill and Churchill was immediately renamed “Lucid Group, Inc.”</w:t>
      </w:r>
    </w:p>
    <w:p>
      <w:pPr>
        <w:spacing w:after="0" w:line="9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96"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In connection with the Transactions, we raised $4,570.1 million of gross proceeds including the contribution of $2,070.1 million of proceeds from cash held in Churchill’s trust account from the Churchill IPO, net of redemption of Churchill’s Class A common stock held by Churchill’s public stockholders of $0.2 million, and $2,500.0 million of proceeds from the PIPE Investment. We estimate the direct and incremental transaction costs in connection with the Transactions incurred prior to, or concurrent with the Closing by Churchill, including the PIPE Investment and the deferred underwriting fees related to the Churchill IPO, and Lucid to be $175.0 million. We intend to use the net proceeds for future capacity expansion, general corporate purposes and to meet our working capital needs.</w:t>
      </w:r>
    </w:p>
    <w:p>
      <w:pPr>
        <w:spacing w:after="0" w:line="124"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 xml:space="preserve">Lucid’s historical audited annual consolidated financial statements as of and for the years ended December 31, 2020 and 2019, and unaudited interim condensed consolidated financial statements as of March 31, 2021 and for the three months ended March 31, 2021 and 2020, and the related respective accompanying notes that are included elsewhere in this prospectus do not include the effects of the Transactions. Lucid’s historical results and other financial information for all periods discussed and analyzed in this section entitled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also do not include the effects of the Transactions. See the section entitled</w:t>
      </w:r>
      <w:r>
        <w:rPr>
          <w:rFonts w:ascii="Arial" w:cs="Arial" w:eastAsia="Arial" w:hAnsi="Arial"/>
          <w:sz w:val="18"/>
          <w:szCs w:val="18"/>
          <w:i w:val="1"/>
          <w:iCs w:val="1"/>
          <w:color w:val="auto"/>
        </w:rPr>
        <w:t xml:space="preserve"> “Unaudited Pro Forma Condensed Combined Financial Information — Basis of Pro Forma Presentation” </w:t>
      </w:r>
      <w:r>
        <w:rPr>
          <w:rFonts w:ascii="Arial" w:cs="Arial" w:eastAsia="Arial" w:hAnsi="Arial"/>
          <w:sz w:val="18"/>
          <w:szCs w:val="18"/>
          <w:color w:val="auto"/>
        </w:rPr>
        <w:t>for more information.</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48" w:lineRule="exact"/>
        <w:rPr>
          <w:sz w:val="20"/>
          <w:szCs w:val="20"/>
          <w:color w:val="auto"/>
        </w:rPr>
      </w:pPr>
    </w:p>
    <w:p>
      <w:pPr>
        <w:jc w:val="both"/>
        <w:ind w:left="1260" w:right="979" w:firstLine="360"/>
        <w:spacing w:after="0" w:line="270" w:lineRule="auto"/>
        <w:rPr>
          <w:sz w:val="20"/>
          <w:szCs w:val="20"/>
          <w:color w:val="auto"/>
        </w:rPr>
      </w:pPr>
      <w:r>
        <w:rPr>
          <w:rFonts w:ascii="Arial" w:cs="Arial" w:eastAsia="Arial" w:hAnsi="Arial"/>
          <w:sz w:val="17"/>
          <w:szCs w:val="17"/>
          <w:color w:val="auto"/>
        </w:rPr>
        <w:t>We believe that our future success and financial performance depend on a number of factors that present significant opportunities for our business, but also pose risks and challenges, including those discussed below and in the section of this prospectus titled “</w:t>
      </w:r>
      <w:r>
        <w:rPr>
          <w:rFonts w:ascii="Arial" w:cs="Arial" w:eastAsia="Arial" w:hAnsi="Arial"/>
          <w:sz w:val="17"/>
          <w:szCs w:val="17"/>
          <w:i w:val="1"/>
          <w:iCs w:val="1"/>
          <w:color w:val="auto"/>
        </w:rPr>
        <w:t>Risk Factors.”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15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believe we are positioned to be a leader in the electric vehicle market by unlocking the potential for advanced, high-performance, and long -range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Though not yet commercially available, we have received significant interest in the Lucid Air from potential customers. Through June 21, 2021, we have refundable reservations that reflect potential sales greater than $900 million.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plan to operate a direct -to- consumer sales and service model, which we believe will allow us to offer a personalized experience for our customers based on their purchase and ownership preferences. We expect to incur significant expenses in our sales and marketing operations as we prepare for commercialization of the Lucid Air, including to open Studios, hire a sales force, invest in marketing and brand awareness, and stand up a service center operation. As of June 30, 2021, we had opened eight Studios in four locations in California, two locations in Florida, one location in New York and one location in Illinois. By the end of 2021, we expect to open additional Studios and service centers in North America. We also intend to hire additional sales, customer service, and service centers personnel. We believe that investing in our direct-to -consumer sales and service model will be critical to deliver and service the Lucid electric vehicles we plan to manufacture and sell.</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each year through 2023 as we continue our phased construction of our AMP-1 and LPM- 1 facilities and international expansion and then to decrease in the subsequent years.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15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To date, we have primarily generated revenue from the sales of battery pack systems, supplies and related services for vehicles to a single customer. We have identified the sale of battery pack systems and the</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related supplies as a performance obligation to be recognized at the point in time when control is transferred to the customer. While our customer generally has the right to return defective or non- conforming products, product returns have been immaterial in past periods. We do not expect the sales from the battery pack systems for the world’s premier electric racing series to be material for the go-forward commercialized business.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44"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7"/>
          <w:szCs w:val="17"/>
          <w:color w:val="auto"/>
        </w:rPr>
        <w:t>Cost of revenue related to battery pack systems, supplies and related services for electric vehicles primarily consists of direct parts and materials, shipping and handling costs, headcount related costs, such as salaries and related personnel expenses, including share-based compensation, and estimated warranty expenses related to battery pack systems. Cost of revenue also includes allocated overhead costs including depreciation of manufacturing related equipment and facilities, amortization of capitalized internal-use software, facilities, and information technology costs.</w:t>
      </w:r>
    </w:p>
    <w:p>
      <w:pPr>
        <w:spacing w:after="0" w:line="10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Once we have commenced commercial production of the Lucid Air, we expect to capitalize the cost to manufacture vehicles and expense these capitalized inventory costs within cost of revenue when the vehicles are sold. We have not capitalized any vehicle development costs to date.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Our operating expenses consist of research and development and selling, general and administrative expenses.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Research and Development</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share-based compensation. Research and development expenses also include professional services fees, allocated facilities costs, such as office and rent expense and depreciation expense, and other engineering, designing, and testing expenses.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Selling, General, and Administrative</w:t>
      </w:r>
    </w:p>
    <w:p>
      <w:pPr>
        <w:spacing w:after="0" w:line="15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Selling, general, and administrative expenses consist primarily of personnel-related expenses for employees involved in general corporate, selling and marketing functions, including executive management and administration, legal, human resources, accounting, finance, tax, and information technology. Personnel-related expenses primarily include salaries, benefits and share-based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24"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144"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Our contingent forward contracts provided the holder the right to purchase Lucid Series D Preferred Shares and Lucid Series E Preferred Shares in future periods and were subject to remeasurement to fair value at each balance sheet date. Changes in the fair value of our contingent forward contracts were recognized in the consolidated statements of operations and comprehensive loss. We do not expect to have continuing adjustments to the liability for changes in fair value as we have settled our contingent forward contracts in 2021.</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Our convertible preferred share warrant liability related to Lucid Series D Preferred Shares was subject to remeasurement to fair value at each balance sheet date. Changes in the fair value of our convertible preferred share warrant liability were recognized in the consolidated statements of operations and comprehensive loss. We do not expect to have continuing adjustments to the liability for changes in fair value as all of our issued and outstanding convertible preferred share warrants were exercised in March 2021.</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Interest expense consists primarily of the interest incurred on our convertible notes, which were outstanding and converted in 2019, and on our capital leases. Interest income consists primarily of interest income earned on our cash and cash equivalents.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ind w:left="1260" w:right="419" w:firstLine="360"/>
        <w:spacing w:after="0" w:line="301" w:lineRule="auto"/>
        <w:rPr>
          <w:sz w:val="20"/>
          <w:szCs w:val="20"/>
          <w:color w:val="auto"/>
        </w:rPr>
      </w:pPr>
      <w:r>
        <w:rPr>
          <w:rFonts w:ascii="Arial" w:cs="Arial" w:eastAsia="Arial" w:hAnsi="Arial"/>
          <w:sz w:val="16"/>
          <w:szCs w:val="16"/>
          <w:color w:val="auto"/>
        </w:rPr>
        <w:t>Other income (expense), net consists primarily of foreign currency gains and losses and interest related to unrecognized tax benefits.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provision (benefit) for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tables set forth our results of operations for the periods presented:</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5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Fiscal Year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
                <w:szCs w:val="2"/>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change</w:t>
            </w: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0"/>
                <w:szCs w:val="20"/>
                <w:color w:val="auto"/>
              </w:rPr>
            </w:pPr>
            <w:r>
              <w:rPr>
                <w:rFonts w:ascii="Arial" w:cs="Arial" w:eastAsia="Arial" w:hAnsi="Arial"/>
                <w:sz w:val="16"/>
                <w:szCs w:val="16"/>
                <w:color w:val="auto"/>
              </w:rPr>
              <w:t>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313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305</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*nm   $</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3,976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4,590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(614)</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2"/>
        </w:trPr>
        <w:tc>
          <w:tcPr>
            <w:tcW w:w="2460" w:type="dxa"/>
            <w:vAlign w:val="bottom"/>
          </w:tcPr>
          <w:p>
            <w:pPr>
              <w:spacing w:after="0" w:line="263" w:lineRule="exact"/>
              <w:rPr>
                <w:sz w:val="20"/>
                <w:szCs w:val="20"/>
                <w:color w:val="auto"/>
              </w:rPr>
            </w:pPr>
            <w:r>
              <w:rPr>
                <w:rFonts w:ascii="Arial" w:cs="Arial" w:eastAsia="Arial" w:hAnsi="Arial"/>
                <w:sz w:val="16"/>
                <w:szCs w:val="16"/>
                <w:color w:val="auto"/>
              </w:rPr>
              <w:t>Cost of revenue</w:t>
            </w:r>
            <w:r>
              <w:rPr>
                <w:rFonts w:ascii="Arial" w:cs="Arial" w:eastAsia="Arial" w:hAnsi="Arial"/>
                <w:sz w:val="25"/>
                <w:szCs w:val="25"/>
                <w:color w:val="auto"/>
                <w:vertAlign w:val="superscript"/>
              </w:rPr>
              <w:t>(1)</w:t>
            </w:r>
          </w:p>
        </w:tc>
        <w:tc>
          <w:tcPr>
            <w:tcW w:w="100" w:type="dxa"/>
            <w:vAlign w:val="bottom"/>
          </w:tcPr>
          <w:p>
            <w:pPr>
              <w:spacing w:after="0"/>
              <w:rPr>
                <w:sz w:val="22"/>
                <w:szCs w:val="22"/>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85</w:t>
            </w:r>
          </w:p>
        </w:tc>
        <w:tc>
          <w:tcPr>
            <w:tcW w:w="640" w:type="dxa"/>
            <w:vAlign w:val="bottom"/>
            <w:gridSpan w:val="3"/>
          </w:tcPr>
          <w:p>
            <w:pPr>
              <w:jc w:val="center"/>
              <w:ind w:right="180"/>
              <w:spacing w:after="0"/>
              <w:rPr>
                <w:sz w:val="20"/>
                <w:szCs w:val="20"/>
                <w:color w:val="auto"/>
              </w:rPr>
            </w:pPr>
            <w:r>
              <w:rPr>
                <w:rFonts w:ascii="Arial" w:cs="Arial" w:eastAsia="Arial" w:hAnsi="Arial"/>
                <w:sz w:val="16"/>
                <w:szCs w:val="16"/>
                <w:color w:val="auto"/>
              </w:rPr>
              <w:t>*nm</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3,070</w:t>
            </w:r>
          </w:p>
        </w:tc>
        <w:tc>
          <w:tcPr>
            <w:tcW w:w="14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3,926</w:t>
            </w:r>
          </w:p>
        </w:tc>
        <w:tc>
          <w:tcPr>
            <w:tcW w:w="10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(856)</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w:t>
            </w:r>
          </w:p>
        </w:tc>
        <w:tc>
          <w:tcPr>
            <w:tcW w:w="64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rPr>
              <w:t>*nm</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906</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460" w:type="dxa"/>
            <w:vAlign w:val="bottom"/>
            <w:shd w:val="clear" w:color="auto" w:fill="CCEEFF"/>
          </w:tcPr>
          <w:p>
            <w:pPr>
              <w:spacing w:after="0" w:line="259"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6"/>
              </w:rPr>
              <w:t>167,369</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109,759</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57,610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6"/>
              </w:rPr>
              <w:t>511,110</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220,223</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290,887</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Selling, general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60" w:type="dxa"/>
            <w:vAlign w:val="bottom"/>
          </w:tcPr>
          <w:p>
            <w:pPr>
              <w:ind w:left="160"/>
              <w:spacing w:after="0" w:line="257" w:lineRule="exact"/>
              <w:rPr>
                <w:sz w:val="20"/>
                <w:szCs w:val="20"/>
                <w:color w:val="auto"/>
              </w:rPr>
            </w:pPr>
            <w:r>
              <w:rPr>
                <w:rFonts w:ascii="Arial" w:cs="Arial" w:eastAsia="Arial" w:hAnsi="Arial"/>
                <w:sz w:val="16"/>
                <w:szCs w:val="16"/>
                <w:color w:val="auto"/>
              </w:rPr>
              <w:t>administrative</w:t>
            </w:r>
            <w:r>
              <w:rPr>
                <w:rFonts w:ascii="Arial" w:cs="Arial" w:eastAsia="Arial" w:hAnsi="Arial"/>
                <w:sz w:val="25"/>
                <w:szCs w:val="25"/>
                <w:color w:val="auto"/>
                <w:vertAlign w:val="superscript"/>
              </w:rPr>
              <w:t>(1)</w:t>
            </w:r>
          </w:p>
        </w:tc>
        <w:tc>
          <w:tcPr>
            <w:tcW w:w="100" w:type="dxa"/>
            <w:vAlign w:val="bottom"/>
          </w:tcPr>
          <w:p>
            <w:pPr>
              <w:spacing w:after="0"/>
              <w:rPr>
                <w:sz w:val="22"/>
                <w:szCs w:val="22"/>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131,652</w:t>
            </w: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14,245</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117,407</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22"/>
                <w:szCs w:val="22"/>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89,023</w:t>
            </w:r>
          </w:p>
        </w:tc>
        <w:tc>
          <w:tcPr>
            <w:tcW w:w="14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38,375</w:t>
            </w: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50,648</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6"/>
              </w:rPr>
              <w:t>299,021</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124,004</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175,017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6"/>
              </w:rPr>
              <w:t>600,133</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258,598</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341,535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r>
              <w:rPr>
                <w:rFonts w:ascii="Arial" w:cs="Arial" w:eastAsia="Arial" w:hAnsi="Arial"/>
                <w:sz w:val="16"/>
                <w:szCs w:val="16"/>
                <w:color w:val="auto"/>
              </w:rPr>
              <w:t>Loss from operations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(298,793)</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(123,996)</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(174,797)</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0"/>
              </w:rPr>
              <w:t>(599,227)</w:t>
            </w: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(257,934)</w:t>
            </w: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(341,293)</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60" w:type="dxa"/>
            <w:vAlign w:val="bottom"/>
          </w:tcPr>
          <w:p>
            <w:pPr>
              <w:spacing w:after="0"/>
              <w:rPr>
                <w:sz w:val="20"/>
                <w:szCs w:val="20"/>
                <w:color w:val="auto"/>
              </w:rPr>
            </w:pPr>
            <w:r>
              <w:rPr>
                <w:rFonts w:ascii="Arial" w:cs="Arial" w:eastAsia="Arial" w:hAnsi="Arial"/>
                <w:sz w:val="16"/>
                <w:szCs w:val="16"/>
                <w:color w:val="auto"/>
              </w:rPr>
              <w:t>Change in fair value of contingent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160"/>
              <w:spacing w:after="0"/>
              <w:rPr>
                <w:sz w:val="20"/>
                <w:szCs w:val="20"/>
                <w:color w:val="auto"/>
              </w:rPr>
            </w:pPr>
            <w:r>
              <w:rPr>
                <w:rFonts w:ascii="Arial" w:cs="Arial" w:eastAsia="Arial" w:hAnsi="Arial"/>
                <w:sz w:val="16"/>
                <w:szCs w:val="16"/>
                <w:color w:val="auto"/>
              </w:rPr>
              <w:t>forward contracts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(442,164)</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(5,516)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(436,648)</w:t>
            </w:r>
          </w:p>
        </w:tc>
        <w:tc>
          <w:tcPr>
            <w:tcW w:w="640" w:type="dxa"/>
            <w:vAlign w:val="bottom"/>
            <w:gridSpan w:val="3"/>
          </w:tcPr>
          <w:p>
            <w:pPr>
              <w:jc w:val="center"/>
              <w:ind w:right="180"/>
              <w:spacing w:after="0"/>
              <w:rPr>
                <w:sz w:val="20"/>
                <w:szCs w:val="20"/>
                <w:color w:val="auto"/>
              </w:rPr>
            </w:pPr>
            <w:r>
              <w:rPr>
                <w:rFonts w:ascii="Arial" w:cs="Arial" w:eastAsia="Arial" w:hAnsi="Arial"/>
                <w:sz w:val="16"/>
                <w:szCs w:val="16"/>
                <w:color w:val="auto"/>
              </w:rPr>
              <w:t>*nm</w:t>
            </w:r>
          </w:p>
        </w:tc>
        <w:tc>
          <w:tcPr>
            <w:tcW w:w="680" w:type="dxa"/>
            <w:vAlign w:val="bottom"/>
          </w:tcPr>
          <w:p>
            <w:pPr>
              <w:jc w:val="right"/>
              <w:spacing w:after="0"/>
              <w:rPr>
                <w:sz w:val="20"/>
                <w:szCs w:val="20"/>
                <w:color w:val="auto"/>
              </w:rPr>
            </w:pPr>
            <w:r>
              <w:rPr>
                <w:rFonts w:ascii="Arial" w:cs="Arial" w:eastAsia="Arial" w:hAnsi="Arial"/>
                <w:sz w:val="16"/>
                <w:szCs w:val="16"/>
                <w:color w:val="auto"/>
                <w:w w:val="90"/>
              </w:rPr>
              <w:t>(118,382)</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(15,053)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(103,329)</w:t>
            </w:r>
          </w:p>
        </w:tc>
        <w:tc>
          <w:tcPr>
            <w:tcW w:w="54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23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convertible preferred share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warrant liability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(6,920)</w:t>
            </w:r>
          </w:p>
        </w:tc>
        <w:tc>
          <w:tcPr>
            <w:tcW w:w="64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rPr>
              <w:t>*nm</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(799)</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640" w:type="dxa"/>
            <w:vAlign w:val="bottom"/>
            <w:gridSpan w:val="3"/>
          </w:tcPr>
          <w:p>
            <w:pPr>
              <w:jc w:val="right"/>
              <w:ind w:right="80"/>
              <w:spacing w:after="0"/>
              <w:rPr>
                <w:sz w:val="20"/>
                <w:szCs w:val="20"/>
                <w:color w:val="auto"/>
              </w:rPr>
            </w:pPr>
            <w:r>
              <w:rPr>
                <w:rFonts w:ascii="Arial" w:cs="Arial" w:eastAsia="Arial" w:hAnsi="Arial"/>
                <w:sz w:val="16"/>
                <w:szCs w:val="16"/>
                <w:color w:val="auto"/>
              </w:rPr>
              <w:t>(44)%</w:t>
            </w: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(8,547)</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8,483</w:t>
            </w:r>
          </w:p>
        </w:tc>
        <w:tc>
          <w:tcPr>
            <w:tcW w:w="54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260"/>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4,606</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(5,296)</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460" w:type="dxa"/>
            <w:vAlign w:val="bottom"/>
          </w:tcPr>
          <w:p>
            <w:pPr>
              <w:spacing w:after="0"/>
              <w:rPr>
                <w:sz w:val="20"/>
                <w:szCs w:val="20"/>
                <w:color w:val="auto"/>
              </w:rPr>
            </w:pPr>
            <w:r>
              <w:rPr>
                <w:rFonts w:ascii="Arial" w:cs="Arial" w:eastAsia="Arial" w:hAnsi="Arial"/>
                <w:sz w:val="16"/>
                <w:szCs w:val="16"/>
                <w:color w:val="auto"/>
              </w:rPr>
              <w:t>Total other expense, net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(449,155)</w:t>
            </w:r>
          </w:p>
        </w:tc>
        <w:tc>
          <w:tcPr>
            <w:tcW w:w="1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(5,659)</w:t>
            </w:r>
          </w:p>
        </w:tc>
        <w:tc>
          <w:tcPr>
            <w:tcW w:w="10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(443,496)</w:t>
            </w:r>
          </w:p>
        </w:tc>
        <w:tc>
          <w:tcPr>
            <w:tcW w:w="640" w:type="dxa"/>
            <w:vAlign w:val="bottom"/>
            <w:gridSpan w:val="3"/>
          </w:tcPr>
          <w:p>
            <w:pPr>
              <w:jc w:val="center"/>
              <w:ind w:right="180"/>
              <w:spacing w:after="0"/>
              <w:rPr>
                <w:sz w:val="20"/>
                <w:szCs w:val="20"/>
                <w:color w:val="auto"/>
              </w:rPr>
            </w:pPr>
            <w:r>
              <w:rPr>
                <w:rFonts w:ascii="Arial" w:cs="Arial" w:eastAsia="Arial" w:hAnsi="Arial"/>
                <w:sz w:val="16"/>
                <w:szCs w:val="16"/>
                <w:color w:val="auto"/>
              </w:rPr>
              <w:t>*nm</w:t>
            </w:r>
          </w:p>
        </w:tc>
        <w:tc>
          <w:tcPr>
            <w:tcW w:w="680" w:type="dxa"/>
            <w:vAlign w:val="bottom"/>
          </w:tcPr>
          <w:p>
            <w:pPr>
              <w:jc w:val="right"/>
              <w:spacing w:after="0"/>
              <w:rPr>
                <w:sz w:val="20"/>
                <w:szCs w:val="20"/>
                <w:color w:val="auto"/>
              </w:rPr>
            </w:pPr>
            <w:r>
              <w:rPr>
                <w:rFonts w:ascii="Arial" w:cs="Arial" w:eastAsia="Arial" w:hAnsi="Arial"/>
                <w:sz w:val="16"/>
                <w:szCs w:val="16"/>
                <w:color w:val="auto"/>
                <w:w w:val="90"/>
              </w:rPr>
              <w:t>(120,341)</w:t>
            </w:r>
          </w:p>
        </w:tc>
        <w:tc>
          <w:tcPr>
            <w:tcW w:w="14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(19,400)</w:t>
            </w:r>
          </w:p>
        </w:tc>
        <w:tc>
          <w:tcPr>
            <w:tcW w:w="10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(100,941)</w:t>
            </w:r>
          </w:p>
        </w:tc>
        <w:tc>
          <w:tcPr>
            <w:tcW w:w="54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250"/>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Loss before provision for (benefit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from) income taxes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(747,948)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(129,655)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(618,293)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(719,568)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(277,334)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(442,234)</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Arial" w:cs="Arial" w:eastAsia="Arial" w:hAnsi="Arial"/>
                <w:sz w:val="16"/>
                <w:szCs w:val="16"/>
                <w:color w:val="auto"/>
              </w:rPr>
              <w:t>Provision for (benefit from)</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160"/>
              <w:spacing w:after="0"/>
              <w:rPr>
                <w:sz w:val="20"/>
                <w:szCs w:val="20"/>
                <w:color w:val="auto"/>
              </w:rPr>
            </w:pPr>
            <w:r>
              <w:rPr>
                <w:rFonts w:ascii="Arial" w:cs="Arial" w:eastAsia="Arial" w:hAnsi="Arial"/>
                <w:sz w:val="16"/>
                <w:szCs w:val="16"/>
                <w:color w:val="auto"/>
              </w:rPr>
              <w:t>income taxes</w:t>
            </w:r>
          </w:p>
        </w:tc>
        <w:tc>
          <w:tcPr>
            <w:tcW w:w="1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76</w:t>
            </w:r>
          </w:p>
        </w:tc>
        <w:tc>
          <w:tcPr>
            <w:tcW w:w="640" w:type="dxa"/>
            <w:vAlign w:val="bottom"/>
            <w:gridSpan w:val="3"/>
          </w:tcPr>
          <w:p>
            <w:pPr>
              <w:jc w:val="right"/>
              <w:ind w:right="80"/>
              <w:spacing w:after="0"/>
              <w:rPr>
                <w:sz w:val="20"/>
                <w:szCs w:val="20"/>
                <w:color w:val="auto"/>
              </w:rPr>
            </w:pPr>
            <w:r>
              <w:rPr>
                <w:rFonts w:ascii="Arial" w:cs="Arial" w:eastAsia="Arial" w:hAnsi="Arial"/>
                <w:sz w:val="16"/>
                <w:szCs w:val="16"/>
                <w:color w:val="auto"/>
              </w:rPr>
              <w:t>(106)%</w:t>
            </w:r>
          </w:p>
        </w:tc>
        <w:tc>
          <w:tcPr>
            <w:tcW w:w="680" w:type="dxa"/>
            <w:vAlign w:val="bottom"/>
          </w:tcPr>
          <w:p>
            <w:pPr>
              <w:jc w:val="right"/>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(211)</w:t>
            </w:r>
          </w:p>
        </w:tc>
        <w:tc>
          <w:tcPr>
            <w:tcW w:w="54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250"/>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(747,952)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(129,583)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$(618,369)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477%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(719,380)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(277,357)</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2"/>
              </w:rPr>
              <w:t>$(442,023)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-3582670</wp:posOffset>
            </wp:positionV>
            <wp:extent cx="521208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-3745230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-3745230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*nm — not meaningful</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share-based compensation expense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9"/>
              </w:rPr>
              <w:t>Fiscal Year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
                <w:szCs w:val="2"/>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
                <w:szCs w:val="2"/>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660" w:type="dxa"/>
            <w:vAlign w:val="bottom"/>
            <w:gridSpan w:val="5"/>
          </w:tcPr>
          <w:p>
            <w:pPr>
              <w:jc w:val="center"/>
              <w:ind w:right="168"/>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change</w:t>
            </w:r>
          </w:p>
        </w:tc>
        <w:tc>
          <w:tcPr>
            <w:tcW w:w="170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289% $</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  (230)</w:t>
            </w:r>
          </w:p>
        </w:tc>
        <w:tc>
          <w:tcPr>
            <w:tcW w:w="1700" w:type="dxa"/>
            <w:vAlign w:val="bottom"/>
            <w:gridSpan w:val="4"/>
          </w:tcPr>
          <w:p>
            <w:pPr>
              <w:jc w:val="right"/>
              <w:ind w:right="1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12,952</w:t>
            </w:r>
          </w:p>
        </w:tc>
        <w:tc>
          <w:tcPr>
            <w:tcW w:w="8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786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12,166</w:t>
            </w:r>
          </w:p>
        </w:tc>
        <w:tc>
          <w:tcPr>
            <w:tcW w:w="40" w:type="dxa"/>
            <w:vAlign w:val="bottom"/>
          </w:tcPr>
          <w:p>
            <w:pPr>
              <w:spacing w:after="0"/>
              <w:rPr>
                <w:sz w:val="22"/>
                <w:szCs w:val="22"/>
                <w:color w:val="auto"/>
              </w:rPr>
            </w:pPr>
          </w:p>
        </w:tc>
        <w:tc>
          <w:tcPr>
            <w:tcW w:w="620" w:type="dxa"/>
            <w:vAlign w:val="bottom"/>
            <w:gridSpan w:val="4"/>
          </w:tcPr>
          <w:p>
            <w:pPr>
              <w:jc w:val="center"/>
              <w:ind w:right="228"/>
              <w:spacing w:after="0"/>
              <w:rPr>
                <w:sz w:val="20"/>
                <w:szCs w:val="20"/>
                <w:color w:val="auto"/>
              </w:rPr>
            </w:pPr>
            <w:r>
              <w:rPr>
                <w:rFonts w:ascii="Arial" w:cs="Arial" w:eastAsia="Arial" w:hAnsi="Arial"/>
                <w:sz w:val="18"/>
                <w:szCs w:val="18"/>
                <w:color w:val="auto"/>
                <w:w w:val="99"/>
              </w:rPr>
              <w:t>*nm</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3,724</w:t>
            </w:r>
          </w:p>
        </w:tc>
        <w:tc>
          <w:tcPr>
            <w:tcW w:w="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4,770</w:t>
            </w:r>
          </w:p>
        </w:tc>
        <w:tc>
          <w:tcPr>
            <w:tcW w:w="2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(1,046)</w:t>
            </w:r>
          </w:p>
        </w:tc>
        <w:tc>
          <w:tcPr>
            <w:tcW w:w="1700" w:type="dxa"/>
            <w:vAlign w:val="bottom"/>
            <w:gridSpan w:val="4"/>
          </w:tcPr>
          <w:p>
            <w:pPr>
              <w:jc w:val="right"/>
              <w:ind w:right="1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91,631</w:t>
            </w:r>
          </w:p>
        </w:tc>
        <w:tc>
          <w:tcPr>
            <w:tcW w:w="8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91,501</w:t>
            </w:r>
          </w:p>
        </w:tc>
        <w:tc>
          <w:tcPr>
            <w:tcW w:w="40" w:type="dxa"/>
            <w:vAlign w:val="bottom"/>
          </w:tcPr>
          <w:p>
            <w:pPr>
              <w:spacing w:after="0"/>
              <w:rPr>
                <w:sz w:val="22"/>
                <w:szCs w:val="22"/>
                <w:color w:val="auto"/>
              </w:rPr>
            </w:pPr>
          </w:p>
        </w:tc>
        <w:tc>
          <w:tcPr>
            <w:tcW w:w="620" w:type="dxa"/>
            <w:vAlign w:val="bottom"/>
            <w:gridSpan w:val="4"/>
          </w:tcPr>
          <w:p>
            <w:pPr>
              <w:jc w:val="center"/>
              <w:ind w:right="228"/>
              <w:spacing w:after="0"/>
              <w:rPr>
                <w:sz w:val="20"/>
                <w:szCs w:val="20"/>
                <w:color w:val="auto"/>
              </w:rPr>
            </w:pPr>
            <w:r>
              <w:rPr>
                <w:rFonts w:ascii="Arial" w:cs="Arial" w:eastAsia="Arial" w:hAnsi="Arial"/>
                <w:sz w:val="18"/>
                <w:szCs w:val="18"/>
                <w:color w:val="auto"/>
                <w:w w:val="99"/>
              </w:rPr>
              <w:t>*nm</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2,506</w:t>
            </w:r>
          </w:p>
        </w:tc>
        <w:tc>
          <w:tcPr>
            <w:tcW w:w="2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(1,829)</w:t>
            </w:r>
          </w:p>
        </w:tc>
        <w:tc>
          <w:tcPr>
            <w:tcW w:w="1700" w:type="dxa"/>
            <w:vAlign w:val="bottom"/>
            <w:gridSpan w:val="4"/>
          </w:tcPr>
          <w:p>
            <w:pPr>
              <w:jc w:val="right"/>
              <w:ind w:right="1100"/>
              <w:spacing w:after="0"/>
              <w:rPr>
                <w:sz w:val="20"/>
                <w:szCs w:val="20"/>
                <w:color w:val="auto"/>
              </w:rPr>
            </w:pPr>
            <w:r>
              <w:rPr>
                <w:rFonts w:ascii="Arial" w:cs="Arial" w:eastAsia="Arial" w:hAnsi="Arial"/>
                <w:sz w:val="18"/>
                <w:szCs w:val="18"/>
                <w:color w:val="auto"/>
                <w:w w:val="99"/>
              </w:rPr>
              <w:t>(270)%</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920" w:type="dxa"/>
            <w:vAlign w:val="bottom"/>
            <w:vMerge w:val="restart"/>
          </w:tcPr>
          <w:p>
            <w:pPr>
              <w:spacing w:after="0"/>
              <w:rPr>
                <w:sz w:val="20"/>
                <w:szCs w:val="20"/>
                <w:color w:val="auto"/>
              </w:rPr>
            </w:pPr>
            <w:r>
              <w:rPr>
                <w:rFonts w:ascii="Arial" w:cs="Arial" w:eastAsia="Arial" w:hAnsi="Arial"/>
                <w:sz w:val="18"/>
                <w:szCs w:val="18"/>
                <w:color w:val="auto"/>
              </w:rPr>
              <w:t>Total share-based compensation</w:t>
            </w: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60" w:type="dxa"/>
            <w:vAlign w:val="bottom"/>
          </w:tcPr>
          <w:p>
            <w:pPr>
              <w:spacing w:after="0"/>
              <w:rPr>
                <w:sz w:val="19"/>
                <w:szCs w:val="19"/>
                <w:color w:val="auto"/>
              </w:rPr>
            </w:pPr>
          </w:p>
        </w:tc>
        <w:tc>
          <w:tcPr>
            <w:tcW w:w="2920" w:type="dxa"/>
            <w:vAlign w:val="bottom"/>
            <w:vMerge w:val="continue"/>
          </w:tcPr>
          <w:p>
            <w:pPr>
              <w:spacing w:after="0"/>
              <w:rPr>
                <w:sz w:val="19"/>
                <w:szCs w:val="19"/>
                <w:color w:val="auto"/>
              </w:rPr>
            </w:pPr>
          </w:p>
        </w:tc>
        <w:tc>
          <w:tcPr>
            <w:tcW w:w="40" w:type="dxa"/>
            <w:vAlign w:val="bottom"/>
            <w:vMerge w:val="restart"/>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6"/>
              </w:rPr>
              <w:t>104,795</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6"/>
              </w:rPr>
              <w:t>971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87"/>
              </w:rPr>
              <w:t>$103,824</w:t>
            </w:r>
          </w:p>
        </w:tc>
        <w:tc>
          <w:tcPr>
            <w:tcW w:w="40" w:type="dxa"/>
            <w:vAlign w:val="bottom"/>
          </w:tcPr>
          <w:p>
            <w:pPr>
              <w:spacing w:after="0"/>
              <w:rPr>
                <w:sz w:val="19"/>
                <w:szCs w:val="19"/>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8"/>
                <w:szCs w:val="18"/>
                <w:color w:val="auto"/>
              </w:rPr>
              <w:t>*nm   $</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4,614</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8"/>
              </w:rPr>
              <w:t>7,719</w:t>
            </w:r>
          </w:p>
        </w:tc>
        <w:tc>
          <w:tcPr>
            <w:tcW w:w="20" w:type="dxa"/>
            <w:vAlign w:val="bottom"/>
          </w:tcPr>
          <w:p>
            <w:pPr>
              <w:spacing w:after="0"/>
              <w:rPr>
                <w:sz w:val="19"/>
                <w:szCs w:val="19"/>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9"/>
              </w:rPr>
              <w:t>$(3,105)</w:t>
            </w:r>
          </w:p>
        </w:tc>
        <w:tc>
          <w:tcPr>
            <w:tcW w:w="1700" w:type="dxa"/>
            <w:vAlign w:val="bottom"/>
            <w:gridSpan w:val="4"/>
            <w:vMerge w:val="restart"/>
          </w:tcPr>
          <w:p>
            <w:pPr>
              <w:jc w:val="right"/>
              <w:ind w:right="1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expense</w:t>
            </w:r>
          </w:p>
        </w:tc>
        <w:tc>
          <w:tcPr>
            <w:tcW w:w="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4"/>
            <w:vMerge w:val="continue"/>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7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3"/>
        </w:trPr>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-1731010</wp:posOffset>
            </wp:positionV>
            <wp:extent cx="521208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5212080"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-1071245</wp:posOffset>
            </wp:positionV>
            <wp:extent cx="5212080" cy="3257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2080" cy="3257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-1885315</wp:posOffset>
            </wp:positionV>
            <wp:extent cx="85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-1885315</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Revenue increased by $0.3 million, or over 100%, for the three months ended March 31, 2021 compared to the three months ended March 31, 2020. The increase was attributable to an increase in sales of our battery pack systems and supplies for vehicles.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58"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7"/>
          <w:szCs w:val="17"/>
          <w:color w:val="auto"/>
        </w:rPr>
        <w:t>Cost of revenue increased by $0.1 million, or 100%, for the three months ended March 31, 2021 as compared to the three months ended March 31, 2020. The increase was due to the increase of sales of our battery pack systems and supplies for vehicles. Gross profit increased by $0.2 million, or over 100%, primarily due to an increase in revenue partially offset by an increase in cost of revenue. Gross margin decreased by 27 percentage points primarily due to an increase in cost of revenue for the three months ended March 31, 2021 compared to the three months ended March 31, 2020.</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Research and development expense increased by $57.6 million, or 52%, for the three months ended March 31, 2021 as compared to the three months ended March 31, 2020. The increase was primarily attributable to increases in personnel-related expenses of $44.4 million due to growth in headcount and share -based compensation expense of $ 11.9 million recognized during the three months ended March 31, 2021 in relation to the fourth closing of the Lucid Series E Preferred Shares issuance. Additionally, we incurred increases in office and rent expense of $18.8 million primarily related to additional facilities needed to scale our business and increases in professional service fees of $ 9.3 million. These increases were offset by a decrease in materials and supplies expenses of $21.0 million as we continued to transition from product development into commercialization.</w:t>
      </w:r>
    </w:p>
    <w:p>
      <w:pPr>
        <w:spacing w:after="0" w:line="11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Selling, general, and administrative expense increased by $117.4 million, or 824%, for the three months ended March 31, 2021 as compared to the three months ended March 31, 2020. The increase was primarily attributable to increases in personnel -related expenses of $101.6 million due to share-based compensation expense of $91.0 million recognized during the three months ended March 31, 2021 in relation to the fourth closing of the Lucid Series E Preferred Shares issuance and growth in headcount as we grew our salesforce and expanded general and administrative functions needed to scale our business. Additionally, we incurred increases in other allocated overhead costs of $6.3 million primarily related to additional facilities to support the growing operations of our business.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contingent forward contracts provided the holder the right to purchase our Lucid Series D Preferred Shares and Lucid Series E Preferred Shares in future periods and was subject to remeasurement to fair value at each balance sheet date. Changes in the fair value of our contingent forward contracts were recognized in the consolidated statements of operations and comprehensive loss. Change in contingent forward contracts liability increased by $442.2 million, or more than 100%, for three months ended March 31, 2021 compared to the three months ended March 31, 2020 primarily due to the change in fair value of the Series E contingent forward contracts.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158" w:lineRule="exact"/>
        <w:rPr>
          <w:sz w:val="20"/>
          <w:szCs w:val="20"/>
          <w:color w:val="auto"/>
        </w:rPr>
      </w:pPr>
    </w:p>
    <w:p>
      <w:pPr>
        <w:ind w:left="1260" w:right="659" w:firstLine="360"/>
        <w:spacing w:after="0" w:line="311" w:lineRule="auto"/>
        <w:rPr>
          <w:sz w:val="20"/>
          <w:szCs w:val="20"/>
          <w:color w:val="auto"/>
        </w:rPr>
      </w:pPr>
      <w:r>
        <w:rPr>
          <w:rFonts w:ascii="Arial" w:cs="Arial" w:eastAsia="Arial" w:hAnsi="Arial"/>
          <w:sz w:val="16"/>
          <w:szCs w:val="16"/>
          <w:color w:val="auto"/>
        </w:rPr>
        <w:t>We recorded losses of $7.0 million for the three months ended March 31, 2021 due to the changes in fair value of the convertible preferred share warrant liability related to Lucid Series D Preferred Shares upon the exercise and settlement of all outstanding warrants to purchase Lucid Series D Preferred Shares.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Interest expense did not significantly fluctuate during the three months ended March 31, 2021 as compared to the three months ended March 31, 2020.</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Other income (expense), net did not significantly fluctuate during the three months ended March 31, 2021 as compared to the three months ended March 31, 2020.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The provision (benefit) for income taxes did not significantly fluctuate during the three months ended March 31, 2021 as compared to the three months ended March 31, 2020.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Years Ended December 31, 2020 and 2019</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Revenue decreased by $0.6 million, or (13)%, for 2020 compared to 2019 attributable to a decrease in sales of our battery pack systems and supplies for vehicles.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4" w:lineRule="exact"/>
        <w:rPr>
          <w:sz w:val="20"/>
          <w:szCs w:val="20"/>
          <w:color w:val="auto"/>
        </w:rPr>
      </w:pPr>
    </w:p>
    <w:p>
      <w:pPr>
        <w:jc w:val="both"/>
        <w:ind w:left="1260" w:right="619" w:firstLine="360"/>
        <w:spacing w:after="0" w:line="255" w:lineRule="auto"/>
        <w:rPr>
          <w:sz w:val="20"/>
          <w:szCs w:val="20"/>
          <w:color w:val="auto"/>
        </w:rPr>
      </w:pPr>
      <w:r>
        <w:rPr>
          <w:rFonts w:ascii="Arial" w:cs="Arial" w:eastAsia="Arial" w:hAnsi="Arial"/>
          <w:sz w:val="17"/>
          <w:szCs w:val="17"/>
          <w:color w:val="auto"/>
        </w:rPr>
        <w:t>Cost of revenue decreased by $0.9 million, or (22)%, for 2020 compared to 2019 primarily due to the reduction of sales of our battery pack systems and supplies for vehicles of $0.6 million and a reduction of our share-based compensation expense of $0.2 million. Gross profit and gross margin increased by</w:t>
      </w:r>
    </w:p>
    <w:p>
      <w:pPr>
        <w:ind w:left="1260" w:right="639"/>
        <w:spacing w:after="0" w:line="243" w:lineRule="auto"/>
        <w:rPr>
          <w:sz w:val="20"/>
          <w:szCs w:val="20"/>
          <w:color w:val="auto"/>
        </w:rPr>
      </w:pPr>
      <w:r>
        <w:rPr>
          <w:rFonts w:ascii="Arial" w:cs="Arial" w:eastAsia="Arial" w:hAnsi="Arial"/>
          <w:sz w:val="18"/>
          <w:szCs w:val="18"/>
          <w:color w:val="auto"/>
        </w:rPr>
        <w:t>$0.2 million, or 36%, and 8 percentage points, respectively, for 2020 compared to 2019 primarily due to a decrease in share-based compensation.</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Research and development expense increased by $290.9 million, or 132%, for 2020 compared to 2019. The increase was primarily attributable to increases in materials and supplies expense of $163.5 million, personnel-related expenses of $68.4 million due to growth in headcount, professional services fees of $31.9 million, allocated facilities costs of $23.1 million, and other engineering, designing, and testing expenses of $4.1 million. The increase in the allocated facilities costs was primarily due to our overall corporate growth and was attributable to increases in our allocated office and rent expense of $15.8 million, depreciation expense of $3.8 million, and other allocated overhead costs of $3.5 million.</w:t>
      </w:r>
    </w:p>
    <w:p>
      <w:pPr>
        <w:spacing w:after="0" w:line="11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Selling, general, and administrative expense increased by $50.6 million, or 132%, for 2020 compared to 2019. The increase was primarily attributable to increases in personnel-related expenses of $28.6 million due to growth in headcount, allocated facilities costs of $12.5 million, professional services fees of</w:t>
      </w:r>
    </w:p>
    <w:p>
      <w:pPr>
        <w:ind w:left="1260" w:right="559"/>
        <w:spacing w:after="0" w:line="238" w:lineRule="auto"/>
        <w:rPr>
          <w:sz w:val="20"/>
          <w:szCs w:val="20"/>
          <w:color w:val="auto"/>
        </w:rPr>
      </w:pPr>
      <w:r>
        <w:rPr>
          <w:rFonts w:ascii="Arial" w:cs="Arial" w:eastAsia="Arial" w:hAnsi="Arial"/>
          <w:sz w:val="18"/>
          <w:szCs w:val="18"/>
          <w:color w:val="auto"/>
        </w:rPr>
        <w:t>$5.4 million, and other general corporate expenses of $4.1 million. The increase in the allocated facilities costs was primarily due to our overall corporate growth and was attributable to increases in our allocated office and rent expense of $7.8 million, depreciation expense of $2.4 million, and other allocated overhead costs of $2.3 million.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144"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settled all of our then existing contingent forward contracts related to Lucid Series D Preferred Shares and Lucid Series E Preferred Shares in 2020. We recorded losses of $118.4 million in 2020 due to the changes in fair value of the contingent forward contracts upon the final settlement.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158"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We recorded losses of $1.2 million in 2020 due to the changes in fair value of the convertible preferred share warrant liability related to an increase in the fair value related to the outstanding convertible preferred share warrants.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Interest expense decreased by $ 8.5 million, or (99)%, for 2020 compared to 2019 primarily attributable to the conversion of our convertible notes related to Lucid Series D Preferred Shares into shares in April 2019.</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Other income (expense), net decreased by $5.3 million, or (115)%, for 2020 compared to 2019 primarily attributable to foreign currency losses on transactions denominated in currencies other than the U.S. dollar, predominately the Euro, the Japanese Yen and the Korean Won.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58"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Provision (benefit) for income taxes was immaterial for the year ended December 31, 2020 and 2019. We have accumulated net operating losses at the federal and state level as we have not yet started commercial operations. We maintain a full valuation allowance against our net deferred tax assets. The income tax benefits shown above are primarily related to sales of our battery pack systems, supplies and related services for vehicles.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Since inception, we have financed our operations primarily from the issuances of shares and convertible notes. As of March 31, 2021 we had $810.5 million of cash and cash equivalents and short-term investments. Subsequent to March 31, 2021, we received an additional $92.9 million from issuances of Lucid Series E Preferred Shares.</w:t>
      </w:r>
    </w:p>
    <w:p>
      <w:pPr>
        <w:spacing w:after="0" w:line="107"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In connection with the Transactions, we raised $4,570.1 million of gross proceeds including the contribution of $2,070.1 million of proceeds from cash held in Churchill’s trust account from the Churchill IPO, net of redemption of Churchill’s Class A common stock held by Churchill’s public stockholders of $0.2 million, and $2,500.0 million of proceeds from the PIPE Investment. We estimate the direct and incremental transaction costs in connection with the Transactions incurred prior to, or concurrent with the Closing by Churchill, including the PIPE Investment and the deferred underwriting fees related to the Churchill IPO, and Lucid to be $175.0 million. We intend to use the net proceeds for future capacity expansion, general corporate purposes and to meet our working capital needs.</w:t>
      </w:r>
    </w:p>
    <w:p>
      <w:pPr>
        <w:spacing w:after="0" w:line="12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 xml:space="preserve">As an early stage growth company in the pre- commercialization stage of development, we have incurred substantial net losses since inception. We expect to continue to incur net losses in accordance with our operating plan as we continue to expand our research and development activities to complete the development of vehicles, establish our consumer base and scale our operations to meet anticipated demand. We anticipate our cumulative spend on capital expenditures of at least $6.0 billion over the next four years to support our commercialization and growth as we continue our phased construction of our AMP-1, LPM-1 and international manufacturing facilities, purchase infrastructure for our vehicle production and launch our retail Studios to support our direct-to-consumer model. As of December 31, 2020, our non-cancellable commitments, as disclosed in “— </w:t>
      </w:r>
      <w:r>
        <w:rPr>
          <w:rFonts w:ascii="Arial" w:cs="Arial" w:eastAsia="Arial" w:hAnsi="Arial"/>
          <w:sz w:val="17"/>
          <w:szCs w:val="17"/>
          <w:i w:val="1"/>
          <w:iCs w:val="1"/>
          <w:color w:val="auto"/>
        </w:rPr>
        <w:t>Contractual Obligations and Commitments</w:t>
      </w:r>
      <w:r>
        <w:rPr>
          <w:rFonts w:ascii="Arial" w:cs="Arial" w:eastAsia="Arial" w:hAnsi="Arial"/>
          <w:sz w:val="17"/>
          <w:szCs w:val="17"/>
          <w:color w:val="auto"/>
        </w:rPr>
        <w:t>,” do not include any commitments related to these capital expenditures as we do not have any commitments related to these capital expenditures that we cannot cancel without a significant penalty. In addition to our capital expenditures, we expect our operating expenses to increase as we hire a commercial sales and service team and continue to invest in research and development. We expect these investments to be a key driver of our long-term growth and competitiveness, but will negatively impact our free cash flow. We have based these estimates on assumptions that may prove to be wrong, and we could utilize our available capital resources sooner than we currently anticipate.</w:t>
      </w:r>
    </w:p>
    <w:p>
      <w:pPr>
        <w:spacing w:after="0" w:line="118"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6"/>
          <w:szCs w:val="16"/>
          <w:color w:val="auto"/>
        </w:rPr>
        <w:t>We believe that our cash on hand following the consummation of the Transactions, including the proceeds from the PIPE Investment, will be sufficient to meet our capital expenditure and working capital requirements for a period of at least twelve months from the date of this prospectus. We expect to require additional capital to finance our operations, which may include seeking additional capital through equity offerings or debt financings. The amount and timing of our future funding and our commercialization requirements, if any, will depend on many factors, including the pace and results of our research and development efforts and our commercialization efforts. We may be unable to obtain any such additional financing on reasonable terms or at all. Our ability to access capital when needed is not assured and, if capital is not available to us when, and in the amounts needed, we could be required to delay, scale back or</w:t>
      </w: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color w:val="auto"/>
        </w:rPr>
        <w:t>abandon some or all of our development programs and other operations, which could materially harm our business, prospects, financial condition and operating results.</w:t>
      </w:r>
    </w:p>
    <w:p>
      <w:pPr>
        <w:spacing w:after="0" w:line="90" w:lineRule="exact"/>
        <w:rPr>
          <w:sz w:val="20"/>
          <w:szCs w:val="20"/>
          <w:color w:val="auto"/>
        </w:rPr>
      </w:pPr>
    </w:p>
    <w:p>
      <w:pPr>
        <w:ind w:left="1260" w:right="639" w:firstLine="360"/>
        <w:spacing w:after="0"/>
        <w:rPr>
          <w:sz w:val="20"/>
          <w:szCs w:val="20"/>
          <w:color w:val="auto"/>
        </w:rPr>
      </w:pPr>
      <w:r>
        <w:rPr>
          <w:rFonts w:ascii="Arial" w:cs="Arial" w:eastAsia="Arial" w:hAnsi="Arial"/>
          <w:sz w:val="18"/>
          <w:szCs w:val="18"/>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this prospectus in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Note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Historical Cash Flows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Fiscal Year Ended</w:t>
            </w:r>
          </w:p>
        </w:tc>
      </w:tr>
      <w:tr>
        <w:trPr>
          <w:trHeight w:val="186"/>
        </w:trPr>
        <w:tc>
          <w:tcPr>
            <w:tcW w:w="4460" w:type="dxa"/>
            <w:vAlign w:val="bottom"/>
          </w:tcPr>
          <w:p>
            <w:pPr>
              <w:spacing w:after="0"/>
              <w:rPr>
                <w:sz w:val="16"/>
                <w:szCs w:val="16"/>
                <w:color w:val="auto"/>
              </w:rPr>
            </w:pPr>
          </w:p>
        </w:tc>
        <w:tc>
          <w:tcPr>
            <w:tcW w:w="1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44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4460" w:type="dxa"/>
            <w:vAlign w:val="bottom"/>
          </w:tcPr>
          <w:p>
            <w:pPr>
              <w:spacing w:after="0"/>
              <w:rPr>
                <w:sz w:val="17"/>
                <w:szCs w:val="17"/>
                <w:color w:val="auto"/>
              </w:rPr>
            </w:pPr>
          </w:p>
        </w:tc>
        <w:tc>
          <w:tcPr>
            <w:tcW w:w="760" w:type="dxa"/>
            <w:vAlign w:val="bottom"/>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44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4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$(218,726)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(570,196)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$(235,299)</w:t>
            </w:r>
          </w:p>
        </w:tc>
        <w:tc>
          <w:tcPr>
            <w:tcW w:w="60" w:type="dxa"/>
            <w:vAlign w:val="bottom"/>
          </w:tcPr>
          <w:p>
            <w:pPr>
              <w:spacing w:after="0"/>
              <w:rPr>
                <w:sz w:val="22"/>
                <w:szCs w:val="22"/>
                <w:color w:val="auto"/>
              </w:rPr>
            </w:pPr>
          </w:p>
        </w:tc>
      </w:tr>
      <w:tr>
        <w:trPr>
          <w:trHeight w:val="256"/>
        </w:trPr>
        <w:tc>
          <w:tcPr>
            <w:tcW w:w="44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(94,779)</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(102,105)</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(459,582)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(104,290)</w:t>
            </w:r>
          </w:p>
        </w:tc>
      </w:tr>
      <w:tr>
        <w:trPr>
          <w:trHeight w:val="26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511,098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200,003</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1,290,545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621,432</w:t>
            </w:r>
          </w:p>
        </w:tc>
        <w:tc>
          <w:tcPr>
            <w:tcW w:w="60" w:type="dxa"/>
            <w:vAlign w:val="bottom"/>
          </w:tcPr>
          <w:p>
            <w:pPr>
              <w:spacing w:after="0"/>
              <w:rPr>
                <w:sz w:val="22"/>
                <w:szCs w:val="22"/>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Net increase in cash and cash equivalent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$ 197,593</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15,990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260,767</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$ 281,843</w:t>
            </w:r>
          </w:p>
        </w:tc>
        <w:tc>
          <w:tcPr>
            <w:tcW w:w="60" w:type="dxa"/>
            <w:vAlign w:val="bottom"/>
          </w:tcPr>
          <w:p>
            <w:pPr>
              <w:spacing w:after="0"/>
              <w:rPr>
                <w:sz w:val="23"/>
                <w:szCs w:val="23"/>
                <w:color w:val="auto"/>
              </w:rPr>
            </w:pPr>
          </w:p>
        </w:tc>
      </w:tr>
      <w:tr>
        <w:trPr>
          <w:trHeight w:val="20"/>
        </w:trPr>
        <w:tc>
          <w:tcPr>
            <w:tcW w:w="4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-864870</wp:posOffset>
            </wp:positionV>
            <wp:extent cx="137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-864870</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-864870</wp:posOffset>
            </wp:positionV>
            <wp:extent cx="137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58"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Our cash flows used in operating activities to date have been primarily comprised of costs related to research and development, payroll and other general and administrative activities. As we continue to ramp up hiring ahead of starting commercial operations, we expect our cash used in operating activities to increase significantly before it starts to generate any material cash flows from our business.</w:t>
      </w:r>
    </w:p>
    <w:p>
      <w:pPr>
        <w:spacing w:after="0" w:line="105"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Net cash used in operating activities of $218.7 million for the three months ended March 31, 2021 primarily consisted of $748.0 million of net losses, adjusted for $565.2 million of non -cash charges and a decrease in net operating assets and liabilities of $36.0 million. The non-cash charges primarily included the fair value of contingent forward contracts and warrant liabilities of $449.1 million, convertible preferred share related expense of $104.8 million, non-cash operating lease cost of $6.3 million, and depreciation and amortization, including losses on disposals of property and equipment, of $5.0 million. The decrease in net operating assets and liabilities primarily related to decreases in operating assets of $12.9 million and decreases in operating liabilities of $23.1 million.</w:t>
      </w:r>
    </w:p>
    <w:p>
      <w:pPr>
        <w:spacing w:after="0" w:line="11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Net cash used in operating activities of $81.9 million for the three months ended March 31, 2020 primarily consisted of $129.6 million of net losses, adjusted for $8.2 million of non-cash charges and an increase in net operating assets and liabilities of $39.5 million. The non- cash charges primarily included the fair value of contingent forward contracts and warrant liabilities of $5.6 million, depreciation and amortization, including loss on disposal of property and equipment, of $1.6 million, and changes in share-based compensation of $1.0 million. The increase in net operating assets and liabilities primarily related to increases in operating liabilities of $40.1 million, partially offset by decreases in operating assets of $0.6 million.</w:t>
      </w:r>
    </w:p>
    <w:p>
      <w:pPr>
        <w:spacing w:after="0" w:line="12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Net cash used in operating activities of $570.2 million for the year ended December 31, 2020 primarily consisted of $719.4 million of net losses, adjusted for $134.6 million of non-cash charges and a decrease in net operating assets and liabilities of $14.6 million. The non -cash charges primarily included the changes in share-based compensation of $4.6 million, depreciation and amortization, including losses on disposals of property and equipment, of $10.4 million, and the fair value of contingent forward contracts and warrant liabilities of $119.6 million. The decrease in net operating assets and liabilities primarily relate to decreases in operating assets of $17.8 million and decreases in operating liabilities of $3.2 million.</w:t>
      </w:r>
    </w:p>
    <w:p>
      <w:pPr>
        <w:spacing w:after="0" w:line="112"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Net cash used in operating activities of $235.3 million for the year ended December 31, 2019 primarily consisted of $277.4 million of net losses, adjusted for $30.5 million of non-cash charges and a decrease in</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net operating assets and liabilities of $11.6 million. The non -cash charges primarily included the changes in share-based compensation of $7.7 million, depreciation and amortization, including loss on disposal of property and equipment and amortization of debt discount, of $7.3 million, and the fair value of contingent forward contracts and warrant liabilities of $15.5 million. The decrease in net operating assets and liabilities primarily relate to increases in operating assets of $25.7 million and increases in operating liabilities of $37.3 million.</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31"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We continue to experience negative cash flows from investing activities as we expand our business and continues to build our infrastructure. Cash flows from investing activities primarily relate to capital expenditures to support our growth.</w:t>
      </w:r>
    </w:p>
    <w:p>
      <w:pPr>
        <w:spacing w:after="0" w:line="101"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Net cash used in investing activities of $94.8 million for the three months ended March 31, 2021 was entirely attributable to capital expenditures.</w:t>
      </w:r>
    </w:p>
    <w:p>
      <w:pPr>
        <w:spacing w:after="0" w:line="90"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Net cash used in investing activities of $102.1 million for the three months ended March 31, 2020 was entirely attributable to capital expenditures.</w:t>
      </w:r>
    </w:p>
    <w:p>
      <w:pPr>
        <w:spacing w:after="0" w:line="90"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Net cash used in investing activities of $459.6 million for the year ended December 31, 2020 was entirely attributable to capital expenditures.</w:t>
      </w:r>
    </w:p>
    <w:p>
      <w:pPr>
        <w:spacing w:after="0" w:line="90"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Net cash used in investing activities of $104.3 million for the year ended December 31, 2019 was entirely attributable to capital expenditures.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Through March 31, 2021, we financed our operations primarily through the sale of equity securities and convertible notes.</w:t>
      </w:r>
    </w:p>
    <w:p>
      <w:pPr>
        <w:spacing w:after="0" w:line="90"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Net cash provided by financing activities of $511.2 million during the three months ended March 31, 2021 was primarily attributable to $507.1 million of proceeds from the issuance of Lucid Series E Preferred Shares and $4.3 million of proceeds from the exercises of share options, $3.0 million of proceeds from the issuance of Lucid Series D Preferred Shares, partially offset by $3.0 million cash paid for the repurchase of Lucid Series B Preferred Shares.</w:t>
      </w:r>
    </w:p>
    <w:p>
      <w:pPr>
        <w:spacing w:after="0" w:line="10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Net cash provided by financing activities of $200.0 million during the three months ended March 31, 2020 was primarily attributable to $200.0 million of proceeds from the issuance of Lucid Series D Preferred Shares.</w:t>
      </w:r>
    </w:p>
    <w:p>
      <w:pPr>
        <w:spacing w:after="0" w:line="101"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Net cash provided by financing activities of $1,290.5 million during the year ended December 31, 2020 was primarily attributable to $899.7 million of proceeds from the issuance of Lucid Series E Preferred Shares, $ 400.0 million of proceeds from the issuance of Lucid Series D Preferred Shares and $3.3 million of proceeds from the exercises of stock options, partially offset by the $12.1 million repurchase of Lucid Series C Preferred Shares.</w:t>
      </w:r>
    </w:p>
    <w:p>
      <w:pPr>
        <w:spacing w:after="0" w:line="10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Net cash provided by financing activities of $621.4 million during the year ended December 31, 2019 was primarily attributable to $600.0 million of proceeds from the issuance of Lucid Series D Preferred Shares, $70.9 million of proceeds from the issuance of convertible notes and $0.5 million of proceeds from the exercise of stock options, partially offset by the $50.0 million repurchase of Lucid Series C Preferred Shares.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6"/>
          </w:tcPr>
          <w:p>
            <w:pPr>
              <w:ind w:left="20"/>
              <w:spacing w:after="0"/>
              <w:rPr>
                <w:sz w:val="20"/>
                <w:szCs w:val="20"/>
                <w:color w:val="auto"/>
              </w:rPr>
            </w:pPr>
            <w:r>
              <w:rPr>
                <w:rFonts w:ascii="Arial" w:cs="Arial" w:eastAsia="Arial" w:hAnsi="Arial"/>
                <w:sz w:val="14"/>
                <w:szCs w:val="14"/>
                <w:b w:val="1"/>
                <w:bCs w:val="1"/>
                <w:color w:val="auto"/>
              </w:rPr>
              <w:t>Payments Due by Periods</w:t>
            </w:r>
          </w:p>
        </w:tc>
        <w:tc>
          <w:tcPr>
            <w:tcW w:w="660" w:type="dxa"/>
            <w:vAlign w:val="bottom"/>
          </w:tcPr>
          <w:p>
            <w:pPr>
              <w:spacing w:after="0"/>
              <w:rPr>
                <w:sz w:val="16"/>
                <w:szCs w:val="16"/>
                <w:color w:val="auto"/>
              </w:rPr>
            </w:pPr>
          </w:p>
        </w:tc>
      </w:tr>
      <w:tr>
        <w:trPr>
          <w:trHeight w:val="25"/>
        </w:trPr>
        <w:tc>
          <w:tcPr>
            <w:tcW w:w="38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8"/>
        </w:trPr>
        <w:tc>
          <w:tcPr>
            <w:tcW w:w="388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&lt; 1 year</w:t>
            </w:r>
          </w:p>
        </w:tc>
        <w:tc>
          <w:tcPr>
            <w:tcW w:w="16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1 – 3 years</w:t>
            </w: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3 – 5 years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&gt; 5 years</w:t>
            </w:r>
          </w:p>
        </w:tc>
      </w:tr>
      <w:tr>
        <w:trPr>
          <w:trHeight w:val="25"/>
        </w:trPr>
        <w:tc>
          <w:tcPr>
            <w:tcW w:w="38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8"/>
        </w:trPr>
        <w:tc>
          <w:tcPr>
            <w:tcW w:w="3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5"/>
        </w:trPr>
        <w:tc>
          <w:tcPr>
            <w:tcW w:w="3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$253,796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56,470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$55,681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$116,155</w:t>
            </w:r>
          </w:p>
        </w:tc>
      </w:tr>
      <w:tr>
        <w:trPr>
          <w:trHeight w:val="263"/>
        </w:trPr>
        <w:tc>
          <w:tcPr>
            <w:tcW w:w="3880" w:type="dxa"/>
            <w:vAlign w:val="bottom"/>
          </w:tcPr>
          <w:p>
            <w:pPr>
              <w:spacing w:after="0"/>
              <w:rPr>
                <w:sz w:val="20"/>
                <w:szCs w:val="20"/>
                <w:color w:val="auto"/>
              </w:rPr>
            </w:pPr>
            <w:r>
              <w:rPr>
                <w:rFonts w:ascii="Arial" w:cs="Arial" w:eastAsia="Arial" w:hAnsi="Arial"/>
                <w:sz w:val="18"/>
                <w:szCs w:val="18"/>
                <w:color w:val="auto"/>
              </w:rPr>
              <w:t>Non-cancellable purchase commitment</w:t>
            </w:r>
          </w:p>
        </w:tc>
        <w:tc>
          <w:tcPr>
            <w:tcW w:w="700" w:type="dxa"/>
            <w:vAlign w:val="bottom"/>
          </w:tcPr>
          <w:p>
            <w:pPr>
              <w:jc w:val="right"/>
              <w:spacing w:after="0"/>
              <w:rPr>
                <w:sz w:val="20"/>
                <w:szCs w:val="20"/>
                <w:color w:val="auto"/>
              </w:rPr>
            </w:pPr>
            <w:r>
              <w:rPr>
                <w:rFonts w:ascii="Arial" w:cs="Arial" w:eastAsia="Arial" w:hAnsi="Arial"/>
                <w:sz w:val="18"/>
                <w:szCs w:val="18"/>
                <w:color w:val="auto"/>
              </w:rPr>
              <w:t>506,000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101,200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404,800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8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9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commitments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$759,796</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126,690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461,270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$55,681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$116,155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-213995</wp:posOffset>
            </wp:positionV>
            <wp:extent cx="1714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-213995</wp:posOffset>
            </wp:positionV>
            <wp:extent cx="1631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-213995</wp:posOffset>
            </wp:positionV>
            <wp:extent cx="1460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0518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-685165</wp:posOffset>
            </wp:positionV>
            <wp:extent cx="137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-685165</wp:posOffset>
            </wp:positionV>
            <wp:extent cx="137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-685165</wp:posOffset>
            </wp:positionV>
            <wp:extent cx="1371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-685165</wp:posOffset>
            </wp:positionV>
            <wp:extent cx="137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b w:val="1"/>
          <w:bCs w:val="1"/>
          <w:i w:val="1"/>
          <w:iCs w:val="1"/>
          <w:color w:val="auto"/>
        </w:rPr>
        <w:t xml:space="preserve">Operating lease obligations — </w:t>
      </w:r>
      <w:r>
        <w:rPr>
          <w:rFonts w:ascii="Arial" w:cs="Arial" w:eastAsia="Arial" w:hAnsi="Arial"/>
          <w:sz w:val="17"/>
          <w:szCs w:val="17"/>
          <w:color w:val="auto"/>
        </w:rPr>
        <w:t>Operating leases include nine lease agreements Lucid entered into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2020 to December 31, 2020 for retail 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 As of December 31, 2020, the remaining operating lease commitments were $253.8 million. These commitments are reflected in the table above.</w:t>
      </w:r>
    </w:p>
    <w:p>
      <w:pPr>
        <w:spacing w:after="0" w:line="97"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b w:val="1"/>
          <w:bCs w:val="1"/>
          <w:i w:val="1"/>
          <w:iCs w:val="1"/>
          <w:color w:val="auto"/>
        </w:rPr>
        <w:t xml:space="preserve">Non-cancellable purchase commitments — </w:t>
      </w:r>
      <w:r>
        <w:rPr>
          <w:rFonts w:ascii="Arial" w:cs="Arial" w:eastAsia="Arial" w:hAnsi="Arial"/>
          <w:sz w:val="18"/>
          <w:szCs w:val="18"/>
          <w:color w:val="auto"/>
        </w:rPr>
        <w:t>As of December 31, 2020, we are committed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battery cells from a provider over the next three years for a total estimated minimum of $506.0 million. Battery cell costs may fluctuate from time to time under the purchase commitment based on, among other things, supply and demand, costs of raw materials, and purchase volume. The table above does not include contracts that are not enforceable and legally binding and that do not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24"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As of March 31, 2021, there were no material changes in our contractual obligations previously reported as of December 31,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48" w:lineRule="exact"/>
        <w:rPr>
          <w:sz w:val="20"/>
          <w:szCs w:val="20"/>
          <w:color w:val="auto"/>
        </w:rPr>
      </w:pPr>
    </w:p>
    <w:p>
      <w:pPr>
        <w:jc w:val="both"/>
        <w:ind w:left="1260" w:right="619" w:firstLine="36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are exposed to market risk for changes in interest rates applicable to our cash and cash equivalents,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restricted cash, and short-term investments. We had cash, cash equivalents and restricted cash totaling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$811.0 million and short-term investments totaling $0.5 million as of March 31, 2021. Our cash and cash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equivalents and short-term investments were invested primarily in money market funds and certificates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deposits. Our investment policy is focused on the preservation of capital and supporting our liquidity needs.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 the policy, we invest in highly rated securities, issued by the U.S. government or liquid money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market funds. We do not invest in financial instruments for trading or speculative purposes, nor do we use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leveraged financial instruments. We utilize external investment managers who adhere to the guidelines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investment policy. A hypothetical 10% change in interest rates would not have a had material impact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value of Lucid’s cash, cash equivalents or short-term investments as of March 31, 2021.</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Seasonality</w:t>
      </w:r>
    </w:p>
    <w:p>
      <w:pPr>
        <w:spacing w:after="0" w:line="158"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Automotive sales typically tend to decline over the winter season though we do not expect seasonality to have a significant impact on our results of operations in the near term until we scale our business.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consolidated financial statements and the related notes thereto included elsewhere in this prospectus are prepared in accordance with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308" w:lineRule="auto"/>
        <w:rPr>
          <w:sz w:val="20"/>
          <w:szCs w:val="20"/>
          <w:color w:val="auto"/>
        </w:rPr>
      </w:pPr>
      <w:r>
        <w:rPr>
          <w:rFonts w:ascii="Arial" w:cs="Arial" w:eastAsia="Arial" w:hAnsi="Arial"/>
          <w:sz w:val="17"/>
          <w:szCs w:val="17"/>
          <w:color w:val="auto"/>
        </w:rPr>
        <w:t>sources. Actual results may differ from these estimates under different assumptions or conditions due to the inherent uncertainty involved in making those estimates and any such differences may be material.</w:t>
      </w:r>
    </w:p>
    <w:p>
      <w:pPr>
        <w:spacing w:after="0" w:line="6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prospectus for a description of our other significant accounting policies.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We have granted share-based awards consisting primarily of Lucid Options, as incentive and non-statutory stock options, and Lucid RSUs, as restricted stock units, to employees, members of our board of directors, and non-employees.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Lucid Options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Lucid Options generally vest over four years, and the majority vest at a rate of 25% on the first anniversary of the grant date, with the remainder vesting ratably each month over the next three years. Lucid Options generally expire 10 years from the date of grant and are exercisable when the options vest. Share-based compensation expense for Lucid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shares, expected common share price volatility, expected dividend yield of our common shares, risk-free interest rates, and the expected option term. The assumptions used in the Black-Scholes option-pricing model are estimated as follows:</w:t>
      </w:r>
    </w:p>
    <w:p>
      <w:pPr>
        <w:spacing w:after="0" w:line="11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i w:val="1"/>
          <w:iCs w:val="1"/>
          <w:color w:val="auto"/>
        </w:rPr>
        <w:t xml:space="preserve">Fair value of common shares — </w:t>
      </w:r>
      <w:r>
        <w:rPr>
          <w:rFonts w:ascii="Arial" w:cs="Arial" w:eastAsia="Arial" w:hAnsi="Arial"/>
          <w:sz w:val="18"/>
          <w:szCs w:val="18"/>
          <w:color w:val="auto"/>
        </w:rPr>
        <w:t>The fair value of our common shares is estimated because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are not yet publicly traded. Our board of directors considers numerous objective and subjective factors to determine the fair value of our common shares as discussed below in the subsection entitled “— </w:t>
      </w:r>
      <w:r>
        <w:rPr>
          <w:rFonts w:ascii="Arial" w:cs="Arial" w:eastAsia="Arial" w:hAnsi="Arial"/>
          <w:sz w:val="18"/>
          <w:szCs w:val="18"/>
          <w:i w:val="1"/>
          <w:iCs w:val="1"/>
          <w:color w:val="auto"/>
        </w:rPr>
        <w:t>Common Share Valuation.</w:t>
      </w:r>
      <w:r>
        <w:rPr>
          <w:rFonts w:ascii="Arial" w:cs="Arial" w:eastAsia="Arial" w:hAnsi="Arial"/>
          <w:sz w:val="18"/>
          <w:szCs w:val="18"/>
          <w:color w:val="auto"/>
        </w:rPr>
        <w:t>”</w:t>
      </w:r>
    </w:p>
    <w:p>
      <w:pPr>
        <w:spacing w:after="0" w:line="119"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volatility rate was determined by using an average of historical volatilities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industry peers deemed to be comparable to our business corresponding to the expected option term as we do not have sufficient history of trading in our common shares.</w:t>
      </w:r>
    </w:p>
    <w:p>
      <w:pPr>
        <w:spacing w:after="0" w:line="116" w:lineRule="exact"/>
        <w:rPr>
          <w:sz w:val="20"/>
          <w:szCs w:val="20"/>
          <w:color w:val="auto"/>
        </w:rPr>
      </w:pPr>
    </w:p>
    <w:p>
      <w:pPr>
        <w:jc w:val="both"/>
        <w:ind w:left="1260" w:right="439" w:firstLine="360"/>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 The expected dividend yield is zero as we have never declared or paid cash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and have no current plans to do so in the foreseeable future.</w:t>
      </w:r>
    </w:p>
    <w:p>
      <w:pPr>
        <w:spacing w:after="0" w:line="89"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risk-free interest rate is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 for zero-coupon U.S. Treasury notes with maturities corresponding to the expected option term.</w:t>
      </w:r>
    </w:p>
    <w:p>
      <w:pPr>
        <w:spacing w:after="0" w:line="116"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i w:val="1"/>
          <w:iCs w:val="1"/>
          <w:color w:val="auto"/>
        </w:rPr>
        <w:t xml:space="preserve">Expected Option Term </w:t>
      </w:r>
      <w:r>
        <w:rPr>
          <w:rFonts w:ascii="Arial" w:cs="Arial" w:eastAsia="Arial" w:hAnsi="Arial"/>
          <w:sz w:val="17"/>
          <w:szCs w:val="17"/>
          <w:color w:val="auto"/>
        </w:rPr>
        <w:t>— The expected option term represents the period that the Lucid Options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outstanding and is based on historical experience of similar awards, giving consideration to the contractual terms, vesting schedules and expectations of future employee behavior.</w:t>
      </w:r>
    </w:p>
    <w:p>
      <w:pPr>
        <w:spacing w:after="0" w:line="9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stock-based compensation expense.</w:t>
      </w:r>
    </w:p>
    <w:p>
      <w:pPr>
        <w:spacing w:after="0" w:line="107"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options granted during each of the periods presented:</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8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2"/>
              </w:rPr>
              <w:t>Fiscal Year Ended</w:t>
            </w:r>
          </w:p>
        </w:tc>
      </w:tr>
      <w:tr>
        <w:trPr>
          <w:trHeight w:val="186"/>
        </w:trPr>
        <w:tc>
          <w:tcPr>
            <w:tcW w:w="3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6"/>
                <w:szCs w:val="16"/>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3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7"/>
        </w:trPr>
        <w:tc>
          <w:tcPr>
            <w:tcW w:w="346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r>
      <w:tr>
        <w:trPr>
          <w:trHeight w:val="26"/>
        </w:trPr>
        <w:tc>
          <w:tcPr>
            <w:tcW w:w="34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2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42.71%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42.70%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2"/>
              </w:rPr>
              <w:t>42.77%</w:t>
            </w:r>
          </w:p>
        </w:tc>
        <w:tc>
          <w:tcPr>
            <w:tcW w:w="120" w:type="dxa"/>
            <w:vAlign w:val="bottom"/>
          </w:tcPr>
          <w:p>
            <w:pPr>
              <w:spacing w:after="0"/>
              <w:rPr>
                <w:sz w:val="21"/>
                <w:szCs w:val="2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60" w:type="dxa"/>
            <w:vAlign w:val="bottom"/>
            <w:gridSpan w:val="3"/>
          </w:tcPr>
          <w:p>
            <w:pPr>
              <w:jc w:val="right"/>
              <w:ind w:right="140"/>
              <w:spacing w:after="0"/>
              <w:rPr>
                <w:sz w:val="20"/>
                <w:szCs w:val="20"/>
                <w:color w:val="auto"/>
              </w:rPr>
            </w:pPr>
            <w:r>
              <w:rPr>
                <w:rFonts w:ascii="Arial" w:cs="Arial" w:eastAsia="Arial" w:hAnsi="Arial"/>
                <w:sz w:val="18"/>
                <w:szCs w:val="18"/>
                <w:color w:val="auto"/>
              </w:rPr>
              <w:t>0.63%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Expected dividends</w:t>
            </w:r>
          </w:p>
        </w:tc>
        <w:tc>
          <w:tcPr>
            <w:tcW w:w="140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-325120</wp:posOffset>
            </wp:positionV>
            <wp:extent cx="4749165"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-659765</wp:posOffset>
            </wp:positionV>
            <wp:extent cx="137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-659765</wp:posOffset>
            </wp:positionV>
            <wp:extent cx="40462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101"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During the year ended December 31, 2019, Lucid granted options to purchase 6.7 million shares to senior management with an extended post-termination exercise term. The extended option exercise period for those options is the earliest of option expiration date, the first anniversary of a qualified initial public offering, or closing of a change of control. The change of control and initial public offering events are considered performance-based vesting conditions and are not deemed probable until occurrence, and therefore Lucid determined the expected life of the awards was 10 years, or equal to the contractual life, for use in the Black-Scholes model. No such options were granted in 2020.</w:t>
      </w:r>
    </w:p>
    <w:p>
      <w:pPr>
        <w:spacing w:after="0" w:line="12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these options: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w w:val="92"/>
              </w:rPr>
              <w:t>Fiscal Year Ended</w:t>
            </w:r>
          </w:p>
        </w:tc>
      </w:tr>
      <w:tr>
        <w:trPr>
          <w:trHeight w:val="186"/>
        </w:trPr>
        <w:tc>
          <w:tcPr>
            <w:tcW w:w="632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w w:val="88"/>
              </w:rPr>
              <w:t>December 31, 2019</w:t>
            </w:r>
          </w:p>
        </w:tc>
      </w:tr>
      <w:tr>
        <w:trPr>
          <w:trHeight w:val="26"/>
        </w:trPr>
        <w:tc>
          <w:tcPr>
            <w:tcW w:w="6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47.5%</w:t>
            </w:r>
          </w:p>
        </w:tc>
      </w:tr>
      <w:tr>
        <w:trPr>
          <w:trHeight w:val="257"/>
        </w:trPr>
        <w:tc>
          <w:tcPr>
            <w:tcW w:w="63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160" w:type="dxa"/>
            <w:vAlign w:val="bottom"/>
          </w:tcPr>
          <w:p>
            <w:pPr>
              <w:jc w:val="right"/>
              <w:ind w:right="336"/>
              <w:spacing w:after="0"/>
              <w:rPr>
                <w:sz w:val="20"/>
                <w:szCs w:val="20"/>
                <w:color w:val="auto"/>
              </w:rPr>
            </w:pPr>
            <w:r>
              <w:rPr>
                <w:rFonts w:ascii="Arial" w:cs="Arial" w:eastAsia="Arial" w:hAnsi="Arial"/>
                <w:sz w:val="18"/>
                <w:szCs w:val="18"/>
                <w:color w:val="auto"/>
              </w:rPr>
              <w:t>10</w:t>
            </w:r>
          </w:p>
        </w:tc>
      </w:tr>
      <w:tr>
        <w:trPr>
          <w:trHeight w:val="25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2.59%</w:t>
            </w:r>
          </w:p>
        </w:tc>
      </w:tr>
      <w:tr>
        <w:trPr>
          <w:trHeight w:val="257"/>
        </w:trPr>
        <w:tc>
          <w:tcPr>
            <w:tcW w:w="6320" w:type="dxa"/>
            <w:vAlign w:val="bottom"/>
          </w:tcPr>
          <w:p>
            <w:pPr>
              <w:spacing w:after="0"/>
              <w:rPr>
                <w:sz w:val="20"/>
                <w:szCs w:val="20"/>
                <w:color w:val="auto"/>
              </w:rPr>
            </w:pPr>
            <w:r>
              <w:rPr>
                <w:rFonts w:ascii="Arial" w:cs="Arial" w:eastAsia="Arial" w:hAnsi="Arial"/>
                <w:sz w:val="18"/>
                <w:szCs w:val="18"/>
                <w:color w:val="auto"/>
              </w:rPr>
              <w:t>Expected dividends</w:t>
            </w:r>
          </w:p>
        </w:tc>
        <w:tc>
          <w:tcPr>
            <w:tcW w:w="1160" w:type="dxa"/>
            <w:vAlign w:val="bottom"/>
          </w:tcPr>
          <w:p>
            <w:pPr>
              <w:jc w:val="right"/>
              <w:ind w:right="33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-659765</wp:posOffset>
            </wp:positionV>
            <wp:extent cx="40119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Lucid RSUs</w:t>
      </w:r>
    </w:p>
    <w:p>
      <w:pPr>
        <w:spacing w:after="0" w:line="144"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Lucid 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These qualifying liquidity events were not deemed probable until consummated, and therefore, share-based compensation related to these RSUs remained unrecognized prior to the consummation of the Transactions.</w:t>
      </w:r>
    </w:p>
    <w:p>
      <w:pPr>
        <w:spacing w:after="0" w:line="12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We estimate the fair value of the Lucid RSUs based on the estimated fair value of Lucid’s underlying common shares as of the date of the grant. Share-based compensation for Lucid RSUs is generally recognized on a graded vesting basis over the requisite service period once the performance condition is satisfied. Upon the Closing, we began recording stock- based compensation expense during the three months ended September 30, 2021 based on the grant-date fair value of the RSUs using the graded vesting attribution method. See the section entitled “</w:t>
      </w:r>
      <w:r>
        <w:rPr>
          <w:rFonts w:ascii="Arial" w:cs="Arial" w:eastAsia="Arial" w:hAnsi="Arial"/>
          <w:sz w:val="17"/>
          <w:szCs w:val="17"/>
          <w:i w:val="1"/>
          <w:iCs w:val="1"/>
          <w:color w:val="auto"/>
        </w:rPr>
        <w:t>Unaudited Pro Forma Condensed Combined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 Basis of Pro Forma Presentation” </w:t>
      </w:r>
      <w:r>
        <w:rPr>
          <w:rFonts w:ascii="Arial" w:cs="Arial" w:eastAsia="Arial" w:hAnsi="Arial"/>
          <w:sz w:val="17"/>
          <w:szCs w:val="17"/>
          <w:color w:val="auto"/>
        </w:rPr>
        <w:t>for more information.</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CEO RSU Award</w:t>
      </w:r>
    </w:p>
    <w:p>
      <w:pPr>
        <w:spacing w:after="0" w:line="15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In March 2021, Lucid’s board of directors approved the grant of 11,293,177 RSUs to Peter Rawlinson as Lucid’s CEO under the 2021 Plan (the “</w:t>
      </w:r>
      <w:r>
        <w:rPr>
          <w:rFonts w:ascii="Arial" w:cs="Arial" w:eastAsia="Arial" w:hAnsi="Arial"/>
          <w:sz w:val="18"/>
          <w:szCs w:val="18"/>
          <w:i w:val="1"/>
          <w:iCs w:val="1"/>
          <w:color w:val="auto"/>
        </w:rPr>
        <w:t>CEO RSU Award</w:t>
      </w:r>
      <w:r>
        <w:rPr>
          <w:rFonts w:ascii="Arial" w:cs="Arial" w:eastAsia="Arial" w:hAnsi="Arial"/>
          <w:sz w:val="18"/>
          <w:szCs w:val="18"/>
          <w:color w:val="auto"/>
        </w:rPr>
        <w:t>”) to encourage Mr. Rawlinson to focus on the long-term success of Lucid. Upon the Closing, the Lucid RSUs underlying the CEO RSU Award were cancelled and exchanged into Lucid Group RSUs under the Incentive Plan as adjusted by the Exchange Ratio. The CEO RSU Award is comprised of 5,232,507 RSUs subject to performance and service conditions (the “</w:t>
      </w:r>
      <w:r>
        <w:rPr>
          <w:rFonts w:ascii="Arial" w:cs="Arial" w:eastAsia="Arial" w:hAnsi="Arial"/>
          <w:sz w:val="18"/>
          <w:szCs w:val="18"/>
          <w:i w:val="1"/>
          <w:iCs w:val="1"/>
          <w:color w:val="auto"/>
        </w:rPr>
        <w:t>CEO Time-Based RSUs</w:t>
      </w:r>
      <w:r>
        <w:rPr>
          <w:rFonts w:ascii="Arial" w:cs="Arial" w:eastAsia="Arial" w:hAnsi="Arial"/>
          <w:sz w:val="18"/>
          <w:szCs w:val="18"/>
          <w:color w:val="auto"/>
        </w:rPr>
        <w:t>”) and 6,060,670 RSUs subject to performance and market conditions (the “</w:t>
      </w:r>
      <w:r>
        <w:rPr>
          <w:rFonts w:ascii="Arial" w:cs="Arial" w:eastAsia="Arial" w:hAnsi="Arial"/>
          <w:sz w:val="18"/>
          <w:szCs w:val="18"/>
          <w:i w:val="1"/>
          <w:iCs w:val="1"/>
          <w:color w:val="auto"/>
        </w:rPr>
        <w:t>CEO Performance RSUs</w:t>
      </w:r>
      <w:r>
        <w:rPr>
          <w:rFonts w:ascii="Arial" w:cs="Arial" w:eastAsia="Arial" w:hAnsi="Arial"/>
          <w:sz w:val="18"/>
          <w:szCs w:val="18"/>
          <w:color w:val="auto"/>
        </w:rPr>
        <w:t>”), as described further below. Upon the consummation of the Transactions, the 5,232,507 CEO Time-Based RSUs and 6,060,670 CEO Performance RSUs were cancelled and exchanged for 13,578,356 and 15,727,439 Lucid Group RSUs, respectively, for shares of Class A common stock with the same terms and vesting conditions except for the number of shares, which is adjusted by the Exchange Ratio of 2.644. Upon the Closing, we began recording stock-based compensation expense during the three months</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99"/>
        <w:spacing w:after="0" w:line="263" w:lineRule="auto"/>
        <w:rPr>
          <w:sz w:val="20"/>
          <w:szCs w:val="20"/>
          <w:color w:val="auto"/>
        </w:rPr>
      </w:pPr>
      <w:r>
        <w:rPr>
          <w:rFonts w:ascii="Arial" w:cs="Arial" w:eastAsia="Arial" w:hAnsi="Arial"/>
          <w:sz w:val="18"/>
          <w:szCs w:val="18"/>
          <w:color w:val="auto"/>
        </w:rPr>
        <w:t>ended September 30, 2021 based on the grant-date fair value of the RSUs using the graded vesting attribution method. See the section entitled “</w:t>
      </w:r>
      <w:r>
        <w:rPr>
          <w:rFonts w:ascii="Arial" w:cs="Arial" w:eastAsia="Arial" w:hAnsi="Arial"/>
          <w:sz w:val="18"/>
          <w:szCs w:val="18"/>
          <w:i w:val="1"/>
          <w:iCs w:val="1"/>
          <w:color w:val="auto"/>
        </w:rPr>
        <w:t>Unaudited Pro Forma Condensed Combined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 Basis of Pro Forma Presentation” </w:t>
      </w:r>
      <w:r>
        <w:rPr>
          <w:rFonts w:ascii="Arial" w:cs="Arial" w:eastAsia="Arial" w:hAnsi="Arial"/>
          <w:sz w:val="18"/>
          <w:szCs w:val="18"/>
          <w:color w:val="auto"/>
        </w:rPr>
        <w:t>for more information.</w:t>
      </w:r>
    </w:p>
    <w:p>
      <w:pPr>
        <w:spacing w:after="0" w:line="103"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i w:val="1"/>
          <w:iCs w:val="1"/>
          <w:color w:val="auto"/>
        </w:rPr>
        <w:t xml:space="preserve">CEO Time-Based RSUs </w:t>
      </w:r>
      <w:r>
        <w:rPr>
          <w:rFonts w:ascii="Arial" w:cs="Arial" w:eastAsia="Arial" w:hAnsi="Arial"/>
          <w:sz w:val="18"/>
          <w:szCs w:val="18"/>
          <w:color w:val="auto"/>
        </w:rPr>
        <w:t>— The performance condition was satisfied upon the Closing.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will be satisfied in 16 equal quarterly installments on March 5, June 5, September 5, and December 5 beginning on the first quarterly installment date that is at least two months after the Closing, which will be December 5, 2021, provided that Mr. Rawlinson remains in continuous service through each vesting date.</w:t>
      </w:r>
    </w:p>
    <w:p>
      <w:pPr>
        <w:spacing w:after="0" w:line="120"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The grant date fair value of the CEO Time-Based RSUs was estimated to be $284.0 million and will be recognized using a graded vesting attribution method over the service period for each tranche. The grant date fair value of the CEO Time-Based RSUs was based on the estimated fair value of Lucid’s underlying common shares as of the date of the grant. No share-based compensation expense has been recognized to date in the historical consolidated financial statements of Lucid for these CEO Time-Based RSUs, as the achievement of the performance condition could not be deemed probable until the Closing occurred.</w:t>
      </w:r>
    </w:p>
    <w:p>
      <w:pPr>
        <w:spacing w:after="0" w:line="110"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i w:val="1"/>
          <w:iCs w:val="1"/>
          <w:color w:val="auto"/>
        </w:rPr>
        <w:t xml:space="preserve">CEO Performance RSUs </w:t>
      </w:r>
      <w:r>
        <w:rPr>
          <w:rFonts w:ascii="Arial" w:cs="Arial" w:eastAsia="Arial" w:hAnsi="Arial"/>
          <w:sz w:val="17"/>
          <w:szCs w:val="17"/>
          <w:color w:val="auto"/>
        </w:rPr>
        <w:t>— The performance condition was satisfied upon the Closing.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will be satisfied based upon the achievement of certain market capitalization goals of Lucid Group (each, as depicted in table below, a “</w:t>
      </w:r>
      <w:r>
        <w:rPr>
          <w:rFonts w:ascii="Arial" w:cs="Arial" w:eastAsia="Arial" w:hAnsi="Arial"/>
          <w:sz w:val="17"/>
          <w:szCs w:val="17"/>
          <w:i w:val="1"/>
          <w:iCs w:val="1"/>
          <w:color w:val="auto"/>
        </w:rPr>
        <w:t>Lucid Group Market Capitalization Target</w:t>
      </w:r>
      <w:r>
        <w:rPr>
          <w:rFonts w:ascii="Arial" w:cs="Arial" w:eastAsia="Arial" w:hAnsi="Arial"/>
          <w:sz w:val="17"/>
          <w:szCs w:val="17"/>
          <w:color w:val="auto"/>
        </w:rPr>
        <w:t>”) and the continued employment of Mr. Rawlinson at each vesting date during the five-year period beginning after the Closing (“</w:t>
      </w:r>
      <w:r>
        <w:rPr>
          <w:rFonts w:ascii="Arial" w:cs="Arial" w:eastAsia="Arial" w:hAnsi="Arial"/>
          <w:sz w:val="17"/>
          <w:szCs w:val="17"/>
          <w:i w:val="1"/>
          <w:iCs w:val="1"/>
          <w:color w:val="auto"/>
        </w:rPr>
        <w:t>Performance Period</w:t>
      </w:r>
      <w:r>
        <w:rPr>
          <w:rFonts w:ascii="Arial" w:cs="Arial" w:eastAsia="Arial" w:hAnsi="Arial"/>
          <w:sz w:val="17"/>
          <w:szCs w:val="17"/>
          <w:color w:val="auto"/>
        </w:rPr>
        <w:t>”). The CEO Performance RSUs will vest only if Lucid Group achieves the Lucid Group Market Capitalization Targets specified in the table below, which if achieved, would allow Lucid Group’s other stockholders to benefit from the increases in our market capitalization.</w:t>
      </w:r>
    </w:p>
    <w:p>
      <w:pPr>
        <w:spacing w:after="0" w:line="96"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7"/>
          <w:szCs w:val="17"/>
          <w:color w:val="auto"/>
        </w:rPr>
        <w:t>Each Lucid Group Market Capitalization Target is calculated by multiplying (i) a volume weighted average trading price of Class A common stock measured over any rolling six calendar month period by</w:t>
      </w:r>
    </w:p>
    <w:p>
      <w:pPr>
        <w:ind w:left="1260" w:right="639"/>
        <w:spacing w:after="0" w:line="273" w:lineRule="auto"/>
        <w:tabs>
          <w:tab w:leader="none" w:pos="15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average total number outstanding shares of Class A common stock reported on a public filing with the SEC for the two most recently completed quarterly reporting periods. This measurement period was designed to reward Mr. Rawlinson only if a sustained growth in Lucid Group’s market capitalization is achieved. The market conditions will be satisfied in five tranches, as follows:</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Lucid Group Market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 of Lucid RSUs</w:t>
            </w:r>
          </w:p>
        </w:tc>
        <w:tc>
          <w:tcPr>
            <w:tcW w:w="1480" w:type="dxa"/>
            <w:vAlign w:val="bottom"/>
          </w:tcPr>
          <w:p>
            <w:pPr>
              <w:spacing w:after="0"/>
              <w:rPr>
                <w:sz w:val="20"/>
                <w:szCs w:val="20"/>
                <w:color w:val="auto"/>
              </w:rPr>
            </w:pPr>
            <w:r>
              <w:rPr>
                <w:rFonts w:ascii="Arial" w:cs="Arial" w:eastAsia="Arial" w:hAnsi="Arial"/>
                <w:sz w:val="14"/>
                <w:szCs w:val="14"/>
                <w:b w:val="1"/>
                <w:bCs w:val="1"/>
                <w:color w:val="auto"/>
                <w:w w:val="92"/>
              </w:rPr>
              <w:t>Number of Lucid Group</w:t>
            </w:r>
          </w:p>
        </w:tc>
      </w:tr>
      <w:tr>
        <w:trPr>
          <w:trHeight w:val="18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Tranche</w:t>
            </w: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Capitalization Target</w:t>
            </w: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Eligible to Vest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RSUs Eligible to Vest*</w:t>
            </w:r>
          </w:p>
        </w:tc>
      </w:tr>
      <w:tr>
        <w:trPr>
          <w:trHeight w:val="25"/>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$23,500,000,000</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1,317,537</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3,483,568</w:t>
            </w:r>
          </w:p>
        </w:tc>
      </w:tr>
      <w:tr>
        <w:trPr>
          <w:trHeight w:val="256"/>
        </w:trPr>
        <w:tc>
          <w:tcPr>
            <w:tcW w:w="334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w w:val="99"/>
              </w:rPr>
              <w:t>35,250,000,000</w:t>
            </w:r>
          </w:p>
        </w:tc>
        <w:tc>
          <w:tcPr>
            <w:tcW w:w="220" w:type="dxa"/>
            <w:vAlign w:val="bottom"/>
          </w:tcPr>
          <w:p>
            <w:pPr>
              <w:spacing w:after="0"/>
              <w:rPr>
                <w:sz w:val="22"/>
                <w:szCs w:val="22"/>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1,317,537</w:t>
            </w:r>
          </w:p>
        </w:tc>
        <w:tc>
          <w:tcPr>
            <w:tcW w:w="2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3,483,568</w:t>
            </w:r>
          </w:p>
        </w:tc>
      </w:tr>
      <w:tr>
        <w:trPr>
          <w:trHeight w:val="25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47,000,000,000</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1,317,537</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3,483,568</w:t>
            </w:r>
          </w:p>
        </w:tc>
      </w:tr>
      <w:tr>
        <w:trPr>
          <w:trHeight w:val="256"/>
        </w:trPr>
        <w:tc>
          <w:tcPr>
            <w:tcW w:w="334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w w:val="99"/>
              </w:rPr>
              <w:t>58,750,000,000</w:t>
            </w:r>
          </w:p>
        </w:tc>
        <w:tc>
          <w:tcPr>
            <w:tcW w:w="220" w:type="dxa"/>
            <w:vAlign w:val="bottom"/>
          </w:tcPr>
          <w:p>
            <w:pPr>
              <w:spacing w:after="0"/>
              <w:rPr>
                <w:sz w:val="22"/>
                <w:szCs w:val="22"/>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1,317,537</w:t>
            </w:r>
          </w:p>
        </w:tc>
        <w:tc>
          <w:tcPr>
            <w:tcW w:w="2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3,483,568</w:t>
            </w:r>
          </w:p>
        </w:tc>
      </w:tr>
      <w:tr>
        <w:trPr>
          <w:trHeight w:val="27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70,500,000,000</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790,522</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2,090,140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-830580</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-830580</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-830580</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adjusted based upon the Exchange Ratio of 2.644</w:t>
      </w:r>
    </w:p>
    <w:p>
      <w:pPr>
        <w:spacing w:after="0" w:line="144"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The Lucid Group Market Capitalization Targets will be adjusted to reflect any stock splits, stock dividends, combinations, reorganizations, reclassifications, or similar event under the Incentive Plan. If the Lucid Group Market Capitalization Targets are not satisfied during the Performance Period, the portion of the CEO Performance RSUs subject to such Lucid Group Market Capitalization Target will not vest.</w:t>
      </w:r>
    </w:p>
    <w:p>
      <w:pPr>
        <w:spacing w:after="0" w:line="104"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grant date fair value of the CEO Performance RSUs was estimated to be $272.1 million and will be recognized using a graded vesting attribution method over the estimated derived service periods for the five tranches of 0.72 years, 0.79 years, 1.72 years, 2.18 years and 2.51 years, respectively. The grant date fair value and the derived service period for each tranche of the CEO Performance RSUs was determined using a Monte Carlo simulation method, which incorporates the possibility that the Lucid Group Market Capitalization Targets may not be satisfied. The Monte Carlo simulation is affected by a number of variables, including the fair value of our underlying common shares, the expected common share price volatility over the expected term, the expected dividend yield of our common shares over the expected term, the risk-free interest rates over the expected term and the expected term of the RSUs.</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For the Three</w:t>
            </w:r>
          </w:p>
        </w:tc>
      </w:tr>
      <w:tr>
        <w:trPr>
          <w:trHeight w:val="162"/>
        </w:trPr>
        <w:tc>
          <w:tcPr>
            <w:tcW w:w="65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Months Ended</w:t>
            </w:r>
          </w:p>
        </w:tc>
      </w:tr>
      <w:tr>
        <w:trPr>
          <w:trHeight w:val="186"/>
        </w:trPr>
        <w:tc>
          <w:tcPr>
            <w:tcW w:w="65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 2021</w:t>
            </w:r>
          </w:p>
        </w:tc>
      </w:tr>
      <w:tr>
        <w:trPr>
          <w:trHeight w:val="26"/>
        </w:trPr>
        <w:tc>
          <w:tcPr>
            <w:tcW w:w="6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9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60.0%</w:t>
            </w: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jc w:val="right"/>
              <w:ind w:right="238"/>
              <w:spacing w:after="0"/>
              <w:rPr>
                <w:sz w:val="20"/>
                <w:szCs w:val="20"/>
                <w:color w:val="auto"/>
              </w:rPr>
            </w:pPr>
            <w:r>
              <w:rPr>
                <w:rFonts w:ascii="Arial" w:cs="Arial" w:eastAsia="Arial" w:hAnsi="Arial"/>
                <w:sz w:val="18"/>
                <w:szCs w:val="18"/>
                <w:color w:val="auto"/>
              </w:rPr>
              <w:t>5</w:t>
            </w:r>
          </w:p>
        </w:tc>
      </w:tr>
      <w:tr>
        <w:trPr>
          <w:trHeight w:val="25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0.85%</w:t>
            </w: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Expected dividend</w:t>
            </w:r>
          </w:p>
        </w:tc>
        <w:tc>
          <w:tcPr>
            <w:tcW w:w="960" w:type="dxa"/>
            <w:vAlign w:val="bottom"/>
          </w:tcPr>
          <w:p>
            <w:pPr>
              <w:jc w:val="right"/>
              <w:ind w:right="238"/>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-659765</wp:posOffset>
            </wp:positionV>
            <wp:extent cx="41319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14"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derived service periods for the five tranches were determined based on the median vesting time for the simulations that achieved the vesting hurdle. Share-based compensation expense associated with each of the five tranches under the CEO Performance RSUs will be recognized over the earlier of (i) the derived service periods of each tranche and (ii) the date on which the market condition is satisfied, using the graded vesting attribution method. The estimated derived service periods of the five tranches under the CEO Performance RSUs are estimated to be 0.72, 0.79, 1.72, 2.18 and 2.51 years, respectively.</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the Lucid Group Market Capitalization Targets are met sooner than the derived service period, the share-based compensation expense will be adjusted to reflect the cumulative expense associated with the vested award. The share-based compensation expense will be recognized over the requisite service period that Mr. Rawlinson remains employed, regardless of whether the Lucid Group Market Capitalization Targets are achieved. No share-based compensation expense has been recognized to date in the historical consolidated financial statements of Lucid for these CEO Performance RSUs as the achievement of the performance condition was not deemed probable until the Closing occurred.</w:t>
      </w:r>
    </w:p>
    <w:p>
      <w:pPr>
        <w:spacing w:after="0" w:line="11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 During the first year following the Closing, we expect that Lucid Group will settle</w:t>
      </w:r>
      <w:r>
        <w:rPr>
          <w:rFonts w:ascii="Arial" w:cs="Arial" w:eastAsia="Arial" w:hAnsi="Arial"/>
          <w:sz w:val="18"/>
          <w:szCs w:val="18"/>
          <w:i w:val="1"/>
          <w:iCs w:val="1"/>
          <w:color w:val="auto"/>
        </w:rPr>
        <w:t xml:space="preserve"> </w:t>
      </w:r>
      <w:r>
        <w:rPr>
          <w:rFonts w:ascii="Arial" w:cs="Arial" w:eastAsia="Arial" w:hAnsi="Arial"/>
          <w:sz w:val="18"/>
          <w:szCs w:val="18"/>
          <w:color w:val="auto"/>
        </w:rPr>
        <w:t>tax withholding obligations in connection with any vesting of the CEO RSU Award through “net settlement,” i.e., by remitting cash to satisfy the tax withholding obligation and withholding a number of the vested shares on each vesting date. The amount of the tax withholding due on each vesting and net settlement date will be based on the fair value of the Class A common stock on such vesting and net settlement date. Depending on the fair value of the Class A common stock and the number of RSUs vesting on any applicable vesting and net settlement date, such net settlement could require Lucid Group to expend substantial cash funds to satisfy tax withholding.</w:t>
      </w:r>
    </w:p>
    <w:p>
      <w:pPr>
        <w:spacing w:after="0" w:line="124"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following tables illustrate the use of cash funds that Lucid Group may be required to remit to satisfy tax withholding obligations in connection with any potential vesting and net settlement of the CEO RSU Award during the first year after the Closing, assuming an aggregate tax withholding rate of 49.58% and various per-share prices of Class A common stock, which are assumed to be constant throughout the year. The tax withholding information is presented for illustrative purposes only and represents management’s estimates based on information available as of the date of this prospectus. The tax withholding information requires numerous assumptions, including with respect to tax withholding rates, outstanding shares of Class A common stock and the per-share values of Class A common stock on applicable vesting dates. If the actual facts are different than our assumptions, Lucid Group’s use of cash to satisfy tax withholding obligations in connection with any potential vesting and net settlement of the CEO RSU Award, and as a result Lucid Group’s future operating results and financial condition, could differ materially from these estimates.</w:t>
      </w:r>
    </w:p>
    <w:p>
      <w:pPr>
        <w:spacing w:after="0" w:line="13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i w:val="1"/>
          <w:iCs w:val="1"/>
          <w:color w:val="auto"/>
        </w:rPr>
        <w:t xml:space="preserve">CEO Time-Based RSUs Tax Withholding </w:t>
      </w:r>
      <w:r>
        <w:rPr>
          <w:rFonts w:ascii="Arial" w:cs="Arial" w:eastAsia="Arial" w:hAnsi="Arial"/>
          <w:sz w:val="17"/>
          <w:szCs w:val="17"/>
          <w:color w:val="auto"/>
        </w:rPr>
        <w:t>— The illustrative tax withholding for the CEO Time-Based</w:t>
      </w:r>
      <w:r>
        <w:rPr>
          <w:rFonts w:ascii="Arial" w:cs="Arial" w:eastAsia="Arial" w:hAnsi="Arial"/>
          <w:sz w:val="17"/>
          <w:szCs w:val="17"/>
          <w:i w:val="1"/>
          <w:iCs w:val="1"/>
          <w:color w:val="auto"/>
        </w:rPr>
        <w:t xml:space="preserve"> </w:t>
      </w:r>
      <w:r>
        <w:rPr>
          <w:rFonts w:ascii="Arial" w:cs="Arial" w:eastAsia="Arial" w:hAnsi="Arial"/>
          <w:sz w:val="17"/>
          <w:szCs w:val="17"/>
          <w:color w:val="auto"/>
        </w:rPr>
        <w:t>RSUs provided below assumes various per-share prices of Class A common stock that may be experienced upon any vesting and net settlement of the first four quarterly installments of the CEO Time-Based RSUs which could occur during the first year following the consummation of the Transactions. The illustrative tax withholding is calculated by multiplying (i) the number of CEO Time-Based RSUs (as cancelled and exchanged into Lucid Group RSUs) that could vest and net settle during the first year following the consummation of the Transactions by (ii) the respective target stock price and by (iii) the assumed 49.58% tax withholding rate. The actual per-share price of Class A common stock at the vesting and net settlement date may differ from the target stock prices illustrated below, which could result in material differences in the actual cash remitted to satisfy tax withholding obligations.</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Illustrative</w:t>
            </w:r>
          </w:p>
        </w:tc>
        <w:tc>
          <w:tcPr>
            <w:tcW w:w="880" w:type="dxa"/>
            <w:vAlign w:val="bottom"/>
          </w:tcPr>
          <w:p>
            <w:pPr>
              <w:jc w:val="center"/>
              <w:ind w:left="35"/>
              <w:spacing w:after="0"/>
              <w:rPr>
                <w:sz w:val="20"/>
                <w:szCs w:val="20"/>
                <w:color w:val="auto"/>
              </w:rPr>
            </w:pPr>
            <w:r>
              <w:rPr>
                <w:rFonts w:ascii="Arial" w:cs="Arial" w:eastAsia="Arial" w:hAnsi="Arial"/>
                <w:sz w:val="14"/>
                <w:szCs w:val="14"/>
                <w:b w:val="1"/>
                <w:bCs w:val="1"/>
                <w:color w:val="auto"/>
                <w:w w:val="91"/>
              </w:rPr>
              <w:t>Illustrative</w:t>
            </w: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Target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Shares Withheld</w:t>
            </w:r>
          </w:p>
        </w:tc>
        <w:tc>
          <w:tcPr>
            <w:tcW w:w="880" w:type="dxa"/>
            <w:vAlign w:val="bottom"/>
          </w:tcPr>
          <w:p>
            <w:pPr>
              <w:jc w:val="center"/>
              <w:ind w:left="15"/>
              <w:spacing w:after="0"/>
              <w:rPr>
                <w:sz w:val="20"/>
                <w:szCs w:val="20"/>
                <w:color w:val="auto"/>
              </w:rPr>
            </w:pPr>
            <w:r>
              <w:rPr>
                <w:rFonts w:ascii="Arial" w:cs="Arial" w:eastAsia="Arial" w:hAnsi="Arial"/>
                <w:sz w:val="14"/>
                <w:szCs w:val="14"/>
                <w:b w:val="1"/>
                <w:bCs w:val="1"/>
                <w:color w:val="auto"/>
                <w:w w:val="90"/>
              </w:rPr>
              <w:t>Tax</w:t>
            </w:r>
          </w:p>
        </w:tc>
      </w:tr>
      <w:tr>
        <w:trPr>
          <w:trHeight w:val="186"/>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Vested Lucid Group Awards (in 1st Year)</w:t>
            </w: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Stock Price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for Taxes</w:t>
            </w:r>
          </w:p>
        </w:tc>
        <w:tc>
          <w:tcPr>
            <w:tcW w:w="880" w:type="dxa"/>
            <w:vAlign w:val="bottom"/>
          </w:tcPr>
          <w:p>
            <w:pPr>
              <w:jc w:val="center"/>
              <w:ind w:left="55"/>
              <w:spacing w:after="0"/>
              <w:rPr>
                <w:sz w:val="20"/>
                <w:szCs w:val="20"/>
                <w:color w:val="auto"/>
              </w:rPr>
            </w:pPr>
            <w:r>
              <w:rPr>
                <w:rFonts w:ascii="Arial" w:cs="Arial" w:eastAsia="Arial" w:hAnsi="Arial"/>
                <w:sz w:val="14"/>
                <w:szCs w:val="14"/>
                <w:b w:val="1"/>
                <w:bCs w:val="1"/>
                <w:color w:val="auto"/>
                <w:w w:val="91"/>
              </w:rPr>
              <w:t>Withholding</w:t>
            </w:r>
          </w:p>
        </w:tc>
      </w:tr>
      <w:tr>
        <w:trPr>
          <w:trHeight w:val="26"/>
        </w:trPr>
        <w:tc>
          <w:tcPr>
            <w:tcW w:w="5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198"/>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 thousands, except share and per share data)</w:t>
            </w: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1,764,968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w:t>
            </w: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22"/>
                <w:szCs w:val="22"/>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15.00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1,764,968</w:t>
            </w:r>
          </w:p>
        </w:tc>
        <w:tc>
          <w:tcPr>
            <w:tcW w:w="880" w:type="dxa"/>
            <w:vAlign w:val="bottom"/>
          </w:tcPr>
          <w:p>
            <w:pPr>
              <w:jc w:val="right"/>
              <w:spacing w:after="0"/>
              <w:rPr>
                <w:sz w:val="20"/>
                <w:szCs w:val="20"/>
                <w:color w:val="auto"/>
              </w:rPr>
            </w:pPr>
            <w:r>
              <w:rPr>
                <w:rFonts w:ascii="Arial" w:cs="Arial" w:eastAsia="Arial" w:hAnsi="Arial"/>
                <w:sz w:val="18"/>
                <w:szCs w:val="18"/>
                <w:color w:val="auto"/>
              </w:rPr>
              <w:t>26,475</w:t>
            </w:r>
          </w:p>
        </w:tc>
      </w:tr>
      <w:tr>
        <w:trPr>
          <w:trHeight w:val="25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1,764,968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35,299</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23"/>
                <w:szCs w:val="23"/>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25.00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1,764,968</w:t>
            </w:r>
          </w:p>
        </w:tc>
        <w:tc>
          <w:tcPr>
            <w:tcW w:w="880" w:type="dxa"/>
            <w:vAlign w:val="bottom"/>
          </w:tcPr>
          <w:p>
            <w:pPr>
              <w:jc w:val="right"/>
              <w:spacing w:after="0"/>
              <w:rPr>
                <w:sz w:val="20"/>
                <w:szCs w:val="20"/>
                <w:color w:val="auto"/>
              </w:rPr>
            </w:pPr>
            <w:r>
              <w:rPr>
                <w:rFonts w:ascii="Arial" w:cs="Arial" w:eastAsia="Arial" w:hAnsi="Arial"/>
                <w:sz w:val="18"/>
                <w:szCs w:val="18"/>
                <w:color w:val="auto"/>
              </w:rPr>
              <w:t>44,124</w:t>
            </w:r>
          </w:p>
        </w:tc>
      </w:tr>
      <w:tr>
        <w:trPr>
          <w:trHeight w:val="27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1,764,968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52,949</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23"/>
                <w:szCs w:val="23"/>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35.00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1,764,968</w:t>
            </w:r>
          </w:p>
        </w:tc>
        <w:tc>
          <w:tcPr>
            <w:tcW w:w="880" w:type="dxa"/>
            <w:vAlign w:val="bottom"/>
          </w:tcPr>
          <w:p>
            <w:pPr>
              <w:jc w:val="right"/>
              <w:spacing w:after="0"/>
              <w:rPr>
                <w:sz w:val="20"/>
                <w:szCs w:val="20"/>
                <w:color w:val="auto"/>
              </w:rPr>
            </w:pPr>
            <w:r>
              <w:rPr>
                <w:rFonts w:ascii="Arial" w:cs="Arial" w:eastAsia="Arial" w:hAnsi="Arial"/>
                <w:sz w:val="18"/>
                <w:szCs w:val="18"/>
                <w:color w:val="auto"/>
              </w:rPr>
              <w:t>61,774</w:t>
            </w:r>
          </w:p>
        </w:tc>
      </w:tr>
      <w:tr>
        <w:trPr>
          <w:trHeight w:val="27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1,764,968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-1328420</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-1328420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i w:val="1"/>
          <w:iCs w:val="1"/>
          <w:color w:val="auto"/>
        </w:rPr>
        <w:t xml:space="preserve">CEO Performance RSUs Tax Withholding </w:t>
      </w:r>
      <w:r>
        <w:rPr>
          <w:rFonts w:ascii="Arial" w:cs="Arial" w:eastAsia="Arial" w:hAnsi="Arial"/>
          <w:sz w:val="17"/>
          <w:szCs w:val="17"/>
          <w:color w:val="auto"/>
        </w:rPr>
        <w:t>— The illustrative tax withholding for the CEO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RSUs provided below assumes various target per-share prices of Class A common stock that may be experienced upon any vesting and net settlement of the CEO Performance RSUs which could occur during the first year following the consummation of the Transactions. The target stock prices for each Lucid Group Market Capitalization Target threshold have been derived using the total number of shares of Class A common stock outstanding upon the consummation of the Transactions as presented in the section entitled “</w:t>
      </w:r>
      <w:r>
        <w:rPr>
          <w:rFonts w:ascii="Arial" w:cs="Arial" w:eastAsia="Arial" w:hAnsi="Arial"/>
          <w:sz w:val="17"/>
          <w:szCs w:val="17"/>
          <w:i w:val="1"/>
          <w:iCs w:val="1"/>
          <w:color w:val="auto"/>
        </w:rPr>
        <w:t>Unaudited Pro Forma Condensed Combined Financial Information — Basis of Pro Forma Presentation.</w:t>
      </w:r>
      <w:r>
        <w:rPr>
          <w:rFonts w:ascii="Arial" w:cs="Arial" w:eastAsia="Arial" w:hAnsi="Arial"/>
          <w:sz w:val="17"/>
          <w:szCs w:val="17"/>
          <w:color w:val="auto"/>
        </w:rPr>
        <w:t>” The illustrative tax withholding is calculated for each target stock price by multiplying (i) the number of CEO Performance RSUs (as cancelled and exchanged into Lucid Group RSUs) that could vest and net settle at each Lucid Group Market Capitalization Target threshold by (ii) the respective target stock price for each Lucid Group Market Capitalization Target threshold and by (iii) the assumed 49.58% tax rate. The actual per-share price of Class A common stock at the vesting and net settlement date may differ from the target stock price illustrated below, which could result in material differences in the actual cash remitted to satisfy tax withholding obligations.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Lucid Group</w:t>
            </w:r>
          </w:p>
        </w:tc>
        <w:tc>
          <w:tcPr>
            <w:tcW w:w="1160" w:type="dxa"/>
            <w:vAlign w:val="bottom"/>
          </w:tcPr>
          <w:p>
            <w:pPr>
              <w:jc w:val="right"/>
              <w:ind w:right="77"/>
              <w:spacing w:after="0"/>
              <w:rPr>
                <w:sz w:val="20"/>
                <w:szCs w:val="20"/>
                <w:color w:val="auto"/>
              </w:rPr>
            </w:pPr>
            <w:r>
              <w:rPr>
                <w:rFonts w:ascii="Arial" w:cs="Arial" w:eastAsia="Arial" w:hAnsi="Arial"/>
                <w:sz w:val="14"/>
                <w:szCs w:val="14"/>
                <w:b w:val="1"/>
                <w:bCs w:val="1"/>
                <w:color w:val="auto"/>
              </w:rPr>
              <w:t>Target Market</w:t>
            </w: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9"/>
              </w:rPr>
              <w:t>Target Stock</w:t>
            </w:r>
          </w:p>
        </w:tc>
        <w:tc>
          <w:tcPr>
            <w:tcW w:w="1380" w:type="dxa"/>
            <w:vAlign w:val="bottom"/>
          </w:tcPr>
          <w:p>
            <w:pPr>
              <w:ind w:left="140"/>
              <w:spacing w:after="0"/>
              <w:rPr>
                <w:sz w:val="20"/>
                <w:szCs w:val="20"/>
                <w:color w:val="auto"/>
              </w:rPr>
            </w:pPr>
            <w:r>
              <w:rPr>
                <w:rFonts w:ascii="Arial" w:cs="Arial" w:eastAsia="Arial" w:hAnsi="Arial"/>
                <w:sz w:val="14"/>
                <w:szCs w:val="14"/>
                <w:b w:val="1"/>
                <w:bCs w:val="1"/>
                <w:color w:val="auto"/>
              </w:rPr>
              <w:t>Illustrative Shares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Illustrative Tax</w:t>
            </w:r>
          </w:p>
        </w:tc>
      </w:t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Tranche</w:t>
            </w: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Award</w:t>
            </w:r>
          </w:p>
        </w:tc>
        <w:tc>
          <w:tcPr>
            <w:tcW w:w="1160" w:type="dxa"/>
            <w:vAlign w:val="bottom"/>
          </w:tcPr>
          <w:p>
            <w:pPr>
              <w:jc w:val="right"/>
              <w:ind w:right="77"/>
              <w:spacing w:after="0"/>
              <w:rPr>
                <w:sz w:val="20"/>
                <w:szCs w:val="20"/>
                <w:color w:val="auto"/>
              </w:rPr>
            </w:pPr>
            <w:r>
              <w:rPr>
                <w:rFonts w:ascii="Arial" w:cs="Arial" w:eastAsia="Arial" w:hAnsi="Arial"/>
                <w:sz w:val="14"/>
                <w:szCs w:val="14"/>
                <w:b w:val="1"/>
                <w:bCs w:val="1"/>
                <w:color w:val="auto"/>
              </w:rPr>
              <w:t>Capitalization</w:t>
            </w: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Price</w:t>
            </w:r>
          </w:p>
        </w:tc>
        <w:tc>
          <w:tcPr>
            <w:tcW w:w="1380" w:type="dxa"/>
            <w:vAlign w:val="bottom"/>
          </w:tcPr>
          <w:p>
            <w:pPr>
              <w:ind w:left="140"/>
              <w:spacing w:after="0"/>
              <w:rPr>
                <w:sz w:val="20"/>
                <w:szCs w:val="20"/>
                <w:color w:val="auto"/>
              </w:rPr>
            </w:pPr>
            <w:r>
              <w:rPr>
                <w:rFonts w:ascii="Arial" w:cs="Arial" w:eastAsia="Arial" w:hAnsi="Arial"/>
                <w:sz w:val="14"/>
                <w:szCs w:val="14"/>
                <w:b w:val="1"/>
                <w:bCs w:val="1"/>
                <w:color w:val="auto"/>
                <w:w w:val="97"/>
              </w:rPr>
              <w:t>Withheld for Taxes</w:t>
            </w:r>
          </w:p>
        </w:tc>
        <w:tc>
          <w:tcPr>
            <w:tcW w:w="1060" w:type="dxa"/>
            <w:vAlign w:val="bottom"/>
          </w:tcPr>
          <w:p>
            <w:pPr>
              <w:jc w:val="right"/>
              <w:ind w:right="15"/>
              <w:spacing w:after="0"/>
              <w:rPr>
                <w:sz w:val="20"/>
                <w:szCs w:val="20"/>
                <w:color w:val="auto"/>
              </w:rPr>
            </w:pPr>
            <w:r>
              <w:rPr>
                <w:rFonts w:ascii="Arial" w:cs="Arial" w:eastAsia="Arial" w:hAnsi="Arial"/>
                <w:sz w:val="14"/>
                <w:szCs w:val="14"/>
                <w:b w:val="1"/>
                <w:bCs w:val="1"/>
                <w:color w:val="auto"/>
              </w:rPr>
              <w:t>Withholding</w:t>
            </w:r>
          </w:p>
        </w:tc>
      </w:tr>
      <w:tr>
        <w:trPr>
          <w:trHeight w:val="25"/>
        </w:trPr>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8"/>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4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60" w:type="dxa"/>
            <w:vAlign w:val="bottom"/>
          </w:tcPr>
          <w:p>
            <w:pPr>
              <w:spacing w:after="0"/>
              <w:rPr>
                <w:sz w:val="17"/>
                <w:szCs w:val="17"/>
                <w:color w:val="auto"/>
              </w:rPr>
            </w:pPr>
          </w:p>
        </w:tc>
      </w:tr>
      <w:tr>
        <w:trPr>
          <w:trHeight w:val="25"/>
        </w:trPr>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2"/>
              </w:rPr>
              <w:t>3,483,568</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$23,500,000</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$14.52</w:t>
            </w: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$1,777,665</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$25,076</w:t>
            </w:r>
          </w:p>
        </w:tc>
      </w:tr>
      <w:tr>
        <w:trPr>
          <w:trHeight w:val="256"/>
        </w:trPr>
        <w:tc>
          <w:tcPr>
            <w:tcW w:w="248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w w:val="92"/>
              </w:rPr>
              <w:t>3,483,568</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32,250,000</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19.92</w:t>
            </w:r>
          </w:p>
        </w:tc>
        <w:tc>
          <w:tcPr>
            <w:tcW w:w="1380" w:type="dxa"/>
            <w:vAlign w:val="bottom"/>
          </w:tcPr>
          <w:p>
            <w:pPr>
              <w:jc w:val="right"/>
              <w:ind w:right="175"/>
              <w:spacing w:after="0"/>
              <w:rPr>
                <w:sz w:val="20"/>
                <w:szCs w:val="20"/>
                <w:color w:val="auto"/>
              </w:rPr>
            </w:pPr>
            <w:r>
              <w:rPr>
                <w:rFonts w:ascii="Arial" w:cs="Arial" w:eastAsia="Arial" w:hAnsi="Arial"/>
                <w:sz w:val="18"/>
                <w:szCs w:val="18"/>
                <w:color w:val="auto"/>
              </w:rPr>
              <w:t>1,777,665</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34,412</w:t>
            </w:r>
          </w:p>
        </w:tc>
      </w:tr>
      <w:tr>
        <w:trPr>
          <w:trHeight w:val="257"/>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2"/>
              </w:rPr>
              <w:t>3,483,568</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47,000,000</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29.04</w:t>
            </w: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1,777,665</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50,151</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w w:val="92"/>
              </w:rPr>
              <w:t>3,483,568</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58,750,000</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36.30</w:t>
            </w:r>
          </w:p>
        </w:tc>
        <w:tc>
          <w:tcPr>
            <w:tcW w:w="1380" w:type="dxa"/>
            <w:vAlign w:val="bottom"/>
          </w:tcPr>
          <w:p>
            <w:pPr>
              <w:jc w:val="right"/>
              <w:ind w:right="175"/>
              <w:spacing w:after="0"/>
              <w:rPr>
                <w:sz w:val="20"/>
                <w:szCs w:val="20"/>
                <w:color w:val="auto"/>
              </w:rPr>
            </w:pPr>
            <w:r>
              <w:rPr>
                <w:rFonts w:ascii="Arial" w:cs="Arial" w:eastAsia="Arial" w:hAnsi="Arial"/>
                <w:sz w:val="18"/>
                <w:szCs w:val="18"/>
                <w:color w:val="auto"/>
              </w:rPr>
              <w:t>1,777,665</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62,689</w:t>
            </w:r>
          </w:p>
        </w:tc>
      </w:tr>
      <w:tr>
        <w:trPr>
          <w:trHeight w:val="27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2"/>
              </w:rPr>
              <w:t>2,090,140</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70,500,000</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43.56</w:t>
            </w: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1,066,598</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45,136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-985520</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-985520</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-985520</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-985520</wp:posOffset>
            </wp:positionV>
            <wp:extent cx="137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Share Valuation</w:t>
      </w:r>
    </w:p>
    <w:p>
      <w:pPr>
        <w:spacing w:after="0" w:line="144"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The fair value of our common shares has historically been determined by the Lucid board of directors with the assistance of management and third-party valuation services providers. In the absence of a public trading market for our common shares, on each grant date, we develop an estimate of the fair value of our common shares based on the information known on the date of grant, upon a review of any recent events and their potential impact on the estimated fair value per common share, and in part on input from third-party valuations.</w:t>
      </w:r>
    </w:p>
    <w:p>
      <w:pPr>
        <w:spacing w:after="0" w:line="125"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Our common share valuations were determined in accordance with the guidelines outlined in the American Institute of Certified Public Accountants Practice Aid, Valuation of Privately-Held-Company Equity Securities Issued as Compensation. The assumptions used to determine the estimated fair value of our common shares are based on numerous objective and subjective factors, combined with management’s judgment, including:</w:t>
      </w:r>
    </w:p>
    <w:p>
      <w:pPr>
        <w:spacing w:after="0" w:line="80" w:lineRule="exact"/>
        <w:rPr>
          <w:sz w:val="20"/>
          <w:szCs w:val="20"/>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independent third-party valuations of our common shares;</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prices at which we sold our common and convertible preferred shares to outside investors in arms-length transactions;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shares relative to those of our common shares;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results of operations, financial position, and capital resources;</w:t>
      </w:r>
    </w:p>
    <w:p>
      <w:pPr>
        <w:spacing w:after="0" w:line="117"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history and nature of our business, the progress of our research and development efforts, our stage of development, business strategy, and outlook;</w:t>
      </w:r>
    </w:p>
    <w:p>
      <w:pPr>
        <w:spacing w:after="0" w:line="62"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external market conditions affecting the automotive and electric vehicles industry, competitive environment, and other trends within the industry;</w:t>
      </w:r>
    </w:p>
    <w:p>
      <w:pPr>
        <w:spacing w:after="0" w:line="62"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sale of our company given prevailing market conditions;</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lack of marketability of our common shares and the fact that the option grants involve illiquid securities in a private company;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130" w:lineRule="exact"/>
        <w:rPr>
          <w:rFonts w:ascii="Arial" w:cs="Arial" w:eastAsia="Arial" w:hAnsi="Arial"/>
          <w:sz w:val="18"/>
          <w:szCs w:val="18"/>
          <w:color w:val="auto"/>
        </w:rPr>
      </w:pPr>
    </w:p>
    <w:p>
      <w:pPr>
        <w:ind w:left="1800" w:right="55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general U.S. and global market conditions, including general economic outlook including economic growth, inflation and unemployment, interest rate environment, and global economic trends.</w:t>
      </w:r>
    </w:p>
    <w:p>
      <w:pPr>
        <w:spacing w:after="0" w:line="65"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In determining the fair value of our common shares, we established the enterprise value of the Lucid business using the market approach and the income approach. Under the income approach, forecasted cash flows are discounted to the present value at a risk-adjusted discount rate. The valuation analyses determine discrete free cash flows over multiple years based on forecasted financial information provided by our management and a terminal value for the residual period beyond the discrete forecast, which are discounted at a rate of return that accounts for both the time value of money and investment risk factors. Under the market approach, a group of guideline publicly traded companies with similar financial and operating characteristics to Lucid are selected, and valuation multiples based on the guideline public companies’ financial information and market data are calculated. Based on the observed valuation multiples, an appropriate multiple was selected to apply to our historical and forecasted revenue results.</w:t>
      </w:r>
    </w:p>
    <w:p>
      <w:pPr>
        <w:spacing w:after="0" w:line="11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performing a valuation analysis of Lucid’s equity value and our preferred shares, common shares, tranche rights and warrants, we used the probability weighted expected return method (“</w:t>
      </w:r>
      <w:r>
        <w:rPr>
          <w:rFonts w:ascii="Arial" w:cs="Arial" w:eastAsia="Arial" w:hAnsi="Arial"/>
          <w:sz w:val="18"/>
          <w:szCs w:val="18"/>
          <w:i w:val="1"/>
          <w:iCs w:val="1"/>
          <w:color w:val="auto"/>
        </w:rPr>
        <w:t>PWERM</w:t>
      </w:r>
      <w:r>
        <w:rPr>
          <w:rFonts w:ascii="Arial" w:cs="Arial" w:eastAsia="Arial" w:hAnsi="Arial"/>
          <w:sz w:val="18"/>
          <w:szCs w:val="18"/>
          <w:color w:val="auto"/>
        </w:rPr>
        <w:t>”) framework. The PWERM framework is a scenario-based methodology that estimates the fair value of common shares based upon an analysis of future values for Lucid, assuming various outcomes. The common share value is based on the probability-weighted present value of expected future investment returns considering each of the possible outcomes available as well as the rights of each class of shares. The future value of the common shares under each outcome is discounted back to the valuation date at an appropriate risk-adjusted discount rate and probability weighted to arrive at an indication of value for the common shares.</w:t>
      </w:r>
    </w:p>
    <w:p>
      <w:pPr>
        <w:spacing w:after="0" w:line="115"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We considered three scenarios in the PWERM framework: option pricing method (“</w:t>
      </w:r>
      <w:r>
        <w:rPr>
          <w:rFonts w:ascii="Arial" w:cs="Arial" w:eastAsia="Arial" w:hAnsi="Arial"/>
          <w:sz w:val="17"/>
          <w:szCs w:val="17"/>
          <w:i w:val="1"/>
          <w:iCs w:val="1"/>
          <w:color w:val="auto"/>
        </w:rPr>
        <w:t>OPM</w:t>
      </w:r>
      <w:r>
        <w:rPr>
          <w:rFonts w:ascii="Arial" w:cs="Arial" w:eastAsia="Arial" w:hAnsi="Arial"/>
          <w:sz w:val="17"/>
          <w:szCs w:val="17"/>
          <w:color w:val="auto"/>
        </w:rPr>
        <w:t>”) scenario, as-converted SPAC scenario, and as-converted IPO scenario. Under the OPM scenario, we used the OPM to allocate the equity value to respective classes of securities. The OPM, which models each class of equity securities as a call option with a unique claim on Lucid’s assets, treats Lucid common shares and convertible preferred shares as call options on an equity value with exercise prices based on the liquidation preference of our convertible preferred shares. The common shares are modeled as a call option with a claim on the equity value at an exercise price equal to the remaining value immediately after Lucid’s convertible preferred shares are liquidated. The OPM scenario assumes that investors will convert in an IPO or high value sale if the value appreciates sufficiently, but also captures the value of the downside protection from the preferred liquidation preferences if Lucid does not grow as much as planned. Under the OPM scenario, we considered 40% probability that an IPO or high value sale will be completed in June 2022.</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as-converted scenarios presume a high-value exit scenario in which all Lucid convertible preferred shares convert into Lucid common shares based upon their conversion terms and differences in the rights and preferences of the share of Lucid convertible preferred shares are ignored. Under the as-converted scenarios, we considered 40% probability that a merger with a SPAC will be completed in June 2021 and 20% probability that an IPO will be completed in June 2022.</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determining the fair value of our common shares subsequent to the announcement of the Transactions, the Company used a market approach based on the $15.00 per share purchase price of Churchill’s Class A common stock pursuant to the PIPE Investment and the closing prices of the publicly traded Churchill’s Class A common stock as of the grant date, each multiplied by the Exchange Ratio, which has been determined in accordance with the Merger Agreement and assumes Lucid will have $325.0 million in net cash as of two business days prior to the Closing Date.</w:t>
      </w:r>
    </w:p>
    <w:p>
      <w:pPr>
        <w:spacing w:after="0" w:line="10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all scenarios, a discount for lack of marketability (“</w:t>
      </w:r>
      <w:r>
        <w:rPr>
          <w:rFonts w:ascii="Arial" w:cs="Arial" w:eastAsia="Arial" w:hAnsi="Arial"/>
          <w:sz w:val="18"/>
          <w:szCs w:val="18"/>
          <w:i w:val="1"/>
          <w:iCs w:val="1"/>
          <w:color w:val="auto"/>
        </w:rPr>
        <w:t>DLOM</w:t>
      </w:r>
      <w:r>
        <w:rPr>
          <w:rFonts w:ascii="Arial" w:cs="Arial" w:eastAsia="Arial" w:hAnsi="Arial"/>
          <w:sz w:val="18"/>
          <w:szCs w:val="18"/>
          <w:color w:val="auto"/>
        </w:rPr>
        <w:t>”) was applied to arrive at a fair value of common shares. A DLOM was meant to account for the lack of marketability of shares that was not publicly traded.</w:t>
      </w:r>
    </w:p>
    <w:p>
      <w:pPr>
        <w:spacing w:after="0" w:line="11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shares. Following the Closing, our Board will determine the fair value of each share of underlying common stock based on the closing price of Class A common stock as reported on the date of grant.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Contingent Forward Contract</w:t>
      </w:r>
    </w:p>
    <w:p>
      <w:pPr>
        <w:spacing w:after="0" w:line="15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6"/>
          <w:szCs w:val="16"/>
          <w:color w:val="auto"/>
        </w:rPr>
        <w:t>We account for the contingent forward contract to purchase Lucid Series E Preferred Shares as a derivative liability because the contingent forward contract may require us to issue additional shares at a future date. The contingent forward contract is recorded at fair value upon issuance and is subject to remeasurement to fair value at each period end, with any fair value adjustments recognized as a component within other income (expense), net in our consolidated statements of operations and comprehensive loss.</w:t>
      </w:r>
    </w:p>
    <w:p>
      <w:pPr>
        <w:spacing w:after="0" w:line="7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February 2021, Ayar agreed to be obligated to purchase up to 75,918,392 Lucid Series E Preferred Shares at approximately $7.90 per share, subject to other existing preferred shareholders being provided a right of first refusal to purchase up to 8,977,769 Lucid Series E Preferred Shares at approximately $7.90 per share. We and Ayar also agreed to allow Lucid, subject to Ayar’s approval, to provide members of our board of directors, employees, consultants, and others a right of first refusal to purchase a portion of the Lucid Series E Preferred Shares that Ayar would otherwise be required to purchase. Ayar remained obligated to purchase any amount of the Lucid Series E Preferred Shares that were offered but not purchased by the other parties such that the issuance of the Lucid Series E Preferred Shares would meet the total target of 75,918,392 shares at approximately $7.90 per share.</w:t>
      </w:r>
    </w:p>
    <w:p>
      <w:pPr>
        <w:spacing w:after="0" w:line="124"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In February 2021, Ayar purchased 50,612,262 Lucid Series E Preferred Shares at approximately $7.90 per share. In March 2021, we offered members of our board of directors, employees, and service providers the right to purchase 2,248,391 Lucid Series E Preferred Shares at approximately $7.90 per share, of which 1,977,371 shares were purchased in April 2021, including 202,449 shares purchased by our CEO and 627,347 shares purchased by members of our board of directors. In April 2021, certain of our existing preferred shareholders purchased 8,977,769 Lucid Series E Preferred Shares at approximately $7.90 per share, and the remaining 14,350,990 Lucid Series E Preferred Shares were purchased at approximately $7.90 per share to settle the remaining contingent forward contract in April 2021.</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determined the right and obligation to participate in the Lucid Series E Preferred Shares financing to be a freestanding derivative liability in the form of a contingent forward contract to be measured at fair value and recorded the initial valuation of $2,167.3 million in February 2021 as a deemed dividend. We also determined that the Lucid Series E Preferred Shares offered in March 2021 to members of our board of directors, employees, consultants, and others that provided services to Lucid the right to purchase 2,248,391 Lucid Series E Preferred Shares at approximately $7.90 per share should be recognized as share-based compensation as of the offer date. We recognized share-based compensation expense of $102.9 million during the three months ended March 31, 2021 related to such grants. Each grant also resulted in a reduction to the total shares subject to the contingent forward contract with Ayar.</w:t>
      </w:r>
    </w:p>
    <w:p>
      <w:pPr>
        <w:spacing w:after="0" w:line="103"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The contingent forward contract liability was subsequently remeasured to fair value at period end with changes in fair value adjustments recognized as a component within other income (expense), net in our</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consolidated statements of operations and comprehensive loss. We recognized a loss of $442.2 million for changes in fair value during the three months ended March 31, 2021.</w:t>
      </w:r>
    </w:p>
    <w:p>
      <w:pPr>
        <w:spacing w:after="0" w:line="8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fair value of the contingent forward contract liability for the Lucid Series E Preferred Shares issued in February 2021 and April 2021 was determined based on the forward payoff, which was determined as the difference between the estimated Lucid Series E Preferred Shares fair value and the $7.90 per share purchase price.</w:t>
      </w:r>
    </w:p>
    <w:p>
      <w:pPr>
        <w:spacing w:after="0" w:line="119"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In September 2018, we granted Ayar the right to purchase Lucid Series D Preferred Shares in future periods, in connection with the execution of the Securities Purchase Agreement. Ayar’s right to purchase the Lucid Series D Preferred Shares was exercisable in multiple tranches, with the first tranche of</w:t>
      </w:r>
    </w:p>
    <w:p>
      <w:pPr>
        <w:ind w:left="1260" w:right="499"/>
        <w:spacing w:after="0" w:line="252" w:lineRule="auto"/>
        <w:rPr>
          <w:sz w:val="20"/>
          <w:szCs w:val="20"/>
          <w:color w:val="auto"/>
        </w:rPr>
      </w:pPr>
      <w:r>
        <w:rPr>
          <w:rFonts w:ascii="Arial" w:cs="Arial" w:eastAsia="Arial" w:hAnsi="Arial"/>
          <w:sz w:val="18"/>
          <w:szCs w:val="18"/>
          <w:color w:val="auto"/>
        </w:rPr>
        <w:t>$200.0 million contingent upon the approval of Ayar’s equity investment into Lucid by Committee on Foreign Investment in the United States and the second and third tranches of $400.0 million each were issuable upon Lucid achieving certain milestones. We determined Ayar’s right to participate in future Lucid Series D Preferred Shares financing to be a freestanding derivative liability in the form of contingent forward contracts to be measured at fair value and recorded the initial valuation of $18.6 million as a debt discount to the convertible notes issued in September 2018.</w:t>
      </w:r>
    </w:p>
    <w:p>
      <w:pPr>
        <w:spacing w:after="0" w:line="12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PWERM framework was used to estimate the fair value of the contingent forward contract at the date that the Securities Purchase Agreement was executed and subsequently as of December 31, 2019, and December 31, 2020. In our valuation model, we considered the probability of investment, the purchase price per share, number of shares, the value of the contingent Lucid Series D Preferred Shares as of the valuation date, present value factor based on the risk-free rate of 0.1% and the time from the valuation date to the date of the investment, and the Lucid Series D Preferred Shares value as of each investment date using the PWERM framework. We used OPM to allocate the equity value in scenarios when the milestones were achieved during 2019 and 2020.</w:t>
      </w:r>
    </w:p>
    <w:p>
      <w:pPr>
        <w:spacing w:after="0" w:line="11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revalue the contingent forward contract reporting period utilizing models that are sensitive to changes in the unobservable inputs such as changes in the estimated probability of achievement of milestones or fair value of our shares. Changes in the fair value of these instruments can result from changes to one or multiple inputs, including adjustments to the assumed interest rate (coupon rate), yield (market rate), effective interest rate, discount rate and dividend yield as well as changes in the amount and timing of the anticipated achievement of milestones. Assumed interest rate (coupon rate) and yield (market rate) are based on the noncumulative dividend rate of 8% of the Lucid Series D Preferred Shares original issuance price. The discount rate represented a measure of the credit risk associated with settling the financial instrument. The expected dividend yield is assumed to be zero as we have never paid dividends and do not have current plans to pay any dividends on our common shares. Significant judgment is employed in determining these assumptions as of the date that the Securities Purchase Agreement was executed transaction date and for each subsequent period.</w:t>
      </w:r>
    </w:p>
    <w:p>
      <w:pPr>
        <w:spacing w:after="0" w:line="13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Changes in fair value of our contingent forward contracts are recognized as a component of other income (expense), net in our consolidated statements of operations and comprehensive loss. We classify the fair value of the contingent forward contract as a liability within our consolidated balance sheet until settlement.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Convertible Preferred Share Warrant Liability</w:t>
      </w:r>
    </w:p>
    <w:p>
      <w:pPr>
        <w:spacing w:after="0" w:line="15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account for warrants to purchase shares of Lucid Series D Preferred Shares as liabilities at their estimated fair value because these warrants may obligate us to transfer assets to the holders at a future date under certain circumstances, such as a merger, acquisition, reorganization, sale of all or substantially all of our assets, each a change of control event. The warrants are recorded at fair value upon issuance and are subject to remeasurement to fair value at each period end, with any fair value adjustments recognized as a component within other income (expense), net in our consolidated statements of operations and comprehensive loss.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We used a Black- Scholes model to calculate the fair value of its redeemable convertible preferred stock warrant liability using the following inputs: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9"/>
              </w:rPr>
              <w:t>Twelve Months Ended</w:t>
            </w:r>
          </w:p>
        </w:tc>
      </w:tr>
      <w:tr>
        <w:trPr>
          <w:trHeight w:val="186"/>
        </w:trPr>
        <w:tc>
          <w:tcPr>
            <w:tcW w:w="6840" w:type="dxa"/>
            <w:vAlign w:val="bottom"/>
          </w:tcPr>
          <w:p>
            <w:pPr>
              <w:spacing w:after="0"/>
              <w:rPr>
                <w:sz w:val="16"/>
                <w:szCs w:val="16"/>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6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7"/>
        </w:trPr>
        <w:tc>
          <w:tcPr>
            <w:tcW w:w="6840" w:type="dxa"/>
            <w:vAlign w:val="bottom"/>
          </w:tcPr>
          <w:p>
            <w:pPr>
              <w:spacing w:after="0"/>
              <w:rPr>
                <w:sz w:val="17"/>
                <w:szCs w:val="17"/>
                <w:color w:val="auto"/>
              </w:rPr>
            </w:pPr>
          </w:p>
        </w:tc>
        <w:tc>
          <w:tcPr>
            <w:tcW w:w="820" w:type="dxa"/>
            <w:vAlign w:val="bottom"/>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7"/>
                <w:szCs w:val="17"/>
                <w:color w:val="auto"/>
              </w:rPr>
            </w:pPr>
          </w:p>
        </w:tc>
      </w:tr>
      <w:tr>
        <w:trPr>
          <w:trHeight w:val="26"/>
        </w:trPr>
        <w:tc>
          <w:tcPr>
            <w:tcW w:w="6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840" w:type="dxa"/>
            <w:vAlign w:val="bottom"/>
          </w:tcPr>
          <w:p>
            <w:pPr>
              <w:spacing w:after="0"/>
              <w:rPr>
                <w:sz w:val="20"/>
                <w:szCs w:val="20"/>
                <w:color w:val="auto"/>
              </w:rPr>
            </w:pPr>
            <w:r>
              <w:rPr>
                <w:rFonts w:ascii="Arial" w:cs="Arial" w:eastAsia="Arial" w:hAnsi="Arial"/>
                <w:sz w:val="18"/>
                <w:szCs w:val="18"/>
                <w:color w:val="auto"/>
              </w:rPr>
              <w:t>Weighted average volatility</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55.0%</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Excepted term (in years)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0.5 – 1.5</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0.09 – 0.12%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1.59%</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Excepted Dividends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-659765</wp:posOffset>
            </wp:positionV>
            <wp:extent cx="52120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1"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The estimated fair value of the convertible preferred stock warrant liability is calculated using other key assumptions including the probability and value of the next equity financing, enterprise value, and discount for lack of marketability.</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February 2021, all outstanding warrants to purchase shares of Lucid Series D Preferred Shares were exercised. Upon final settlement, we recorded a loss of $7.0 million in the consolidated statements of operations for the three months ended March 31, 2021 related to the fair value remeasurement upon exercise and converted the warrant into Lucid Series D Preferred Shares.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10"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We make estimates, assumptions and judgments to determine our provision for Lucid’s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123"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prospectus, have not been material, are recognized within provision for income taxes.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8"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See Note 2 to our consolidated financial statements included elsewhere in this prospectus for more information regarding recently issued accounting pronouncements.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4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connection with the preparation of our consolidated financial statements as of and for the fiscal years ended December 31, 2020 and 2019, we identified material weaknesses in our internal control over financial reporting. See the subsection entitled “</w:t>
      </w:r>
      <w:r>
        <w:rPr>
          <w:rFonts w:ascii="Arial" w:cs="Arial" w:eastAsia="Arial" w:hAnsi="Arial"/>
          <w:sz w:val="18"/>
          <w:szCs w:val="18"/>
          <w:i w:val="1"/>
          <w:iCs w:val="1"/>
          <w:color w:val="auto"/>
        </w:rPr>
        <w:t>Risk Factors — We have identified material weaknesses in our</w:t>
      </w:r>
      <w:r>
        <w:rPr>
          <w:rFonts w:ascii="Arial" w:cs="Arial" w:eastAsia="Arial" w:hAnsi="Arial"/>
          <w:sz w:val="18"/>
          <w:szCs w:val="18"/>
          <w:color w:val="auto"/>
        </w:rPr>
        <w:t xml:space="preserve"> </w:t>
      </w:r>
      <w:r>
        <w:rPr>
          <w:rFonts w:ascii="Arial" w:cs="Arial" w:eastAsia="Arial" w:hAnsi="Arial"/>
          <w:sz w:val="18"/>
          <w:szCs w:val="18"/>
          <w:i w:val="1"/>
          <w:iCs w:val="1"/>
          <w:color w:val="auto"/>
        </w:rPr>
        <w:t>internal control over financial reporting. If we are unable to remediate these material weaknesses, or if we identify additional material weaknesses in the future or otherwise fail to develop and maintain an effective system</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spacing w:after="0" w:line="263" w:lineRule="auto"/>
        <w:rPr>
          <w:sz w:val="20"/>
          <w:szCs w:val="20"/>
          <w:color w:val="auto"/>
        </w:rPr>
      </w:pPr>
      <w:r>
        <w:rPr>
          <w:rFonts w:ascii="Arial" w:cs="Arial" w:eastAsia="Arial" w:hAnsi="Arial"/>
          <w:sz w:val="18"/>
          <w:szCs w:val="18"/>
          <w:i w:val="1"/>
          <w:iCs w:val="1"/>
          <w:color w:val="auto"/>
        </w:rPr>
        <w:t>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Section 102(b)(1) of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Lucid Group is an “emerging growth company” and has elected to take advantage of the benefits of this extended transition period.</w:t>
      </w:r>
    </w:p>
    <w:p>
      <w:pPr>
        <w:spacing w:after="0" w:line="124"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Lucid Group will use this extended transition period for complying with new or revised accounting standards that have different effective dates for public business entities and non-public business entities until the earlier of the date Lucid Group (a) is no longer an emerging growth company or (b) affirmatively and irrevocably opts out of the extended transition period provided in the JOBS Act. The extended transition period exemptions afforded by Lucid Group’s emerging growth company status may make it difficult or impossible to compare Lucid Group’s financial results with the financial results of another public company that is either not an emerging growth company or is an emerging growth company that has chosen not to take advantage of this exemption because of the potential differences in accounting standards used. Refer to Note 2 of the accompanying audited consolidated financial statements of Lucid included elsewhere in this prospectus for the recent accounting pronouncements adopted and the recent accounting pronouncements not yet adopted for the years ended December 31, 2020 and 2019.</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Group will remain an “emerging growth company” under the JOBS Act until the earliest of</w:t>
      </w:r>
    </w:p>
    <w:p>
      <w:pPr>
        <w:spacing w:after="0" w:line="23" w:lineRule="exact"/>
        <w:rPr>
          <w:sz w:val="20"/>
          <w:szCs w:val="20"/>
          <w:color w:val="auto"/>
        </w:rPr>
      </w:pPr>
    </w:p>
    <w:p>
      <w:pPr>
        <w:ind w:left="1520" w:hanging="260"/>
        <w:spacing w:after="0"/>
        <w:tabs>
          <w:tab w:leader="none" w:pos="1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last day of Lucid Group’s first fiscal year following the fifth anniversary of the Churchill IPO,</w:t>
      </w:r>
    </w:p>
    <w:p>
      <w:pPr>
        <w:spacing w:after="0" w:line="9" w:lineRule="exact"/>
        <w:rPr>
          <w:rFonts w:ascii="Arial" w:cs="Arial" w:eastAsia="Arial" w:hAnsi="Arial"/>
          <w:sz w:val="18"/>
          <w:szCs w:val="18"/>
          <w:color w:val="auto"/>
        </w:rPr>
      </w:pPr>
    </w:p>
    <w:p>
      <w:pPr>
        <w:ind w:left="1260" w:right="439"/>
        <w:spacing w:after="0" w:line="252" w:lineRule="auto"/>
        <w:tabs>
          <w:tab w:leader="none" w:pos="152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last date of Lucid Group’s fiscal year in which Lucid Group has total annual gross revenue of at least $1.07 billion, (c) the last date of Lucid Group’s fiscal year in which Lucid Group is deemed to be a “large accelerated filer” under the rules of the SEC with at least $700.0 million of outstanding securities held by non-affiliates or (d) the date on which Lucid Group has issued more than $1.0 billion in non- convertible debt securities during the previous three years. We expect that Lucid Group will cease to be an emerging growth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Mission</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Our mission is to inspire the adoption of sustainable transportation by creating the most captivating luxury electric vehicles centered around the human experience.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About Us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are a technology and automotive company. We were founded in Silicon Valley in 2007 to develop the next generation of electric vehicle (“</w:t>
      </w:r>
      <w:r>
        <w:rPr>
          <w:rFonts w:ascii="Arial" w:cs="Arial" w:eastAsia="Arial" w:hAnsi="Arial"/>
          <w:sz w:val="18"/>
          <w:szCs w:val="18"/>
          <w:i w:val="1"/>
          <w:iCs w:val="1"/>
          <w:color w:val="auto"/>
        </w:rPr>
        <w:t>EV</w:t>
      </w:r>
      <w:r>
        <w:rPr>
          <w:rFonts w:ascii="Arial" w:cs="Arial" w:eastAsia="Arial" w:hAnsi="Arial"/>
          <w:sz w:val="18"/>
          <w:szCs w:val="18"/>
          <w:color w:val="auto"/>
        </w:rPr>
        <w:t>”) technologies. Today, we are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 Our focus on in-house technological innovation and a “clean-sheet” approach to engineering and design have led to the development of our groundbreaking electric vehicle, the Lucid Air, which we expect to go into production in the second half of 2021.</w:t>
      </w:r>
    </w:p>
    <w:p>
      <w:pPr>
        <w:spacing w:after="0" w:line="124"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Our Space Concept underpins our design, merging a spacious interior with a smaller exterior profile that is reminiscent of a high-performance sports car. This achievement is enabled by our miniaturized drive-train components, which also result in increased storage capacity.</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Lucid Air will be manufactured at our greenfield electric vehicle manufacturing facility in Casa Grande, Arizona, Advanced Manufacturing Plant-1 (“</w:t>
      </w:r>
      <w:r>
        <w:rPr>
          <w:rFonts w:ascii="Arial" w:cs="Arial" w:eastAsia="Arial" w:hAnsi="Arial"/>
          <w:sz w:val="17"/>
          <w:szCs w:val="17"/>
          <w:i w:val="1"/>
          <w:iCs w:val="1"/>
          <w:color w:val="auto"/>
        </w:rPr>
        <w:t>AMP-1</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Our manufacturing footprint in Casa Grande also includes the Lucid Powertrain Manufacturing Plant-1 (“</w:t>
      </w:r>
      <w:r>
        <w:rPr>
          <w:rFonts w:ascii="Arial" w:cs="Arial" w:eastAsia="Arial" w:hAnsi="Arial"/>
          <w:sz w:val="17"/>
          <w:szCs w:val="17"/>
          <w:i w:val="1"/>
          <w:iCs w:val="1"/>
          <w:color w:val="auto"/>
        </w:rPr>
        <w:t>LPM-1</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located a short distance from AMP-1. Once AMP-1 is fully built out, our vehicle manufacturing footprint in Casa Grande is expected to exceed</w:t>
      </w:r>
    </w:p>
    <w:p>
      <w:pPr>
        <w:spacing w:after="0" w:line="2" w:lineRule="exact"/>
        <w:rPr>
          <w:sz w:val="20"/>
          <w:szCs w:val="20"/>
          <w:color w:val="auto"/>
        </w:rPr>
      </w:pPr>
    </w:p>
    <w:p>
      <w:pPr>
        <w:ind w:left="1260" w:right="519"/>
        <w:spacing w:after="0" w:line="252" w:lineRule="auto"/>
        <w:rPr>
          <w:sz w:val="20"/>
          <w:szCs w:val="20"/>
          <w:color w:val="auto"/>
        </w:rPr>
      </w:pPr>
      <w:r>
        <w:rPr>
          <w:rFonts w:ascii="Arial" w:cs="Arial" w:eastAsia="Arial" w:hAnsi="Arial"/>
          <w:sz w:val="17"/>
          <w:szCs w:val="17"/>
          <w:color w:val="auto"/>
        </w:rPr>
        <w:t>5 million square feet on 495 acres. Our manufacturing plan has an initial planned annual output capacity of up to 34,000 vehicles per year followed by incremental build-out over time to deploy capital efficiently. By building AMP-1 from a clean slate, we expect to achieve greater operational efficiencies and more consistent production quality than it could achieve through outsourced manufacturing or adaptation of an existing facility. Vertical integration of manufacturing capabilities provides us the opportunity to improve product margins relative to an out -sourced manufacturing arrangement. We expect to diversify our vehicle portfolio and increase production capacity through localization of manufacturing in other geographies.</w:t>
      </w:r>
    </w:p>
    <w:p>
      <w:pPr>
        <w:spacing w:after="0" w:line="113"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We plan to sell vehicles directly to consumers through our retail sales network and through direct online sales. As of June 30, 2021, we have opened eight retail studios in the United States of America and expect to open additional locations by the end of 2021 in North America. We believe that owning our sales network provides an opportunity to control the customer experience and ensure that customer interactions are on-brand and pressure-free.</w:t>
      </w:r>
    </w:p>
    <w:p>
      <w:pPr>
        <w:spacing w:after="0" w:line="120"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We are also establishing an in-house vehicle service footprint, with brick-and-mortar service centers in various geographies and a planned mobile service fleet. In addition to our in-house service capabilities, we plan to have an approved list of vetted and specially trained body shop technicians to make necessary repairs to a customer’s Lucid Air. We also plan to have a third-party roadside assistance partner for urgent roadside needs. As a technology company, we will also be able to complement our in-house service offerings through remote vehicle diagnostics capabilities and over-the-air (“</w:t>
      </w:r>
      <w:r>
        <w:rPr>
          <w:rFonts w:ascii="Arial" w:cs="Arial" w:eastAsia="Arial" w:hAnsi="Arial"/>
          <w:sz w:val="17"/>
          <w:szCs w:val="17"/>
          <w:i w:val="1"/>
          <w:iCs w:val="1"/>
          <w:color w:val="auto"/>
        </w:rPr>
        <w:t>OTA</w:t>
      </w:r>
      <w:r>
        <w:rPr>
          <w:rFonts w:ascii="Arial" w:cs="Arial" w:eastAsia="Arial" w:hAnsi="Arial"/>
          <w:sz w:val="17"/>
          <w:szCs w:val="17"/>
          <w:color w:val="auto"/>
        </w:rPr>
        <w:t>”) updates. This combination of in-house capabilities, ancillary service partners and remote support and update capability is expected to enable us to meet our customers’ service expectations.</w:t>
      </w:r>
    </w:p>
    <w:p>
      <w:pPr>
        <w:spacing w:after="0" w:line="97"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We expect to launch additional vehicles over the coming decade. We have already commenced engineering and design work for Project Gravity, a luxury sports utility vehicle (“</w:t>
      </w:r>
      <w:r>
        <w:rPr>
          <w:rFonts w:ascii="Arial" w:cs="Arial" w:eastAsia="Arial" w:hAnsi="Arial"/>
          <w:sz w:val="18"/>
          <w:szCs w:val="18"/>
          <w:i w:val="1"/>
          <w:iCs w:val="1"/>
          <w:color w:val="auto"/>
        </w:rPr>
        <w:t>SUV</w:t>
      </w:r>
      <w:r>
        <w:rPr>
          <w:rFonts w:ascii="Arial" w:cs="Arial" w:eastAsia="Arial" w:hAnsi="Arial"/>
          <w:sz w:val="18"/>
          <w:szCs w:val="18"/>
          <w:color w:val="auto"/>
        </w:rPr>
        <w:t>”) that is expected to leverage the same platform as the Lucid Air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further believe that our battery systems expertise positions us to produce compelling stationary energy storage system (“</w:t>
      </w:r>
      <w:r>
        <w:rPr>
          <w:rFonts w:ascii="Arial" w:cs="Arial" w:eastAsia="Arial" w:hAnsi="Arial"/>
          <w:sz w:val="18"/>
          <w:szCs w:val="18"/>
          <w:i w:val="1"/>
          <w:iCs w:val="1"/>
          <w:color w:val="auto"/>
        </w:rPr>
        <w:t>ESS</w:t>
      </w:r>
      <w:r>
        <w:rPr>
          <w:rFonts w:ascii="Arial" w:cs="Arial" w:eastAsia="Arial" w:hAnsi="Arial"/>
          <w:sz w:val="18"/>
          <w:szCs w:val="18"/>
          <w:color w:val="auto"/>
        </w:rPr>
        <w:t>”) products. ESS is a technologically adjacent opportunity which can leverage the modular design of our battery packs and our extensive experience with battery pack and battery management systems. By seeking to address the residential, commercial and utility-scale energy storage markets, we can further address climate change through enhanced flexibility, efficiency and stability of the electrical grid. We can also offer to customers an ability to add resiliency to their home’s power supply in the event of an outage, through our future ESS products or the Lucid Air’s planned vehicle-to-grid (“</w:t>
      </w:r>
      <w:r>
        <w:rPr>
          <w:rFonts w:ascii="Arial" w:cs="Arial" w:eastAsia="Arial" w:hAnsi="Arial"/>
          <w:sz w:val="18"/>
          <w:szCs w:val="18"/>
          <w:i w:val="1"/>
          <w:iCs w:val="1"/>
          <w:color w:val="auto"/>
        </w:rPr>
        <w:t>V2G</w:t>
      </w:r>
      <w:r>
        <w:rPr>
          <w:rFonts w:ascii="Arial" w:cs="Arial" w:eastAsia="Arial" w:hAnsi="Arial"/>
          <w:sz w:val="18"/>
          <w:szCs w:val="18"/>
          <w:color w:val="auto"/>
        </w:rPr>
        <w:t>”) capabilities.</w:t>
      </w:r>
    </w:p>
    <w:p>
      <w:pPr>
        <w:spacing w:after="0" w:line="11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Beyond the sale of Lucid branded vehicles, we believe that our technological prowess and manufacturing capabilities present a further opportunity to generate revenue and combat climate change through the sale or licensing of electric vehicle powertrain and battery technology. Such powertrain and battery arrangements could facilitate and accelerate the shift to electrification for traditional automotive original equipment manufacturers (“</w:t>
      </w:r>
      <w:r>
        <w:rPr>
          <w:rFonts w:ascii="Arial" w:cs="Arial" w:eastAsia="Arial" w:hAnsi="Arial"/>
          <w:sz w:val="18"/>
          <w:szCs w:val="18"/>
          <w:i w:val="1"/>
          <w:iCs w:val="1"/>
          <w:color w:val="auto"/>
        </w:rPr>
        <w:t>OEMs</w:t>
      </w:r>
      <w:r>
        <w:rPr>
          <w:rFonts w:ascii="Arial" w:cs="Arial" w:eastAsia="Arial" w:hAnsi="Arial"/>
          <w:sz w:val="18"/>
          <w:szCs w:val="18"/>
          <w:color w:val="auto"/>
        </w:rPr>
        <w:t>”) and “capex-light” EV companies alike. The sale or licensing of our technology would also enable us to refine our manufacturing efficiencies and the real world, practical operation of our technologies.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Opportunity</w:t>
      </w:r>
    </w:p>
    <w:p>
      <w:pPr>
        <w:spacing w:after="0" w:line="162" w:lineRule="exact"/>
        <w:rPr>
          <w:sz w:val="20"/>
          <w:szCs w:val="20"/>
          <w:color w:val="auto"/>
        </w:rPr>
      </w:pPr>
    </w:p>
    <w:p>
      <w:pPr>
        <w:ind w:left="1260" w:right="579" w:firstLine="360"/>
        <w:spacing w:after="0" w:line="262" w:lineRule="auto"/>
        <w:rPr>
          <w:sz w:val="20"/>
          <w:szCs w:val="20"/>
          <w:color w:val="auto"/>
        </w:rPr>
      </w:pPr>
      <w:r>
        <w:rPr>
          <w:rFonts w:ascii="Arial" w:cs="Arial" w:eastAsia="Arial" w:hAnsi="Arial"/>
          <w:sz w:val="17"/>
          <w:szCs w:val="17"/>
          <w:color w:val="auto"/>
        </w:rPr>
        <w:t>The Lucid Air is a fully- electric sedan that targets “Post-Luxury” consumers. We look past traditional definitions of luxury in order to appeal to customers who expect more. We recognize that luxury in the automotive space is shifting. While legacy luxury automakers emphasize status, opulence and indulgence, the Lucid brand embraces elegance, modernity, sustainability and a sense of well-being.</w:t>
      </w:r>
    </w:p>
    <w:p>
      <w:pPr>
        <w:spacing w:after="0" w:line="105"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believe we have the opportunity to define electric luxury by uniting our California aesthetic with our high-tech, Silicon Valley roots. Current luxury vehicles are born out of traditions established by internal combustion automotive manufacture and design. We have the opportunity to create ourselves as a leader in the next wave of innovation in the vehicle space. With the Lucid Air, Lucid targets not only consumers who desire electric vehicles, but also consumers who desire high-end luxury vehicles and the accompanying luxury experience.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initial product, the Lucid Air, is positioned to compete in the global luxury car market.</w:t>
      </w:r>
    </w:p>
    <w:p>
      <w:pPr>
        <w:spacing w:after="0" w:line="158"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We define the luxury automotive experience as one composed of, among others, three essential elements: (i) luxury in product, with high-end comfort and significant attention to detail in design, content, materials, fit and finish, (ii) a superior level of customer interaction, with high- touch customer interactions throughout both the sales cycle and ownership journey, and (iii) a convenience in service that exceeds that of a non-luxury automotive experience. We believe that our vehicles will be able to deliver the luxury experience that our target customers have become accustomed to based on their experience owning traditional luxury vehicles.</w:t>
      </w:r>
    </w:p>
    <w:p>
      <w:pPr>
        <w:spacing w:after="0" w:line="123"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Through an initial focus on the high-end luxury market, we intend to define an exclusive and recognizable brand that is synonymous with luxury. Over time, Lucid intends to develop and manufacture progressively more affordable vehicles in higher volumes. Our ultimate goal is to make an impact on the global warming crisis through mass production of sustainable transportation.</w:t>
      </w:r>
    </w:p>
    <w:p>
      <w:pPr>
        <w:spacing w:after="0" w:line="107"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Increased government mandates for electrification, combined with consumers’ growing desire for clean energy vehicles, are driving electrification of the automotive industry at a rapid pace and on a global scale. The market is still nascent, with approximately 5% of global vehicle sales in 2020 being electric vehicles. This presents a significant opportunity for us to address unmet needs in this market.</w:t>
      </w:r>
    </w:p>
    <w:p>
      <w:pPr>
        <w:spacing w:after="0" w:line="120" w:lineRule="exact"/>
        <w:rPr>
          <w:sz w:val="20"/>
          <w:szCs w:val="20"/>
          <w:color w:val="auto"/>
        </w:rPr>
      </w:pPr>
    </w:p>
    <w:p>
      <w:pPr>
        <w:ind w:left="1260" w:right="579" w:firstLine="360"/>
        <w:spacing w:after="0" w:line="262" w:lineRule="auto"/>
        <w:rPr>
          <w:sz w:val="20"/>
          <w:szCs w:val="20"/>
          <w:color w:val="auto"/>
        </w:rPr>
      </w:pPr>
      <w:r>
        <w:rPr>
          <w:rFonts w:ascii="Arial" w:cs="Arial" w:eastAsia="Arial" w:hAnsi="Arial"/>
          <w:sz w:val="17"/>
          <w:szCs w:val="17"/>
          <w:color w:val="auto"/>
        </w:rPr>
        <w:t>The Lucid Air is expected to help define Lucid as a brand. The design of the Lucid Air is intended to capture the potential of electrification through a fusion of art and science. As our flagship product, the Lucid Air is intended to establish the bar for excellence across all our future products and experiences. We expect to sell vehicles in North America in 2021, Europe and the Middle East in 2022 and China in 2023.</w:t>
      </w:r>
    </w:p>
    <w:p>
      <w:pPr>
        <w:spacing w:after="0" w:line="105"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Our second vehicle, Project Gravity, is planned as a full-size luxury SUV that is expected to achieve the efficiency, performance and spacious interior that make the Lucid Air special. Beyond the Lucid Air and Project Gravity, we have a planned roadmap to release additional vehicles through the next decade.</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79" w:firstLine="360"/>
        <w:spacing w:after="0" w:line="291" w:lineRule="auto"/>
        <w:rPr>
          <w:sz w:val="20"/>
          <w:szCs w:val="20"/>
          <w:color w:val="auto"/>
        </w:rPr>
      </w:pPr>
      <w:r>
        <w:rPr>
          <w:rFonts w:ascii="Arial" w:cs="Arial" w:eastAsia="Arial" w:hAnsi="Arial"/>
          <w:sz w:val="17"/>
          <w:szCs w:val="17"/>
          <w:color w:val="auto"/>
        </w:rPr>
        <w:t>By 2030, we plan to manufacture and sell an expanded portfolio of luxury and premium vehicles at different price points, including sedans, SUVs and crossover utility vehicles</w:t>
      </w:r>
      <w:r>
        <w:rPr>
          <w:rFonts w:ascii="Arial" w:cs="Arial" w:eastAsia="Arial" w:hAnsi="Arial"/>
          <w:sz w:val="17"/>
          <w:szCs w:val="17"/>
          <w:i w:val="1"/>
          <w:iCs w:val="1"/>
          <w:color w:val="auto"/>
        </w:rPr>
        <w:t>,</w:t>
      </w:r>
      <w:r>
        <w:rPr>
          <w:rFonts w:ascii="Arial" w:cs="Arial" w:eastAsia="Arial" w:hAnsi="Arial"/>
          <w:sz w:val="17"/>
          <w:szCs w:val="17"/>
          <w:color w:val="auto"/>
        </w:rPr>
        <w:t xml:space="preserve"> pickup trucks and coupes.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800" w:right="579" w:hanging="180"/>
        <w:spacing w:after="0" w:line="259"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Proven, Real World Validation. </w:t>
      </w:r>
      <w:r>
        <w:rPr>
          <w:rFonts w:ascii="Arial" w:cs="Arial" w:eastAsia="Arial" w:hAnsi="Arial"/>
          <w:sz w:val="18"/>
          <w:szCs w:val="18"/>
          <w:color w:val="auto"/>
        </w:rPr>
        <w:t>Our battery technology has been developed over the past decade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validated as world-class technology. Through its prototype vehicles and in its role as the sole battery supplier to the premier EV racing series, our patented battery technology has driven more than 20 million real world miles since Lucid’s inception.</w:t>
      </w:r>
    </w:p>
    <w:p>
      <w:pPr>
        <w:spacing w:after="0" w:line="78" w:lineRule="exact"/>
        <w:rPr>
          <w:rFonts w:ascii="Arial" w:cs="Arial" w:eastAsia="Arial" w:hAnsi="Arial"/>
          <w:sz w:val="18"/>
          <w:szCs w:val="18"/>
          <w:color w:val="auto"/>
        </w:rPr>
      </w:pPr>
    </w:p>
    <w:p>
      <w:pPr>
        <w:ind w:left="1800" w:right="499" w:hanging="180"/>
        <w:spacing w:after="0" w:line="275"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Differentiated Performance. </w:t>
      </w:r>
      <w:r>
        <w:rPr>
          <w:rFonts w:ascii="Arial" w:cs="Arial" w:eastAsia="Arial" w:hAnsi="Arial"/>
          <w:sz w:val="17"/>
          <w:szCs w:val="17"/>
          <w:color w:val="auto"/>
        </w:rPr>
        <w:t>Our advancements in battery pack and drivetrain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created through a clean-sheet approach to engineering, have resulted in compelling performance and efficiency in our vehicles. The Lucid Air is expected to be available in a configuration with over 1,000 horsepower and the ability to accelerate from zero to 60 miles per hour in less than 2.5 seconds, translating to a projected quarter-mile time below ten seconds.</w:t>
      </w:r>
    </w:p>
    <w:p>
      <w:pPr>
        <w:spacing w:after="0" w:line="54" w:lineRule="exact"/>
        <w:rPr>
          <w:rFonts w:ascii="Arial" w:cs="Arial" w:eastAsia="Arial" w:hAnsi="Arial"/>
          <w:sz w:val="17"/>
          <w:szCs w:val="17"/>
          <w:color w:val="auto"/>
        </w:rPr>
      </w:pPr>
    </w:p>
    <w:p>
      <w:pPr>
        <w:ind w:left="1800" w:right="519" w:hanging="180"/>
        <w:spacing w:after="0" w:line="254"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Revolutionary Battery System / Range. </w:t>
      </w:r>
      <w:r>
        <w:rPr>
          <w:rFonts w:ascii="Arial" w:cs="Arial" w:eastAsia="Arial" w:hAnsi="Arial"/>
          <w:sz w:val="18"/>
          <w:szCs w:val="18"/>
          <w:color w:val="auto"/>
        </w:rPr>
        <w:t>We anticipate that some variants of the Lucid Air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with a projected EPA estimated range in excess of 500 miles on a single charge. With 900V+ electrical architecture, some variants of the Lucid Air are expected to be able to achieve sufficient charge in approximately 20 minutes to travel 300 miles. This charging speed is facilitated by our Wünderbox. The Wünderbox is our multi-function, high-voltage, bi-directional charging unit that is expected to allow V2G capabilities, enabling a Lucid Air to serve as back-up power for residential applications in emergency outages. We plan to introduce this functionality via OTA updates after launch of the Lucid Air.</w:t>
      </w:r>
    </w:p>
    <w:p>
      <w:pPr>
        <w:spacing w:after="0" w:line="79" w:lineRule="exact"/>
        <w:rPr>
          <w:rFonts w:ascii="Arial" w:cs="Arial" w:eastAsia="Arial" w:hAnsi="Arial"/>
          <w:sz w:val="18"/>
          <w:szCs w:val="18"/>
          <w:color w:val="auto"/>
        </w:rPr>
      </w:pPr>
    </w:p>
    <w:p>
      <w:pPr>
        <w:ind w:left="1800" w:right="439" w:hanging="180"/>
        <w:spacing w:after="0" w:line="261"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Lucid Electric Advanced Platform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LEAP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Lucid Air will be underpinned by the Lucid Electric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Platform, or LEAP. This vehicle platform is designed to support other vehicle variants to be built on the same underbody as the Lucid Air, enabling greater speed to market and efficiency in capital deployment.</w:t>
      </w:r>
    </w:p>
    <w:p>
      <w:pPr>
        <w:spacing w:after="0" w:line="75" w:lineRule="exact"/>
        <w:rPr>
          <w:rFonts w:ascii="Arial" w:cs="Arial" w:eastAsia="Arial" w:hAnsi="Arial"/>
          <w:sz w:val="18"/>
          <w:szCs w:val="18"/>
          <w:color w:val="auto"/>
        </w:rPr>
      </w:pPr>
    </w:p>
    <w:p>
      <w:pPr>
        <w:ind w:left="1800" w:right="559" w:hanging="180"/>
        <w:spacing w:after="0" w:line="275"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Directly Owned Manufacturing. </w:t>
      </w:r>
      <w:r>
        <w:rPr>
          <w:rFonts w:ascii="Arial" w:cs="Arial" w:eastAsia="Arial" w:hAnsi="Arial"/>
          <w:sz w:val="17"/>
          <w:szCs w:val="17"/>
          <w:color w:val="auto"/>
        </w:rPr>
        <w:t>We completed the first phase of construction on AMP-1,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purpose-built EV manufacturing facility in North America, in December 2020.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w:t>
      </w:r>
    </w:p>
    <w:p>
      <w:pPr>
        <w:spacing w:after="0" w:line="54" w:lineRule="exact"/>
        <w:rPr>
          <w:rFonts w:ascii="Arial" w:cs="Arial" w:eastAsia="Arial" w:hAnsi="Arial"/>
          <w:sz w:val="17"/>
          <w:szCs w:val="17"/>
          <w:color w:val="auto"/>
        </w:rPr>
      </w:pPr>
    </w:p>
    <w:p>
      <w:pPr>
        <w:ind w:left="1800" w:right="519" w:hanging="180"/>
        <w:spacing w:after="0" w:line="272"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In-House Sales and Service. </w:t>
      </w:r>
      <w:r>
        <w:rPr>
          <w:rFonts w:ascii="Arial" w:cs="Arial" w:eastAsia="Arial" w:hAnsi="Arial"/>
          <w:sz w:val="17"/>
          <w:szCs w:val="17"/>
          <w:color w:val="auto"/>
        </w:rPr>
        <w:t>Consistent with the focus on quality in its manufacturing processes,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 to implement a direct sales strategy to maintain control over the customer experience and ensure that interactions are aligned with the Lucid brand. We expect to enable this tight control over the customer experience by vertically integrating its sales operations instead of relying on a traditional outsourced dealership model. We plan to build and scale our own service operations to support customers, in addition to cultivating partnerships with body shop and other ancillary service partners that meet our expectations for customer service.</w:t>
      </w:r>
    </w:p>
    <w:p>
      <w:pPr>
        <w:spacing w:after="0" w:line="69" w:lineRule="exact"/>
        <w:rPr>
          <w:rFonts w:ascii="Arial" w:cs="Arial" w:eastAsia="Arial" w:hAnsi="Arial"/>
          <w:sz w:val="17"/>
          <w:szCs w:val="17"/>
          <w:color w:val="auto"/>
        </w:rPr>
      </w:pPr>
    </w:p>
    <w:p>
      <w:pPr>
        <w:ind w:left="1800" w:right="579" w:hanging="180"/>
        <w:spacing w:after="0" w:line="255"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 Design. </w:t>
      </w:r>
      <w:r>
        <w:rPr>
          <w:rFonts w:ascii="Arial" w:cs="Arial" w:eastAsia="Arial" w:hAnsi="Arial"/>
          <w:sz w:val="18"/>
          <w:szCs w:val="18"/>
          <w:color w:val="auto"/>
        </w:rPr>
        <w:t>Our first vehicle, the Lucid Air, fuses art and science to capture the potential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electrification. As our flagship product, the Air establishes the bar for excellence across all of our products and experiences. Our “Space Concept” represents a technical breakthrough, achieved through a ground-up rethink in the way an automobile is designed. Our reimagining of the car has resulted in more interior space for the driver, passengers and storage within a more compact, sporty and efficient exterior.</w:t>
      </w:r>
    </w:p>
    <w:p>
      <w:pPr>
        <w:spacing w:after="0" w:line="84" w:lineRule="exact"/>
        <w:rPr>
          <w:rFonts w:ascii="Arial" w:cs="Arial" w:eastAsia="Arial" w:hAnsi="Arial"/>
          <w:sz w:val="18"/>
          <w:szCs w:val="18"/>
          <w:color w:val="auto"/>
        </w:rPr>
      </w:pPr>
    </w:p>
    <w:p>
      <w:pPr>
        <w:ind w:left="1800" w:right="439" w:hanging="180"/>
        <w:spacing w:after="0" w:line="272"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Favorable Market Trends. </w:t>
      </w:r>
      <w:r>
        <w:rPr>
          <w:rFonts w:ascii="Arial" w:cs="Arial" w:eastAsia="Arial" w:hAnsi="Arial"/>
          <w:sz w:val="17"/>
          <w:szCs w:val="17"/>
          <w:color w:val="auto"/>
        </w:rPr>
        <w:t>As consumers seek brands that align with their values, we are positioned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address the wants and needs of a new generation of “post-luxury consumers.” The Lucid Air is expected to be the first true luxury electric vehicle and will position us to build its brand and reputation. By building the Lucid brand and achieving scale and efficiency in our manufacturing footprint, we believe we will have the opportunity over time to create more affordable and attainable technology to allow broader adoption in the EV space and the ability to capitalize on adjacent market opportunities, like marine, aviation and stationary energy storage.</w:t>
      </w:r>
    </w:p>
    <w:p>
      <w:pPr>
        <w:spacing w:after="0" w:line="55" w:lineRule="exact"/>
        <w:rPr>
          <w:rFonts w:ascii="Arial" w:cs="Arial" w:eastAsia="Arial" w:hAnsi="Arial"/>
          <w:sz w:val="17"/>
          <w:szCs w:val="17"/>
          <w:color w:val="auto"/>
        </w:rPr>
      </w:pPr>
    </w:p>
    <w:p>
      <w:pPr>
        <w:ind w:left="1800" w:right="739" w:hanging="180"/>
        <w:spacing w:after="0" w:line="308"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Management Team Experience. </w:t>
      </w:r>
      <w:r>
        <w:rPr>
          <w:rFonts w:ascii="Arial" w:cs="Arial" w:eastAsia="Arial" w:hAnsi="Arial"/>
          <w:sz w:val="17"/>
          <w:szCs w:val="17"/>
          <w:color w:val="auto"/>
        </w:rPr>
        <w:t>We have assembled a seasoned management team with deep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automotive, EV and disruptive technology spaces, led by Peter Rawlinson, who</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spacing w:after="0" w:line="248" w:lineRule="auto"/>
        <w:rPr>
          <w:sz w:val="20"/>
          <w:szCs w:val="20"/>
          <w:color w:val="auto"/>
        </w:rPr>
      </w:pPr>
      <w:r>
        <w:rPr>
          <w:rFonts w:ascii="Arial" w:cs="Arial" w:eastAsia="Arial" w:hAnsi="Arial"/>
          <w:sz w:val="18"/>
          <w:szCs w:val="18"/>
          <w:color w:val="auto"/>
        </w:rPr>
        <w:t>served as the Chief Engineer of the Tesla Model S program. The management team is rounded out by executives with significant industry experience from such companies as Apple, Tesla, Mazda, Audi, Volkswagen, General Motors and Ford, among others.</w:t>
      </w:r>
    </w:p>
    <w:p>
      <w:pPr>
        <w:spacing w:after="0" w:line="74" w:lineRule="exact"/>
        <w:rPr>
          <w:sz w:val="20"/>
          <w:szCs w:val="20"/>
          <w:color w:val="auto"/>
        </w:rPr>
      </w:pPr>
    </w:p>
    <w:p>
      <w:pPr>
        <w:ind w:left="1800" w:right="439" w:hanging="180"/>
        <w:spacing w:after="0" w:line="259"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Partnerships. </w:t>
      </w:r>
      <w:r>
        <w:rPr>
          <w:rFonts w:ascii="Arial" w:cs="Arial" w:eastAsia="Arial" w:hAnsi="Arial"/>
          <w:sz w:val="18"/>
          <w:szCs w:val="18"/>
          <w:color w:val="auto"/>
        </w:rPr>
        <w:t>We have established strong relationships with suppliers and partners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the Lucid Air. We have battery cell supply agreements in place with leading suppliers in the electric vehicle space and a commercial partnership with Electrify America to deliver a differentiated charging experience for our customers.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Growth Strategy</w:t>
      </w:r>
    </w:p>
    <w:p>
      <w:pPr>
        <w:spacing w:after="0" w:line="148"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We aim to create opportunity as an automotive company, an energy storage systems manufacturer and a technology supplier for other automotive OEMs and other applications such as aircraft (including eVTOL), heavy machinery, agriculture and marine transportation.</w:t>
      </w:r>
    </w:p>
    <w:p>
      <w:pPr>
        <w:spacing w:after="0" w:line="70" w:lineRule="exact"/>
        <w:rPr>
          <w:sz w:val="20"/>
          <w:szCs w:val="20"/>
          <w:color w:val="auto"/>
        </w:rPr>
      </w:pPr>
    </w:p>
    <w:p>
      <w:pPr>
        <w:ind w:left="1800" w:right="479" w:hanging="180"/>
        <w:spacing w:after="0" w:line="277"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Vehicle Roadmap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established a planned roadmap for future vehicle lines that includes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vehicle types that are expected to perform well in various customer segments. By utilizing the Lucid Air to establish the brand, we plan to leverage economies of scale and efficiency of operations to unlock sales in more mass market segments. We will seek to establish a strong customer base in the luxury and premium vehicle markets across the globe.</w:t>
      </w:r>
    </w:p>
    <w:p>
      <w:pPr>
        <w:spacing w:after="0" w:line="63" w:lineRule="exact"/>
        <w:rPr>
          <w:rFonts w:ascii="Arial" w:cs="Arial" w:eastAsia="Arial" w:hAnsi="Arial"/>
          <w:sz w:val="17"/>
          <w:szCs w:val="17"/>
          <w:color w:val="auto"/>
        </w:rPr>
      </w:pPr>
    </w:p>
    <w:p>
      <w:pPr>
        <w:ind w:left="1800" w:right="479" w:hanging="180"/>
        <w:spacing w:after="0" w:line="269"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International Expansion. </w:t>
      </w:r>
      <w:r>
        <w:rPr>
          <w:rFonts w:ascii="Arial" w:cs="Arial" w:eastAsia="Arial" w:hAnsi="Arial"/>
          <w:sz w:val="17"/>
          <w:szCs w:val="17"/>
          <w:color w:val="auto"/>
        </w:rPr>
        <w:t>We expect to establish manufacturing facilities in multiple geographies,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Asia-Pacific, the Middle East and potentially Europe in the coming years along with a retail footprint throughout each region. These manufacturing facilities could include facilities for component subassembly, vehicle kit reassembly, complete built unit vehicle production and/or energy storage systems. We believe that establishing a global manufacturing footprint will help us to grow the brand, scale the business and address market demand in the Asia-Pacific, Middle East and European markets, while also taking action to address climate change. We anticipate that localized supply chain, production, distribution and retail can yield cost savings and environmental benefits with reduced transportation of product to the customer. As part of this strategy, our business plan contemplates manufacturing facilities in Saudi Arabia and China.</w:t>
      </w:r>
    </w:p>
    <w:p>
      <w:pPr>
        <w:spacing w:after="0" w:line="77" w:lineRule="exact"/>
        <w:rPr>
          <w:rFonts w:ascii="Arial" w:cs="Arial" w:eastAsia="Arial" w:hAnsi="Arial"/>
          <w:sz w:val="17"/>
          <w:szCs w:val="17"/>
          <w:color w:val="auto"/>
        </w:rPr>
      </w:pPr>
    </w:p>
    <w:p>
      <w:pPr>
        <w:ind w:left="1800" w:right="419" w:hanging="180"/>
        <w:spacing w:after="0" w:line="253"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Energy Storage Systems. </w:t>
      </w:r>
      <w:r>
        <w:rPr>
          <w:rFonts w:ascii="Arial" w:cs="Arial" w:eastAsia="Arial" w:hAnsi="Arial"/>
          <w:sz w:val="18"/>
          <w:szCs w:val="18"/>
          <w:color w:val="auto"/>
        </w:rPr>
        <w:t>We plan to leverage advancements in its battery pack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 learned through development of the Lucid Air to produce stationary ESS. This technologically adjacent business opportunity leverages our extensive battery pack and battery management systems experience and expertise and will position us to utilize the modular design of our battery pack to efficiently mass produce energy storage systems for residential, commercial and utility-scale applications. We intend to explore more cost-effective battery cell chemistries than those used in electric vehicle batteries, given the lower importance of gravimetrical energy density in ESS cells. We currently have a prototype ESS product operating at our headquarters in Newark, California.</w:t>
      </w:r>
    </w:p>
    <w:p>
      <w:pPr>
        <w:spacing w:after="0" w:line="88"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Outbound Sales &amp; Licensing. </w:t>
      </w:r>
      <w:r>
        <w:rPr>
          <w:rFonts w:ascii="Arial" w:cs="Arial" w:eastAsia="Arial" w:hAnsi="Arial"/>
          <w:sz w:val="18"/>
          <w:szCs w:val="18"/>
          <w:color w:val="auto"/>
        </w:rPr>
        <w:t>We are actively engaged in supplying racing teams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premier EV racing series with our battery packs and software. We expect to expand this technology division to supply our world class technology beyond the world of racing to help accelerate the adoption of EVs.</w:t>
      </w:r>
    </w:p>
    <w:p>
      <w:pPr>
        <w:spacing w:after="0" w:line="119"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We are motivated to achieve a future where transportation is sustainable and works with the planet, not against it. The sale of technology solutions to traditional automotive OEMs would support that goal, as would sales to customers in the marine and aviation sectors. Our technology is modular and readily customizable, enhancing our suitability for build-to-print powertrain and battery solutions for other manufacturers.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Vehicles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Lucid Air</w:t>
      </w:r>
    </w:p>
    <w:p>
      <w:pPr>
        <w:spacing w:after="0" w:line="144"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We expect our first product, the Lucid Air, to define Lucid as a brand. The Air is designed to fuse art and science to capture the potential of electrification. As our flagship product, the Air is intended to establish the bar for excellence across all our future products and experiences.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Air is a state-of-the-art luxury electric sedan featuring a California-inspired design and underpinned by our race-proven battery and its powertrain technology. Featuring luxurious interior space in a mid-size exterior footprint, we anticipate that some variants of the Lucid Air will be available with a projected EPA estimated range of greater than 500 miles on a single charge.</w:t>
      </w:r>
    </w:p>
    <w:p>
      <w:pPr>
        <w:spacing w:after="0" w:line="107"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The Lucid Space Concept offers class -leading interior space, a sculpted battery pack and a massive front trunk (or “frunk”) with a capacity of over 280 liters. From the start of its development, we used the Lucid Space Concept to increase interior space. This new approach to sedan architecture takes advantage of our miniaturized EV drivetrain to deliver full-size interior volume with a mid-size exterior footprint. This technical breakthrough resulted in class-leading interior space for the driver, passengers and storage within a compact, agile and efficient exterior.</w:t>
      </w:r>
    </w:p>
    <w:p>
      <w:pPr>
        <w:spacing w:after="0" w:line="122" w:lineRule="exact"/>
        <w:rPr>
          <w:sz w:val="20"/>
          <w:szCs w:val="20"/>
          <w:color w:val="auto"/>
        </w:rPr>
      </w:pPr>
    </w:p>
    <w:p>
      <w:pPr>
        <w:ind w:left="1260" w:right="579" w:firstLine="360"/>
        <w:spacing w:after="0" w:line="227" w:lineRule="auto"/>
        <w:rPr>
          <w:sz w:val="20"/>
          <w:szCs w:val="20"/>
          <w:color w:val="auto"/>
        </w:rPr>
      </w:pPr>
      <w:r>
        <w:rPr>
          <w:rFonts w:ascii="Arial" w:cs="Arial" w:eastAsia="Arial" w:hAnsi="Arial"/>
          <w:sz w:val="18"/>
          <w:szCs w:val="18"/>
          <w:color w:val="auto"/>
        </w:rPr>
        <w:t>The Space Concept was achieved through a ground -up rethink in the way an automobile is designed. The launch edition of the Lucid Air is expected to have a “bench” style rear seat that provides expansive space for three adults with class leading legroom. Over the next few years, we intend to take further advantage of the Space Concept by launching an aircraft-inspired executive rear seat option. The Lucid Air’s interior is capped with a glass canopy that creates an even more extravagant sense of space.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Despite its expansive interior, the Lucid Air is more compact on the exterior than leading internal combustion engine vehicles in the same class and segment.</w:t>
      </w:r>
    </w:p>
    <w:p>
      <w:pPr>
        <w:spacing w:after="0" w:line="122"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7"/>
          <w:szCs w:val="17"/>
          <w:color w:val="auto"/>
        </w:rPr>
        <w:t>The centerpiece of the Lucid Air’s human-machine interface is its “Glass Cockpit,” a beautifully integrated, configurable infotainment system that is designed to provide a seamless connected experience for the driver. This state-of- the -art system is presented on a compound three-screen display assembly that curves in front of the driver — including two touch screens. This display is designed to sit in the driver’s line of sight to increase operator safety and reduce time looking away from the road. The Glass Cockpit is augmented by a retractable center screen for a more immersive user interface.</w:t>
      </w:r>
    </w:p>
    <w:p>
      <w:pPr>
        <w:spacing w:after="0" w:line="94"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The Lucid Air has the looks to match its advanced powertrain, with clean styling up front emphasized by slim headlights and a chrome strip that spans from one corner to the other. The hood features sculpting over the wheels to further emphasize power, and the windshield flows as one piece of glass all the way back to the B-pillar. The sleek lines work well with the Air’s short overhangs and large wheels. This pleasing shape is also functional, providing a low coefficient of drag at a mere 0.21 and enabling greater range and performance. Each of the Lucid Air’s interior themes is crafted with colors and materials that evoke iconic California locations at various times of day and night.</w:t>
      </w:r>
    </w:p>
    <w:p>
      <w:pPr>
        <w:spacing w:after="0" w:line="123"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Efficiency is the ultimate measure of EV technology, and we believe our technology leads the industry in this respect, with expected efficiency of greater than 4.5 miles per kilowatt-hour for some variants of the Lucid Air. The highly aerodynamic design of the Lucid Air provides longer range in its own right, driving faster miles-per-minute charging and the ability to provide equivalent range with a smaller, lower-cost battery pack.</w:t>
      </w:r>
    </w:p>
    <w:p>
      <w:pPr>
        <w:spacing w:after="0" w:line="122"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The Air’s advanced technology and efficiency have enabled us to design the Lucid Air to achieve both long range and high performance. These attributes have historically been mutually exclusive design goals, and the Lucid Air’s achievements in this regard further validate its technology.</w:t>
      </w:r>
    </w:p>
    <w:p>
      <w:pPr>
        <w:spacing w:after="0" w:line="101"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The Lucid Air is expected to be offered at various price points with different specifications. The initial variant of the Lucid Air that we plan to produce is the Lucid Air Dream Edition. The Dream Edition is the special edition launch version of the Lucid Air and is intended to compete with the flagship sedans from leading luxury automakers. We anticipate releasing three additional variants of the Lucid Air, stepping down in price and performance to make an EV that is more accessible to a broader audience.</w:t>
      </w:r>
    </w:p>
    <w:p>
      <w:pPr>
        <w:spacing w:after="0" w:line="106"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 xml:space="preserve">As discussed in “— </w:t>
      </w:r>
      <w:r>
        <w:rPr>
          <w:rFonts w:ascii="Arial" w:cs="Arial" w:eastAsia="Arial" w:hAnsi="Arial"/>
          <w:sz w:val="17"/>
          <w:szCs w:val="17"/>
          <w:i w:val="1"/>
          <w:iCs w:val="1"/>
          <w:color w:val="auto"/>
        </w:rPr>
        <w:t>Technology</w:t>
      </w:r>
      <w:r>
        <w:rPr>
          <w:rFonts w:ascii="Arial" w:cs="Arial" w:eastAsia="Arial" w:hAnsi="Arial"/>
          <w:sz w:val="17"/>
          <w:szCs w:val="17"/>
          <w:color w:val="auto"/>
        </w:rPr>
        <w:t>” below, the Lucid Air is underpinned by the LEAP, which is designed to support other vehicle variants to enable greater capital deployment efficiency and speed to market.</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Future Vehicle Programs</w:t>
      </w:r>
    </w:p>
    <w:p>
      <w:pPr>
        <w:spacing w:after="0" w:line="15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The first vehicle planned to share the Lucid Air’s LEAP is our Project Gravity, which we expect to start producing at the end of 2023. We expect Project Gravity to achieve many of the attributes that make the Lucid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12344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9" w:lineRule="exact"/>
        <w:rPr>
          <w:sz w:val="20"/>
          <w:szCs w:val="20"/>
          <w:color w:val="auto"/>
        </w:rPr>
      </w:pPr>
    </w:p>
    <w:p>
      <w:pPr>
        <w:ind w:left="1620" w:hanging="360"/>
        <w:spacing w:after="0"/>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Glass canopy available on Lucid Air Dream and Grand Touring and Touring editions.</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Air special, including a class-leading spacious interior and a more compact and efficient exterior. We anticipate that building the SUV on a common LEAP platform will enable efficiency in design, engineering and capital expenditure deployment for Project Gravity. When we approach the start of production of Project Gravity, we plan to increase capacity at our Casa Grande manufacturing facility to accommodate expected Lucid Air volumes at that point in time plus expected incremental volumes driven by Project Gravity customer demand.</w:t>
      </w:r>
    </w:p>
    <w:p>
      <w:pPr>
        <w:spacing w:after="0" w:line="108"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We have also developed a roadmap with additional vehicles and platforms to make its vehicles more accessible at a variety of price points. We plan to start at the high end to establish our brand but expect to manufacture progressively more affordable vehicles in higher volumes over time.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Technology</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We are a technology and automotive company. We seek to set new standards for sustainable transportation with the Lucid Air, and does so by focusing on proprietary, in -house technology development. We have developed cutting-edge electric vehicle technology that we believe sets a new benchmark for EVs. Core to our DNA is achievement of technical excellence.</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Our in-house engineering team is focused on delivering innovation in all facets of vehicle development, including hardware and software development, vehicle design and passenger comfort. The development of the Lucid Air was predicated on the premise that miniaturizing the powertrain would allow us to redesign what a car can be from the ground up.</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refined our battery technologies over many years in real-world applications, including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 million miles of vehicle testing and the supply of battery packs to all teams in the premier EV racing</w:t>
      </w:r>
    </w:p>
    <w:p>
      <w:pPr>
        <w:ind w:left="1260"/>
        <w:spacing w:after="0"/>
        <w:rPr>
          <w:sz w:val="20"/>
          <w:szCs w:val="20"/>
          <w:color w:val="auto"/>
        </w:rPr>
      </w:pPr>
      <w:r>
        <w:rPr>
          <w:rFonts w:ascii="Arial" w:cs="Arial" w:eastAsia="Arial" w:hAnsi="Arial"/>
          <w:sz w:val="17"/>
          <w:szCs w:val="17"/>
          <w:color w:val="auto"/>
        </w:rPr>
        <w:t>series. We have used the data accumulated from these activities to refine our technology and thoughtfully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develop the Lucid Air.</w:t>
      </w:r>
    </w:p>
    <w:p>
      <w:pPr>
        <w:spacing w:after="0" w:line="12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believe our in-house research and development organization establishes us as a leader across multiple technologies and areas of expertise. As of May 31, 2021, we owned approximately 165 issued U.S. patents, 32 pending U.S. patent applications, 156 issued foreign patents, 36 pending foreign patent applications and 7 pending Patent Cooperation Treaty patent applications. Our technological achievements include significant advancements to the core technologies that drive an electric vehicle. Areas where our in-house engineering has driven advancement include:</w:t>
      </w:r>
    </w:p>
    <w:p>
      <w:pPr>
        <w:spacing w:after="0" w:line="81" w:lineRule="exact"/>
        <w:rPr>
          <w:sz w:val="20"/>
          <w:szCs w:val="20"/>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Battery Pack.  </w:t>
      </w:r>
      <w:r>
        <w:rPr>
          <w:rFonts w:ascii="Arial" w:cs="Arial" w:eastAsia="Arial" w:hAnsi="Arial"/>
          <w:sz w:val="18"/>
          <w:szCs w:val="18"/>
          <w:color w:val="auto"/>
        </w:rPr>
        <w:t>The Lucid Air’s battery pack translates our motorsport experience and more than</w:t>
      </w:r>
    </w:p>
    <w:p>
      <w:pPr>
        <w:spacing w:after="0" w:line="23" w:lineRule="exact"/>
        <w:rPr>
          <w:rFonts w:ascii="Arial" w:cs="Arial" w:eastAsia="Arial" w:hAnsi="Arial"/>
          <w:sz w:val="18"/>
          <w:szCs w:val="18"/>
          <w:color w:val="auto"/>
        </w:rPr>
      </w:pPr>
    </w:p>
    <w:p>
      <w:pPr>
        <w:ind w:left="1800" w:right="439"/>
        <w:spacing w:after="0" w:line="271" w:lineRule="auto"/>
        <w:rPr>
          <w:rFonts w:ascii="Arial" w:cs="Arial" w:eastAsia="Arial" w:hAnsi="Arial"/>
          <w:sz w:val="18"/>
          <w:szCs w:val="18"/>
          <w:color w:val="auto"/>
        </w:rPr>
      </w:pPr>
      <w:r>
        <w:rPr>
          <w:rFonts w:ascii="Arial" w:cs="Arial" w:eastAsia="Arial" w:hAnsi="Arial"/>
          <w:sz w:val="17"/>
          <w:szCs w:val="17"/>
          <w:color w:val="auto"/>
        </w:rPr>
        <w:t>20 million miles of real-world testing into a compact and energy dense unit that was developed in-house with a clean-sheet approach to engineering. The battery pack is designed to be scalable and modular, providing opportunities for cost and range variations as we develop future LEAP platforms. It is also designed for performance, with advanced end-cooling technology and an advanced low-resistance architecture to reduce heat loss and increase range.</w:t>
      </w:r>
    </w:p>
    <w:p>
      <w:pPr>
        <w:spacing w:after="0" w:line="97" w:lineRule="exact"/>
        <w:rPr>
          <w:rFonts w:ascii="Arial" w:cs="Arial" w:eastAsia="Arial" w:hAnsi="Arial"/>
          <w:sz w:val="18"/>
          <w:szCs w:val="18"/>
          <w:color w:val="auto"/>
        </w:rPr>
      </w:pPr>
    </w:p>
    <w:p>
      <w:pPr>
        <w:ind w:left="1780" w:right="439"/>
        <w:spacing w:after="0"/>
        <w:rPr>
          <w:rFonts w:ascii="Arial" w:cs="Arial" w:eastAsia="Arial" w:hAnsi="Arial"/>
          <w:sz w:val="18"/>
          <w:szCs w:val="18"/>
          <w:color w:val="auto"/>
        </w:rPr>
      </w:pPr>
      <w:r>
        <w:rPr>
          <w:rFonts w:ascii="Arial" w:cs="Arial" w:eastAsia="Arial" w:hAnsi="Arial"/>
          <w:sz w:val="18"/>
          <w:szCs w:val="18"/>
          <w:color w:val="auto"/>
        </w:rPr>
        <w:t>Our battery pack incorporates battery cells from suppliers that have significant experience in the development and manufacture of cells for high-performance electric vehicle applications and robust battery cycle life. The battery cells incorporated into our battery packs are required to conform to our high standards, including with respect to our targets for range, energy density, recharge/ discharge rates and other characteristics, and to support our compact, energy-dense battery pack form. We have battery cell supply agreements with these suppliers in place.</w:t>
      </w:r>
    </w:p>
    <w:p>
      <w:pPr>
        <w:spacing w:after="0" w:line="121" w:lineRule="exact"/>
        <w:rPr>
          <w:rFonts w:ascii="Arial" w:cs="Arial" w:eastAsia="Arial" w:hAnsi="Arial"/>
          <w:sz w:val="18"/>
          <w:szCs w:val="18"/>
          <w:color w:val="auto"/>
        </w:rPr>
      </w:pPr>
    </w:p>
    <w:p>
      <w:pPr>
        <w:ind w:left="1780" w:right="419"/>
        <w:spacing w:after="0" w:line="243" w:lineRule="auto"/>
        <w:rPr>
          <w:rFonts w:ascii="Arial" w:cs="Arial" w:eastAsia="Arial" w:hAnsi="Arial"/>
          <w:sz w:val="18"/>
          <w:szCs w:val="18"/>
          <w:color w:val="auto"/>
        </w:rPr>
      </w:pPr>
      <w:r>
        <w:rPr>
          <w:rFonts w:ascii="Arial" w:cs="Arial" w:eastAsia="Arial" w:hAnsi="Arial"/>
          <w:sz w:val="18"/>
          <w:szCs w:val="18"/>
          <w:color w:val="auto"/>
        </w:rPr>
        <w:t>Our battery pack supports our vision to revolutionize EV technology through mass industrialization. Our single piece “brick” injection molded battery module is race derived yet designed for mass production, with electrical “bus bar” connectors that are integrally captured in the molding in a single operation — a profound technological advancement.</w:t>
      </w:r>
    </w:p>
    <w:p>
      <w:pPr>
        <w:spacing w:after="0" w:line="120" w:lineRule="exact"/>
        <w:rPr>
          <w:rFonts w:ascii="Arial" w:cs="Arial" w:eastAsia="Arial" w:hAnsi="Arial"/>
          <w:sz w:val="18"/>
          <w:szCs w:val="18"/>
          <w:color w:val="auto"/>
        </w:rPr>
      </w:pPr>
    </w:p>
    <w:p>
      <w:pPr>
        <w:ind w:left="1780" w:right="559"/>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We believe the technology developed for the battery packs in the Lucid Air can transfer to our other vehicles, to the industrialization of mass-market vehicles, and to technologically adjacent markets. See “— </w:t>
      </w:r>
      <w:r>
        <w:rPr>
          <w:rFonts w:ascii="Arial" w:cs="Arial" w:eastAsia="Arial" w:hAnsi="Arial"/>
          <w:sz w:val="18"/>
          <w:szCs w:val="18"/>
          <w:i w:val="1"/>
          <w:iCs w:val="1"/>
          <w:color w:val="auto"/>
        </w:rPr>
        <w:t>Growth Strategy.</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Lucid Electric Advanced Platform. </w:t>
      </w:r>
      <w:r>
        <w:rPr>
          <w:rFonts w:ascii="Arial" w:cs="Arial" w:eastAsia="Arial" w:hAnsi="Arial"/>
          <w:sz w:val="17"/>
          <w:szCs w:val="17"/>
          <w:color w:val="auto"/>
        </w:rPr>
        <w:t>The LEAP platform was designed and developed in-house,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incorporating our six key powertrain elements: (i) Battery Pack &amp; Battery Management Software,</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spacing w:after="0" w:line="279" w:lineRule="auto"/>
        <w:tabs>
          <w:tab w:leader="none" w:pos="2083" w:val="left"/>
        </w:tabs>
        <w:numPr>
          <w:ilvl w:val="0"/>
          <w:numId w:val="62"/>
        </w:numPr>
        <w:rPr>
          <w:rFonts w:ascii="Arial" w:cs="Arial" w:eastAsia="Arial" w:hAnsi="Arial"/>
          <w:sz w:val="17"/>
          <w:szCs w:val="17"/>
          <w:color w:val="auto"/>
        </w:rPr>
      </w:pPr>
      <w:r>
        <w:rPr>
          <w:rFonts w:ascii="Arial" w:cs="Arial" w:eastAsia="Arial" w:hAnsi="Arial"/>
          <w:sz w:val="17"/>
          <w:szCs w:val="17"/>
          <w:color w:val="auto"/>
        </w:rPr>
        <w:t>Electric Motors, (iii) Power Electronics, (iv) Transmission, (v) Control Software and (vi) Two-Way Onboard Boost-Charger (with bi-directional features expected to be enabled by OTA update after the launch of the Lucid Air). The LEAP structure is an enabling factor allowing the Lucid Space Concept to support class-leading interior and cargo room for a luxury or electric vehicle.</w:t>
      </w:r>
    </w:p>
    <w:p>
      <w:pPr>
        <w:spacing w:after="0" w:line="90" w:lineRule="exact"/>
        <w:rPr>
          <w:sz w:val="20"/>
          <w:szCs w:val="20"/>
          <w:color w:val="auto"/>
        </w:rPr>
      </w:pPr>
    </w:p>
    <w:p>
      <w:pPr>
        <w:ind w:left="1780" w:right="439"/>
        <w:spacing w:after="0" w:line="275" w:lineRule="auto"/>
        <w:rPr>
          <w:sz w:val="20"/>
          <w:szCs w:val="20"/>
          <w:color w:val="auto"/>
        </w:rPr>
      </w:pPr>
      <w:r>
        <w:rPr>
          <w:rFonts w:ascii="Arial" w:cs="Arial" w:eastAsia="Arial" w:hAnsi="Arial"/>
          <w:sz w:val="17"/>
          <w:szCs w:val="17"/>
          <w:color w:val="auto"/>
        </w:rPr>
        <w:t>By underpinning our vehicles on common LEAP platform(s), we expect to have the ability to support other vehicle variants, enabling greater capital efficiency and speed to market. Our full-size LEAP platform is expected to serve as the “skateboard” upon which the Lucid Air and Project Gravity, among other potential vehicles, are manufactured. We further expect to capture additional market share by diversifying our vehicle lineup supported by mid-size and larger LEAP platforms over time.</w:t>
      </w:r>
    </w:p>
    <w:p>
      <w:pPr>
        <w:spacing w:after="0" w:line="82" w:lineRule="exact"/>
        <w:rPr>
          <w:sz w:val="20"/>
          <w:szCs w:val="20"/>
          <w:color w:val="auto"/>
        </w:rPr>
      </w:pPr>
    </w:p>
    <w:p>
      <w:pPr>
        <w:ind w:left="1800" w:right="439" w:hanging="180"/>
        <w:spacing w:after="0" w:line="279"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Electric Motor, Inverter and Transmission Drive Unit. </w:t>
      </w:r>
      <w:r>
        <w:rPr>
          <w:rFonts w:ascii="Arial" w:cs="Arial" w:eastAsia="Arial" w:hAnsi="Arial"/>
          <w:sz w:val="17"/>
          <w:szCs w:val="17"/>
          <w:color w:val="auto"/>
        </w:rPr>
        <w:t>Our motor and gearbox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utilizes permanent magnet motors that were developed in-house. Combining these motors with an inverter and an integrated gearbox and differential creates an advanced 900V+ electric drive unit that weighs just 163lb (74kg) and is small enough to fit inside a carry-on roller bag.</w:t>
      </w:r>
    </w:p>
    <w:p>
      <w:pPr>
        <w:spacing w:after="0" w:line="90" w:lineRule="exact"/>
        <w:rPr>
          <w:rFonts w:ascii="Arial" w:cs="Arial" w:eastAsia="Arial" w:hAnsi="Arial"/>
          <w:sz w:val="17"/>
          <w:szCs w:val="17"/>
          <w:color w:val="auto"/>
        </w:rPr>
      </w:pPr>
    </w:p>
    <w:p>
      <w:pPr>
        <w:ind w:left="1780" w:right="519"/>
        <w:spacing w:after="0" w:line="263" w:lineRule="auto"/>
        <w:rPr>
          <w:rFonts w:ascii="Arial" w:cs="Arial" w:eastAsia="Arial" w:hAnsi="Arial"/>
          <w:sz w:val="17"/>
          <w:szCs w:val="17"/>
          <w:color w:val="auto"/>
        </w:rPr>
      </w:pPr>
      <w:r>
        <w:rPr>
          <w:rFonts w:ascii="Arial" w:cs="Arial" w:eastAsia="Arial" w:hAnsi="Arial"/>
          <w:sz w:val="18"/>
          <w:szCs w:val="18"/>
          <w:color w:val="auto"/>
        </w:rPr>
        <w:t>Each drive unit produces up to 670hp, with a power density that we believe is industry-leading at up to 9.0hp/kg. This compactness allows for one, two or even three units to be used to power a Lucid Air.</w:t>
      </w:r>
    </w:p>
    <w:p>
      <w:pPr>
        <w:spacing w:after="0" w:line="116" w:lineRule="exact"/>
        <w:rPr>
          <w:rFonts w:ascii="Arial" w:cs="Arial" w:eastAsia="Arial" w:hAnsi="Arial"/>
          <w:sz w:val="17"/>
          <w:szCs w:val="17"/>
          <w:color w:val="auto"/>
        </w:rPr>
      </w:pPr>
    </w:p>
    <w:p>
      <w:pPr>
        <w:ind w:left="1780" w:right="439"/>
        <w:spacing w:after="0" w:line="257" w:lineRule="auto"/>
        <w:rPr>
          <w:rFonts w:ascii="Arial" w:cs="Arial" w:eastAsia="Arial" w:hAnsi="Arial"/>
          <w:sz w:val="17"/>
          <w:szCs w:val="17"/>
          <w:color w:val="auto"/>
        </w:rPr>
      </w:pPr>
      <w:r>
        <w:rPr>
          <w:rFonts w:ascii="Arial" w:cs="Arial" w:eastAsia="Arial" w:hAnsi="Arial"/>
          <w:sz w:val="18"/>
          <w:szCs w:val="18"/>
          <w:color w:val="auto"/>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cooling system that more effectively removes heat from the stator winding, reducing losses and boosting efficiency.</w:t>
      </w:r>
    </w:p>
    <w:p>
      <w:pPr>
        <w:spacing w:after="0" w:line="120" w:lineRule="exact"/>
        <w:rPr>
          <w:rFonts w:ascii="Arial" w:cs="Arial" w:eastAsia="Arial" w:hAnsi="Arial"/>
          <w:sz w:val="17"/>
          <w:szCs w:val="17"/>
          <w:color w:val="auto"/>
        </w:rPr>
      </w:pPr>
    </w:p>
    <w:p>
      <w:pPr>
        <w:ind w:left="1780" w:right="519"/>
        <w:spacing w:after="0" w:line="255" w:lineRule="auto"/>
        <w:rPr>
          <w:rFonts w:ascii="Arial" w:cs="Arial" w:eastAsia="Arial" w:hAnsi="Arial"/>
          <w:sz w:val="17"/>
          <w:szCs w:val="17"/>
          <w:color w:val="auto"/>
        </w:rPr>
      </w:pPr>
      <w:r>
        <w:rPr>
          <w:rFonts w:ascii="Arial" w:cs="Arial" w:eastAsia="Arial" w:hAnsi="Arial"/>
          <w:sz w:val="18"/>
          <w:szCs w:val="18"/>
          <w:color w:val="auto"/>
        </w:rPr>
        <w:t>The compactness of these electric drive units lays the foundation for our Space Concept vehicle design approach. The fully integrated transmission and differential also contribute to this approach. Together, these components comprise a unified, integrated rotational system that is both lightweight and extremely efficient. Meanwhile, we leverage a high voltage, silicon-carbide MOSFET (metal-oxide-semiconductor field-effect transistor) system in our inverters to increase efficiency, especially in real-world driving conditions.</w:t>
      </w:r>
    </w:p>
    <w:p>
      <w:pPr>
        <w:spacing w:after="0" w:line="111" w:lineRule="exact"/>
        <w:rPr>
          <w:rFonts w:ascii="Arial" w:cs="Arial" w:eastAsia="Arial" w:hAnsi="Arial"/>
          <w:sz w:val="17"/>
          <w:szCs w:val="17"/>
          <w:color w:val="auto"/>
        </w:rPr>
      </w:pPr>
    </w:p>
    <w:p>
      <w:pPr>
        <w:ind w:left="1780" w:right="459"/>
        <w:spacing w:after="0" w:line="255" w:lineRule="auto"/>
        <w:rPr>
          <w:rFonts w:ascii="Arial" w:cs="Arial" w:eastAsia="Arial" w:hAnsi="Arial"/>
          <w:sz w:val="17"/>
          <w:szCs w:val="17"/>
          <w:color w:val="auto"/>
        </w:rPr>
      </w:pPr>
      <w:r>
        <w:rPr>
          <w:rFonts w:ascii="Arial" w:cs="Arial" w:eastAsia="Arial" w:hAnsi="Arial"/>
          <w:sz w:val="18"/>
          <w:szCs w:val="18"/>
          <w:color w:val="auto"/>
        </w:rPr>
        <w:t>In the obsessive pursuit of lightweight construction that contributes to overall efficiency, our technology improves the key components of its powertrain while extracting even more performance. For example, as of March 11, 2021, based on our internal testing and measurements and publicly available competitor data, the Lucid Air’s compact motor produced more than twice the power for its weight than the nearest competitive EV. Less weight leads to increased efficiency, even as performance is elevated to new levels.</w:t>
      </w:r>
    </w:p>
    <w:p>
      <w:pPr>
        <w:spacing w:after="0" w:line="124" w:lineRule="exact"/>
        <w:rPr>
          <w:rFonts w:ascii="Arial" w:cs="Arial" w:eastAsia="Arial" w:hAnsi="Arial"/>
          <w:sz w:val="17"/>
          <w:szCs w:val="17"/>
          <w:color w:val="auto"/>
        </w:rPr>
      </w:pPr>
    </w:p>
    <w:p>
      <w:pPr>
        <w:ind w:left="1780" w:right="519"/>
        <w:spacing w:after="0" w:line="263" w:lineRule="auto"/>
        <w:rPr>
          <w:rFonts w:ascii="Arial" w:cs="Arial" w:eastAsia="Arial" w:hAnsi="Arial"/>
          <w:sz w:val="17"/>
          <w:szCs w:val="17"/>
          <w:color w:val="auto"/>
        </w:rPr>
      </w:pPr>
      <w:r>
        <w:rPr>
          <w:rFonts w:ascii="Arial" w:cs="Arial" w:eastAsia="Arial" w:hAnsi="Arial"/>
          <w:sz w:val="18"/>
          <w:szCs w:val="18"/>
          <w:color w:val="auto"/>
        </w:rPr>
        <w:t>Finally, we have also achieved breakthroughs in the advanced thermal management system within our electric motors. We have patented our efficient cooling design, which enables even higher levels of efficiency and performance.</w:t>
      </w:r>
    </w:p>
    <w:p>
      <w:pPr>
        <w:spacing w:after="0" w:line="75" w:lineRule="exact"/>
        <w:rPr>
          <w:rFonts w:ascii="Arial" w:cs="Arial" w:eastAsia="Arial" w:hAnsi="Arial"/>
          <w:sz w:val="17"/>
          <w:szCs w:val="17"/>
          <w:color w:val="auto"/>
        </w:rPr>
      </w:pPr>
    </w:p>
    <w:p>
      <w:pPr>
        <w:ind w:left="1800" w:right="439" w:hanging="180"/>
        <w:spacing w:after="0" w:line="259"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Bidirectional Charging. </w:t>
      </w:r>
      <w:r>
        <w:rPr>
          <w:rFonts w:ascii="Arial" w:cs="Arial" w:eastAsia="Arial" w:hAnsi="Arial"/>
          <w:sz w:val="18"/>
          <w:szCs w:val="18"/>
          <w:color w:val="auto"/>
        </w:rPr>
        <w:t>Our proprietary technology is designed to enable ultra-fast and bi-directional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charging. The 900V+ architecture combined with our Wünderbox as the heart of the Air’s electrical platform. The Wünderbox is a multi-function unit, developed in-house to ensure compatibility with charging systems of differing voltages, specifically boost-voltage charging.</w:t>
      </w:r>
    </w:p>
    <w:p>
      <w:pPr>
        <w:spacing w:after="0" w:line="119" w:lineRule="exact"/>
        <w:rPr>
          <w:rFonts w:ascii="Arial" w:cs="Arial" w:eastAsia="Arial" w:hAnsi="Arial"/>
          <w:sz w:val="18"/>
          <w:szCs w:val="18"/>
          <w:color w:val="auto"/>
        </w:rPr>
      </w:pPr>
    </w:p>
    <w:p>
      <w:pPr>
        <w:ind w:left="1780" w:right="519"/>
        <w:spacing w:after="0" w:line="263" w:lineRule="auto"/>
        <w:rPr>
          <w:rFonts w:ascii="Arial" w:cs="Arial" w:eastAsia="Arial" w:hAnsi="Arial"/>
          <w:sz w:val="18"/>
          <w:szCs w:val="18"/>
          <w:color w:val="auto"/>
        </w:rPr>
      </w:pPr>
      <w:r>
        <w:rPr>
          <w:rFonts w:ascii="Arial" w:cs="Arial" w:eastAsia="Arial" w:hAnsi="Arial"/>
          <w:sz w:val="18"/>
          <w:szCs w:val="18"/>
          <w:color w:val="auto"/>
        </w:rPr>
        <w:t>The Wünderbox is expected to provide the Lucid Air industry-leading charging speeds by allowing our customers to charge up to approximately 300kW-DC at a DC fast charging station, such as those available through our partnership with Electrify America.</w:t>
      </w:r>
    </w:p>
    <w:p>
      <w:pPr>
        <w:spacing w:after="0" w:line="102" w:lineRule="exact"/>
        <w:rPr>
          <w:rFonts w:ascii="Arial" w:cs="Arial" w:eastAsia="Arial" w:hAnsi="Arial"/>
          <w:sz w:val="18"/>
          <w:szCs w:val="18"/>
          <w:color w:val="auto"/>
        </w:rPr>
      </w:pPr>
    </w:p>
    <w:p>
      <w:pPr>
        <w:ind w:left="1780" w:right="439"/>
        <w:spacing w:after="0" w:line="286" w:lineRule="auto"/>
        <w:rPr>
          <w:rFonts w:ascii="Arial" w:cs="Arial" w:eastAsia="Arial" w:hAnsi="Arial"/>
          <w:sz w:val="18"/>
          <w:szCs w:val="18"/>
          <w:color w:val="auto"/>
        </w:rPr>
      </w:pPr>
      <w:r>
        <w:rPr>
          <w:rFonts w:ascii="Arial" w:cs="Arial" w:eastAsia="Arial" w:hAnsi="Arial"/>
          <w:sz w:val="17"/>
          <w:szCs w:val="17"/>
          <w:color w:val="auto"/>
        </w:rPr>
        <w:t>The Wünderbox is also designed to enable a wide array of future-ready, bi-directional power delivery features, such as V2G applications for situations such as managing home power outages. We expect to enable bi-directional functionality via an OTA update after launching the Lucid Air.</w:t>
      </w:r>
    </w:p>
    <w:p>
      <w:pPr>
        <w:spacing w:after="0" w:line="57" w:lineRule="exact"/>
        <w:rPr>
          <w:rFonts w:ascii="Arial" w:cs="Arial" w:eastAsia="Arial" w:hAnsi="Arial"/>
          <w:sz w:val="18"/>
          <w:szCs w:val="18"/>
          <w:color w:val="auto"/>
        </w:rPr>
      </w:pPr>
    </w:p>
    <w:p>
      <w:pPr>
        <w:ind w:left="1800" w:right="579" w:hanging="180"/>
        <w:spacing w:after="0" w:line="286"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Infotainment System</w:t>
      </w:r>
      <w:r>
        <w:rPr>
          <w:rFonts w:ascii="Arial" w:cs="Arial" w:eastAsia="Arial" w:hAnsi="Arial"/>
          <w:sz w:val="17"/>
          <w:szCs w:val="17"/>
          <w:color w:val="auto"/>
        </w:rPr>
        <w:t>. Our infotainment system is designed to provide a seamless connected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both inside the car and out. With highly advanced processing capabilities, the system is designed to leverage data analytics and OTA updates to improve and refresh the vehicle over time.</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80" w:right="419"/>
        <w:spacing w:after="0" w:line="259" w:lineRule="auto"/>
        <w:rPr>
          <w:sz w:val="20"/>
          <w:szCs w:val="20"/>
          <w:color w:val="auto"/>
        </w:rPr>
      </w:pPr>
      <w:r>
        <w:rPr>
          <w:rFonts w:ascii="Arial" w:cs="Arial" w:eastAsia="Arial" w:hAnsi="Arial"/>
          <w:sz w:val="18"/>
          <w:szCs w:val="18"/>
          <w:color w:val="auto"/>
        </w:rPr>
        <w:t>We expect that our customers will, over time, enjoy seamless connectivity, including 4G LTE and Wi-Fi, as well as the ability to support Apple CarPlay, Android Auto and Amazon Alexa integrations. In addition, we expect to provide customers with the ability to remotely access climate controls and updates on their vehicle through a mobile application.</w:t>
      </w:r>
    </w:p>
    <w:p>
      <w:pPr>
        <w:spacing w:after="0" w:line="106" w:lineRule="exact"/>
        <w:rPr>
          <w:sz w:val="20"/>
          <w:szCs w:val="20"/>
          <w:color w:val="auto"/>
        </w:rPr>
      </w:pPr>
    </w:p>
    <w:p>
      <w:pPr>
        <w:ind w:left="1780" w:right="679"/>
        <w:spacing w:after="0" w:line="279" w:lineRule="auto"/>
        <w:rPr>
          <w:sz w:val="20"/>
          <w:szCs w:val="20"/>
          <w:color w:val="auto"/>
        </w:rPr>
      </w:pPr>
      <w:r>
        <w:rPr>
          <w:rFonts w:ascii="Arial" w:cs="Arial" w:eastAsia="Arial" w:hAnsi="Arial"/>
          <w:sz w:val="17"/>
          <w:szCs w:val="17"/>
          <w:color w:val="auto"/>
        </w:rPr>
        <w:t>Our smartphone application is expected to allow our customers to set Lucid ID profiles for a personalized experience based on profiles rather than the settings in place when the last driver left the vehicle. In addition, we expect to evolve the car-to-driver relationship by enabling predictive analytics to provide shortcuts and assistance based on learned driving behaviors.</w:t>
      </w:r>
    </w:p>
    <w:p>
      <w:pPr>
        <w:spacing w:after="0" w:line="77" w:lineRule="exact"/>
        <w:rPr>
          <w:sz w:val="20"/>
          <w:szCs w:val="20"/>
          <w:color w:val="auto"/>
        </w:rPr>
      </w:pPr>
    </w:p>
    <w:p>
      <w:pPr>
        <w:ind w:left="1800" w:right="479" w:hanging="180"/>
        <w:spacing w:after="0" w:line="254"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Lucid DreamDrive. </w:t>
      </w:r>
      <w:r>
        <w:rPr>
          <w:rFonts w:ascii="Arial" w:cs="Arial" w:eastAsia="Arial" w:hAnsi="Arial"/>
          <w:sz w:val="18"/>
          <w:szCs w:val="18"/>
          <w:color w:val="auto"/>
        </w:rPr>
        <w:t>The Lucid Air is equipped with an extensive sensor suite, high on-board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computing power and back-up systems for advanced autonomous driving and advanced driver assistance systems (“</w:t>
      </w:r>
      <w:r>
        <w:rPr>
          <w:rFonts w:ascii="Arial" w:cs="Arial" w:eastAsia="Arial" w:hAnsi="Arial"/>
          <w:sz w:val="18"/>
          <w:szCs w:val="18"/>
          <w:i w:val="1"/>
          <w:iCs w:val="1"/>
          <w:color w:val="auto"/>
        </w:rPr>
        <w:t>AD/ADAS</w:t>
      </w:r>
      <w:r>
        <w:rPr>
          <w:rFonts w:ascii="Arial" w:cs="Arial" w:eastAsia="Arial" w:hAnsi="Arial"/>
          <w:sz w:val="18"/>
          <w:szCs w:val="18"/>
          <w:color w:val="auto"/>
        </w:rPr>
        <w:t>”). With 32 sensors onboard, the Lucid Air is expected to launch with the most comprehensive sensor suite among currently available production vehicles. Lucid Air is planned to launch with Level 2 autonomous driving functionality and be capable of software upgrades OTA. Further, by collecting and analyzing fleet data, we expect to enhance our AD/ ADAS features and improve the Lucid experience over time.</w:t>
      </w:r>
    </w:p>
    <w:p>
      <w:pPr>
        <w:spacing w:after="0" w:line="86"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Lucid’s Micro Lens Array Lighting. </w:t>
      </w:r>
      <w:r>
        <w:rPr>
          <w:rFonts w:ascii="Arial" w:cs="Arial" w:eastAsia="Arial" w:hAnsi="Arial"/>
          <w:sz w:val="18"/>
          <w:szCs w:val="18"/>
          <w:color w:val="auto"/>
        </w:rPr>
        <w:t>A revolution in optical technology, our in-house created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engineered Intelligent Micro Lens Array (“</w:t>
      </w:r>
      <w:r>
        <w:rPr>
          <w:rFonts w:ascii="Arial" w:cs="Arial" w:eastAsia="Arial" w:hAnsi="Arial"/>
          <w:sz w:val="18"/>
          <w:szCs w:val="18"/>
          <w:i w:val="1"/>
          <w:iCs w:val="1"/>
          <w:color w:val="auto"/>
        </w:rPr>
        <w:t>MLA</w:t>
      </w:r>
      <w:r>
        <w:rPr>
          <w:rFonts w:ascii="Arial" w:cs="Arial" w:eastAsia="Arial" w:hAnsi="Arial"/>
          <w:sz w:val="18"/>
          <w:szCs w:val="18"/>
          <w:color w:val="auto"/>
        </w:rPr>
        <w:t>”) headlights provide an incredibly homogeneous and luminant light source.</w:t>
      </w:r>
    </w:p>
    <w:p>
      <w:pPr>
        <w:spacing w:after="0" w:line="116" w:lineRule="exact"/>
        <w:rPr>
          <w:rFonts w:ascii="Arial" w:cs="Arial" w:eastAsia="Arial" w:hAnsi="Arial"/>
          <w:sz w:val="18"/>
          <w:szCs w:val="18"/>
          <w:color w:val="auto"/>
        </w:rPr>
      </w:pPr>
    </w:p>
    <w:p>
      <w:pPr>
        <w:ind w:left="1780" w:right="739"/>
        <w:spacing w:after="0" w:line="277" w:lineRule="auto"/>
        <w:rPr>
          <w:rFonts w:ascii="Arial" w:cs="Arial" w:eastAsia="Arial" w:hAnsi="Arial"/>
          <w:sz w:val="18"/>
          <w:szCs w:val="18"/>
          <w:color w:val="auto"/>
        </w:rPr>
      </w:pPr>
      <w:r>
        <w:rPr>
          <w:rFonts w:ascii="Arial" w:cs="Arial" w:eastAsia="Arial" w:hAnsi="Arial"/>
          <w:sz w:val="18"/>
          <w:szCs w:val="18"/>
          <w:color w:val="auto"/>
        </w:rPr>
        <w:t>The MLA system is designed to automatically adapt to driving situations and provide exceptional outward visibility that makes it easier to see — and avoid — objects on the road.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w:t>
      </w:r>
    </w:p>
    <w:p>
      <w:pPr>
        <w:spacing w:after="0" w:line="14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We have built and completed North America’s first greenfield, purpose-build EV manufacturing plant, AMP-1, in Casa Grande, Arizona. We are already utilizing the facility and manufacturing equipment to build our fleet of production representative, release candidate vehicles. Vertical integration of manufacturing capabilities provides us the opportunity to improve product margins relative to an out-sourced manufacturing arrangement.</w:t>
      </w:r>
    </w:p>
    <w:p>
      <w:pPr>
        <w:spacing w:after="0" w:line="12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We carefully selected our Arizona site for a number of reasons, including infrastructure, talent, geographic location, proximity to a pre-existing automotive supply chain and strong support from state and local governments. The location of the facility also offers space for a large footprint and planned expansions.</w:t>
      </w:r>
    </w:p>
    <w:p>
      <w:pPr>
        <w:spacing w:after="0" w:line="11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AMP-1 is on track for an expected start of production of the Lucid Air in the second half of 2021. Within AMP-1, we expect to produce vehicles using innovative production processes and state-of-the-art equipment.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w:t>
      </w:r>
    </w:p>
    <w:p>
      <w:pPr>
        <w:spacing w:after="0" w:line="111"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Our manufacturing footprint in Casa Grande, AZ also includes the LPM-1 facility. We manufacture and assemble our complete electric powertrain at LPM-1, including assembly of battery packs, integrated drive units and the Wünderbox.</w:t>
      </w:r>
    </w:p>
    <w:p>
      <w:pPr>
        <w:spacing w:after="0" w:line="116"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 xml:space="preserve">The LPM-1 facility was designed to allow us to facilitate the future establishment of similar facilities for an expanded, global manufacturing footprint for vehicles. We believe the same design is scalable for manufacturing to address opportunities in technology sales and licensing. See “— </w:t>
      </w:r>
      <w:r>
        <w:rPr>
          <w:rFonts w:ascii="Arial" w:cs="Arial" w:eastAsia="Arial" w:hAnsi="Arial"/>
          <w:sz w:val="18"/>
          <w:szCs w:val="18"/>
          <w:i w:val="1"/>
          <w:iCs w:val="1"/>
          <w:color w:val="auto"/>
        </w:rPr>
        <w:t>Growth Strategy.</w:t>
      </w:r>
      <w:r>
        <w:rPr>
          <w:rFonts w:ascii="Arial" w:cs="Arial" w:eastAsia="Arial" w:hAnsi="Arial"/>
          <w:sz w:val="18"/>
          <w:szCs w:val="18"/>
          <w:color w:val="auto"/>
        </w:rPr>
        <w:t>” These facilities are expected to position us to serve global electric vehicle markets with a standard product utilizing our in-house manufacturing processes.</w:t>
      </w:r>
    </w:p>
    <w:p>
      <w:pPr>
        <w:spacing w:after="0" w:line="120"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started the commissioning process for the AMP-1 and LPM-1 facilities in less than one year after breaking ground. As part of the commissioning, we tested our innovative production processes and state-of-the-art equipment to build our beta prototype test fleet and production-representative versions of the Lucid Air.</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AMP -1 and LPM-1 were designed with expansion in mind. This approach to planning our facilities includes a state -of-the-art paint shop designed with the necessary footprint and specialized infrastructure to be expanded to accommodate the needs of planned future phases of the factory.</w:t>
      </w:r>
    </w:p>
    <w:p>
      <w:pPr>
        <w:spacing w:after="0" w:line="10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plan to begin production with the Lucid Air Dream Edition in the second half of 2021. We have a multi-year plan to expand AMP-1 from its current output capacity of up to 34,000 units per year. Future expansions of AMP-1 are being planned to account for the launch of future vehicle programs intended to be manufactured in Arizona and to accomodate growth in sales volumes. Once AMP-1 is fully built out, our vehicle manufacturing footprint in Casa Grande is expected to exceed 5 million square feet on 495 acres. By building the factory from a clean slate and leveraging decades of industry experience, we expect to achieve</w:t>
      </w:r>
    </w:p>
    <w:p>
      <w:pPr>
        <w:spacing w:after="0" w:line="4" w:lineRule="exact"/>
        <w:rPr>
          <w:sz w:val="20"/>
          <w:szCs w:val="20"/>
          <w:color w:val="auto"/>
        </w:rPr>
      </w:pPr>
    </w:p>
    <w:p>
      <w:pPr>
        <w:ind w:left="1260" w:right="459"/>
        <w:spacing w:after="0" w:line="239" w:lineRule="auto"/>
        <w:tabs>
          <w:tab w:leader="none" w:pos="14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greater capital efficiencies, (ii) greater operational efficiencies and (iii) consistent production quality. The key activities that will take place in AMP-1 are expected to include body shell manufacture, painting of body shells and general assembly.</w:t>
      </w:r>
    </w:p>
    <w:p>
      <w:pPr>
        <w:spacing w:after="0" w:line="12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expect to build out our manufacturing footprint with manufacturing plants in additional geographies to service our expected global demand. A global footprint with localized manufacturing will enable us to serve market demand with locally manufactured vehicles, with the potential to result in cost savings and simpler logistics (which can also yield environmental benefits with reduced transportation of product to the applicable markets). AMP-1 and LPM-1 were designed to be highly repeatable facilities to standardize manufacturing operations and build efficiency in our capital planning and deployment. We plan to develop greenfield facilities across multiple geographies. Production and distribution consume energy, as with any manufacturer. We intend to localize production in an attempt to offset some of these energy needs, and we believe that our products will require less energy throughout their useful life than competing products. We anticipate taking preliminary steps in the second half of 2021 toward establishing manufacturing operations in Saudi Arabia.</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Go-To-Market Strategy</w:t>
      </w:r>
    </w:p>
    <w:p>
      <w:pPr>
        <w:spacing w:after="0" w:line="162"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We have launched our go-to-market strategy through our online vehicle configurator. As of June 21, 2021, we had refundable reservations that reflect potential sales greater than $900 million. We believe that our customer traction is strong and has continued to grow as brand awareness has increased.</w:t>
      </w:r>
    </w:p>
    <w:p>
      <w:pPr>
        <w:spacing w:after="0" w:line="8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Our typical customer journey is expected to begin through our advanced digital platform. We use social media to educate customers regarding our brand identity, explain the creation of our technology and highlight the people behind our design and technology. The goal is to cultivate a sense of brand loyalty with our customers.</w:t>
      </w:r>
    </w:p>
    <w:p>
      <w:pPr>
        <w:spacing w:after="0" w:line="12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This initial engagement is expected to drive customers to our website to learn more about our story and the Lucid Air. On the website, customers can experience our online vehicle configurator, which provides an immersive and customizable opportunity to interact with our vehicles in a virtual setting. From there, we expect to provide the customer with the option to either place a reservation online or visit one of our retail store or gallery locations, which we refer to as “Studios.” We believe that our direct-to-consumer sales model, combined with a digitally enhanced luxury experience through our website and a refined in-store experience, creates opportunities to tailor to each customer’s purchase and ownership preferences. Customers will have the option to visit a Studio in person, make their inquiries entirely online or a combination of the two experiences.</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developing our Studios, we have partnered with leading California-based design firms to build a network of retail spaces to enable customers to experience the brand and our products in locations that underscore our design aesthetic. Similar to the Lucid Air, the interiors of Lucid Studios showcase color and material themes that represent specific locations within California, the Golden State, as well as our focus on innovation with immersive digital and technology experiences. Lucid Studios are intended to provide a pressure-free environment for our customers to comfortably experience the brand and our products. Like the Lucid Air itself, Lucid Studios draw inspiration from the beauty, innovation and diversity of our home state of California.</w:t>
      </w:r>
    </w:p>
    <w:p>
      <w:pPr>
        <w:spacing w:after="0" w:line="111" w:lineRule="exact"/>
        <w:rPr>
          <w:sz w:val="20"/>
          <w:szCs w:val="20"/>
          <w:color w:val="auto"/>
        </w:rPr>
      </w:pPr>
    </w:p>
    <w:p>
      <w:pPr>
        <w:ind w:left="1260" w:right="599" w:firstLine="360"/>
        <w:spacing w:after="0" w:line="342" w:lineRule="auto"/>
        <w:rPr>
          <w:sz w:val="20"/>
          <w:szCs w:val="20"/>
          <w:color w:val="auto"/>
        </w:rPr>
      </w:pPr>
      <w:r>
        <w:rPr>
          <w:rFonts w:ascii="Arial" w:cs="Arial" w:eastAsia="Arial" w:hAnsi="Arial"/>
          <w:sz w:val="16"/>
          <w:szCs w:val="16"/>
          <w:color w:val="auto"/>
        </w:rPr>
        <w:t>Retail locations will serve both as our sales channels and marketing tools in high-foot-traffic areas within urban areas. As of June 30, 2021, Lucid has eight retail stores open and expects additional stores to</w:t>
      </w: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open in North America throughout 2021. We expect to enter the European and Middle East markets in 2022 and to enter China in 2023. These markets are rapidly adopting electric vehicles, and we believe that establishing strong retail footholds will enhance our opportunity to increase our share of our total addressable market.</w:t>
      </w:r>
    </w:p>
    <w:p>
      <w:pPr>
        <w:spacing w:after="0" w:line="106" w:lineRule="exact"/>
        <w:rPr>
          <w:sz w:val="20"/>
          <w:szCs w:val="20"/>
          <w:color w:val="auto"/>
        </w:rPr>
      </w:pPr>
    </w:p>
    <w:p>
      <w:pPr>
        <w:jc w:val="both"/>
        <w:ind w:left="1260" w:right="599" w:firstLine="360"/>
        <w:spacing w:after="0" w:line="259" w:lineRule="auto"/>
        <w:rPr>
          <w:sz w:val="20"/>
          <w:szCs w:val="20"/>
          <w:color w:val="auto"/>
        </w:rPr>
      </w:pPr>
      <w:r>
        <w:rPr>
          <w:rFonts w:ascii="Arial" w:cs="Arial" w:eastAsia="Arial" w:hAnsi="Arial"/>
          <w:sz w:val="18"/>
          <w:szCs w:val="18"/>
          <w:color w:val="auto"/>
        </w:rPr>
        <w:t>In developing a service strategy, we intend to extend our luxury-minded brand experience to this key touchpoint by offering the convenience of support at its customers’ physical locations with mobile service vans and certified partners for roadside assistance and collision repairs. The Lucid Air is also designed to enable OTA updates and remote diagnostics.</w:t>
      </w:r>
    </w:p>
    <w:p>
      <w:pPr>
        <w:spacing w:after="0" w:line="119"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We also expect the recently opened company-owned service centers in our Silicon Valley and Beverly Hills Studios to provide support for these key markets, with additional service centers and studios expected to open in 2021.</w:t>
      </w:r>
    </w:p>
    <w:p>
      <w:pPr>
        <w:spacing w:after="0" w:line="116"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Rather than investing in a proprietary charging network, we have selected Electrify America as our charging network partner in the United States. This partnership allows us to avoid the capital intensity of establishing its own network and provides our customers with access to an established network across the United States. Electrify America’s DC power levels of up to 350kW and network coverage were the key selection criteria in selecting it as a partner. We expect that Electrify America’s premium charging experience provides EV drivers with convenient charging locations that offer amenities like shopping, food and restrooms and we believe this offering will provide a delightful experience to our customers.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Regulations and Credits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spacing w:after="0" w:line="127" w:lineRule="exact"/>
        <w:rPr>
          <w:sz w:val="20"/>
          <w:szCs w:val="20"/>
          <w:color w:val="auto"/>
        </w:rPr>
      </w:pPr>
    </w:p>
    <w:p>
      <w:pPr>
        <w:ind w:left="1260" w:right="639" w:firstLine="360"/>
        <w:spacing w:after="0" w:line="254" w:lineRule="auto"/>
        <w:rPr>
          <w:sz w:val="20"/>
          <w:szCs w:val="20"/>
          <w:color w:val="auto"/>
        </w:rPr>
      </w:pPr>
      <w:r>
        <w:rPr>
          <w:rFonts w:ascii="Arial" w:cs="Arial" w:eastAsia="Arial" w:hAnsi="Arial"/>
          <w:sz w:val="18"/>
          <w:szCs w:val="18"/>
          <w:color w:val="auto"/>
        </w:rPr>
        <w:t>Environmental standards applicable to us are established by United States laws and regulations, standards adopted by regulatory agencies and the permits and licenses we are required to obtain. Each of these sources is subject to periodic modifications and what we anticipate will be increasingly stringent requirements.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spacing w:after="0" w:line="127"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Many countries have announced a requirement for the sale of zero-emission vehicles only within proscribed timeframes, some as early as 2035, and we as an electric vehicle manufacturer are already in a position to comply with these requirements across our entire product portfolio as we expand. Our competitors, by contrast, will need to reconcile an expensive infrastructure with factories and equipment tailored for production of internal combustion engine (“</w:t>
      </w:r>
      <w:r>
        <w:rPr>
          <w:rFonts w:ascii="Arial" w:cs="Arial" w:eastAsia="Arial" w:hAnsi="Arial"/>
          <w:sz w:val="17"/>
          <w:szCs w:val="17"/>
          <w:i w:val="1"/>
          <w:iCs w:val="1"/>
          <w:color w:val="auto"/>
        </w:rPr>
        <w:t>ICE</w:t>
      </w:r>
      <w:r>
        <w:rPr>
          <w:rFonts w:ascii="Arial" w:cs="Arial" w:eastAsia="Arial" w:hAnsi="Arial"/>
          <w:sz w:val="17"/>
          <w:szCs w:val="17"/>
          <w:color w:val="auto"/>
        </w:rPr>
        <w:t>”) vehicles, along with workforces trained to produce ICE vehicles and intellectual property portfolios geared for ICE vehicles.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Emissions Credits</w:t>
      </w:r>
    </w:p>
    <w:p>
      <w:pPr>
        <w:spacing w:after="0" w:line="14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We expect that the manufacture, sale, and/or registration of Zero Emission Vehicles (“</w:t>
      </w:r>
      <w:r>
        <w:rPr>
          <w:rFonts w:ascii="Arial" w:cs="Arial" w:eastAsia="Arial" w:hAnsi="Arial"/>
          <w:sz w:val="17"/>
          <w:szCs w:val="17"/>
          <w:i w:val="1"/>
          <w:iCs w:val="1"/>
          <w:color w:val="auto"/>
        </w:rPr>
        <w:t>ZEVs</w:t>
      </w:r>
      <w:r>
        <w:rPr>
          <w:rFonts w:ascii="Arial" w:cs="Arial" w:eastAsia="Arial" w:hAnsi="Arial"/>
          <w:sz w:val="17"/>
          <w:szCs w:val="17"/>
          <w:color w:val="auto"/>
        </w:rPr>
        <w:t>”) in various regions will earn certain regulatory credits that we can sell to other manufacturers. This may include ZEV credits in up to 17 U.S. jurisdictions referred to, collectively, as the “Section 177 States” (California, Colorado, Connecticut, Maine, Maryland, Massachusetts, New Jersey, New York, Oregon, Rhode Island, Vermont, Washington and Washington D.C. have each adopted ZEV standards and another four (4) states are in the process of doing so), Corporate Average Fuel Economy (“</w:t>
      </w:r>
      <w:r>
        <w:rPr>
          <w:rFonts w:ascii="Arial" w:cs="Arial" w:eastAsia="Arial" w:hAnsi="Arial"/>
          <w:sz w:val="17"/>
          <w:szCs w:val="17"/>
          <w:i w:val="1"/>
          <w:iCs w:val="1"/>
          <w:color w:val="auto"/>
        </w:rPr>
        <w:t>CAFE</w:t>
      </w:r>
      <w:r>
        <w:rPr>
          <w:rFonts w:ascii="Arial" w:cs="Arial" w:eastAsia="Arial" w:hAnsi="Arial"/>
          <w:sz w:val="17"/>
          <w:szCs w:val="17"/>
          <w:color w:val="auto"/>
        </w:rPr>
        <w:t>”) credits under the U.S.</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Department of Transportation standards, greenhouse gas credits from the U.S. Environmental Protection Agency (the “</w:t>
      </w:r>
      <w:r>
        <w:rPr>
          <w:rFonts w:ascii="Arial" w:cs="Arial" w:eastAsia="Arial" w:hAnsi="Arial"/>
          <w:sz w:val="18"/>
          <w:szCs w:val="18"/>
          <w:i w:val="1"/>
          <w:iCs w:val="1"/>
          <w:color w:val="auto"/>
        </w:rPr>
        <w:t>EPA</w:t>
      </w:r>
      <w:r>
        <w:rPr>
          <w:rFonts w:ascii="Arial" w:cs="Arial" w:eastAsia="Arial" w:hAnsi="Arial"/>
          <w:sz w:val="18"/>
          <w:szCs w:val="18"/>
          <w:color w:val="auto"/>
        </w:rPr>
        <w:t>”) and similar credits in each of Europe, Canada and China.</w:t>
      </w:r>
    </w:p>
    <w:p>
      <w:pPr>
        <w:spacing w:after="0" w:line="90"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7"/>
          <w:szCs w:val="17"/>
          <w:color w:val="auto"/>
        </w:rPr>
        <w:t>ZEV credits are calculated under applicable regulation and are paid in relation to ZEVs sold and registered, including Battery Electric Vehicles (“</w:t>
      </w:r>
      <w:r>
        <w:rPr>
          <w:rFonts w:ascii="Arial" w:cs="Arial" w:eastAsia="Arial" w:hAnsi="Arial"/>
          <w:sz w:val="17"/>
          <w:szCs w:val="17"/>
          <w:i w:val="1"/>
          <w:iCs w:val="1"/>
          <w:color w:val="auto"/>
        </w:rPr>
        <w:t>BEVs</w:t>
      </w:r>
      <w:r>
        <w:rPr>
          <w:rFonts w:ascii="Arial" w:cs="Arial" w:eastAsia="Arial" w:hAnsi="Arial"/>
          <w:sz w:val="17"/>
          <w:szCs w:val="17"/>
          <w:color w:val="auto"/>
        </w:rPr>
        <w:t xml:space="preserve"> ”)</w:t>
      </w:r>
      <w:r>
        <w:rPr>
          <w:rFonts w:ascii="Arial" w:cs="Arial" w:eastAsia="Arial" w:hAnsi="Arial"/>
          <w:sz w:val="17"/>
          <w:szCs w:val="17"/>
          <w:i w:val="1"/>
          <w:iCs w:val="1"/>
          <w:color w:val="auto"/>
        </w:rPr>
        <w:t>. ZEV</w:t>
      </w:r>
      <w:r>
        <w:rPr>
          <w:rFonts w:ascii="Arial" w:cs="Arial" w:eastAsia="Arial" w:hAnsi="Arial"/>
          <w:sz w:val="17"/>
          <w:szCs w:val="17"/>
          <w:color w:val="auto"/>
        </w:rPr>
        <w:t xml:space="preserve"> programs generally assign ZEV credits to each vehicle manufacturer. Vehicle manufacturers are required to maintain ZEV credits equal to a</w:t>
      </w:r>
    </w:p>
    <w:p>
      <w:pPr>
        <w:ind w:left="1260" w:right="719"/>
        <w:spacing w:after="0" w:line="256" w:lineRule="auto"/>
        <w:rPr>
          <w:sz w:val="20"/>
          <w:szCs w:val="20"/>
          <w:color w:val="auto"/>
        </w:rPr>
      </w:pPr>
      <w:r>
        <w:rPr>
          <w:rFonts w:ascii="Arial" w:cs="Arial" w:eastAsia="Arial" w:hAnsi="Arial"/>
          <w:sz w:val="17"/>
          <w:szCs w:val="17"/>
          <w:color w:val="auto"/>
        </w:rPr>
        <w:t>set percentage of non-electric vehicles sold and registered in California and Section 177 States. Each vehicle sold and registered in the state earns a number of credits based on the drivetrain type and the all-electric range of the vehicle under the Urban Dynamometer Driving Schedule Test Cycle. BEVs receive between 1 and 4 credits per vehicle sold and registered in the state, based on range.</w:t>
      </w:r>
    </w:p>
    <w:p>
      <w:pPr>
        <w:spacing w:after="0" w:line="108"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For reference, the ZEV credit requirement in California was 9.5% in 2020 and will rise to 22% in 2025. If a vehicle manufacturer does not produce enough EVs to meet its quota, it can choose to buy credits from other manufacturers who do or may be required to pay a $5,000 fine for each credit it is short. We expect this requirement to provide it an opportunity to generate revenue from the sale of ZEV credits.</w:t>
      </w:r>
    </w:p>
    <w:p>
      <w:pPr>
        <w:spacing w:after="0" w:line="105"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While we expect these environmental regulations to provide a tailwind to our growth, it is possible for certain regulations to result in margin pressures. For example, regulations that effectively impose electric vehicle production quotas on auto manufacturers may lead to an oversupply of electric vehicles, which in turn could promote price decreases. Changes to these incentives and regulations could affect our revenues and gross margins.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Credits and Benefits</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We may benefit from additional opportunities under government regulations and legislation, such as the following:</w:t>
      </w:r>
    </w:p>
    <w:p>
      <w:pPr>
        <w:spacing w:after="0" w:line="63" w:lineRule="exact"/>
        <w:rPr>
          <w:sz w:val="20"/>
          <w:szCs w:val="20"/>
          <w:color w:val="auto"/>
        </w:rPr>
      </w:pPr>
    </w:p>
    <w:p>
      <w:pPr>
        <w:ind w:left="1800" w:right="439" w:hanging="180"/>
        <w:spacing w:after="0" w:line="255"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Customer tax credits and other benefits arising from government regulation may spur interest in our products and business: a federal tax credit of up to $7,500 may be available to U.S. purchasers of the Lucid Air or our future electric vehicles; tax credits available to purchasers in other countries such as Norway, which currently waives various toll charges and road taxes and also exempts 25% VAT on the purchase of battery electric vehicles; and high-occupancy lane driving privileges available to purchasers in certain US states such as California.</w:t>
      </w:r>
    </w:p>
    <w:p>
      <w:pPr>
        <w:spacing w:after="0" w:line="84" w:lineRule="exact"/>
        <w:rPr>
          <w:rFonts w:ascii="Arial" w:cs="Arial" w:eastAsia="Arial" w:hAnsi="Arial"/>
          <w:sz w:val="18"/>
          <w:szCs w:val="18"/>
          <w:color w:val="auto"/>
        </w:rPr>
      </w:pPr>
    </w:p>
    <w:p>
      <w:pPr>
        <w:ind w:left="1800" w:right="499" w:hanging="180"/>
        <w:spacing w:after="0" w:line="273" w:lineRule="auto"/>
        <w:tabs>
          <w:tab w:leader="none" w:pos="18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may be eligible for various tax credits, abatements and other benefits, including: the federal 30C Alternative Fuel Infrastructure tax credit for alternative fuel infrastructure; the federal 48C manufacturing investment tax credit for investments in manufacturing facilities for clean energy technologies; the Qualified Facilities tax credit in Arizona; a California sales and use tax exclusion under the California Alternative Energy and Advanced Transportation Financing Authority; and other hiring and job training grants and income tax credits in both Arizona and California.</w:t>
      </w:r>
    </w:p>
    <w:p>
      <w:pPr>
        <w:spacing w:after="0" w:line="56" w:lineRule="exact"/>
        <w:rPr>
          <w:rFonts w:ascii="Arial" w:cs="Arial" w:eastAsia="Arial" w:hAnsi="Arial"/>
          <w:sz w:val="17"/>
          <w:szCs w:val="17"/>
          <w:color w:val="auto"/>
        </w:rPr>
      </w:pPr>
    </w:p>
    <w:p>
      <w:pPr>
        <w:ind w:left="1800" w:right="61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might also be eligible for a loan pursuant to the Advanced Technology Vehicles Manufacturing Loan Program administered by the U.S. Department of Energy.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EPA Emissions and Certificate of Conformity</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U.S. Clean Air Act requires that we obtain a Certificate of Conformity issued by the EPA and a California Executive Order issued by the California Air Resources Board (“</w:t>
      </w:r>
      <w:r>
        <w:rPr>
          <w:rFonts w:ascii="Arial" w:cs="Arial" w:eastAsia="Arial" w:hAnsi="Arial"/>
          <w:sz w:val="17"/>
          <w:szCs w:val="17"/>
          <w:i w:val="1"/>
          <w:iCs w:val="1"/>
          <w:color w:val="auto"/>
        </w:rPr>
        <w:t>CARB</w:t>
      </w:r>
      <w:r>
        <w:rPr>
          <w:rFonts w:ascii="Arial" w:cs="Arial" w:eastAsia="Arial" w:hAnsi="Arial"/>
          <w:sz w:val="17"/>
          <w:szCs w:val="17"/>
          <w:color w:val="auto"/>
        </w:rPr>
        <w:t>”) certifying that its vehicles comply with applicable emissions requirements. A Certificate of Conformity is required for vehicles sold in the United States, and an Executive Order from the CARB is required for vehicles sold in states that have adopted California standards. CARB sets the California standards for emissions control for certain regulated pollutants for new vehicles and engines sold in California. States that have adopted the California standards as approved by EPA also recognize the CARB Executive Order for sales of vehicles. In addition to California, there are 13 other states that have either adopted or are in the process of adopting the stricter California standards, including New York, Massachusetts, Vermont, Maine, Pennsylvania, Connecticut, Rhode Island, Washington, Oregon, New Jersey, Maryland, Delaware and Colorado.</w:t>
      </w:r>
    </w:p>
    <w:p>
      <w:pPr>
        <w:spacing w:after="0" w:line="99"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Although the Lucid Air has zero emissions, we are required to seek an EPA Certificate of Conformity and, for vehicles sold in California or any of the other 13 states that have adopted the stricter California standards, a CARB Executive Order.</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Vehicle Safety and Testing</w:t>
      </w:r>
    </w:p>
    <w:p>
      <w:pPr>
        <w:spacing w:after="0" w:line="14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Our vehicles will be subject to, and will be required to comply with, numerous regulatory requirements established by the National Highway Traffic Safety Administration (“</w:t>
      </w:r>
      <w:r>
        <w:rPr>
          <w:rFonts w:ascii="Arial" w:cs="Arial" w:eastAsia="Arial" w:hAnsi="Arial"/>
          <w:sz w:val="17"/>
          <w:szCs w:val="17"/>
          <w:i w:val="1"/>
          <w:iCs w:val="1"/>
          <w:color w:val="auto"/>
        </w:rPr>
        <w:t>NHTSA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applicable U.S. Federal Motor Vehicle Safety Standards (“</w:t>
      </w:r>
      <w:r>
        <w:rPr>
          <w:rFonts w:ascii="Arial" w:cs="Arial" w:eastAsia="Arial" w:hAnsi="Arial"/>
          <w:sz w:val="17"/>
          <w:szCs w:val="17"/>
          <w:i w:val="1"/>
          <w:iCs w:val="1"/>
          <w:color w:val="auto"/>
        </w:rPr>
        <w:t>FMVSS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We intend that the Lucid Air will fully comply with all applicable FMVSSs without the need for any exemptions, and we expect our future vehicles to either fully comply or comply with limited exemptions related to new technologies. Additionally, there are regulatory changes being considered for several FMVSSs, and while we anticipate compliance, there is no assurance that we will comply with such changes under the final versions as enacted.</w:t>
      </w:r>
    </w:p>
    <w:p>
      <w:pPr>
        <w:spacing w:after="0" w:line="11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As a U.S.-based manufacturer, 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will also be required to comply with other federal laws and regulations administered by NHTSA, including, among other things, ensuring our vehicles do not contain defects related to motor vehicle safety, recall requirements, the CAFE standards, Theft Prevention Act requirements, consumer information labeling requirements, reporting required notices, bulletins and other communications, Early Warning Information reporting, foreign recall reporting and owner’s manual requirements.</w:t>
      </w:r>
    </w:p>
    <w:p>
      <w:pPr>
        <w:spacing w:after="0" w:line="129" w:lineRule="exact"/>
        <w:rPr>
          <w:sz w:val="20"/>
          <w:szCs w:val="20"/>
          <w:color w:val="auto"/>
        </w:rPr>
      </w:pPr>
    </w:p>
    <w:p>
      <w:pPr>
        <w:jc w:val="both"/>
        <w:ind w:left="1260" w:right="539" w:firstLine="360"/>
        <w:spacing w:after="0" w:line="279" w:lineRule="auto"/>
        <w:rPr>
          <w:sz w:val="20"/>
          <w:szCs w:val="20"/>
          <w:color w:val="auto"/>
        </w:rPr>
      </w:pPr>
      <w:r>
        <w:rPr>
          <w:rFonts w:ascii="Arial" w:cs="Arial" w:eastAsia="Arial" w:hAnsi="Arial"/>
          <w:sz w:val="17"/>
          <w:szCs w:val="17"/>
          <w:color w:val="auto"/>
        </w:rPr>
        <w:t>The Automobile Information and Disclosure Act requires manufacturers of motor vehicles to disclose certain information regarding the manufacturer’s suggested retail price, optional equipment and pricing. In addition, this law allows inclusion of city and highway fuel economy ratings, as determined by the EPA, as well as crash test ratings as determined by NHTSA if such tests are conducted.</w:t>
      </w:r>
    </w:p>
    <w:p>
      <w:pPr>
        <w:spacing w:after="0" w:line="90"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We intend to expand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w:t>
      </w:r>
      <w:r>
        <w:rPr>
          <w:rFonts w:ascii="Arial" w:cs="Arial" w:eastAsia="Arial" w:hAnsi="Arial"/>
          <w:sz w:val="18"/>
          <w:szCs w:val="18"/>
          <w:i w:val="1"/>
          <w:iCs w:val="1"/>
          <w:color w:val="auto"/>
        </w:rPr>
        <w:t>E.U.</w:t>
      </w:r>
      <w:r>
        <w:rPr>
          <w:rFonts w:ascii="Arial" w:cs="Arial" w:eastAsia="Arial" w:hAnsi="Arial"/>
          <w:sz w:val="18"/>
          <w:szCs w:val="18"/>
          <w:color w:val="auto"/>
        </w:rPr>
        <w:t>”) has established new approval and oversight rules requiring that a national authority certify compliance with heightened safety rules, emissions limits and production requirements before vehicles can be sold in each E.U. member state, the initial of which rules were rolled out on September 1, 2020. There is also regulatory uncertainty regarding how these rules will impact sales in the United Kingdom given its recent withdrawal from the E.U. These changes could impact the rollout of new vehicle features in Europe.</w:t>
      </w:r>
    </w:p>
    <w:p>
      <w:pPr>
        <w:spacing w:after="0" w:line="12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In addition to the various territorial legal requirements we are obligated to meet, the Lucid Air is engineered with the expectation that it will deliver overall five-star performance in the two main voluntary vehicle safety performance assessment programs, the U.S. New Car Assessment Program (“</w:t>
      </w:r>
      <w:r>
        <w:rPr>
          <w:rFonts w:ascii="Arial" w:cs="Arial" w:eastAsia="Arial" w:hAnsi="Arial"/>
          <w:sz w:val="17"/>
          <w:szCs w:val="17"/>
          <w:i w:val="1"/>
          <w:iCs w:val="1"/>
          <w:color w:val="auto"/>
        </w:rPr>
        <w:t>NCAP</w:t>
      </w:r>
      <w:r>
        <w:rPr>
          <w:rFonts w:ascii="Arial" w:cs="Arial" w:eastAsia="Arial" w:hAnsi="Arial"/>
          <w:sz w:val="17"/>
          <w:szCs w:val="17"/>
          <w:color w:val="auto"/>
        </w:rPr>
        <w:t>”) and the Euro NCAP. Five-star is the maximum attainable score. These independent organizations have introduced a number of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 2020 included:</w:t>
      </w:r>
    </w:p>
    <w:p>
      <w:pPr>
        <w:spacing w:after="0" w:line="70" w:lineRule="exact"/>
        <w:rPr>
          <w:sz w:val="20"/>
          <w:szCs w:val="20"/>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Mobile Progressive Deformable Barrier;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Full Width Rigid Barrier;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Mobile Side Impact Barrier;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Side Pole;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Far Side Impact;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Whiplash;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Vulnerable Road Users (Pedestrians and Cyclists);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Safety Assist;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Rescue and Extrication.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AD/ADAS Regulations</w:t>
      </w:r>
    </w:p>
    <w:p>
      <w:pPr>
        <w:spacing w:after="0" w:line="14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We also expect to equip the Lucid Air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spacing w:after="0" w:line="96"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While there are currently no U.S. federal regulations specifically pertaining to self- driving vehicles or self -driving equipment, NHTSA has published recommended guidelines on self-driving vehicles and retains the authority to investigate and/or take action on the safety of any vehicle, equipment or features operating on public roads. Certain U.S. states also have legal restrictions on the operation, registration or licensure of self-driving vehicles, and many other states are considering similar restrictions. This regulatory patchwork increases the legal complexity with respect to self-driving vehicles in the U.S.</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In markets that follow the regulations of the United Nations Economic Commission for Europe, some requirements restrict the design of advanced driver assistance or self- driving features, which can compromise or prevent their use entirely. Other applicable laws, both current and proposed, may hinder the path and timeline to introducing such features in the markets where they apply. Other jurisdictions, including China, continue to consider self-driving regulation. Any implemented regulations may differ materially from those in the United States and Europe, which may further increase the legal complexity of advanced driver assistance and self-driving features and limit or prevent certain features.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Automobile Manufacturer and Dealer Regulation</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spacing w:after="0" w:line="12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its business model; however, we intend to oppose such efforts to limit our ability to operate and intends to proactively support legislation that enables our business model.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Battery Safety and Testing Regulation</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Our battery packs are designed to conform to mandatory regulations that govern transport of “dangerous goods,” defined to include lithium- ion batteries, which may present a risk in transportation. The governing regulations, which are issued by the Pipeline and Hazardous Materials Safety Administration, are based on the United Nations (“</w:t>
      </w:r>
      <w:r>
        <w:rPr>
          <w:rFonts w:ascii="Arial" w:cs="Arial" w:eastAsia="Arial" w:hAnsi="Arial"/>
          <w:sz w:val="18"/>
          <w:szCs w:val="18"/>
          <w:i w:val="1"/>
          <w:iCs w:val="1"/>
          <w:color w:val="auto"/>
        </w:rPr>
        <w:t>U. N.</w:t>
      </w:r>
      <w:r>
        <w:rPr>
          <w:rFonts w:ascii="Arial" w:cs="Arial" w:eastAsia="Arial" w:hAnsi="Arial"/>
          <w:sz w:val="18"/>
          <w:szCs w:val="18"/>
          <w:color w:val="auto"/>
        </w:rPr>
        <w:t>”) Recommendations on the Safe Transport of Dangerous Goods Model Regulations and related U.N. Manual Tests and Criteria. The regulations vary by mode of shipping transportation, such as by ocean vessel, rail, truck or air. Prior to launch, we plan to complete all applicable transportation tests for its battery packs, demonstrating its compliance with applicable regulations. We will use lithium-ion cells in the high voltage battery packs in our vehicles. The use, storage and disposal of battery packs is regulated under federal law.</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battery packs are intended to meet the applicable compliance requirements of the UN Manual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Tests and Criteria demonstrating its ability to ship battery packs by any method. These tests include:</w:t>
      </w:r>
    </w:p>
    <w:p>
      <w:pPr>
        <w:spacing w:after="0" w:line="88" w:lineRule="exact"/>
        <w:rPr>
          <w:sz w:val="20"/>
          <w:szCs w:val="20"/>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Altitude simulation — simulating air transport;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Thermal cycling — assessing cell and battery seal integrity;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Vibration — simulating vibration during transport;</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Shock — simulating possible impacts during transport;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External short circuit — simulating an external short circuit;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Overcharge — evaluating the ability of a rechargeable battery to withstand overcharging.</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We face competition from both traditional automotive OEMs and an increasing number of newer companies focused on electric and other alternative fuel vehicles. We expect this competition to increase, particularly as the transportation sector continues to shift towards low-emission, zero-emission or carbon neutral solutions.</w:t>
      </w:r>
    </w:p>
    <w:p>
      <w:pPr>
        <w:spacing w:after="0" w:line="12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Lucid Air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electric vehicles available today, and other current and prospective automobile manufacturers are also developing electric vehicles. In addition, numerous manufacturers offer hybrid vehicles, including plug-in versions, with which our vehicles will also compete.</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believe the primary competitive factors on which we will compete include, but are not limited to:</w:t>
      </w:r>
    </w:p>
    <w:p>
      <w:pPr>
        <w:spacing w:after="0" w:line="115" w:lineRule="exact"/>
        <w:rPr>
          <w:sz w:val="20"/>
          <w:szCs w:val="20"/>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quality, reliability and safety;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range, efficiency and charging speeds;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technological innovation, including with respect to AD/ADAS features;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access to charging options;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 styling and luxury;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service options and customer experience;</w:t>
      </w:r>
    </w:p>
    <w:p>
      <w:pPr>
        <w:spacing w:after="0" w:line="103"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management team experience at bringing electric vehicles and other disruptive technologies to market;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brand recognition and prestige;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We are headquartered in Newark, California and have manufacturing facilities in Casa Grande, Arizona. We currently do not own the land on which our material properties are situated; these properties are subject to various lease arrangements with third-party entities.</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Excluding our growing portfolio of retail locations, a list of certain of our facilities are outlined below:</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Address</w:t>
            </w:r>
          </w:p>
        </w:tc>
        <w:tc>
          <w:tcPr>
            <w:tcW w:w="2360" w:type="dxa"/>
            <w:vAlign w:val="bottom"/>
            <w:gridSpan w:val="2"/>
          </w:tcPr>
          <w:p>
            <w:pPr>
              <w:ind w:left="700"/>
              <w:spacing w:after="0"/>
              <w:rPr>
                <w:sz w:val="20"/>
                <w:szCs w:val="20"/>
                <w:color w:val="auto"/>
              </w:rPr>
            </w:pPr>
            <w:r>
              <w:rPr>
                <w:rFonts w:ascii="Arial" w:cs="Arial" w:eastAsia="Arial" w:hAnsi="Arial"/>
                <w:sz w:val="14"/>
                <w:szCs w:val="14"/>
                <w:b w:val="1"/>
                <w:bCs w:val="1"/>
                <w:color w:val="auto"/>
              </w:rPr>
              <w:t>Primary Use</w:t>
            </w: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Lease Expiry</w:t>
            </w:r>
          </w:p>
        </w:tc>
      </w:tr>
      <w:tr>
        <w:trPr>
          <w:trHeight w:val="26"/>
        </w:trPr>
        <w:tc>
          <w:tcPr>
            <w:tcW w:w="4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auto"/>
                <w:w w:val="94"/>
              </w:rPr>
              <w:t>7373</w:t>
            </w: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Gateway Blvd., Newark, CA</w:t>
            </w:r>
          </w:p>
        </w:tc>
        <w:tc>
          <w:tcPr>
            <w:tcW w:w="2360" w:type="dxa"/>
            <w:vAlign w:val="bottom"/>
            <w:gridSpan w:val="2"/>
          </w:tcPr>
          <w:p>
            <w:pPr>
              <w:spacing w:after="0"/>
              <w:rPr>
                <w:sz w:val="20"/>
                <w:szCs w:val="20"/>
                <w:color w:val="auto"/>
              </w:rPr>
            </w:pPr>
            <w:r>
              <w:rPr>
                <w:rFonts w:ascii="Arial" w:cs="Arial" w:eastAsia="Arial" w:hAnsi="Arial"/>
                <w:sz w:val="18"/>
                <w:szCs w:val="18"/>
                <w:color w:val="auto"/>
              </w:rPr>
              <w:t>HQ (Lucid1)</w:t>
            </w:r>
          </w:p>
        </w:tc>
        <w:tc>
          <w:tcPr>
            <w:tcW w:w="1080" w:type="dxa"/>
            <w:vAlign w:val="bottom"/>
          </w:tcPr>
          <w:p>
            <w:pPr>
              <w:spacing w:after="0"/>
              <w:rPr>
                <w:sz w:val="20"/>
                <w:szCs w:val="20"/>
                <w:color w:val="auto"/>
              </w:rPr>
            </w:pPr>
            <w:r>
              <w:rPr>
                <w:rFonts w:ascii="Arial" w:cs="Arial" w:eastAsia="Arial" w:hAnsi="Arial"/>
                <w:sz w:val="18"/>
                <w:szCs w:val="18"/>
                <w:color w:val="auto"/>
              </w:rPr>
              <w:t>09/30/30</w:t>
            </w:r>
          </w:p>
        </w:tc>
      </w:tr>
      <w:tr>
        <w:trPr>
          <w:trHeight w:val="246"/>
        </w:trPr>
        <w:tc>
          <w:tcPr>
            <w:tcW w:w="400" w:type="dxa"/>
            <w:vAlign w:val="bottom"/>
          </w:tcPr>
          <w:p>
            <w:pPr>
              <w:spacing w:after="0"/>
              <w:rPr>
                <w:sz w:val="20"/>
                <w:szCs w:val="20"/>
                <w:color w:val="auto"/>
              </w:rPr>
            </w:pPr>
            <w:r>
              <w:rPr>
                <w:rFonts w:ascii="Arial" w:cs="Arial" w:eastAsia="Arial" w:hAnsi="Arial"/>
                <w:sz w:val="18"/>
                <w:szCs w:val="18"/>
                <w:color w:val="auto"/>
                <w:w w:val="94"/>
              </w:rPr>
              <w:t>7500</w:t>
            </w: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Gateway Blvd., Newark, CA</w:t>
            </w:r>
          </w:p>
        </w:tc>
        <w:tc>
          <w:tcPr>
            <w:tcW w:w="2360" w:type="dxa"/>
            <w:vAlign w:val="bottom"/>
            <w:gridSpan w:val="2"/>
          </w:tcPr>
          <w:p>
            <w:pPr>
              <w:spacing w:after="0"/>
              <w:rPr>
                <w:sz w:val="20"/>
                <w:szCs w:val="20"/>
                <w:color w:val="auto"/>
              </w:rPr>
            </w:pPr>
            <w:r>
              <w:rPr>
                <w:rFonts w:ascii="Arial" w:cs="Arial" w:eastAsia="Arial" w:hAnsi="Arial"/>
                <w:sz w:val="18"/>
                <w:szCs w:val="18"/>
                <w:color w:val="auto"/>
              </w:rPr>
              <w:t>HQ (Lucid2)</w:t>
            </w:r>
          </w:p>
        </w:tc>
        <w:tc>
          <w:tcPr>
            <w:tcW w:w="1080" w:type="dxa"/>
            <w:vAlign w:val="bottom"/>
          </w:tcPr>
          <w:p>
            <w:pPr>
              <w:spacing w:after="0"/>
              <w:rPr>
                <w:sz w:val="20"/>
                <w:szCs w:val="20"/>
                <w:color w:val="auto"/>
              </w:rPr>
            </w:pPr>
            <w:r>
              <w:rPr>
                <w:rFonts w:ascii="Arial" w:cs="Arial" w:eastAsia="Arial" w:hAnsi="Arial"/>
                <w:sz w:val="18"/>
                <w:szCs w:val="18"/>
                <w:color w:val="auto"/>
              </w:rPr>
              <w:t>09/30/30</w:t>
            </w:r>
          </w:p>
        </w:tc>
      </w:tr>
      <w:tr>
        <w:trPr>
          <w:trHeight w:val="270"/>
        </w:trPr>
        <w:tc>
          <w:tcPr>
            <w:tcW w:w="4760" w:type="dxa"/>
            <w:vAlign w:val="bottom"/>
            <w:gridSpan w:val="3"/>
          </w:tcPr>
          <w:p>
            <w:pPr>
              <w:spacing w:after="0"/>
              <w:rPr>
                <w:sz w:val="20"/>
                <w:szCs w:val="20"/>
                <w:color w:val="auto"/>
              </w:rPr>
            </w:pPr>
            <w:r>
              <w:rPr>
                <w:rFonts w:ascii="Arial" w:cs="Arial" w:eastAsia="Arial" w:hAnsi="Arial"/>
                <w:sz w:val="18"/>
                <w:szCs w:val="18"/>
                <w:color w:val="auto"/>
              </w:rPr>
              <w:t>317 S. Thornton Rd., Casa Grande, AZ</w:t>
            </w:r>
          </w:p>
        </w:tc>
        <w:tc>
          <w:tcPr>
            <w:tcW w:w="2360" w:type="dxa"/>
            <w:vAlign w:val="bottom"/>
            <w:gridSpan w:val="2"/>
          </w:tcPr>
          <w:p>
            <w:pPr>
              <w:spacing w:after="0"/>
              <w:rPr>
                <w:sz w:val="20"/>
                <w:szCs w:val="20"/>
                <w:color w:val="auto"/>
              </w:rPr>
            </w:pPr>
            <w:r>
              <w:rPr>
                <w:rFonts w:ascii="Arial" w:cs="Arial" w:eastAsia="Arial" w:hAnsi="Arial"/>
                <w:sz w:val="18"/>
                <w:szCs w:val="18"/>
                <w:color w:val="auto"/>
              </w:rPr>
              <w:t>Manufacturing (AMP-1)</w:t>
            </w:r>
          </w:p>
        </w:tc>
        <w:tc>
          <w:tcPr>
            <w:tcW w:w="1080" w:type="dxa"/>
            <w:vAlign w:val="bottom"/>
          </w:tcPr>
          <w:p>
            <w:pPr>
              <w:spacing w:after="0" w:line="270" w:lineRule="exact"/>
              <w:rPr>
                <w:sz w:val="20"/>
                <w:szCs w:val="20"/>
                <w:color w:val="auto"/>
              </w:rPr>
            </w:pPr>
            <w:r>
              <w:rPr>
                <w:rFonts w:ascii="Arial" w:cs="Arial" w:eastAsia="Arial" w:hAnsi="Arial"/>
                <w:sz w:val="18"/>
                <w:szCs w:val="18"/>
                <w:color w:val="auto"/>
              </w:rPr>
              <w:t>12/19/22</w:t>
            </w:r>
            <w:r>
              <w:rPr>
                <w:rFonts w:ascii="Arial" w:cs="Arial" w:eastAsia="Arial" w:hAnsi="Arial"/>
                <w:sz w:val="26"/>
                <w:szCs w:val="26"/>
                <w:color w:val="auto"/>
                <w:vertAlign w:val="superscript"/>
              </w:rPr>
              <w:t>(1)</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w w:val="94"/>
              </w:rPr>
              <w:t>2592</w:t>
            </w: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E. Hanna Rd., Suites 115 and 120, Casa Grande, AZ</w:t>
            </w:r>
          </w:p>
        </w:tc>
        <w:tc>
          <w:tcPr>
            <w:tcW w:w="2360" w:type="dxa"/>
            <w:vAlign w:val="bottom"/>
            <w:gridSpan w:val="2"/>
          </w:tcPr>
          <w:p>
            <w:pPr>
              <w:spacing w:after="0"/>
              <w:rPr>
                <w:sz w:val="20"/>
                <w:szCs w:val="20"/>
                <w:color w:val="auto"/>
              </w:rPr>
            </w:pPr>
            <w:r>
              <w:rPr>
                <w:rFonts w:ascii="Arial" w:cs="Arial" w:eastAsia="Arial" w:hAnsi="Arial"/>
                <w:sz w:val="18"/>
                <w:szCs w:val="18"/>
                <w:color w:val="auto"/>
              </w:rPr>
              <w:t>Manufacturing (LPM-1)</w:t>
            </w:r>
          </w:p>
        </w:tc>
        <w:tc>
          <w:tcPr>
            <w:tcW w:w="1080" w:type="dxa"/>
            <w:vAlign w:val="bottom"/>
          </w:tcPr>
          <w:p>
            <w:pPr>
              <w:spacing w:after="0" w:line="270" w:lineRule="exact"/>
              <w:rPr>
                <w:sz w:val="20"/>
                <w:szCs w:val="20"/>
                <w:color w:val="auto"/>
              </w:rPr>
            </w:pPr>
            <w:r>
              <w:rPr>
                <w:rFonts w:ascii="Arial" w:cs="Arial" w:eastAsia="Arial" w:hAnsi="Arial"/>
                <w:sz w:val="18"/>
                <w:szCs w:val="18"/>
                <w:color w:val="auto"/>
              </w:rPr>
              <w:t>03/31/25</w:t>
            </w:r>
            <w:r>
              <w:rPr>
                <w:rFonts w:ascii="Arial" w:cs="Arial" w:eastAsia="Arial" w:hAnsi="Arial"/>
                <w:sz w:val="26"/>
                <w:szCs w:val="26"/>
                <w:color w:val="auto"/>
                <w:vertAlign w:val="superscript"/>
              </w:rPr>
              <w:t>(2)</w:t>
            </w:r>
          </w:p>
        </w:tc>
      </w:tr>
      <w:tr>
        <w:trPr>
          <w:trHeight w:val="353"/>
        </w:trPr>
        <w:tc>
          <w:tcPr>
            <w:tcW w:w="4760" w:type="dxa"/>
            <w:vAlign w:val="bottom"/>
            <w:gridSpan w:val="3"/>
          </w:tcPr>
          <w:p>
            <w:pPr>
              <w:spacing w:after="0"/>
              <w:rPr>
                <w:sz w:val="20"/>
                <w:szCs w:val="20"/>
                <w:color w:val="auto"/>
              </w:rPr>
            </w:pPr>
            <w:r>
              <w:rPr>
                <w:rFonts w:ascii="Arial" w:cs="Arial" w:eastAsia="Arial" w:hAnsi="Arial"/>
                <w:sz w:val="18"/>
                <w:szCs w:val="18"/>
                <w:color w:val="auto"/>
              </w:rPr>
              <w:t>1115 W. Alameda Dr., Tempe, AZ</w:t>
            </w:r>
          </w:p>
        </w:tc>
        <w:tc>
          <w:tcPr>
            <w:tcW w:w="2360" w:type="dxa"/>
            <w:vAlign w:val="bottom"/>
            <w:gridSpan w:val="2"/>
          </w:tcPr>
          <w:p>
            <w:pPr>
              <w:spacing w:after="0"/>
              <w:rPr>
                <w:sz w:val="20"/>
                <w:szCs w:val="20"/>
                <w:color w:val="auto"/>
              </w:rPr>
            </w:pPr>
            <w:r>
              <w:rPr>
                <w:rFonts w:ascii="Arial" w:cs="Arial" w:eastAsia="Arial" w:hAnsi="Arial"/>
                <w:sz w:val="18"/>
                <w:szCs w:val="18"/>
                <w:color w:val="auto"/>
              </w:rPr>
              <w:t>Logistics</w:t>
            </w:r>
          </w:p>
        </w:tc>
        <w:tc>
          <w:tcPr>
            <w:tcW w:w="1080" w:type="dxa"/>
            <w:vAlign w:val="bottom"/>
          </w:tcPr>
          <w:p>
            <w:pPr>
              <w:spacing w:after="0"/>
              <w:rPr>
                <w:sz w:val="20"/>
                <w:szCs w:val="20"/>
                <w:color w:val="auto"/>
              </w:rPr>
            </w:pPr>
            <w:r>
              <w:rPr>
                <w:rFonts w:ascii="Arial" w:cs="Arial" w:eastAsia="Arial" w:hAnsi="Arial"/>
                <w:sz w:val="18"/>
                <w:szCs w:val="18"/>
                <w:color w:val="auto"/>
              </w:rPr>
              <w:t>02/28/26</w:t>
            </w:r>
            <w:r>
              <w:rPr>
                <w:rFonts w:ascii="Arial" w:cs="Arial" w:eastAsia="Arial" w:hAnsi="Arial"/>
                <w:sz w:val="26"/>
                <w:szCs w:val="26"/>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an option to purchase the AMP-1 property.</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options to renew the LPM-1 lease through early 2035.</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options to renew the Tempe lease through early 2036.</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7"/>
          <w:szCs w:val="17"/>
          <w:color w:val="auto"/>
        </w:rPr>
        <w:t>From time to time, we are subject to various legal proceedings that arise from the normal course of business activities. In addition, from time to time, third parties may assert claims of intellectual property infringement, misappropriation or other violation against us in the form of letters and other forms of communication. If an unfavorable ruling were to occur, there exists the possibility of a material adverse impact on our results of operations, prospects, cash flows, financial position and brand.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Intellectual property is important to our business. Our commercial success depends in part on our ability to obtain, maintain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We cannot provide any assurance that any patents will be issued from our pending or any future applications or that any current or future issued patents will adequately protect our intellectual property. For this and other risks related to our proprietary technology, inventions and improvements, please see the section entitled “</w:t>
      </w:r>
      <w:r>
        <w:rPr>
          <w:rFonts w:ascii="Arial" w:cs="Arial" w:eastAsia="Arial" w:hAnsi="Arial"/>
          <w:sz w:val="17"/>
          <w:szCs w:val="17"/>
          <w:i w:val="1"/>
          <w:iCs w:val="1"/>
          <w:color w:val="auto"/>
        </w:rPr>
        <w:t>Risk Factors — 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and Operations — Risks Related to Intellectual Property.</w:t>
      </w:r>
      <w:r>
        <w:rPr>
          <w:rFonts w:ascii="Arial" w:cs="Arial" w:eastAsia="Arial" w:hAnsi="Arial"/>
          <w:sz w:val="17"/>
          <w:szCs w:val="17"/>
          <w:color w:val="auto"/>
        </w:rPr>
        <w:t>”</w:t>
      </w:r>
    </w:p>
    <w:p>
      <w:pPr>
        <w:spacing w:after="0" w:line="11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As of May 31, 2021, we owned 165 issued U.S. patents, 32 pending U.S. patent applications, 156 issued foreign patents, 36 pending foreign patent applications and 7 pending Patent Cooperation Treaty patent applications. Our patents underpin key areas of the Lucid Air. As of May 31, 2021, we also owned 33 pending U.S. design patent applications, plus 11 issued foreign design patents/industrial designs and 28 pending foreign design patent/industrial design applications.</w:t>
      </w:r>
    </w:p>
    <w:p>
      <w:pPr>
        <w:spacing w:after="0" w:line="122"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color w:val="auto"/>
        </w:rPr>
        <w:t>As of May 31, 2021, we owned 18 pending U.S. trademark applications, as well as 67 registered foreign trademarks and 180 pending foreign trademark applications in approximately 22 countries worldwide in addition to the European Union, as we lay the foundation for the development of a robust global brand.</w:t>
      </w:r>
    </w:p>
    <w:p>
      <w:pPr>
        <w:spacing w:after="0" w:line="10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w:t>
      </w:r>
    </w:p>
    <w:p>
      <w:pPr>
        <w:sectPr>
          <w:pgSz w:w="11900" w:h="16838" w:orient="portrait"/>
          <w:cols w:equalWidth="0" w:num="1">
            <w:col w:w="9879"/>
          </w:cols>
          <w:pgMar w:left="580" w:top="131" w:right="1440" w:bottom="1440" w:gutter="0" w:footer="0" w:header="0"/>
        </w:sectPr>
      </w:pP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0" w:name="page121"/>
    <w:bookmarkEnd w:id="1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auto"/>
        </w:rPr>
        <w:t>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spacing w:after="0" w:line="107"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In addition to the intellectual property that we own, we also procure key technologies under our supply chain agreements for AD/ADAS functions and features and we license key technologies under agreements for our planned infotainment offerings.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Our Vehicles</w:t>
      </w:r>
      <w:r>
        <w:rPr>
          <w:rFonts w:ascii="Arial" w:cs="Arial" w:eastAsia="Arial" w:hAnsi="Arial"/>
          <w:sz w:val="18"/>
          <w:szCs w:val="18"/>
          <w:color w:val="auto"/>
        </w:rPr>
        <w:t xml:space="preserve">” and “— </w:t>
      </w:r>
      <w:r>
        <w:rPr>
          <w:rFonts w:ascii="Arial" w:cs="Arial" w:eastAsia="Arial" w:hAnsi="Arial"/>
          <w:sz w:val="18"/>
          <w:szCs w:val="18"/>
          <w:i w:val="1"/>
          <w:iCs w:val="1"/>
          <w:color w:val="auto"/>
        </w:rPr>
        <w:t>Technology</w:t>
      </w:r>
      <w:r>
        <w:rPr>
          <w:rFonts w:ascii="Arial" w:cs="Arial" w:eastAsia="Arial" w:hAnsi="Arial"/>
          <w:sz w:val="18"/>
          <w:szCs w:val="18"/>
          <w:color w:val="auto"/>
        </w:rPr>
        <w:t>” above for more information.</w:t>
      </w:r>
    </w:p>
    <w:p>
      <w:pPr>
        <w:spacing w:after="0" w:line="1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spacing w:after="0" w:line="106"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Furthermore, we rely upon trade secrets and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 -executing or otherwise provide meaningful protection for our trade secrets or other intellectual property or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3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 examination, post-grant review, inter partes review or opposition proceedings brought by third parties or declared by the U.S. Patent and Trademark Office or an equivalent foreign body. See “</w:t>
      </w:r>
      <w:r>
        <w:rPr>
          <w:rFonts w:ascii="Arial" w:cs="Arial" w:eastAsia="Arial" w:hAnsi="Arial"/>
          <w:sz w:val="17"/>
          <w:szCs w:val="17"/>
          <w:i w:val="1"/>
          <w:iCs w:val="1"/>
          <w:color w:val="auto"/>
        </w:rPr>
        <w:t>Risk Factors — Risks Related to Our Business and Operations — Risks Related to</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for additional information regarding these and other risks related to our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portfolio and their potential effect on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We are committed to cultivating a diverse company to enhance our culture and position us for improved success. As of May 31, 2021, we had 2,336 employees. Our employees are split geographically with 1,460 employees in our California headquarters, 797 employees in Arizona, 18 employees in Asia -Pacific and an additional 61 employees throughout the U.S. and Canada and in our retail store and service center network.</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Environmental, Social and Compliance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Environment</w:t>
      </w:r>
    </w:p>
    <w:p>
      <w:pPr>
        <w:spacing w:after="0" w:line="15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We are driven by a desire to address the clear and present threat posed by climate change and the need for enhanced sustainability. One unexpected lesson from the COVID-19 crisis has been that the earth has a remarkable ability to heal itself when given an opportunity to do so. With fewer fossil fuel -powered aircraft in the skies and cars on the road, the world has already seen remarkable rejuvenation with cleaner, clearer skies and cleaner water around the world. It is clear that humankind’s impact on the environment through travel does impact the environment, and we believe it is important to find ways to make transportation more sustainable.</w:t>
      </w:r>
    </w:p>
    <w:p>
      <w:pPr>
        <w:spacing w:after="0" w:line="123"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Through our blend of performance engineered, battery electric powertrain systems with post-luxury design, we seek to entice luxury vehicle customers to switch from polluting internal combustion engine vehicles to energy efficient, sustainable electric transportation. We believe that the efficiency of our proprietary powertrain will enable the Lucid Air to travel further per electron than other vehicles — this in turn is expected to result in lower emissions by power plants on a relative basis due to the less frequent need to recharge the Lucid Air compared to other electric vehicles.</w:t>
      </w:r>
    </w:p>
    <w:p>
      <w:pPr>
        <w:spacing w:after="0" w:line="10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After establishing our brand based on attention to detail and refinement, we intend to expand our product lineup to broaden our impact on the traditional automotive market. To further accelerate the shift to battery electric transportation, we intend to explore opportunities to sell or license build to print electric powertrain and battery solutions for other automakers to facilitate their adoption of sustainable transportation. We also intend to explore opportunities in adjacent markets such as aerospace and maritime applications.</w:t>
      </w:r>
    </w:p>
    <w:p>
      <w:pPr>
        <w:spacing w:after="0" w:line="12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addition to the steps we are taking to address the automotive market in general by offering captivating electric vehicles to distinguishing customers, we intend to pursue sustainability through our business by focusing on recycling and waste management, logistics, supplier localization, sustainable materials selection and other areas of our business. Production and distribution consume energy, as with any manufacturer. We intend to localize production in an attempt to offset some of these energy needs and, due to advances in efficiency, we believe that our products will require less energy throughout their useful life than competing products.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Culture</w:t>
      </w:r>
    </w:p>
    <w:p>
      <w:pPr>
        <w:spacing w:after="0" w:line="158"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Three guiding stars define our priorities for the culture of Lucid: safety, diversity and employee growth.</w:t>
      </w:r>
    </w:p>
    <w:p>
      <w:pPr>
        <w:spacing w:after="0" w:line="90"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i w:val="1"/>
          <w:iCs w:val="1"/>
          <w:u w:val="single" w:color="auto"/>
          <w:color w:val="auto"/>
        </w:rPr>
        <w:t>Safety</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instilled an expectation for safety in our workplace. As a manufacturing company, we</w:t>
      </w:r>
      <w:r>
        <w:rPr>
          <w:rFonts w:ascii="Arial" w:cs="Arial" w:eastAsia="Arial" w:hAnsi="Arial"/>
          <w:sz w:val="18"/>
          <w:szCs w:val="18"/>
          <w:i w:val="1"/>
          <w:iCs w:val="1"/>
          <w:color w:val="auto"/>
        </w:rPr>
        <w:t xml:space="preserve"> </w:t>
      </w:r>
      <w:r>
        <w:rPr>
          <w:rFonts w:ascii="Arial" w:cs="Arial" w:eastAsia="Arial" w:hAnsi="Arial"/>
          <w:sz w:val="18"/>
          <w:szCs w:val="18"/>
          <w:color w:val="auto"/>
        </w:rPr>
        <w:t>train our people for safety and maintain policies and procedures to explain the rules to our workers. During the unprecedented global pandemic due to COVID-19, we have maintained protocols that are more conservative than CDC guidelines, enabled remote work where possible, and observed strict requirements for personal protective equipment, social distancing, and low employee density at our facilities in an effort to keep our team safe.</w:t>
      </w:r>
    </w:p>
    <w:p>
      <w:pPr>
        <w:spacing w:after="0" w:line="122"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i w:val="1"/>
          <w:iCs w:val="1"/>
          <w:u w:val="single" w:color="auto"/>
          <w:color w:val="auto"/>
        </w:rPr>
        <w:t>Diversity</w:t>
      </w:r>
      <w:r>
        <w:rPr>
          <w:rFonts w:ascii="Arial" w:cs="Arial" w:eastAsia="Arial" w:hAnsi="Arial"/>
          <w:sz w:val="17"/>
          <w:szCs w:val="17"/>
          <w:i w:val="1"/>
          <w:iCs w:val="1"/>
          <w:color w:val="auto"/>
        </w:rPr>
        <w:t xml:space="preserve">. </w:t>
      </w:r>
      <w:r>
        <w:rPr>
          <w:rFonts w:ascii="Arial" w:cs="Arial" w:eastAsia="Arial" w:hAnsi="Arial"/>
          <w:sz w:val="17"/>
          <w:szCs w:val="17"/>
          <w:color w:val="auto"/>
        </w:rPr>
        <w:t>We are committed to cultivating a diverse company to enhance our culture and position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improved success. Our CEO has communicated to the entire company regarding support for,</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diversity, equal opportunity and racial justice. We offer education and training resources to combat complacency and engage our entire team’s support for racial justice and diversity. We have also formed diverse employee groups to facilitate conversations and provide an opportunity for employees to voice their perspectives. Our Company boasts employees from more than 35 countries of origin, with more than 50 languages spoken across the Company. We believe that our culture inspires passionate innovators to join Lucid from around the world, positioning us to influence positive change both within the company and externally through our work and the quality of our product offerings.</w:t>
      </w:r>
    </w:p>
    <w:p>
      <w:pPr>
        <w:spacing w:after="0" w:line="11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i w:val="1"/>
          <w:iCs w:val="1"/>
          <w:u w:val="single" w:color="auto"/>
          <w:color w:val="auto"/>
        </w:rPr>
        <w:t>Employee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We take great strides to train and provide opportunities for growth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For example, sales and manufacturing employees receive 85 hours or more in entry-level training. We maintain career bands to support employee advancement and offer online learning tools to support employee self-development.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Compliance</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are implementing a robust compliance program centered around a clear statement of principles and an expectation for both legal compliance and high ethical standards. We intend to achieve these goals through ongoing training and discussions with our employees,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persons are the members of our Board and our executive officers as of the date of this prospectus: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5180" w:type="dxa"/>
            <w:vAlign w:val="bottom"/>
          </w:tcPr>
          <w:p>
            <w:pPr>
              <w:ind w:left="2460"/>
              <w:spacing w:after="0"/>
              <w:rPr>
                <w:sz w:val="20"/>
                <w:szCs w:val="20"/>
                <w:color w:val="auto"/>
              </w:rPr>
            </w:pPr>
            <w:r>
              <w:rPr>
                <w:rFonts w:ascii="Arial" w:cs="Arial" w:eastAsia="Arial" w:hAnsi="Arial"/>
                <w:sz w:val="14"/>
                <w:szCs w:val="14"/>
                <w:b w:val="1"/>
                <w:bCs w:val="1"/>
                <w:color w:val="auto"/>
              </w:rPr>
              <w:t>Title</w:t>
            </w:r>
          </w:p>
        </w:tc>
      </w:tr>
      <w:tr>
        <w:trPr>
          <w:trHeight w:val="26"/>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90"/>
        </w:trPr>
        <w:tc>
          <w:tcPr>
            <w:tcW w:w="2160" w:type="dxa"/>
            <w:vAlign w:val="bottom"/>
          </w:tcPr>
          <w:p>
            <w:pPr>
              <w:spacing w:after="0" w:line="290" w:lineRule="exact"/>
              <w:rPr>
                <w:sz w:val="20"/>
                <w:szCs w:val="20"/>
                <w:color w:val="auto"/>
              </w:rPr>
            </w:pPr>
            <w:r>
              <w:rPr>
                <w:rFonts w:ascii="Arial" w:cs="Arial" w:eastAsia="Arial" w:hAnsi="Arial"/>
                <w:sz w:val="18"/>
                <w:szCs w:val="18"/>
                <w:color w:val="auto"/>
              </w:rPr>
              <w:t>Peter Rawlinson</w:t>
            </w:r>
            <w:r>
              <w:rPr>
                <w:rFonts w:ascii="Arial" w:cs="Arial" w:eastAsia="Arial" w:hAnsi="Arial"/>
                <w:sz w:val="26"/>
                <w:szCs w:val="26"/>
                <w:color w:val="auto"/>
                <w:vertAlign w:val="superscript"/>
              </w:rPr>
              <w:t>(4)</w:t>
            </w:r>
          </w:p>
        </w:tc>
        <w:tc>
          <w:tcPr>
            <w:tcW w:w="22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8"/>
              </w:rPr>
              <w:t>Chief Executive Officer and Chief Technology Officer and Director</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Sherry House</w:t>
            </w:r>
          </w:p>
        </w:tc>
        <w:tc>
          <w:tcPr>
            <w:tcW w:w="420" w:type="dxa"/>
            <w:vAlign w:val="bottom"/>
          </w:tcPr>
          <w:p>
            <w:pPr>
              <w:ind w:left="1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420" w:type="dxa"/>
            <w:vAlign w:val="bottom"/>
          </w:tcPr>
          <w:p>
            <w:pPr>
              <w:ind w:left="1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2"/>
                <w:szCs w:val="22"/>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Product and Chief Engineer</w:t>
            </w:r>
          </w:p>
        </w:tc>
      </w:tr>
      <w:tr>
        <w:trPr>
          <w:trHeight w:val="246"/>
        </w:trPr>
        <w:tc>
          <w:tcPr>
            <w:tcW w:w="2380" w:type="dxa"/>
            <w:vAlign w:val="bottom"/>
            <w:gridSpan w:val="2"/>
          </w:tcPr>
          <w:p>
            <w:pPr>
              <w:spacing w:after="0"/>
              <w:rPr>
                <w:sz w:val="20"/>
                <w:szCs w:val="20"/>
                <w:color w:val="auto"/>
              </w:rPr>
            </w:pPr>
            <w:r>
              <w:rPr>
                <w:rFonts w:ascii="Arial" w:cs="Arial" w:eastAsia="Arial" w:hAnsi="Arial"/>
                <w:sz w:val="18"/>
                <w:szCs w:val="18"/>
                <w:color w:val="auto"/>
              </w:rPr>
              <w:t>Michael Bell</w:t>
            </w:r>
          </w:p>
        </w:tc>
        <w:tc>
          <w:tcPr>
            <w:tcW w:w="420" w:type="dxa"/>
            <w:vAlign w:val="bottom"/>
          </w:tcPr>
          <w:p>
            <w:pPr>
              <w:ind w:left="1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Digital</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Turqi Alnowaiser</w:t>
            </w:r>
            <w:r>
              <w:rPr>
                <w:rFonts w:ascii="Arial" w:cs="Arial" w:eastAsia="Arial" w:hAnsi="Arial"/>
                <w:sz w:val="26"/>
                <w:szCs w:val="26"/>
                <w:color w:val="auto"/>
                <w:vertAlign w:val="superscript"/>
              </w:rPr>
              <w:t>(3)(4)</w:t>
            </w:r>
          </w:p>
        </w:tc>
        <w:tc>
          <w:tcPr>
            <w:tcW w:w="420" w:type="dxa"/>
            <w:vAlign w:val="bottom"/>
          </w:tcPr>
          <w:p>
            <w:pPr>
              <w:ind w:left="1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Glenn R. August</w:t>
            </w:r>
            <w:r>
              <w:rPr>
                <w:rFonts w:ascii="Arial" w:cs="Arial" w:eastAsia="Arial" w:hAnsi="Arial"/>
                <w:sz w:val="26"/>
                <w:szCs w:val="26"/>
                <w:color w:val="auto"/>
                <w:vertAlign w:val="superscript"/>
              </w:rPr>
              <w:t>(1)(3)</w:t>
            </w:r>
          </w:p>
        </w:tc>
        <w:tc>
          <w:tcPr>
            <w:tcW w:w="420" w:type="dxa"/>
            <w:vAlign w:val="bottom"/>
          </w:tcPr>
          <w:p>
            <w:pPr>
              <w:ind w:left="1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Nancy Gioia</w:t>
            </w:r>
            <w:r>
              <w:rPr>
                <w:rFonts w:ascii="Arial" w:cs="Arial" w:eastAsia="Arial" w:hAnsi="Arial"/>
                <w:sz w:val="26"/>
                <w:szCs w:val="26"/>
                <w:color w:val="auto"/>
                <w:vertAlign w:val="superscript"/>
              </w:rPr>
              <w:t>(4)</w:t>
            </w:r>
          </w:p>
        </w:tc>
        <w:tc>
          <w:tcPr>
            <w:tcW w:w="420" w:type="dxa"/>
            <w:vAlign w:val="bottom"/>
          </w:tcPr>
          <w:p>
            <w:pPr>
              <w:ind w:left="1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Frank Lindenberg</w:t>
            </w:r>
            <w:r>
              <w:rPr>
                <w:rFonts w:ascii="Arial" w:cs="Arial" w:eastAsia="Arial" w:hAnsi="Arial"/>
                <w:sz w:val="26"/>
                <w:szCs w:val="26"/>
                <w:color w:val="auto"/>
                <w:vertAlign w:val="superscript"/>
              </w:rPr>
              <w:t>(1)(2)</w:t>
            </w:r>
          </w:p>
        </w:tc>
        <w:tc>
          <w:tcPr>
            <w:tcW w:w="420" w:type="dxa"/>
            <w:vAlign w:val="bottom"/>
          </w:tcPr>
          <w:p>
            <w:pPr>
              <w:ind w:left="1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Andrew Liveris</w:t>
            </w:r>
            <w:r>
              <w:rPr>
                <w:rFonts w:ascii="Arial" w:cs="Arial" w:eastAsia="Arial" w:hAnsi="Arial"/>
                <w:sz w:val="26"/>
                <w:szCs w:val="26"/>
                <w:color w:val="auto"/>
                <w:vertAlign w:val="superscript"/>
              </w:rPr>
              <w:t>(2)(4)</w:t>
            </w:r>
          </w:p>
        </w:tc>
        <w:tc>
          <w:tcPr>
            <w:tcW w:w="420" w:type="dxa"/>
            <w:vAlign w:val="bottom"/>
          </w:tcPr>
          <w:p>
            <w:pPr>
              <w:ind w:left="12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Nichelle Maynard-Elliott</w:t>
            </w:r>
            <w:r>
              <w:rPr>
                <w:rFonts w:ascii="Arial" w:cs="Arial" w:eastAsia="Arial" w:hAnsi="Arial"/>
                <w:sz w:val="26"/>
                <w:szCs w:val="26"/>
                <w:color w:val="auto"/>
                <w:vertAlign w:val="superscript"/>
              </w:rPr>
              <w:t>(3)</w:t>
            </w:r>
          </w:p>
        </w:tc>
        <w:tc>
          <w:tcPr>
            <w:tcW w:w="420" w:type="dxa"/>
            <w:vAlign w:val="bottom"/>
          </w:tcPr>
          <w:p>
            <w:pPr>
              <w:ind w:left="1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Tony Posawatz</w:t>
            </w:r>
            <w:r>
              <w:rPr>
                <w:rFonts w:ascii="Arial" w:cs="Arial" w:eastAsia="Arial" w:hAnsi="Arial"/>
                <w:sz w:val="26"/>
                <w:szCs w:val="26"/>
                <w:color w:val="auto"/>
                <w:vertAlign w:val="superscript"/>
              </w:rPr>
              <w:t>(2)(4)</w:t>
            </w:r>
          </w:p>
        </w:tc>
        <w:tc>
          <w:tcPr>
            <w:tcW w:w="420" w:type="dxa"/>
            <w:vAlign w:val="bottom"/>
          </w:tcPr>
          <w:p>
            <w:pPr>
              <w:ind w:left="12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353"/>
        </w:trPr>
        <w:tc>
          <w:tcPr>
            <w:tcW w:w="2380" w:type="dxa"/>
            <w:vAlign w:val="bottom"/>
            <w:gridSpan w:val="2"/>
          </w:tcPr>
          <w:p>
            <w:pPr>
              <w:spacing w:after="0"/>
              <w:rPr>
                <w:sz w:val="20"/>
                <w:szCs w:val="20"/>
                <w:color w:val="auto"/>
              </w:rPr>
            </w:pPr>
            <w:r>
              <w:rPr>
                <w:rFonts w:ascii="Arial" w:cs="Arial" w:eastAsia="Arial" w:hAnsi="Arial"/>
                <w:sz w:val="18"/>
                <w:szCs w:val="18"/>
                <w:color w:val="auto"/>
              </w:rPr>
              <w:t>Janet Wong</w:t>
            </w:r>
            <w:r>
              <w:rPr>
                <w:rFonts w:ascii="Arial" w:cs="Arial" w:eastAsia="Arial" w:hAnsi="Arial"/>
                <w:sz w:val="26"/>
                <w:szCs w:val="26"/>
                <w:color w:val="auto"/>
                <w:vertAlign w:val="superscript"/>
              </w:rPr>
              <w:t>(1)</w:t>
            </w:r>
          </w:p>
        </w:tc>
        <w:tc>
          <w:tcPr>
            <w:tcW w:w="420" w:type="dxa"/>
            <w:vAlign w:val="bottom"/>
          </w:tcPr>
          <w:p>
            <w:pPr>
              <w:ind w:left="1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5" w:lineRule="exact"/>
        <w:rPr>
          <w:sz w:val="20"/>
          <w:szCs w:val="20"/>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Members of the Audit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Members of the Compensation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Members of the Nominating and Corporate Governance Committee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Members of the Executive Committee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b w:val="1"/>
          <w:bCs w:val="1"/>
          <w:i w:val="1"/>
          <w:iCs w:val="1"/>
          <w:color w:val="auto"/>
        </w:rPr>
        <w:t xml:space="preserve">Peter Rawlinson. </w:t>
      </w:r>
      <w:r>
        <w:rPr>
          <w:rFonts w:ascii="Arial" w:cs="Arial" w:eastAsia="Arial" w:hAnsi="Arial"/>
          <w:sz w:val="17"/>
          <w:szCs w:val="17"/>
          <w:color w:val="auto"/>
        </w:rPr>
        <w:t>Peter Rawlinson has served as our Chief Executive Officer and Chief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director since April 2019. He previously served as Lucid’s Chief Technology Officer from 2013 to April 2019. Prior to joining Lucid, Mr. Rawlinson was Vice President of Vehicle Engineering and Chief Engineer of the Model S at Tesla, Inc., where he led the engineering of the Model S from a clean sheet to production readiness while building the engineering team. Mr. Rawlinson was formerly Head of Vehicle Engineering at Corus Automotive, an advanced engineering consulting firm, Chief Engineer of Advanced Engineering at Lotus Cars and Principal Engineer of Advanced Body Structures at Jaguar Cars. Mr. Rawlinson holds a BSc from Imperial College, University of London.</w:t>
      </w:r>
    </w:p>
    <w:p>
      <w:pPr>
        <w:spacing w:after="0" w:line="111" w:lineRule="exact"/>
        <w:rPr>
          <w:sz w:val="20"/>
          <w:szCs w:val="20"/>
          <w:color w:val="auto"/>
        </w:rPr>
      </w:pPr>
    </w:p>
    <w:p>
      <w:pPr>
        <w:jc w:val="both"/>
        <w:ind w:left="1260" w:right="899" w:firstLine="360"/>
        <w:spacing w:after="0" w:line="286" w:lineRule="auto"/>
        <w:rPr>
          <w:sz w:val="20"/>
          <w:szCs w:val="20"/>
          <w:color w:val="auto"/>
        </w:rPr>
      </w:pPr>
      <w:r>
        <w:rPr>
          <w:rFonts w:ascii="Arial" w:cs="Arial" w:eastAsia="Arial" w:hAnsi="Arial"/>
          <w:sz w:val="17"/>
          <w:szCs w:val="17"/>
          <w:color w:val="auto"/>
        </w:rPr>
        <w:t>Mr. Rawlinson is qualified to serve as a director due to his experience as Lucid’s Chief Executive Officer and Chief Technology Officer, as well as his extensive technical and operational expertise and experience in the automotive industry and the electric vehicle industry in particular.</w:t>
      </w:r>
    </w:p>
    <w:p>
      <w:pPr>
        <w:spacing w:after="0" w:line="8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b w:val="1"/>
          <w:bCs w:val="1"/>
          <w:i w:val="1"/>
          <w:iCs w:val="1"/>
          <w:color w:val="auto"/>
        </w:rPr>
        <w:t xml:space="preserve">Sherry House. </w:t>
      </w:r>
      <w:r>
        <w:rPr>
          <w:rFonts w:ascii="Arial" w:cs="Arial" w:eastAsia="Arial" w:hAnsi="Arial"/>
          <w:sz w:val="18"/>
          <w:szCs w:val="18"/>
          <w:color w:val="auto"/>
        </w:rPr>
        <w:t>Sherry House has served as our Chief Financial Officer since May 2021. Before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Ms. House served as the Treasurer &amp; Head of Investor Relations at Waymo LLC, an autonomous vehicle technology company, from July 2020 to April 2021, the Director of Corporate Development from January 2019 to June 2020, and the Director of Business &amp; Corporate Finance from August 2017 to January 2019. Prior to Waymo, she served as Vice President of Corporate Development at Visteon Corporation, an automotive electronics supplier, from December 2016 to August 2017 and as Managing Director at Deloitte Corporate Finance LLC, a global professional services firm, from November 2014 to December 2016, and as Senior Vice President from May 2011 to November 2014. Ms. House also previously held high level positions at GTCR, Alta Partners, and General Motors. Ms. House holds a B.S. in Mechanical Engineering and Industrial Engineering from Kettering University and an M.M.E. and an M.B.A. from the University of Michigan.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b w:val="1"/>
          <w:bCs w:val="1"/>
          <w:i w:val="1"/>
          <w:iCs w:val="1"/>
          <w:color w:val="auto"/>
        </w:rPr>
        <w:t xml:space="preserve">Eric Bach. </w:t>
      </w:r>
      <w:r>
        <w:rPr>
          <w:rFonts w:ascii="Arial" w:cs="Arial" w:eastAsia="Arial" w:hAnsi="Arial"/>
          <w:sz w:val="17"/>
          <w:szCs w:val="17"/>
          <w:color w:val="auto"/>
        </w:rPr>
        <w:t>Eric Bach has served as our Senior Vice President, Product and Chief Engineer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2021. Mr. Bach previously served as our Vice President, Hardware Engineering from September 2018 to February 2021 and as Senior Director, Body Engineering from April 2015 to</w:t>
      </w:r>
    </w:p>
    <w:p>
      <w:pPr>
        <w:ind w:left="1260" w:right="519"/>
        <w:spacing w:after="0" w:line="253" w:lineRule="auto"/>
        <w:rPr>
          <w:sz w:val="20"/>
          <w:szCs w:val="20"/>
          <w:color w:val="auto"/>
        </w:rPr>
      </w:pPr>
      <w:r>
        <w:rPr>
          <w:rFonts w:ascii="Arial" w:cs="Arial" w:eastAsia="Arial" w:hAnsi="Arial"/>
          <w:sz w:val="18"/>
          <w:szCs w:val="18"/>
          <w:color w:val="auto"/>
        </w:rPr>
        <w:t>August 2018. Prior to joining us, Mr. Bach was Director of Engineering at Tesla, Inc. from January 2012 to March 2015. From 2000 to 2015, he served in a variety of engineering and program leadership roles at Volkswagen AG in both Germany and the United States. Mr. Bach holds a Diplom-Ingenieur degree from Friedrich-Alexander University in Erlangen, Germany.</w:t>
      </w:r>
    </w:p>
    <w:p>
      <w:pPr>
        <w:spacing w:after="0" w:line="11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b w:val="1"/>
          <w:bCs w:val="1"/>
          <w:i w:val="1"/>
          <w:iCs w:val="1"/>
          <w:color w:val="auto"/>
        </w:rPr>
        <w:t xml:space="preserve">Michael Bell. </w:t>
      </w:r>
      <w:r>
        <w:rPr>
          <w:rFonts w:ascii="Arial" w:cs="Arial" w:eastAsia="Arial" w:hAnsi="Arial"/>
          <w:sz w:val="18"/>
          <w:szCs w:val="18"/>
          <w:color w:val="auto"/>
        </w:rPr>
        <w:t>Michael Bell has served as our Senior Vice President, Digital since February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consultant from August 2020 to February 2021. Prior to joining us, Mr. Bell served as Chief Technology Officer of electric vehicle startup Rivian, LLC from June 2019 until February 2020, and as the Chief Executive Officer and President of Silver Spring Networks, Inc., a networking platform and solutions provider for smart energy networks, from September 2015 until January 2018. Previously, from 2010 to 2015 he held various roles at Intel Corporation, a multinational technology corporation specializing in the production of semiconductor chips, including Corporate Vice President New Devices Group, Corporate VP Mobile and Communications Group and Corporate Vice President Ultra Mobility Group, and was head of Product Development at Palm, Inc. from 2007 to 2010. He worked at Apple, Inc. from 1991 to 2007 and played significant roles in development of Apple iPhone, iMac, AirPort and Apple TV products, serving as Vice President, CPU Software from 2002 to 2007. Mr. Bell has served on the board of directors of iRobot Corporation, a leading consumer robotics company, since March 2016. He holds a B.S. from the University of Pennsylvania.</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Non-Executive Directors</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b w:val="1"/>
          <w:bCs w:val="1"/>
          <w:i w:val="1"/>
          <w:iCs w:val="1"/>
          <w:color w:val="auto"/>
        </w:rPr>
        <w:t xml:space="preserve">Andrew Liveris. </w:t>
      </w:r>
      <w:r>
        <w:rPr>
          <w:rFonts w:ascii="Arial" w:cs="Arial" w:eastAsia="Arial" w:hAnsi="Arial"/>
          <w:sz w:val="17"/>
          <w:szCs w:val="17"/>
          <w:color w:val="auto"/>
        </w:rPr>
        <w:t>Andrew Liveris has served as chairman of our board of directors since April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Mr. Liveris served as the Chairman and CEO of The Dow Chemical Company, a chemical corporation, from November 2004 to July 2018 and as the Executive Chairman of DowDuPont Inc., a chemical corporation, from September 2017 to July 2018. Mr. Liveris also serves on the boards of directors of International Business Machines Corp., a technology company, Saudi Arabian Oil Co., an oil exploration company, NOVONIX Limited, a battery materials and technology company, WorleyParsons Limited, an engineering company, and numerous other private companies. He is also on the advisory board of Sumitomo Mitsui Banking Corporation and NEOM, an initiative of Saudi Vision 2030. Mr. Liveris holds a B.S. in Chemical Engineering from the University of Queensland and received an honorary Ph.D. in Science from his alma mater in 2005. Mr. Liveris was appointed as a special advisor to the Public Investment Fund.</w:t>
      </w:r>
    </w:p>
    <w:p>
      <w:pPr>
        <w:spacing w:after="0" w:line="118"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We believe Mr. Liveris is qualified to serve as a director due to his decades of experience leading and overseeing large, complex global industrial enterprises, his knowledge of the technology, energy and chemical sectors, and his experience overseeing Lucid’s growth as chairman of Lucid’s board of directors.</w:t>
      </w:r>
    </w:p>
    <w:p>
      <w:pPr>
        <w:spacing w:after="0" w:line="8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b w:val="1"/>
          <w:bCs w:val="1"/>
          <w:i w:val="1"/>
          <w:iCs w:val="1"/>
          <w:color w:val="auto"/>
        </w:rPr>
        <w:t xml:space="preserve">Turqi Alnowaiser. </w:t>
      </w:r>
      <w:r>
        <w:rPr>
          <w:rFonts w:ascii="Arial" w:cs="Arial" w:eastAsia="Arial" w:hAnsi="Arial"/>
          <w:sz w:val="17"/>
          <w:szCs w:val="17"/>
          <w:color w:val="auto"/>
        </w:rPr>
        <w:t>Turqi Alnowaiser has served as a member of our board of directors since April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Alnowaiser has served as Deputy Governor and Head of the International Investments Division at the Public Investment Fund of the Kingdom of Saudi Arabia, one of the largest sovereign wealth funds in the world, since June 2021, and previously served as Head of International Investments at the Public Investment Fund from October 2016 to June 2021. Mr. Alnowaiser previously served as Senior Advisor at the Public Investment Fund from October 2015 to September 2016, prior to which he held several executive roles at Saudi Fransi Capital, a leading financial services firm based in Saudi Arabia, including as Head of Asset Management. Before his career at Saudi Fransi Capital, Mr. Alnowaiser specialized in developing, managing, and regulating various financial products across asset classes at Morgan Stanley, the Capital Market Authority of Saudi Arabia, and the Saudi Industrial Development Fund. Mr. Alnowasier has served on the board of directors of Hapag-Lloyd AG, an international shipping and container transportation company, since February 2018. Mr. Alnowasier holds a B.A. in International Business from King Saud University and an M.B.A. from the University of San Francisco.</w:t>
      </w:r>
    </w:p>
    <w:p>
      <w:pPr>
        <w:spacing w:after="0" w:line="119"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We believe Mr. Alnowaiser is qualified to serve as a director due to his extensive experience investing in and leading global enterprises, his deep business and financial expertise, and his experience overseeing Lucid’s growth as a member of Lucid’s board of directors.</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b w:val="1"/>
          <w:bCs w:val="1"/>
          <w:i w:val="1"/>
          <w:iCs w:val="1"/>
          <w:color w:val="auto"/>
        </w:rPr>
        <w:t xml:space="preserve">Glenn R. August. </w:t>
      </w:r>
      <w:r>
        <w:rPr>
          <w:rFonts w:ascii="Arial" w:cs="Arial" w:eastAsia="Arial" w:hAnsi="Arial"/>
          <w:sz w:val="17"/>
          <w:szCs w:val="17"/>
          <w:color w:val="auto"/>
        </w:rPr>
        <w:t>Glenn R. August has been a member of our Board since July 2021 and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a member of Churchill’s board of directors. He is the Founder &amp; Chief Executive Officer of Oak Hill Advisors, L.P. and has overall management responsibility for Oak Hill Advisors. In addition, he serves as global head of the firm’s distressed investment activities and chairs or serves on various firm committees, including the partnership, investment strategy and several fund investment committees. He co-founded the predecessor investment firm to Oak Hill Advisors in 1987 and took responsibility for the firm’s credit and distressed investment activities in 1990. Mr. August has played leadership roles in numerous restructurings and, since 1987, has served on sixteen corporate boards. He currently serves on the Board of Directors for Churchill Capital Corp V, Churchill Capital Corp VI, Churchill Capital Corp VII and MultiPlan, Inc.</w:t>
      </w:r>
    </w:p>
    <w:p>
      <w:pPr>
        <w:spacing w:after="0" w:line="6" w:lineRule="exact"/>
        <w:rPr>
          <w:sz w:val="20"/>
          <w:szCs w:val="20"/>
          <w:color w:val="auto"/>
        </w:rPr>
      </w:pPr>
    </w:p>
    <w:p>
      <w:pPr>
        <w:ind w:left="1260" w:right="639"/>
        <w:spacing w:after="0" w:line="238" w:lineRule="auto"/>
        <w:rPr>
          <w:sz w:val="20"/>
          <w:szCs w:val="20"/>
          <w:color w:val="auto"/>
        </w:rPr>
      </w:pPr>
      <w:r>
        <w:rPr>
          <w:rFonts w:ascii="Arial" w:cs="Arial" w:eastAsia="Arial" w:hAnsi="Arial"/>
          <w:sz w:val="18"/>
          <w:szCs w:val="18"/>
          <w:color w:val="auto"/>
        </w:rPr>
        <w:t>Mr. August also serves on the Board of Trustees of Horace Mann School and The Mount Sinai Medical Center, and on the Board of Directors of the Partnership for New York City and the 92nd St. Y. He earned an M.B.A. from Harvard Business School, where he was a Baker Scholar, and a B.S. from Cornell University.</w:t>
      </w:r>
    </w:p>
    <w:p>
      <w:pPr>
        <w:spacing w:after="0" w:line="108"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We believe Mr. August is qualified to serve as a director due to his extensive experience overseeing a wide range of public companies and his deep financial knowledge.</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Nancy Gioia. </w:t>
      </w:r>
      <w:r>
        <w:rPr>
          <w:rFonts w:ascii="Arial" w:cs="Arial" w:eastAsia="Arial" w:hAnsi="Arial"/>
          <w:sz w:val="17"/>
          <w:szCs w:val="17"/>
          <w:color w:val="auto"/>
        </w:rPr>
        <w:t>Nancy Gioia has been a member of our Board since July 2021. Ms. Gioia served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leadership positions at Ford Motor Company for over thirty years. At Ford, she served as the Director of Global Connectivity, Electrical and User Experience from September 2013 to September 2014, as Director of Global Electrification, User Interface, and Connectivity from April 2012 to September 2013, as Director of Global Electrification from November 2009 to April 2012, and as Director of Sustainable Mobility Technologies and Hybrid Vehicle Programs from November 2005 to November 2009. In those respective roles, she directed global strategy and planning for all aspects of connected vehicles and oversaw Ford’s multi-billion dollar electrified vehicle and technology portfolio. Additionally, Ms. Gioia has been the owner of Gioia Consulting Services since 2014, and since February 2019, she has served as Executive Chairman of Blue Currents, Inc., an energy storage startup company. Ms. Gioia has also served on numerous boards, including the boards of directors of Brady Corporation since 2013, Meggitt PLC since 2017, and Exelon Corporation from 2016 to 2018. Ms. Gioia serves on the University of Michigan — Dearborn Engineering Dean’s Strategic Advisory Board, since 2014 and from 2014 to 2017 served on the University of Michigan Electrical and Computer Engineering Advisory Council. Ms. Gioia holds a B.S. in Electrical Engineering from the University of Michigan — Dearborn and a M.S. in Manufacturing Systems Engineering from Stanford University.</w:t>
      </w:r>
    </w:p>
    <w:p>
      <w:pPr>
        <w:spacing w:after="0" w:line="118" w:lineRule="exact"/>
        <w:rPr>
          <w:sz w:val="20"/>
          <w:szCs w:val="20"/>
          <w:color w:val="auto"/>
        </w:rPr>
      </w:pPr>
    </w:p>
    <w:p>
      <w:pPr>
        <w:ind w:left="1260" w:right="679" w:firstLine="360"/>
        <w:spacing w:after="0" w:line="324" w:lineRule="auto"/>
        <w:rPr>
          <w:sz w:val="20"/>
          <w:szCs w:val="20"/>
          <w:color w:val="auto"/>
        </w:rPr>
      </w:pPr>
      <w:r>
        <w:rPr>
          <w:rFonts w:ascii="Arial" w:cs="Arial" w:eastAsia="Arial" w:hAnsi="Arial"/>
          <w:sz w:val="16"/>
          <w:szCs w:val="16"/>
          <w:color w:val="auto"/>
        </w:rPr>
        <w:t>We believe Ms. Gioia is qualified to serve as a director due to her decades of experience at a leading global automaker, her business expertise, and her extensive knowledge of the automotive industry.</w:t>
      </w:r>
    </w:p>
    <w:p>
      <w:pPr>
        <w:spacing w:after="0" w:line="43" w:lineRule="exact"/>
        <w:rPr>
          <w:sz w:val="20"/>
          <w:szCs w:val="20"/>
          <w:color w:val="auto"/>
        </w:rPr>
      </w:pPr>
    </w:p>
    <w:p>
      <w:pPr>
        <w:ind w:left="1620"/>
        <w:spacing w:after="0"/>
        <w:tabs>
          <w:tab w:leader="none" w:pos="3100" w:val="left"/>
        </w:tabs>
        <w:rPr>
          <w:sz w:val="20"/>
          <w:szCs w:val="20"/>
          <w:color w:val="auto"/>
        </w:rPr>
      </w:pPr>
      <w:r>
        <w:rPr>
          <w:rFonts w:ascii="Arial" w:cs="Arial" w:eastAsia="Arial" w:hAnsi="Arial"/>
          <w:sz w:val="18"/>
          <w:szCs w:val="18"/>
          <w:b w:val="1"/>
          <w:bCs w:val="1"/>
          <w:i w:val="1"/>
          <w:iCs w:val="1"/>
          <w:color w:val="auto"/>
        </w:rPr>
        <w:t>Frank Lindenberg.</w:t>
      </w:r>
      <w:r>
        <w:rPr>
          <w:sz w:val="20"/>
          <w:szCs w:val="20"/>
          <w:color w:val="auto"/>
        </w:rPr>
        <w:tab/>
      </w:r>
      <w:r>
        <w:rPr>
          <w:rFonts w:ascii="Arial" w:cs="Arial" w:eastAsia="Arial" w:hAnsi="Arial"/>
          <w:sz w:val="16"/>
          <w:szCs w:val="16"/>
          <w:color w:val="auto"/>
        </w:rPr>
        <w:t>Frank Lindenberg has served as a member of our Board since July 2021.</w:t>
      </w:r>
    </w:p>
    <w:p>
      <w:pPr>
        <w:spacing w:after="0" w:line="12"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Mr. Lindenberg served as the Chief Financial Officer of Mercedes- Benz Cars, a division of Daimler AG, a global automotive company, from March 2012 to March 2020, and as Chief Financial Officer and a member of the Board of Management of Mercedes-Benz AG, a subsidiary of Daimler AG, from October 2019 to March 2020. Mr. Lindenberg also served as the Chief Financial Officer and member of the divisional Board of Management of Daimler Trucks and Buses from June 2009 to February 2021. Prior, Mr. Lindenberg served as the Vice President Finance Transformation Organization for Daimler AG from September 2006 to May 2009. Mr. Lindenberg enjoyed a career of almost 30 years in various roles at Daimler. He holds a Diplom-Oeconom degree from the University of Hanover in Hanover, Germany.</w:t>
      </w:r>
    </w:p>
    <w:p>
      <w:pPr>
        <w:spacing w:after="0" w:line="117"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We believe Mr. Lindenberg is qualified to serve as a director due to his experience leading a global automaker, his financial management expertise and his deep knowledge of the automotive industry.</w:t>
      </w:r>
    </w:p>
    <w:p>
      <w:pPr>
        <w:spacing w:after="0" w:line="79"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b w:val="1"/>
          <w:bCs w:val="1"/>
          <w:i w:val="1"/>
          <w:iCs w:val="1"/>
          <w:color w:val="auto"/>
        </w:rPr>
        <w:t xml:space="preserve">Nichelle Maynard-Elliott. </w:t>
      </w:r>
      <w:r>
        <w:rPr>
          <w:rFonts w:ascii="Arial" w:cs="Arial" w:eastAsia="Arial" w:hAnsi="Arial"/>
          <w:sz w:val="18"/>
          <w:szCs w:val="18"/>
          <w:color w:val="auto"/>
        </w:rPr>
        <w:t>Nichelle Maynard-Elliott has been a member of our Board since July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Maynard -Elliott has served as a director of Element Solutions Inc., a specialty chemicals company, since August 2018. She previously served as the Executive Director, M&amp;A, for Praxair, Inc., a leading industrial gases and engineering company, from July 2011 to May 2019, and as Assistant General Counsel and Senior Counsel at Praxair from July 2007 to 2011 and 2003 to 2007, respectively. Ms. Maynard-Elliott has served on the board of directors of Xerox Holdings Corporation since May 2021. Ms. Maynard-Elliott has served as trustee of Gallery Trust, Schroder Series Trust, Schroder Global Series Trust, Delaware Wilshire Private Markets Master Fund, Delaware Wilshire Private Markets Fund, Delaware Wilshire Private Markets</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color w:val="auto"/>
        </w:rPr>
        <w:t>Tender Fund and director of Chiron Capital Allocation Fund Ltd since June 2021. She holds a B.A. in Economics from Brown University and a J.D. from Columbia University School of Law.</w:t>
      </w:r>
    </w:p>
    <w:p>
      <w:pPr>
        <w:spacing w:after="0" w:line="90"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p>
      <w:pPr>
        <w:spacing w:after="0" w:line="114"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b w:val="1"/>
          <w:bCs w:val="1"/>
          <w:i w:val="1"/>
          <w:iCs w:val="1"/>
          <w:color w:val="auto"/>
        </w:rPr>
        <w:t xml:space="preserve">Tony Posawatz. </w:t>
      </w:r>
      <w:r>
        <w:rPr>
          <w:rFonts w:ascii="Arial" w:cs="Arial" w:eastAsia="Arial" w:hAnsi="Arial"/>
          <w:sz w:val="17"/>
          <w:szCs w:val="17"/>
          <w:color w:val="auto"/>
        </w:rPr>
        <w:t>Anthony “Tony” Posawatz has served as a member of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2019. Mr. Posawatz has also served as President and Chief Executive Officer of Invictus iCAR (innovation Consulting Advisory Resources) LLC, a company focusing on automotive-technology advancement, since August 2013. He formerly led vehicle development of the Chevrolet Volt at General Motors and served as the President and Chief Executive Officer of Fisker Automotive from 2012 to 2013. Mr. Posawatz currently serves a director of Beam Global, a manufacturer and retailer of solar electric vehicle charging stations. He also serves as a board member and advisory board member to numerous private companies. Mr. Posawatz holds a B.S. in Mechanical Engineering from Wayne State University and an M.B.A. from Dartmouth College, Tuck School of Business.</w:t>
      </w:r>
    </w:p>
    <w:p>
      <w:pPr>
        <w:spacing w:after="0" w:line="116" w:lineRule="exact"/>
        <w:rPr>
          <w:sz w:val="20"/>
          <w:szCs w:val="20"/>
          <w:color w:val="auto"/>
        </w:rPr>
      </w:pPr>
    </w:p>
    <w:p>
      <w:pPr>
        <w:jc w:val="both"/>
        <w:ind w:left="1260" w:right="579" w:firstLine="360"/>
        <w:spacing w:after="0" w:line="243" w:lineRule="auto"/>
        <w:rPr>
          <w:sz w:val="20"/>
          <w:szCs w:val="20"/>
          <w:color w:val="auto"/>
        </w:rPr>
      </w:pPr>
      <w:r>
        <w:rPr>
          <w:rFonts w:ascii="Arial" w:cs="Arial" w:eastAsia="Arial" w:hAnsi="Arial"/>
          <w:sz w:val="18"/>
          <w:szCs w:val="18"/>
          <w:color w:val="auto"/>
        </w:rPr>
        <w:t>We believe Mr. Posawatz is qualified to serve as a director because of his expertise in electric vehicle and other mobility technologies, his experience bringing electric vehicles to market, his knowledge of the global automotive industry and his experience overseeing Lucid’s growth as a member of Lucid’s board of directors.</w:t>
      </w:r>
    </w:p>
    <w:p>
      <w:pPr>
        <w:spacing w:after="0" w:line="107"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6"/>
          <w:szCs w:val="16"/>
          <w:b w:val="1"/>
          <w:bCs w:val="1"/>
          <w:i w:val="1"/>
          <w:iCs w:val="1"/>
          <w:color w:val="auto"/>
        </w:rPr>
        <w:t xml:space="preserve">Janet S. Wong. </w:t>
      </w:r>
      <w:r>
        <w:rPr>
          <w:rFonts w:ascii="Arial" w:cs="Arial" w:eastAsia="Arial" w:hAnsi="Arial"/>
          <w:sz w:val="16"/>
          <w:szCs w:val="16"/>
          <w:color w:val="auto"/>
        </w:rPr>
        <w:t>Janet Wong has been a member of our Board since July 2021. Ms. Wong is a licensed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Public Accountant with more than 30 years of public accounting experience. She is a partner (retired) with KPMG LLP, an international professional services firm, where she served as a National Industry Practice Lead Partner. She also served as a Partner at Grant Thornton LLP, a leading professional services firm, where she was the Central Region Corporate and Partnership Services Lead Partner.</w:t>
      </w:r>
    </w:p>
    <w:p>
      <w:pPr>
        <w:spacing w:after="0" w:line="1" w:lineRule="exact"/>
        <w:rPr>
          <w:sz w:val="20"/>
          <w:szCs w:val="20"/>
          <w:color w:val="auto"/>
        </w:rPr>
      </w:pPr>
    </w:p>
    <w:p>
      <w:pPr>
        <w:ind w:left="1260" w:right="439"/>
        <w:spacing w:after="0" w:line="236" w:lineRule="auto"/>
        <w:rPr>
          <w:sz w:val="20"/>
          <w:szCs w:val="20"/>
          <w:color w:val="auto"/>
        </w:rPr>
      </w:pPr>
      <w:r>
        <w:rPr>
          <w:rFonts w:ascii="Arial" w:cs="Arial" w:eastAsia="Arial" w:hAnsi="Arial"/>
          <w:sz w:val="18"/>
          <w:szCs w:val="18"/>
          <w:color w:val="auto"/>
        </w:rPr>
        <w:t>Ms. Wong has served as a director of Enviva Partners, a global energy company, since May 2015, Allegiance Bancshares, Inc., a commercial banking organization, since April 2020 and Lumentum Holdings, Inc., a manufacturer of innovative optical and photonic products, since September 2020. She served on the advisory board of Big Controls Inc., a business intelligence and analytics company, from May 2016 to May 2020. Ms. Wong has served as a National Executive Advisor for Ascend, a non-profit professional business organization that enables its members, corporate partners and community to realize the leadership potential of Asians in global corporations, since 2013. She is on the Board of Trustees for the Computer History Museum, the Louisiana Tech University Foundation Board and the College of Business Advisory Board, where she was awarded Emeritus status for her twenty-plus-year tenure. She holds a Master of Professional Accountancy from Louisiana Tech University and a Master of Taxation from Golden Gate University.</w:t>
      </w:r>
    </w:p>
    <w:p>
      <w:pPr>
        <w:spacing w:after="0" w:line="121" w:lineRule="exact"/>
        <w:rPr>
          <w:sz w:val="20"/>
          <w:szCs w:val="20"/>
          <w:color w:val="auto"/>
        </w:rPr>
      </w:pPr>
    </w:p>
    <w:p>
      <w:pPr>
        <w:jc w:val="both"/>
        <w:ind w:left="1260" w:right="439" w:firstLine="360"/>
        <w:spacing w:after="0" w:line="294" w:lineRule="auto"/>
        <w:rPr>
          <w:sz w:val="20"/>
          <w:szCs w:val="20"/>
          <w:color w:val="auto"/>
        </w:rPr>
      </w:pPr>
      <w:r>
        <w:rPr>
          <w:rFonts w:ascii="Arial" w:cs="Arial" w:eastAsia="Arial" w:hAnsi="Arial"/>
          <w:sz w:val="16"/>
          <w:szCs w:val="16"/>
          <w:color w:val="auto"/>
        </w:rPr>
        <w:t>We believe Ms. Wong is qualified to serve as a director because of her many years of public accounting experience serving global companies, her deep financial and risk management expertise, and her experience advising sophisticated enterprises in the consumer markets, energy, manufacturing and technology sectors.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Controlled Company Exemption</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majority stockholder, Ayar, holds approximately 62.7% of our common stock. As a result, we are a “controlled company” within the meaning of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Ayar also has the ability to nominate five of the nine directors to our board of directors. Although as of the date of this prospectus, we do not utilize any of these exemptions, we may elect to utilize one or more of</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39"/>
        <w:spacing w:after="0" w:line="239" w:lineRule="auto"/>
        <w:rPr>
          <w:sz w:val="20"/>
          <w:szCs w:val="20"/>
          <w:color w:val="auto"/>
        </w:rPr>
      </w:pPr>
      <w:r>
        <w:rPr>
          <w:rFonts w:ascii="Arial" w:cs="Arial" w:eastAsia="Arial" w:hAnsi="Arial"/>
          <w:sz w:val="17"/>
          <w:szCs w:val="17"/>
          <w:color w:val="auto"/>
        </w:rPr>
        <w:t>these exemptions for so long as we remain a “controlled company.” Accordingly,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 See “</w:t>
      </w:r>
      <w:r>
        <w:rPr>
          <w:rFonts w:ascii="Arial" w:cs="Arial" w:eastAsia="Arial" w:hAnsi="Arial"/>
          <w:sz w:val="17"/>
          <w:szCs w:val="17"/>
          <w:i w:val="1"/>
          <w:iCs w:val="1"/>
          <w:color w:val="auto"/>
        </w:rPr>
        <w:t>Risk Factors — We are a “controlled company” within the meaning of the applicable rules of Nasdaq and,</w:t>
      </w:r>
      <w:r>
        <w:rPr>
          <w:rFonts w:ascii="Arial" w:cs="Arial" w:eastAsia="Arial" w:hAnsi="Arial"/>
          <w:sz w:val="17"/>
          <w:szCs w:val="17"/>
          <w:color w:val="auto"/>
        </w:rPr>
        <w:t xml:space="preserve"> </w:t>
      </w:r>
      <w:r>
        <w:rPr>
          <w:rFonts w:ascii="Arial" w:cs="Arial" w:eastAsia="Arial" w:hAnsi="Arial"/>
          <w:sz w:val="17"/>
          <w:szCs w:val="17"/>
          <w:i w:val="1"/>
          <w:iCs w:val="1"/>
          <w:color w:val="auto"/>
        </w:rPr>
        <w:t>as a result, qualify for exemptions from certain corporate governance requirements. Our stockholders will not have the same protections afforded to stockholders of companies that are not controlled companies</w:t>
      </w:r>
      <w:r>
        <w:rPr>
          <w:rFonts w:ascii="Arial" w:cs="Arial" w:eastAsia="Arial" w:hAnsi="Arial"/>
          <w:sz w:val="17"/>
          <w:szCs w:val="17"/>
          <w:color w:val="auto"/>
        </w:rPr>
        <w:t>.”</w:t>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business and affairs are organized under the direction of the Board. Our Board consists of</w:t>
      </w:r>
    </w:p>
    <w:p>
      <w:pPr>
        <w:jc w:val="both"/>
        <w:ind w:left="1260" w:right="519"/>
        <w:spacing w:after="0" w:line="228" w:lineRule="auto"/>
        <w:rPr>
          <w:sz w:val="20"/>
          <w:szCs w:val="20"/>
          <w:color w:val="auto"/>
        </w:rPr>
      </w:pPr>
      <w:r>
        <w:rPr>
          <w:rFonts w:ascii="Arial" w:cs="Arial" w:eastAsia="Arial" w:hAnsi="Arial"/>
          <w:sz w:val="18"/>
          <w:szCs w:val="18"/>
          <w:color w:val="auto"/>
        </w:rPr>
        <w:t>nine (9) members. Andrew Liveris is the Chairman of our Board. The primary responsibilities of our Board are to provide oversight, strategic guidance, counseling and direction to management. Our Board will meet on a regular basis and additionally, as required.</w:t>
      </w:r>
    </w:p>
    <w:p>
      <w:pPr>
        <w:spacing w:after="0" w:line="110" w:lineRule="exact"/>
        <w:rPr>
          <w:sz w:val="20"/>
          <w:szCs w:val="20"/>
          <w:color w:val="auto"/>
        </w:rPr>
      </w:pPr>
    </w:p>
    <w:p>
      <w:pPr>
        <w:ind w:left="1260" w:right="479" w:firstLine="360"/>
        <w:spacing w:after="0" w:line="228" w:lineRule="auto"/>
        <w:rPr>
          <w:sz w:val="20"/>
          <w:szCs w:val="20"/>
          <w:color w:val="auto"/>
        </w:rPr>
      </w:pPr>
      <w:r>
        <w:rPr>
          <w:rFonts w:ascii="Arial" w:cs="Arial" w:eastAsia="Arial" w:hAnsi="Arial"/>
          <w:sz w:val="18"/>
          <w:szCs w:val="18"/>
          <w:color w:val="auto"/>
        </w:rPr>
        <w:t>In accordance with the Investor Rights Agreement, Turqi Alnowaiser, Frank Lindenberg, Andrew Liveris, Nichelle Maynard-Elliott and Tony Posawatz were designated for nomination to the Board by Ayar, Nancy Gioia was designated for nomination to the Board by the Sponsor, Glenn R. August and Janet Wong were designated for nomination to the Board by us, and Peter Rawlinson was nominated to the Board as our CEO.</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7"/>
          <w:szCs w:val="17"/>
          <w:color w:val="auto"/>
        </w:rPr>
        <w:t>Nasdaq rules generally require that independent directors must comprise a majority of listed company’s board of directors. As a controlled company, we are largely exempt from such requirements. Our Board has determined that each of the directors on our Board other than Peter Rawlinson and Nancy Gioia qualify as independent directors, as defined under the listing rules of Nasdaq, and our Board consists of a majority of independent directors, as defined under the rules of the SEC and the listing rules of Nasdaq relating to director independence requirements. In addition, we are subject to the rules of the SEC and Nasdaq relating to the membership, qualifications and operations of the audit committee, as discussed below.</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Family Relationships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48" w:lineRule="exact"/>
        <w:rPr>
          <w:sz w:val="20"/>
          <w:szCs w:val="20"/>
          <w:color w:val="auto"/>
        </w:rPr>
      </w:pPr>
    </w:p>
    <w:p>
      <w:pPr>
        <w:ind w:left="1260" w:right="419" w:firstLine="360"/>
        <w:spacing w:after="0" w:line="224" w:lineRule="auto"/>
        <w:rPr>
          <w:sz w:val="20"/>
          <w:szCs w:val="20"/>
          <w:color w:val="auto"/>
        </w:rPr>
      </w:pPr>
      <w:r>
        <w:rPr>
          <w:rFonts w:ascii="Arial" w:cs="Arial" w:eastAsia="Arial" w:hAnsi="Arial"/>
          <w:sz w:val="18"/>
          <w:szCs w:val="18"/>
          <w:color w:val="auto"/>
        </w:rPr>
        <w:t>Our Board has extensive involvement in the oversight of risk management related to us and our business and accomplishes this oversight through the regular reporting to our Board by the audit committee. The audit committee represents our Board by periodically reviewing our accounting, reporting and financial practices, including the integrity of our financial statements, the surveillance of administrative and financial controls and our compliance with legal and regulatory requirements. Through its regular meetings with management, including the finance, legal, internal audit and information technology functions, the audit committee reviews and discusses all significant areas of our business and summarizes for the Board all areas of risk and the appropriate mitigating factors. In addition, our Board receives periodic detailed operating performance reviews from management.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Arial" w:cs="Arial" w:eastAsia="Arial" w:hAnsi="Arial"/>
          <w:sz w:val="16"/>
          <w:szCs w:val="16"/>
          <w:color w:val="auto"/>
        </w:rPr>
        <w:t>Our Board has an audit committee, a compensation committee, a nominating and corporate governance committee and an executive committee, each of which has the composition and responsibilities described below. Members serve on these committees until their resignation or until otherwise determined by our Board. Each committee operates under a charter that was approved by the Board. The charter of each committee is available on our investor relations website. Information on or that can be accessed through such website is not part of this prospectus. Our Board may from time to time establish other committees.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The audit committee consists of Janet Wong, Glenn R. August and Frank Lindenberg, with Janet Wong serving as chairperson. Our Board has determined (i) that each of Janet Wong, Glenn R. August and</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Frank Lindenberg satisfies the requirements for independence and financial literacy under the rules and regulations of Nasdaq and the SEC and (ii) that Janet Wong qualifies as an “audit committee financial expert” as defined in the SEC rules and regulations and satisfies the financial sophistication requirements of Nasdaq. The audit committee is responsible for, among other things:</w:t>
      </w:r>
    </w:p>
    <w:p>
      <w:pPr>
        <w:spacing w:after="0" w:line="79" w:lineRule="exact"/>
        <w:rPr>
          <w:sz w:val="20"/>
          <w:szCs w:val="20"/>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and hiring our registered public accounting firm;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evaluating the performance and independence of our registered public accounting firm;</w:t>
      </w:r>
    </w:p>
    <w:p>
      <w:pPr>
        <w:spacing w:after="0" w:line="117"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approving the audit and pre-approving any non-audit services to be performed by our registered public accounting firm;</w:t>
      </w:r>
    </w:p>
    <w:p>
      <w:pPr>
        <w:spacing w:after="0" w:line="75"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integrity of our financial statements and related disclosures and reviewing our critical accounting policies and practices;</w:t>
      </w:r>
    </w:p>
    <w:p>
      <w:pPr>
        <w:spacing w:after="0" w:line="62"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and our disclosure controls and procedures;</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procedures for the treatment of complaints relating to accounting, internal accounting controls or audit matters;</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the results of the annual audit, our quarterly financial statements and our publicly filed reports;</w:t>
      </w:r>
    </w:p>
    <w:p>
      <w:pPr>
        <w:spacing w:after="0" w:line="75"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related-person transactions;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The compensation committee consists of Andrew Liveris, Frank Lindenberg and Anthony Posawatz, with Andrew Liveris serving as chairperson. Our Board has determined that each of Andrew Liveris, Frank Lindenberg and Anthony Posawatz satisfies the requirements for independence under the rules and regulations of Nasdaq and the SEC. The compensation committee is responsible for, among other things:</w:t>
      </w:r>
    </w:p>
    <w:p>
      <w:pPr>
        <w:spacing w:after="0" w:line="63" w:lineRule="exact"/>
        <w:rPr>
          <w:sz w:val="20"/>
          <w:szCs w:val="20"/>
          <w:color w:val="auto"/>
        </w:rPr>
      </w:pPr>
    </w:p>
    <w:p>
      <w:pPr>
        <w:ind w:left="1800" w:right="69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determining, or recommending to the Board for determination, the compensation of our executive officers, including our chief executive officer;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and setting compensation for the members of our Board;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17"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our overall compensation policies and practices, compensation plans, and benefits programs; and</w:t>
      </w:r>
    </w:p>
    <w:p>
      <w:pPr>
        <w:spacing w:after="0" w:line="62" w:lineRule="exact"/>
        <w:rPr>
          <w:rFonts w:ascii="Arial" w:cs="Arial" w:eastAsia="Arial" w:hAnsi="Arial"/>
          <w:sz w:val="18"/>
          <w:szCs w:val="18"/>
          <w:color w:val="auto"/>
        </w:rPr>
      </w:pPr>
    </w:p>
    <w:p>
      <w:pPr>
        <w:ind w:left="1800" w:right="119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will require in our annual proxy statement.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nominating and corporate governance committee consists of Turqi Alnowaiser, Glenn R. August and Nichelle Maynard-Elliott, with Turqi Alnowaiser serving as chairperson. Our Board has determined that each of Turqi Alnowaiser, Glenn R. August and Nichelle Maynard-Elliott satisfies the requirements for independence under the rules and regulations of Nasdaq and the SEC. The nominating and corporate governance committee is responsible for, among other things:</w:t>
      </w:r>
    </w:p>
    <w:p>
      <w:pPr>
        <w:spacing w:after="0" w:line="80" w:lineRule="exact"/>
        <w:rPr>
          <w:sz w:val="20"/>
          <w:szCs w:val="20"/>
          <w:color w:val="auto"/>
        </w:rPr>
      </w:pPr>
    </w:p>
    <w:p>
      <w:pPr>
        <w:ind w:left="1800" w:right="47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including the consideration of nominees submitted by stockholders, and to each of the Board’s committees;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composition, organization and governance of our Board and its committees;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99" w:hanging="180"/>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making recommendations with regard to our corporate governance guidelines and compliance with laws and regulations;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conflicts of interest of our directors and officers and proposed waivers of our corporate governance guidelines and code of business conducts and ethics;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the performance of our Board and its committees.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Executive Committee</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executive committee consists of Andrew Liveris, Turqi Alnowaiser, Nancy Gioia, Anthony Posawatz and Peter Rawlinson, with Andrew Liveris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58"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and directors, including our executive officers. The full text of the code of business conduct and ethics is available on the investor relations page on our website. We intend to post any amendment to our code of business conduct and ethics, and any waivers of its requirements, on our website or in filings under the Exchange Act to the extent required by applicable rules or regulations or listing requirements of Nasdaq. Information on or that can be accessed through our website is not part of this prospectus.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None of our executive officers currently serves, or has served during the last year, as a member of the board of directors or compensation committee of any entity that has one or more executive officers serving as a member of our Board.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4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Tony Posawatz, one of our non-employee directors, served as President and Chief Executive Officer of Fisker Automotive from 2012 to 2013. In late 2013, after Mr. Posawatz had left his position, Fisker Automotive filed for bankruptcy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The following table sets forth information concerning the compensation paid to Lucid’s principal executive officer during Lucid’s fiscal year ended December 31, 2020 and Lucid’s two other most highly compensated executive officers during the fiscal year ended December 31, 2020 (collectively, the “</w:t>
      </w:r>
      <w:r>
        <w:rPr>
          <w:rFonts w:ascii="Arial" w:cs="Arial" w:eastAsia="Arial" w:hAnsi="Arial"/>
          <w:sz w:val="17"/>
          <w:szCs w:val="17"/>
          <w:i w:val="1"/>
          <w:iCs w:val="1"/>
          <w:color w:val="auto"/>
        </w:rPr>
        <w:t>NEOs</w:t>
      </w:r>
      <w:r>
        <w:rPr>
          <w:rFonts w:ascii="Arial" w:cs="Arial" w:eastAsia="Arial" w:hAnsi="Arial"/>
          <w:sz w:val="17"/>
          <w:szCs w:val="17"/>
          <w:color w:val="auto"/>
        </w:rPr>
        <w:t>”).</w:t>
      </w:r>
    </w:p>
    <w:p>
      <w:pPr>
        <w:spacing w:after="0" w:line="16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2020 SUMMARY COMPENSATION TABLE</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(4)</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 Chief</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Technology Officer</w:t>
            </w:r>
          </w:p>
        </w:tc>
        <w:tc>
          <w:tcPr>
            <w:tcW w:w="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2020</w:t>
            </w: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468,077</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210,000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678,007</w:t>
            </w:r>
          </w:p>
        </w:tc>
        <w:tc>
          <w:tcPr>
            <w:tcW w:w="0" w:type="dxa"/>
            <w:vAlign w:val="bottom"/>
          </w:tcPr>
          <w:p>
            <w:pPr>
              <w:spacing w:after="0"/>
              <w:rPr>
                <w:sz w:val="1"/>
                <w:szCs w:val="1"/>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i w:val="1"/>
                <w:iCs w:val="1"/>
                <w:color w:val="auto"/>
              </w:rPr>
              <w:t>Senior Vice President, Product and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Engineer</w:t>
            </w: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2020</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346,731</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100,000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691,220</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1,137,951</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Smuts</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Finance</w:t>
            </w:r>
          </w:p>
        </w:tc>
        <w:tc>
          <w:tcPr>
            <w:tcW w:w="58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color w:val="auto"/>
                <w:w w:val="89"/>
              </w:rPr>
              <w:t>2020</w:t>
            </w: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color w:val="auto"/>
                <w:w w:val="89"/>
              </w:rPr>
              <w:t>306,000</w:t>
            </w:r>
          </w:p>
        </w:tc>
        <w:tc>
          <w:tcPr>
            <w:tcW w:w="8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89"/>
              </w:rPr>
              <w:t>115,000</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9"/>
              </w:rPr>
              <w:t>158,614</w:t>
            </w:r>
          </w:p>
        </w:tc>
        <w:tc>
          <w:tcPr>
            <w:tcW w:w="880" w:type="dxa"/>
            <w:vAlign w:val="bottom"/>
            <w:vMerge w:val="restart"/>
            <w:shd w:val="clear" w:color="auto" w:fill="CCEEFF"/>
          </w:tcPr>
          <w:p>
            <w:pPr>
              <w:jc w:val="right"/>
              <w:ind w:right="119"/>
              <w:spacing w:after="0"/>
              <w:rPr>
                <w:sz w:val="20"/>
                <w:szCs w:val="20"/>
                <w:color w:val="auto"/>
              </w:rPr>
            </w:pPr>
            <w:r>
              <w:rPr>
                <w:rFonts w:ascii="Arial" w:cs="Arial" w:eastAsia="Arial" w:hAnsi="Arial"/>
                <w:sz w:val="18"/>
                <w:szCs w:val="18"/>
                <w:color w:val="auto"/>
              </w:rPr>
              <w:t>38,447</w:t>
            </w:r>
          </w:p>
        </w:tc>
        <w:tc>
          <w:tcPr>
            <w:tcW w:w="22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618,061</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-1268095</wp:posOffset>
            </wp:positionV>
            <wp:extent cx="32575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jc w:val="both"/>
        <w:ind w:left="1620" w:right="499" w:hanging="360"/>
        <w:spacing w:after="0" w:line="259"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Effective as of April 13, 2020, Lucid implemented a reduction in salary for the NEOs for 12 weeks in response to the COVID-19 pandemic. During such time, Lucid reduced the bi-weekly salary payments of the NEOs by 20% for Mr. Rawlinson and 15% for Mr. Bach and Mr. Smuts. Salaries were reinstated 12 weeks later. Amounts in this column reflect those temporary reductions.</w:t>
      </w:r>
    </w:p>
    <w:p>
      <w:pPr>
        <w:spacing w:after="0" w:line="38"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Smuts’ bonus payment includes his 2020 bonus of $80,000, paid in 2021, and a sign-on bonus of $35,000, which was subject to repayment to Lucid if Mr. Smuts had voluntarily resigned from his employment or was terminated for “cause” before January 13, 2021.</w:t>
      </w:r>
    </w:p>
    <w:p>
      <w:pPr>
        <w:spacing w:after="0" w:line="21" w:lineRule="exact"/>
        <w:rPr>
          <w:rFonts w:ascii="Arial" w:cs="Arial" w:eastAsia="Arial" w:hAnsi="Arial"/>
          <w:sz w:val="18"/>
          <w:szCs w:val="18"/>
          <w:color w:val="auto"/>
        </w:rPr>
      </w:pPr>
    </w:p>
    <w:p>
      <w:pPr>
        <w:ind w:left="1620" w:right="699" w:hanging="360"/>
        <w:spacing w:after="0" w:line="277"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computed in accordance with FASB ASC Topic 718 for all stock option awards granted in 2020.</w:t>
      </w:r>
    </w:p>
    <w:p>
      <w:pPr>
        <w:spacing w:after="0" w:line="8"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under the “All Other Compensation” column for Mr. Smuts includes relocation services paid by Lucid totaling $35,447 and a relocation allowance payment of $3,000.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Executive Offer Letters</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Lucid entered into offer letters with Messrs. Rawlinson, Bach and Smuts each of which provides for at-will employment and provides for no specified term of employment. In addition, as a condition of their employment, each of the NEOs was required to sign a Confidential Information and Invention Assignment Agreement which includes, among other provisions, a 24-month post-employment non solicit of employees and customers, a perpetual confidentiality covenant and an assignment of inventions provision.</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each of the NEOs is a party to the Atieva USA, Inc. Severance Benefit Plan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Severance Plan</w:t>
      </w:r>
      <w:r>
        <w:rPr>
          <w:rFonts w:ascii="Arial" w:cs="Arial" w:eastAsia="Arial" w:hAnsi="Arial"/>
          <w:sz w:val="18"/>
          <w:szCs w:val="18"/>
          <w:color w:val="auto"/>
        </w:rPr>
        <w:t xml:space="preserve">”), which is described more fully below under the heading entitled “— </w:t>
      </w:r>
      <w:r>
        <w:rPr>
          <w:rFonts w:ascii="Arial" w:cs="Arial" w:eastAsia="Arial" w:hAnsi="Arial"/>
          <w:sz w:val="18"/>
          <w:szCs w:val="18"/>
          <w:i w:val="1"/>
          <w:iCs w:val="1"/>
          <w:color w:val="auto"/>
        </w:rPr>
        <w:t>Termination and</w:t>
      </w:r>
    </w:p>
    <w:p>
      <w:pPr>
        <w:ind w:left="1260"/>
        <w:spacing w:after="0"/>
        <w:rPr>
          <w:sz w:val="20"/>
          <w:szCs w:val="20"/>
          <w:color w:val="auto"/>
        </w:rPr>
      </w:pPr>
      <w:r>
        <w:rPr>
          <w:rFonts w:ascii="Arial" w:cs="Arial" w:eastAsia="Arial" w:hAnsi="Arial"/>
          <w:sz w:val="18"/>
          <w:szCs w:val="18"/>
          <w:i w:val="1"/>
          <w:iCs w:val="1"/>
          <w:color w:val="auto"/>
        </w:rPr>
        <w:t>Change in Control Benefits</w:t>
      </w:r>
      <w:r>
        <w:rPr>
          <w:rFonts w:ascii="Arial" w:cs="Arial" w:eastAsia="Arial" w:hAnsi="Arial"/>
          <w:sz w:val="18"/>
          <w:szCs w:val="18"/>
          <w:color w:val="auto"/>
        </w:rPr>
        <w:t>.”</w:t>
      </w:r>
    </w:p>
    <w:p>
      <w:pPr>
        <w:spacing w:after="0" w:line="115"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In addition, as described in the Summary Compensation Table above, Mr. Smuts’ offer letter provided for a sign-on bonus of $35,000, which amount was subject to repayment to Lucid if he resigned from his employment or was terminated by Lucid for “cause” before January 13, 2021, which was the first anniversary of his hire date. Mr. Smuts was also entitled to relocation benefits, which is also described in the Summary Compensation Table above.</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Annual Bonus Compensation</w:t>
      </w:r>
    </w:p>
    <w:p>
      <w:pPr>
        <w:spacing w:after="0" w:line="158"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In 2020, Messrs. Rawlinson, Bach and Smuts were eligible to earn annual cash bonuses targeted at 50%, 30% and 30%, respectively, of their base salaries. Mr. Smuts’ annual cash bonus was pro-rated because</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he joined Lucid in mid-January 2020. For 2020, in response to the COVID-19 pandemic, Lucid’s compensation committee determined that the annual cash bonuses would be paid out at less than target. The actual cash bonus awarded to the NEOs in respect of 2020 is set forth in the “Bonus” column of the Summary Compensation Table above.</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CEO Transaction Bonus</w:t>
      </w:r>
    </w:p>
    <w:p>
      <w:pPr>
        <w:spacing w:after="0" w:line="14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 recognition of Mr. Rawlinson’s efforts on the Merger, the Board approved a $2 million transaction bonus payable to Mr. Rawlinson, subject to: (i) the closing of the Merger, (ii) Mr. Rawlinson’s continued employment through the Closing Date and (iii) Mr. Rawlinson not giving notice of his intent to resign on or before the Closing Date. The transaction bonus will be paid to Mr. Rawlinson on the Company’s first regularly scheduled payroll date after the closing.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 Awards</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During 2020, Lucid’s compensation committee approved grants of options to Messrs. Bach and Smuts with a grant date fair value of $691,220 and $158,614, respectively. The options for Mr. Bach are scheduled to vest ratably in forty-eight (48) equal monthly installments over four years, subject to continued employment through each applicable vesting date. The options for Mr. Smuts vest over four (4) years, with 25% vesting on the one-year anniversary of his hire date and the remaining 75% vesting in thirty-six (36) equal monthly installments thereafter.</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Retirement</w:t>
      </w:r>
    </w:p>
    <w:p>
      <w:pPr>
        <w:spacing w:after="0" w:line="15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We maintain a 401(k) retirement savings plan for our employees in the United States, including the NEOs, who satisfy certain eligibility requirements. Our NEOs are eligible to participate in the 401(k) plan on the same terms as other full-time employees.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Benefits and Perquisites</w:t>
      </w:r>
    </w:p>
    <w:p>
      <w:pPr>
        <w:spacing w:after="0" w:line="144"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All of our full-time employees, including the NEOs, are eligible to participate in our health and welfare plans, including medical, dental and vision benefits, medical and dependent care flexible spending accounts, short-term and long-term disability insurance and life insurance.</w:t>
      </w:r>
    </w:p>
    <w:p>
      <w:pPr>
        <w:spacing w:after="0" w:line="116"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Lucid also provided relocation services and a relocation allowance payment to Mr. Smuts in the amounts set forth in the Summary Compensation Table above. In addition, we pay for the life insurance premiums for the NEOs in the amounts set forth in the Summary Compensation Table above.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62"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following table sets forth information concerning unexercised options for the NEOs as of the end of Lucid’s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ind w:left="40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Securities</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Underlying</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Unexercised</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Unexercised</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Options (#)</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Options (#)</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Exercisable</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Unexercisable</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86"/>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Price ($)</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10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99,000</w:t>
            </w:r>
          </w:p>
        </w:tc>
        <w:tc>
          <w:tcPr>
            <w:tcW w:w="10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0.47</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05/02/2023</w:t>
            </w:r>
          </w:p>
        </w:tc>
        <w:tc>
          <w:tcPr>
            <w:tcW w:w="0" w:type="dxa"/>
            <w:vAlign w:val="bottom"/>
          </w:tcPr>
          <w:p>
            <w:pPr>
              <w:spacing w:after="0"/>
              <w:rPr>
                <w:sz w:val="1"/>
                <w:szCs w:val="1"/>
                <w:color w:val="auto"/>
              </w:rPr>
            </w:pPr>
          </w:p>
        </w:tc>
      </w:tr>
      <w:tr>
        <w:trPr>
          <w:trHeight w:val="217"/>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 Chief Technology Officer</w:t>
            </w: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1,662,412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0.97</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04/16/2025</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0"/>
              <w:spacing w:after="0" w:line="270" w:lineRule="exact"/>
              <w:rPr>
                <w:sz w:val="20"/>
                <w:szCs w:val="20"/>
                <w:color w:val="auto"/>
              </w:rPr>
            </w:pPr>
            <w:r>
              <w:rPr>
                <w:rFonts w:ascii="Arial" w:cs="Arial" w:eastAsia="Arial" w:hAnsi="Arial"/>
                <w:sz w:val="18"/>
                <w:szCs w:val="18"/>
                <w:color w:val="auto"/>
                <w:w w:val="88"/>
              </w:rPr>
              <w:t>2,812,500</w:t>
            </w:r>
            <w:r>
              <w:rPr>
                <w:rFonts w:ascii="Arial" w:cs="Arial" w:eastAsia="Arial" w:hAnsi="Arial"/>
                <w:sz w:val="26"/>
                <w:szCs w:val="26"/>
                <w:color w:val="auto"/>
                <w:w w:val="88"/>
                <w:vertAlign w:val="superscript"/>
              </w:rPr>
              <w:t>(1)</w:t>
            </w:r>
          </w:p>
        </w:tc>
        <w:tc>
          <w:tcPr>
            <w:tcW w:w="1080" w:type="dxa"/>
            <w:vAlign w:val="bottom"/>
            <w:gridSpan w:val="2"/>
            <w:shd w:val="clear" w:color="auto" w:fill="CCEEFF"/>
          </w:tcPr>
          <w:p>
            <w:pPr>
              <w:jc w:val="right"/>
              <w:ind w:right="200"/>
              <w:spacing w:after="0" w:line="270" w:lineRule="exact"/>
              <w:rPr>
                <w:sz w:val="20"/>
                <w:szCs w:val="20"/>
                <w:color w:val="auto"/>
              </w:rPr>
            </w:pPr>
            <w:r>
              <w:rPr>
                <w:rFonts w:ascii="Arial" w:cs="Arial" w:eastAsia="Arial" w:hAnsi="Arial"/>
                <w:sz w:val="18"/>
                <w:szCs w:val="18"/>
                <w:color w:val="auto"/>
                <w:w w:val="99"/>
              </w:rPr>
              <w:t>187,500</w:t>
            </w:r>
            <w:r>
              <w:rPr>
                <w:rFonts w:ascii="Arial" w:cs="Arial" w:eastAsia="Arial" w:hAnsi="Arial"/>
                <w:sz w:val="26"/>
                <w:szCs w:val="26"/>
                <w:color w:val="auto"/>
                <w:w w:val="99"/>
                <w:vertAlign w:val="superscript"/>
              </w:rPr>
              <w:t>(1)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2.19</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04/21/2029</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149,990</w:t>
            </w: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0.97</w:t>
            </w:r>
          </w:p>
        </w:tc>
        <w:tc>
          <w:tcPr>
            <w:tcW w:w="220" w:type="dxa"/>
            <w:vAlign w:val="bottom"/>
          </w:tcPr>
          <w:p>
            <w:pPr>
              <w:spacing w:after="0"/>
              <w:rPr>
                <w:sz w:val="19"/>
                <w:szCs w:val="19"/>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06/01/2025</w:t>
            </w:r>
          </w:p>
        </w:tc>
        <w:tc>
          <w:tcPr>
            <w:tcW w:w="0" w:type="dxa"/>
            <w:vAlign w:val="bottom"/>
          </w:tcPr>
          <w:p>
            <w:pPr>
              <w:spacing w:after="0"/>
              <w:rPr>
                <w:sz w:val="1"/>
                <w:szCs w:val="1"/>
                <w:color w:val="auto"/>
              </w:rPr>
            </w:pPr>
          </w:p>
        </w:tc>
      </w:tr>
      <w:tr>
        <w:trPr>
          <w:trHeight w:val="230"/>
        </w:trPr>
        <w:tc>
          <w:tcPr>
            <w:tcW w:w="4480" w:type="dxa"/>
            <w:vAlign w:val="bottom"/>
            <w:gridSpan w:val="2"/>
          </w:tcPr>
          <w:p>
            <w:pPr>
              <w:ind w:left="180"/>
              <w:spacing w:after="0"/>
              <w:rPr>
                <w:sz w:val="20"/>
                <w:szCs w:val="20"/>
                <w:color w:val="auto"/>
              </w:rPr>
            </w:pPr>
            <w:r>
              <w:rPr>
                <w:rFonts w:ascii="Arial" w:cs="Arial" w:eastAsia="Arial" w:hAnsi="Arial"/>
                <w:sz w:val="18"/>
                <w:szCs w:val="18"/>
                <w:i w:val="1"/>
                <w:iCs w:val="1"/>
                <w:color w:val="auto"/>
              </w:rPr>
              <w:t>Senior Vice President, Product and Chief Engineer</w:t>
            </w:r>
          </w:p>
        </w:tc>
        <w:tc>
          <w:tcPr>
            <w:tcW w:w="1060" w:type="dxa"/>
            <w:vAlign w:val="bottom"/>
            <w:gridSpan w:val="3"/>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5,000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1.43</w:t>
            </w: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12/16/2025</w:t>
            </w:r>
          </w:p>
        </w:tc>
        <w:tc>
          <w:tcPr>
            <w:tcW w:w="0" w:type="dxa"/>
            <w:vAlign w:val="bottom"/>
          </w:tcPr>
          <w:p>
            <w:pPr>
              <w:spacing w:after="0"/>
              <w:rPr>
                <w:sz w:val="1"/>
                <w:szCs w:val="1"/>
                <w:color w:val="auto"/>
              </w:rPr>
            </w:pPr>
          </w:p>
        </w:tc>
      </w:tr>
      <w:tr>
        <w:trPr>
          <w:trHeight w:val="273"/>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40"/>
              <w:spacing w:after="0" w:line="272" w:lineRule="exact"/>
              <w:rPr>
                <w:sz w:val="20"/>
                <w:szCs w:val="20"/>
                <w:color w:val="auto"/>
              </w:rPr>
            </w:pPr>
            <w:r>
              <w:rPr>
                <w:rFonts w:ascii="Arial" w:cs="Arial" w:eastAsia="Arial" w:hAnsi="Arial"/>
                <w:sz w:val="18"/>
                <w:szCs w:val="18"/>
                <w:color w:val="auto"/>
              </w:rPr>
              <w:t>325,000</w:t>
            </w:r>
            <w:r>
              <w:rPr>
                <w:rFonts w:ascii="Arial" w:cs="Arial" w:eastAsia="Arial" w:hAnsi="Arial"/>
                <w:sz w:val="26"/>
                <w:szCs w:val="26"/>
                <w:color w:val="auto"/>
                <w:vertAlign w:val="superscript"/>
              </w:rPr>
              <w:t>(1)</w:t>
            </w:r>
          </w:p>
        </w:tc>
        <w:tc>
          <w:tcPr>
            <w:tcW w:w="1080" w:type="dxa"/>
            <w:vAlign w:val="bottom"/>
            <w:gridSpan w:val="2"/>
          </w:tcPr>
          <w:p>
            <w:pPr>
              <w:jc w:val="right"/>
              <w:ind w:right="200"/>
              <w:spacing w:after="0" w:line="272" w:lineRule="exact"/>
              <w:rPr>
                <w:sz w:val="20"/>
                <w:szCs w:val="20"/>
                <w:color w:val="auto"/>
              </w:rPr>
            </w:pPr>
            <w:r>
              <w:rPr>
                <w:rFonts w:ascii="Arial" w:cs="Arial" w:eastAsia="Arial" w:hAnsi="Arial"/>
                <w:sz w:val="18"/>
                <w:szCs w:val="18"/>
                <w:color w:val="auto"/>
              </w:rPr>
              <w:t>75,000</w:t>
            </w:r>
            <w:r>
              <w:rPr>
                <w:rFonts w:ascii="Arial" w:cs="Arial" w:eastAsia="Arial" w:hAnsi="Arial"/>
                <w:sz w:val="26"/>
                <w:szCs w:val="26"/>
                <w:color w:val="auto"/>
                <w:vertAlign w:val="superscript"/>
              </w:rPr>
              <w:t>(1)</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2.19</w:t>
            </w: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04/21/2029</w:t>
            </w:r>
          </w:p>
        </w:tc>
        <w:tc>
          <w:tcPr>
            <w:tcW w:w="0" w:type="dxa"/>
            <w:vAlign w:val="bottom"/>
          </w:tcPr>
          <w:p>
            <w:pPr>
              <w:spacing w:after="0"/>
              <w:rPr>
                <w:sz w:val="1"/>
                <w:szCs w:val="1"/>
                <w:color w:val="auto"/>
              </w:rPr>
            </w:pPr>
          </w:p>
        </w:tc>
      </w:tr>
      <w:tr>
        <w:trPr>
          <w:trHeight w:val="267"/>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40"/>
              <w:spacing w:after="0" w:line="267" w:lineRule="exact"/>
              <w:rPr>
                <w:sz w:val="20"/>
                <w:szCs w:val="20"/>
                <w:color w:val="auto"/>
              </w:rPr>
            </w:pPr>
            <w:r>
              <w:rPr>
                <w:rFonts w:ascii="Arial" w:cs="Arial" w:eastAsia="Arial" w:hAnsi="Arial"/>
                <w:sz w:val="18"/>
                <w:szCs w:val="18"/>
                <w:color w:val="auto"/>
              </w:rPr>
              <w:t>102,083</w:t>
            </w:r>
            <w:r>
              <w:rPr>
                <w:rFonts w:ascii="Arial" w:cs="Arial" w:eastAsia="Arial" w:hAnsi="Arial"/>
                <w:sz w:val="26"/>
                <w:szCs w:val="26"/>
                <w:color w:val="auto"/>
                <w:vertAlign w:val="superscript"/>
              </w:rPr>
              <w:t>(2)</w:t>
            </w:r>
          </w:p>
        </w:tc>
        <w:tc>
          <w:tcPr>
            <w:tcW w:w="1080" w:type="dxa"/>
            <w:vAlign w:val="bottom"/>
            <w:gridSpan w:val="2"/>
          </w:tcPr>
          <w:p>
            <w:pPr>
              <w:jc w:val="right"/>
              <w:ind w:right="200"/>
              <w:spacing w:after="0" w:line="267" w:lineRule="exact"/>
              <w:rPr>
                <w:sz w:val="20"/>
                <w:szCs w:val="20"/>
                <w:color w:val="auto"/>
              </w:rPr>
            </w:pPr>
            <w:r>
              <w:rPr>
                <w:rFonts w:ascii="Arial" w:cs="Arial" w:eastAsia="Arial" w:hAnsi="Arial"/>
                <w:sz w:val="18"/>
                <w:szCs w:val="18"/>
                <w:color w:val="auto"/>
                <w:w w:val="99"/>
              </w:rPr>
              <w:t>597,917</w:t>
            </w:r>
            <w:r>
              <w:rPr>
                <w:rFonts w:ascii="Arial" w:cs="Arial" w:eastAsia="Arial" w:hAnsi="Arial"/>
                <w:sz w:val="26"/>
                <w:szCs w:val="26"/>
                <w:color w:val="auto"/>
                <w:w w:val="99"/>
                <w:vertAlign w:val="superscript"/>
              </w:rPr>
              <w:t>(2)</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2.45</w:t>
            </w: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07/15/2030</w:t>
            </w: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Smuts </w:t>
            </w:r>
            <w:r>
              <w:rPr>
                <w:rFonts w:ascii="Arial" w:cs="Arial" w:eastAsia="Arial" w:hAnsi="Arial"/>
                <w:sz w:val="18"/>
                <w:szCs w:val="18"/>
                <w:i w:val="1"/>
                <w:iCs w:val="1"/>
                <w:color w:val="auto"/>
              </w:rPr>
              <w:t>Vice President, Finance</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w w:val="99"/>
              </w:rPr>
              <w:t>150,000</w:t>
            </w:r>
            <w:r>
              <w:rPr>
                <w:rFonts w:ascii="Arial" w:cs="Arial" w:eastAsia="Arial" w:hAnsi="Arial"/>
                <w:sz w:val="26"/>
                <w:szCs w:val="26"/>
                <w:color w:val="auto"/>
                <w:w w:val="99"/>
                <w:vertAlign w:val="superscript"/>
              </w:rPr>
              <w:t>(1)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2.45</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01/15/2030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-1585595</wp:posOffset>
            </wp:positionV>
            <wp:extent cx="2425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options vest as follows:</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Mr. Rawlinson, forty-eight (48) equal monthly installments beginning on April 1, 2017.</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Mr. Bach, in forty-eight (48) equal monthly installments beginning on October 1, 2017.</w:t>
      </w:r>
    </w:p>
    <w:p>
      <w:pPr>
        <w:spacing w:after="0" w:line="76" w:lineRule="exact"/>
        <w:rPr>
          <w:rFonts w:ascii="Arial" w:cs="Arial" w:eastAsia="Arial" w:hAnsi="Arial"/>
          <w:sz w:val="18"/>
          <w:szCs w:val="18"/>
          <w:color w:val="auto"/>
        </w:rPr>
      </w:pPr>
    </w:p>
    <w:p>
      <w:pPr>
        <w:ind w:left="1980" w:right="859" w:hanging="360"/>
        <w:spacing w:after="0" w:line="277" w:lineRule="auto"/>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Mr. Smuts, 25% on the first anniversary of January 13, 2020, and the remainder in thirty-six (36) equal monthly installments thereafter.</w:t>
      </w:r>
    </w:p>
    <w:p>
      <w:pPr>
        <w:spacing w:after="0" w:line="8" w:lineRule="exact"/>
        <w:rPr>
          <w:rFonts w:ascii="Arial" w:cs="Arial" w:eastAsia="Arial" w:hAnsi="Arial"/>
          <w:sz w:val="18"/>
          <w:szCs w:val="18"/>
          <w:color w:val="auto"/>
        </w:rPr>
      </w:pPr>
    </w:p>
    <w:p>
      <w:pPr>
        <w:ind w:left="1620" w:hanging="360"/>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options vest in forty-eight (48) equal monthly installments beginning on April 1, 2020.</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Termination and Change in Control Benefits</w:t>
      </w:r>
    </w:p>
    <w:p>
      <w:pPr>
        <w:spacing w:after="0" w:line="162"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7"/>
          <w:szCs w:val="17"/>
          <w:color w:val="auto"/>
        </w:rPr>
        <w:t>Each of Lucid’s NEOs is a party to the Severance Plan. Under the terms of the Severance Plan, Mr. Rawlinson is entitled to receive the following in the event of a termination without “cause” or on a “constructive termination” (as each such term is defined in the Severance Plan) assuming a termination of employment on December 31, 2020: (i) a continuation of his base salary for 12 months, (ii) COBRA continuation premium payments for Mr. Rawlinson and his dependents for 12 months, and (iii) accelerated vesting of 25% of Mr. Rawlinson’s outstanding equity awards plus an additional 5% for each year of his service, which accelerated vesting shall not exceed a maximum of 50% of unvested equity and shall not be duplicative of any vesting acceleration otherwise provided for in any other agreement in connection with a qualifying termination that is not due to a change in control. In the event Mr. Rawlinson is terminated within 3 months prior to or 12 months following a change in control (a “</w:t>
      </w:r>
      <w:r>
        <w:rPr>
          <w:rFonts w:ascii="Arial" w:cs="Arial" w:eastAsia="Arial" w:hAnsi="Arial"/>
          <w:sz w:val="17"/>
          <w:szCs w:val="17"/>
          <w:i w:val="1"/>
          <w:iCs w:val="1"/>
          <w:color w:val="auto"/>
        </w:rPr>
        <w:t>Change in Control Termination</w:t>
      </w:r>
      <w:r>
        <w:rPr>
          <w:rFonts w:ascii="Arial" w:cs="Arial" w:eastAsia="Arial" w:hAnsi="Arial"/>
          <w:sz w:val="17"/>
          <w:szCs w:val="17"/>
          <w:color w:val="auto"/>
        </w:rPr>
        <w:t>”), he is entitled to the accelerated vesting of 100% of his unvested equity awards.</w:t>
      </w:r>
    </w:p>
    <w:p>
      <w:pPr>
        <w:spacing w:after="0" w:line="11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Under the terms of the Severance Plan, Messrs. Bach and Smuts are entitled to receive the following in the event of a termination without “cause” or upon a “constructive termination,” in each case assuming a termination of employment on December 31, 2020: (i) a continuation of their base salary for 6 months (or</w:t>
      </w:r>
    </w:p>
    <w:p>
      <w:pPr>
        <w:ind w:left="1260" w:right="419"/>
        <w:spacing w:after="0" w:line="236" w:lineRule="auto"/>
        <w:rPr>
          <w:sz w:val="20"/>
          <w:szCs w:val="20"/>
          <w:color w:val="auto"/>
        </w:rPr>
      </w:pPr>
      <w:r>
        <w:rPr>
          <w:rFonts w:ascii="Arial" w:cs="Arial" w:eastAsia="Arial" w:hAnsi="Arial"/>
          <w:sz w:val="18"/>
          <w:szCs w:val="18"/>
          <w:color w:val="auto"/>
        </w:rPr>
        <w:t>9 months in the event of a Change in Control Termination), (ii) COBRA continuation premium payments for Messrs. Bach and Smuts and their dependents for 6 months (or 9 months in the event of a Change in Control Termination), and (iii) accelerated vesting of 25% of their outstanding equity awards plus an additional 5% for each year of service, which accelerated vesting shall not exceed a maximum of 50% of unvested equity and shall not be duplicative of any vesting acceleration otherwise provided for in any other agreement in connection with a qualifying termination that is not due to a change in control. In the event of a Change in Control Termination, each of Messrs. Bach and Smuts is entitled to the accelerated vesting of 75% of his unvested equity awards.</w:t>
      </w:r>
    </w:p>
    <w:p>
      <w:pPr>
        <w:spacing w:after="0" w:line="111"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In connection with the Closing, we approved the Lucid Group, Inc. Executive Severance Benefit Plan (the “</w:t>
      </w:r>
      <w:r>
        <w:rPr>
          <w:rFonts w:ascii="Arial" w:cs="Arial" w:eastAsia="Arial" w:hAnsi="Arial"/>
          <w:sz w:val="18"/>
          <w:szCs w:val="18"/>
          <w:i w:val="1"/>
          <w:iCs w:val="1"/>
          <w:color w:val="auto"/>
        </w:rPr>
        <w:t>Lucid Group Severance Plan</w:t>
      </w:r>
      <w:r>
        <w:rPr>
          <w:rFonts w:ascii="Arial" w:cs="Arial" w:eastAsia="Arial" w:hAnsi="Arial"/>
          <w:sz w:val="18"/>
          <w:szCs w:val="18"/>
          <w:color w:val="auto"/>
        </w:rPr>
        <w:t>”) and accompanying form of Participation Agreement, which will replace</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the Severance Plan effective as of the Closing. In addition to the foregoing, the Lucid Group Severance Plan also provides for (i) a continuation of target bonus amounts for a specified number of months and (ii) the accelerated vesting of 100% of unvested equity awards, in each case in connection with a Change in Control Termination.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2009 Share Plan of Atieva, Inc. and the 2014 Share Plan of Atieva, Inc.</w:t>
      </w:r>
    </w:p>
    <w:p>
      <w:pPr>
        <w:spacing w:after="0" w:line="144"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 xml:space="preserve">Lucid’s board of directors and its stockholders approved the 2009 Share Plan of Atieva, Inc. and the 2014 Share Plan of Atieva, Inc. (collectively, the “ </w:t>
      </w:r>
      <w:r>
        <w:rPr>
          <w:rFonts w:ascii="Arial" w:cs="Arial" w:eastAsia="Arial" w:hAnsi="Arial"/>
          <w:sz w:val="18"/>
          <w:szCs w:val="18"/>
          <w:i w:val="1"/>
          <w:iCs w:val="1"/>
          <w:color w:val="auto"/>
        </w:rPr>
        <w:t>Prior Plans</w:t>
      </w:r>
      <w:r>
        <w:rPr>
          <w:rFonts w:ascii="Arial" w:cs="Arial" w:eastAsia="Arial" w:hAnsi="Arial"/>
          <w:sz w:val="18"/>
          <w:szCs w:val="18"/>
          <w:color w:val="auto"/>
        </w:rPr>
        <w:t>”) under which there were 28,902,156 options outstanding as of January 21, 2021. As of January 21, 2021, no awards will be granted under the Prior Plans.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Atieva, Inc. 2021 Stock Incentive Plan</w:t>
      </w:r>
    </w:p>
    <w:p>
      <w:pPr>
        <w:spacing w:after="0" w:line="15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Lucid’s board of directors adopted, and Lucid’s shareholders approved, the 2021 Stock Incentive Plan in January 2021 and amended it in February 2021 (as amended, the “</w:t>
      </w:r>
      <w:r>
        <w:rPr>
          <w:rFonts w:ascii="Arial" w:cs="Arial" w:eastAsia="Arial" w:hAnsi="Arial"/>
          <w:sz w:val="18"/>
          <w:szCs w:val="18"/>
          <w:i w:val="1"/>
          <w:iCs w:val="1"/>
          <w:color w:val="auto"/>
        </w:rPr>
        <w:t>2021 Plan</w:t>
      </w:r>
      <w:r>
        <w:rPr>
          <w:rFonts w:ascii="Arial" w:cs="Arial" w:eastAsia="Arial" w:hAnsi="Arial"/>
          <w:sz w:val="18"/>
          <w:szCs w:val="18"/>
          <w:color w:val="auto"/>
        </w:rPr>
        <w:t>”) to increase its share reserve amount. The aggregate number of Lucid Common Shares reserved for issuance pursuant to awards under the 2021 Plan is equal to 47,534,042 shares.</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Any employee, outside director or consultant of Lucid is eligible to receive an award under the 2021 Plan, to the extent that an offer of such award is permitted by applicable law, stock market or exchange rules and regulations, or any accounting or tax rules and regulations. The 2021 Plan provides for the grant of stock options (including incentive stock options and nonqualified stock options), restricted stock, stock appreciation rights, stock units, performance- based awards and cash awards. Each award will be set forth in a separate grant notice or agreement and will indicate the type and terms and conditions of the award.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Lucid Group, Inc. 2021 Stock Incentive Plan</w:t>
      </w:r>
    </w:p>
    <w:p>
      <w:pPr>
        <w:spacing w:after="0" w:line="144"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Churchill’s board of directors adopted and, following the closing of the Merger, the shareholders approved on July 23, 2021 the Lucid Group, Inc. 2021 Stock Incentive Plan (the “</w:t>
      </w:r>
      <w:r>
        <w:rPr>
          <w:rFonts w:ascii="Arial" w:cs="Arial" w:eastAsia="Arial" w:hAnsi="Arial"/>
          <w:sz w:val="18"/>
          <w:szCs w:val="18"/>
          <w:i w:val="1"/>
          <w:iCs w:val="1"/>
          <w:color w:val="auto"/>
        </w:rPr>
        <w:t>Incentive Plan</w:t>
      </w:r>
      <w:r>
        <w:rPr>
          <w:rFonts w:ascii="Arial" w:cs="Arial" w:eastAsia="Arial" w:hAnsi="Arial"/>
          <w:sz w:val="18"/>
          <w:szCs w:val="18"/>
          <w:color w:val="auto"/>
        </w:rPr>
        <w:t>”). The Incentive Plan includes an Employee Stock Purchase Plan as an addendum (the “</w:t>
      </w:r>
      <w:r>
        <w:rPr>
          <w:rFonts w:ascii="Arial" w:cs="Arial" w:eastAsia="Arial" w:hAnsi="Arial"/>
          <w:sz w:val="18"/>
          <w:szCs w:val="18"/>
          <w:i w:val="1"/>
          <w:iCs w:val="1"/>
          <w:color w:val="auto"/>
        </w:rPr>
        <w:t>ESPP Addendum</w:t>
      </w:r>
      <w:r>
        <w:rPr>
          <w:rFonts w:ascii="Arial" w:cs="Arial" w:eastAsia="Arial" w:hAnsi="Arial"/>
          <w:sz w:val="18"/>
          <w:szCs w:val="18"/>
          <w:color w:val="auto"/>
        </w:rPr>
        <w:t>”), summarized below.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Material Features of the Incentive Plan</w:t>
      </w:r>
    </w:p>
    <w:p>
      <w:pPr>
        <w:spacing w:after="0" w:line="158" w:lineRule="exact"/>
        <w:rPr>
          <w:sz w:val="20"/>
          <w:szCs w:val="20"/>
          <w:color w:val="auto"/>
        </w:rPr>
      </w:pPr>
    </w:p>
    <w:p>
      <w:pPr>
        <w:ind w:left="1260" w:right="559" w:firstLine="360"/>
        <w:spacing w:after="0" w:line="285" w:lineRule="auto"/>
        <w:rPr>
          <w:sz w:val="20"/>
          <w:szCs w:val="20"/>
          <w:color w:val="auto"/>
        </w:rPr>
      </w:pPr>
      <w:r>
        <w:rPr>
          <w:rFonts w:ascii="Arial" w:cs="Arial" w:eastAsia="Arial" w:hAnsi="Arial"/>
          <w:sz w:val="16"/>
          <w:szCs w:val="16"/>
          <w:color w:val="auto"/>
        </w:rPr>
        <w:t>The maximum aggregate number of shares authorized for issuance as awards under the Incentive Plan shall not exceed the sum of (i) 12.5 million shares, plus (ii) any unallocated shares remaining available for issuance under the 2021 Plan as of the effective date, which was approximately 10.5 million shares after giving effect to the Exchange Ratio; plus (iii) any shares subject to stock awards granted under the 2021 Plan, 2014 Plan or 2009 Plan that (x) expire or terminate for any reason prior to exercise or settlement;</w:t>
      </w:r>
    </w:p>
    <w:p>
      <w:pPr>
        <w:spacing w:after="0" w:line="2" w:lineRule="exact"/>
        <w:rPr>
          <w:sz w:val="20"/>
          <w:szCs w:val="20"/>
          <w:color w:val="auto"/>
        </w:rPr>
      </w:pPr>
    </w:p>
    <w:p>
      <w:pPr>
        <w:ind w:left="1260" w:right="439"/>
        <w:spacing w:after="0" w:line="268" w:lineRule="auto"/>
        <w:tabs>
          <w:tab w:leader="none" w:pos="1529" w:val="left"/>
        </w:tabs>
        <w:numPr>
          <w:ilvl w:val="0"/>
          <w:numId w:val="79"/>
        </w:numPr>
        <w:rPr>
          <w:rFonts w:ascii="Arial" w:cs="Arial" w:eastAsia="Arial" w:hAnsi="Arial"/>
          <w:sz w:val="17"/>
          <w:szCs w:val="17"/>
          <w:color w:val="auto"/>
        </w:rPr>
      </w:pPr>
      <w:r>
        <w:rPr>
          <w:rFonts w:ascii="Arial" w:cs="Arial" w:eastAsia="Arial" w:hAnsi="Arial"/>
          <w:sz w:val="17"/>
          <w:szCs w:val="17"/>
          <w:color w:val="auto"/>
        </w:rPr>
        <w:t>are forfeited, cancelled or otherwise returned to us because of the failure to meet a contingency or condition required to vest such shares; or (z) are reacquired, withheld (or not issued) to satisfy a tax withholding obligation in connection with an award or to satisfy the purchase price or exercise price of a stock award. The number of shares authorized for grant under the Incentive Plan is subject to adjustment (as described below). Of the maximum aggregate shares issuable under the Incentive Plan, up to 61,211,436 shares may be issued in the form of ISOs (as defined below), or under the ESPP Addendum. Based on the number of unallocated shares remaining available for issuance under the 2021 Plan as of the Closing Date and without giving effect to any potential increases as described in clause (iii) above, we have reserved approximately 23.0 million shares for future grants of awards under the Incentive Plan.</w:t>
      </w:r>
    </w:p>
    <w:p>
      <w:pPr>
        <w:spacing w:after="0" w:line="114"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The maximum number of shares subject to awards granted under the Incentive Plan during any calendar year to any outside director (defined as a member of our Board who is not our employee or consultant), plus any cash fees paid to the outside director in a calendar year for service on our Board, will not exceed $1 million in total value for the first year of service and $750,000 in total value per year thereafter.</w:t>
      </w:r>
    </w:p>
    <w:p>
      <w:pPr>
        <w:spacing w:after="0" w:line="90"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Incentive Plan is administered by our compensation committee. The types of awards that may be made under the Incentive Plan include restricted shares, non-qualified stock options, incentive stock options,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unrestricted shares, stock appreciation rights, restricted stock units and cash awards. All awards are subject to the conditions, limitations, restrictions, exercise price, vesting and forfeiture provisions determined by the committee, in its sole discretion, subject to such limitations as are provided in the Incentive Plan. The Incentive Plan also includes an employee stock purchase plan component under the ESPP Addendum described below. In addition, subject to the limitations provided in the Incentive Plan and in accordance with applicable law, our compensation committee may accelerate or defer the vesting or payment of awards, cancel or modify outstanding awards, and waive any conditions or restrictions imposed with respect to awards.</w:t>
      </w:r>
    </w:p>
    <w:p>
      <w:pPr>
        <w:spacing w:after="0" w:line="113"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Awards granted under the Incentive Plan may be subject to specified performance criteria. Our compensation committee may utilize any performance criteria selected by it in its sole discretion to establish performance goals. Subject to compliance with Section 409A of the Code (“</w:t>
      </w:r>
      <w:r>
        <w:rPr>
          <w:rFonts w:ascii="Arial" w:cs="Arial" w:eastAsia="Arial" w:hAnsi="Arial"/>
          <w:sz w:val="18"/>
          <w:szCs w:val="18"/>
          <w:i w:val="1"/>
          <w:iCs w:val="1"/>
          <w:color w:val="auto"/>
        </w:rPr>
        <w:t>Section 409A</w:t>
      </w:r>
      <w:r>
        <w:rPr>
          <w:rFonts w:ascii="Arial" w:cs="Arial" w:eastAsia="Arial" w:hAnsi="Arial"/>
          <w:sz w:val="18"/>
          <w:szCs w:val="18"/>
          <w:color w:val="auto"/>
        </w:rPr>
        <w:t xml:space="preserve"> ”), the compensation committee in its sole discretion may permit or require participants to defer certain amounts or shares paid or issued in respect of awards. Our Board may amend, suspend or terminate the Incentive Plan or the ESPP Addendum at any time.</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The ESPP Addendum</w:t>
      </w:r>
    </w:p>
    <w:p>
      <w:pPr>
        <w:spacing w:after="0" w:line="15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 xml:space="preserve">The ESPP Addendum is intended to qualify under Section 423 of the Internal Revenue Code of 1986, as amended (the “ </w:t>
      </w:r>
      <w:r>
        <w:rPr>
          <w:rFonts w:ascii="Arial" w:cs="Arial" w:eastAsia="Arial" w:hAnsi="Arial"/>
          <w:sz w:val="18"/>
          <w:szCs w:val="18"/>
          <w:i w:val="1"/>
          <w:iCs w:val="1"/>
          <w:color w:val="auto"/>
        </w:rPr>
        <w:t>Code</w:t>
      </w:r>
      <w:r>
        <w:rPr>
          <w:rFonts w:ascii="Arial" w:cs="Arial" w:eastAsia="Arial" w:hAnsi="Arial"/>
          <w:sz w:val="18"/>
          <w:szCs w:val="18"/>
          <w:color w:val="auto"/>
        </w:rPr>
        <w:t>”). Our compensation committee may grant stock purchase rights under the ESPP Addendum to any participant who is an employee. The compensation committee may establish sub-plans (which need not qualify under Section 423 of the Code) to facilitate participation in the ESPP Addendum by non-U.S. employees in compliance with foreign laws. The maximum aggregate number of shares for purchase during any calendar year is 2,500,000 shares, or any other such annual limit as may be approved by our compensation committee. While the ESPP Addendum is in effect, the compensation committee may grant options to purchase shares of stock during a specified offering period in compliance with the requirements of Section 423 of the Code, subject to the limitations set forth in the ESPP Addendum. The purchase price for each share purchased during an offering period will be the lesser of 85% of the fair market value of the share on the purchase date or 85% of the fair market value of the share on the offering date.</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58"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following table summarizes Lucid’s equity compensation plan information as of December 31, 2020:</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 Remaining</w:t>
            </w: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Number of Securities to Be Issued</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Available for Future Issuance</w:t>
            </w: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Upon Exercise of Outstanding</w:t>
            </w: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Weighted-average Exercise Price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Under Equity Compensation</w:t>
            </w: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Options, Warrants, Rights and</w:t>
            </w: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of Outstanding Options,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5"/>
              </w:rPr>
              <w:t>Plans (excluding securities</w:t>
            </w: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Restricted Stock Units</w:t>
            </w: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Warrants and Rights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 column (a))</w:t>
            </w:r>
          </w:p>
        </w:tc>
      </w:tr>
      <w:tr>
        <w:trPr>
          <w:trHeight w:val="186"/>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r>
      <w:tr>
        <w:trPr>
          <w:trHeight w:val="25"/>
        </w:trPr>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2"/>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Plans Approved by</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44"/>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202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rPr>
              <w:t>28,902,156</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3,128,811</w:t>
            </w:r>
          </w:p>
        </w:tc>
      </w:tr>
      <w:tr>
        <w:trPr>
          <w:trHeight w:val="229"/>
        </w:trPr>
        <w:tc>
          <w:tcPr>
            <w:tcW w:w="204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Plans Not Approved</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7"/>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by Security Holders</w:t>
            </w:r>
          </w:p>
        </w:tc>
        <w:tc>
          <w:tcPr>
            <w:tcW w:w="2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542"/>
              <w:spacing w:after="0"/>
              <w:rPr>
                <w:sz w:val="20"/>
                <w:szCs w:val="20"/>
                <w:color w:val="auto"/>
              </w:rPr>
            </w:pPr>
            <w:r>
              <w:rPr>
                <w:rFonts w:ascii="Arial" w:cs="Arial" w:eastAsia="Arial" w:hAnsi="Arial"/>
                <w:sz w:val="18"/>
                <w:szCs w:val="18"/>
                <w:color w:val="auto"/>
              </w:rPr>
              <w:t>—</w:t>
            </w:r>
          </w:p>
        </w:tc>
      </w:tr>
      <w:tr>
        <w:trPr>
          <w:trHeight w:val="250"/>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rPr>
              <w:t>28,902,156</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3,128,811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-1036955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-1036955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-1036955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 Refresh Grants</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Lucid’s compensation committee approved equity “refresh” grants under the 2021 Plan on February 22, 2021 to certain executives of Lucid in connection with the Merger, including an award of 250,000 Lucid RSUs to Mr. Bach and 100,000 Lucid RSUs to Mr. Smuts. These Lucid RSU awards are scheduled to vest quarterly over four years, subject to (i) the successful closing of the Merger and meeting the minimum service period requirement of 375 days after such closing; and (ii) continued employment through each applicable vesting date. These awards are subject to potential acceleration, as further described above under “</w:t>
      </w:r>
      <w:r>
        <w:rPr>
          <w:rFonts w:ascii="Arial" w:cs="Arial" w:eastAsia="Arial" w:hAnsi="Arial"/>
          <w:sz w:val="18"/>
          <w:szCs w:val="18"/>
          <w:i w:val="1"/>
          <w:iCs w:val="1"/>
          <w:color w:val="auto"/>
        </w:rPr>
        <w:t>Termination and Change in Control Benefits</w:t>
      </w:r>
      <w:r>
        <w:rPr>
          <w:rFonts w:ascii="Arial" w:cs="Arial" w:eastAsia="Arial" w:hAnsi="Arial"/>
          <w:sz w:val="18"/>
          <w:szCs w:val="18"/>
          <w:color w:val="auto"/>
        </w:rPr>
        <w:t>.”</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2021 CEO Grant</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recognition of Mr. Rawlinson’s efforts on the Merger and in order to incentivize and align</w:t>
      </w:r>
    </w:p>
    <w:p>
      <w:pPr>
        <w:spacing w:after="0" w:line="12" w:lineRule="exact"/>
        <w:rPr>
          <w:sz w:val="20"/>
          <w:szCs w:val="20"/>
          <w:color w:val="auto"/>
        </w:rPr>
      </w:pPr>
    </w:p>
    <w:p>
      <w:pPr>
        <w:ind w:left="1260" w:right="1280"/>
        <w:spacing w:after="0" w:line="237" w:lineRule="auto"/>
        <w:rPr>
          <w:sz w:val="20"/>
          <w:szCs w:val="20"/>
          <w:color w:val="auto"/>
        </w:rPr>
      </w:pPr>
      <w:r>
        <w:rPr>
          <w:rFonts w:ascii="Arial" w:cs="Arial" w:eastAsia="Arial" w:hAnsi="Arial"/>
          <w:sz w:val="18"/>
          <w:szCs w:val="18"/>
          <w:color w:val="auto"/>
        </w:rPr>
        <w:t>Mr. Rawlinson with Lucid Group’s stockholders after the Merger, Lucid’s board of directors approved a special equity grant of 11,293,177 Lucid RSUs to Mr. Rawlinson (the “</w:t>
      </w:r>
      <w:r>
        <w:rPr>
          <w:rFonts w:ascii="Arial" w:cs="Arial" w:eastAsia="Arial" w:hAnsi="Arial"/>
          <w:sz w:val="18"/>
          <w:szCs w:val="18"/>
          <w:i w:val="1"/>
          <w:iCs w:val="1"/>
          <w:color w:val="auto"/>
        </w:rPr>
        <w:t>CEO RSU Award</w:t>
      </w:r>
      <w:r>
        <w:rPr>
          <w:rFonts w:ascii="Arial" w:cs="Arial" w:eastAsia="Arial" w:hAnsi="Arial"/>
          <w:sz w:val="18"/>
          <w:szCs w:val="18"/>
          <w:color w:val="auto"/>
        </w:rPr>
        <w:t>”), which will vest subject to: (i) with respect to 5,232,507 of the RSUs, a time-vesting requirement (the “</w:t>
      </w:r>
      <w:r>
        <w:rPr>
          <w:rFonts w:ascii="Arial" w:cs="Arial" w:eastAsia="Arial" w:hAnsi="Arial"/>
          <w:sz w:val="18"/>
          <w:szCs w:val="18"/>
          <w:i w:val="1"/>
          <w:iCs w:val="1"/>
          <w:color w:val="auto"/>
        </w:rPr>
        <w:t>CEO Time-Based</w:t>
      </w:r>
      <w:r>
        <w:rPr>
          <w:rFonts w:ascii="Arial" w:cs="Arial" w:eastAsia="Arial" w:hAnsi="Arial"/>
          <w:sz w:val="18"/>
          <w:szCs w:val="18"/>
          <w:color w:val="auto"/>
        </w:rPr>
        <w:t xml:space="preserve"> </w:t>
      </w:r>
      <w:r>
        <w:rPr>
          <w:rFonts w:ascii="Arial" w:cs="Arial" w:eastAsia="Arial" w:hAnsi="Arial"/>
          <w:sz w:val="18"/>
          <w:szCs w:val="18"/>
          <w:i w:val="1"/>
          <w:iCs w:val="1"/>
          <w:color w:val="auto"/>
        </w:rPr>
        <w:t>RSUs</w:t>
      </w:r>
      <w:r>
        <w:rPr>
          <w:rFonts w:ascii="Arial" w:cs="Arial" w:eastAsia="Arial" w:hAnsi="Arial"/>
          <w:sz w:val="18"/>
          <w:szCs w:val="18"/>
          <w:color w:val="auto"/>
        </w:rPr>
        <w:t>”) and (ii) with respect to 6,060,670 of the RSUs, a performance-vesting requirement (the “</w:t>
      </w:r>
      <w:r>
        <w:rPr>
          <w:rFonts w:ascii="Arial" w:cs="Arial" w:eastAsia="Arial" w:hAnsi="Arial"/>
          <w:sz w:val="18"/>
          <w:szCs w:val="18"/>
          <w:i w:val="1"/>
          <w:iCs w:val="1"/>
          <w:color w:val="auto"/>
        </w:rPr>
        <w:t>CEO Performance RSUs</w:t>
      </w:r>
      <w:r>
        <w:rPr>
          <w:rFonts w:ascii="Arial" w:cs="Arial" w:eastAsia="Arial" w:hAnsi="Arial"/>
          <w:sz w:val="18"/>
          <w:szCs w:val="18"/>
          <w:color w:val="auto"/>
        </w:rPr>
        <w:t>”). The CEO RSU Award was converted into an equivalent award with respect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after the Merger.</w:t>
      </w:r>
    </w:p>
    <w:p>
      <w:pPr>
        <w:spacing w:after="0" w:line="121" w:lineRule="exact"/>
        <w:rPr>
          <w:sz w:val="20"/>
          <w:szCs w:val="20"/>
          <w:color w:val="auto"/>
        </w:rPr>
      </w:pPr>
    </w:p>
    <w:p>
      <w:pPr>
        <w:jc w:val="both"/>
        <w:ind w:left="1260" w:right="1440" w:firstLine="360"/>
        <w:spacing w:after="0" w:line="270" w:lineRule="auto"/>
        <w:rPr>
          <w:sz w:val="20"/>
          <w:szCs w:val="20"/>
          <w:color w:val="auto"/>
        </w:rPr>
      </w:pPr>
      <w:r>
        <w:rPr>
          <w:rFonts w:ascii="Arial" w:cs="Arial" w:eastAsia="Arial" w:hAnsi="Arial"/>
          <w:sz w:val="17"/>
          <w:szCs w:val="17"/>
          <w:color w:val="auto"/>
        </w:rPr>
        <w:t>Subject to Mr. Rawlinson’s continued employment on each vesting date, the CEO Time-Based RSUs will vest in sixteen equal quarterly installments beginning on December 5, 2021. For purposes of the CEO Time-Based RSUs, the vesting dates will be March 5, June 5, September 5 and December 5 of each year.</w:t>
      </w:r>
    </w:p>
    <w:p>
      <w:pPr>
        <w:spacing w:after="0" w:line="96" w:lineRule="exact"/>
        <w:rPr>
          <w:sz w:val="20"/>
          <w:szCs w:val="20"/>
          <w:color w:val="auto"/>
        </w:rPr>
      </w:pPr>
    </w:p>
    <w:p>
      <w:pPr>
        <w:ind w:left="1260" w:right="1260" w:firstLine="360"/>
        <w:spacing w:after="0" w:line="239" w:lineRule="auto"/>
        <w:rPr>
          <w:sz w:val="20"/>
          <w:szCs w:val="20"/>
          <w:color w:val="auto"/>
        </w:rPr>
      </w:pPr>
      <w:r>
        <w:rPr>
          <w:rFonts w:ascii="Arial" w:cs="Arial" w:eastAsia="Arial" w:hAnsi="Arial"/>
          <w:sz w:val="18"/>
          <w:szCs w:val="18"/>
          <w:color w:val="auto"/>
        </w:rPr>
        <w:t>The CEO Performance RSUs will vest in five tranches based on the achievement of market capitalization goals applicable to each tranche (the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over any six-month period subject to Mr. Rawlinson’s continued employment through the applicable vesting date. The six-month market capitalization is calculated based on (i) the volume weighted average trading price per share over any six-month period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average of the total number of outstanding shares of Class A common stock reported in a public filing for the two most recently completely quarterly reporting periods. The six-month market capitalization target for each tranche is as follows:</w:t>
      </w:r>
    </w:p>
    <w:p>
      <w:pPr>
        <w:spacing w:after="0" w:line="69" w:lineRule="exact"/>
        <w:rPr>
          <w:sz w:val="20"/>
          <w:szCs w:val="20"/>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Tranche 1: $23.5 billion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Tranche 2: $35.25 billion</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Tranche 3: $47 billion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Tranche 4: $58.75 billion</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Tranche 5: $70.5 billion</w:t>
      </w:r>
    </w:p>
    <w:p>
      <w:pPr>
        <w:spacing w:after="0" w:line="158" w:lineRule="exact"/>
        <w:rPr>
          <w:sz w:val="20"/>
          <w:szCs w:val="20"/>
          <w:color w:val="auto"/>
        </w:rPr>
      </w:pPr>
    </w:p>
    <w:p>
      <w:pPr>
        <w:ind w:left="1260" w:right="1320" w:firstLine="360"/>
        <w:spacing w:after="0" w:line="259" w:lineRule="auto"/>
        <w:rPr>
          <w:sz w:val="20"/>
          <w:szCs w:val="20"/>
          <w:color w:val="auto"/>
        </w:rPr>
      </w:pPr>
      <w:r>
        <w:rPr>
          <w:rFonts w:ascii="Arial" w:cs="Arial" w:eastAsia="Arial" w:hAnsi="Arial"/>
          <w:sz w:val="17"/>
          <w:szCs w:val="17"/>
          <w:color w:val="auto"/>
        </w:rPr>
        <w:t>Any CEO Performance RSUs that have not vested within five years after the closing of the Merger (such period, the “</w:t>
      </w:r>
      <w:r>
        <w:rPr>
          <w:rFonts w:ascii="Arial" w:cs="Arial" w:eastAsia="Arial" w:hAnsi="Arial"/>
          <w:sz w:val="17"/>
          <w:szCs w:val="17"/>
          <w:i w:val="1"/>
          <w:iCs w:val="1"/>
          <w:color w:val="auto"/>
        </w:rPr>
        <w:t>Performance Period</w:t>
      </w:r>
      <w:r>
        <w:rPr>
          <w:rFonts w:ascii="Arial" w:cs="Arial" w:eastAsia="Arial" w:hAnsi="Arial"/>
          <w:sz w:val="17"/>
          <w:szCs w:val="17"/>
          <w:color w:val="auto"/>
        </w:rPr>
        <w:t>”) will be forfeited. Upon a termination without “cause” or upon a “constructive termination” (as each such term is defined in the CEO RSU Award agreement), the CEO Performance RSUs will remain outstanding and eligible to vest upon attainment of the Performance Goals for six months (or the end of the Performance Period, if sooner) following such termination of employment.</w:t>
      </w:r>
    </w:p>
    <w:p>
      <w:pPr>
        <w:spacing w:after="0" w:line="93" w:lineRule="exact"/>
        <w:rPr>
          <w:sz w:val="20"/>
          <w:szCs w:val="20"/>
          <w:color w:val="auto"/>
        </w:rPr>
      </w:pPr>
    </w:p>
    <w:p>
      <w:pPr>
        <w:ind w:left="1260" w:right="1320" w:firstLine="360"/>
        <w:spacing w:after="0" w:line="252" w:lineRule="auto"/>
        <w:rPr>
          <w:sz w:val="20"/>
          <w:szCs w:val="20"/>
          <w:color w:val="auto"/>
        </w:rPr>
      </w:pPr>
      <w:r>
        <w:rPr>
          <w:rFonts w:ascii="Arial" w:cs="Arial" w:eastAsia="Arial" w:hAnsi="Arial"/>
          <w:sz w:val="17"/>
          <w:szCs w:val="17"/>
          <w:color w:val="auto"/>
        </w:rPr>
        <w:t>In the event of a change in control of Lucid Group following the closing of the Merger, any unvested CEO Time-Based RSUs to the extent not assumed or substituted in connection with such change in control will vest subject to Mr. Rawlinson’s continued employment through the change in control or a termination without cause or constructive termination within thirty days of the change in control. If the CEO Time-Based RSUs are assumed or substituted in connection with the change in control, any unvested CEO Time-Based RSUs will vest if Mr. Rawlinson experiences a termination without cause or constructive termination within twelve months of the change in control. With respect to the CEO Performance RSUs, subject to Mr. Rawlinson’s continued service through the change in control, any unvested CEO Performance RSUs will vest on the change in control to the extent the per share deal price exceeds the relevant market capitalization goal. In addition, upon a private financing or public offering of Lucid Group’s common stock with proceeds of at least $1 billion, if the price per share implied by the financing exceeds the relevant market capitalization goal, the CEO Performance RSUs associated with such goal will vest.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1260" w:right="1300" w:firstLine="360"/>
        <w:spacing w:after="0" w:line="248" w:lineRule="auto"/>
        <w:rPr>
          <w:sz w:val="20"/>
          <w:szCs w:val="20"/>
          <w:color w:val="auto"/>
        </w:rPr>
      </w:pPr>
      <w:r>
        <w:rPr>
          <w:rFonts w:ascii="Arial" w:cs="Arial" w:eastAsia="Arial" w:hAnsi="Arial"/>
          <w:sz w:val="18"/>
          <w:szCs w:val="18"/>
          <w:color w:val="auto"/>
        </w:rPr>
        <w:t>Tony Posawatz received compensation from PIF for his service as a director as described below. Lucid’s directors did not otherwise receive any additional compensation for their service in their capacity as directors in the year ended December 31,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Total</w:t>
            </w:r>
          </w:p>
        </w:tc>
        <w:tc>
          <w:tcPr>
            <w:tcW w:w="1620" w:type="dxa"/>
            <w:vAlign w:val="bottom"/>
          </w:tcPr>
          <w:p>
            <w:pPr>
              <w:spacing w:after="0"/>
              <w:rPr>
                <w:sz w:val="14"/>
                <w:szCs w:val="14"/>
                <w:color w:val="auto"/>
              </w:rPr>
            </w:pPr>
          </w:p>
        </w:tc>
      </w:tr>
      <w:tr>
        <w:trPr>
          <w:trHeight w:val="186"/>
        </w:trPr>
        <w:tc>
          <w:tcPr>
            <w:tcW w:w="3980" w:type="dxa"/>
            <w:vAlign w:val="bottom"/>
            <w:gridSpan w:val="2"/>
          </w:tcPr>
          <w:p>
            <w:pPr>
              <w:ind w:left="1620"/>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Fees Earned or Paid in Cash</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8"/>
              </w:rPr>
              <w:t>Stock Awards</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Tony Posawatz</w:t>
            </w:r>
          </w:p>
        </w:tc>
        <w:tc>
          <w:tcPr>
            <w:tcW w:w="350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line="250" w:lineRule="exact"/>
              <w:rPr>
                <w:sz w:val="20"/>
                <w:szCs w:val="20"/>
                <w:color w:val="auto"/>
              </w:rPr>
            </w:pPr>
            <w:r>
              <w:rPr>
                <w:rFonts w:ascii="Arial" w:cs="Arial" w:eastAsia="Arial" w:hAnsi="Arial"/>
                <w:sz w:val="18"/>
                <w:szCs w:val="18"/>
                <w:color w:val="auto"/>
              </w:rPr>
              <w:t>$7,895</w:t>
            </w:r>
            <w:r>
              <w:rPr>
                <w:rFonts w:ascii="Arial" w:cs="Arial" w:eastAsia="Arial" w:hAnsi="Arial"/>
                <w:sz w:val="26"/>
                <w:szCs w:val="26"/>
                <w:color w:val="auto"/>
                <w:vertAlign w:val="superscript"/>
              </w:rPr>
              <w:t>(1)</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21"/>
                <w:szCs w:val="21"/>
                <w:color w:val="auto"/>
              </w:rPr>
            </w:pPr>
          </w:p>
        </w:tc>
      </w:tr>
      <w:tr>
        <w:trPr>
          <w:trHeight w:val="621"/>
        </w:trPr>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-830580</wp:posOffset>
            </wp:positionV>
            <wp:extent cx="137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-830580</wp:posOffset>
            </wp:positionV>
            <wp:extent cx="137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-830580</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6" w:name="page137"/>
    <w:bookmarkEnd w:id="1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the amount paid by PIF in respect of Saudi Arabian taxes owed by Mr. Posawatz.</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Nancy Gioia, who became our director upon the Closing, will forfeit certain pension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benefits from a prior employer in the amount of approximately $3.3 million in connection with her services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our director. As compensation for such forfeiture (i) Churchill agreed to pay $2.0 million in cash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Ms. Gioia and (ii) an affiliate of the Sponsor agreed to issue Ms. Gioia indirect membership interests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Sponsor, which represent 100,000 shares of Class A common stock.</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Director Compensation following the Merger</w:t>
      </w:r>
    </w:p>
    <w:p>
      <w:pPr>
        <w:spacing w:after="0" w:line="15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Lucid Group implemented a new director compensation program, under which Lucid Group’s non-employee directors are eligible to receive the following annual retainers and annual equity compensation grants:</w:t>
      </w:r>
    </w:p>
    <w:p>
      <w:pPr>
        <w:spacing w:after="0" w:line="76" w:lineRule="exact"/>
        <w:rPr>
          <w:sz w:val="20"/>
          <w:szCs w:val="20"/>
          <w:color w:val="auto"/>
        </w:rPr>
      </w:pPr>
    </w:p>
    <w:p>
      <w:pPr>
        <w:ind w:left="1800" w:right="419" w:hanging="180"/>
        <w:spacing w:after="0" w:line="259"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Board Member: $210,000, of which $30,000 will be an annual cash retainer and $180,000 will be in the form of RSUs which will vest a year following the grant date. For new directors, the initial equity retainer will be $210,000 (instead of $180,000) in RSUs which will vest in three equal installments on the first, second and third anniversary of the grant date.</w:t>
      </w:r>
    </w:p>
    <w:p>
      <w:pPr>
        <w:spacing w:after="0" w:line="78"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Independent Chairman and Lead Director: Directors will receive an additional $30,000 for their service as an independent Chairman of the Board and an additional $15,000 for their service as Lead Director, to the extent applicable.</w:t>
      </w:r>
    </w:p>
    <w:p>
      <w:pPr>
        <w:spacing w:after="0" w:line="75"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Committee Chairs: Chairs of the audit, compensation, nominating and corporate governance and executive committees will receive an additional $20,000, $15,000, $8,000 and $20,000, respectively, as an annual cash retainer.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Committee Members: Members of the audit, compensation, nominating and corporate governance and executive committees will receive an additional $10,000, $7,500, $4,000 and $10,000, respectively, as an annual cash retainer.</w:t>
      </w:r>
    </w:p>
    <w:p>
      <w:pPr>
        <w:spacing w:after="0" w:line="116"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We will also reimburse all of our directors for (i) up to $10,000 annually for director educational programs and (ii) their reasonable expenses incurred in attending meetings of the Board or committees and training and educational conferences.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Relationships and Related Party Transactions of Churchill</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Churchill IPO</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May 22, 2020, the Sponsor purchased an aggregate of 21,562,500 shares of Churchill’s Class B</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stock for an aggregate purchase price of $25,000. On July 14, 2020, Churchill effected a stock</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dividend of one-third of a share for each outstanding share of Churchill’s Class B common stock, on</w:t>
      </w:r>
    </w:p>
    <w:p>
      <w:pPr>
        <w:ind w:left="1260"/>
        <w:spacing w:after="0"/>
        <w:rPr>
          <w:sz w:val="20"/>
          <w:szCs w:val="20"/>
          <w:color w:val="auto"/>
        </w:rPr>
      </w:pPr>
      <w:r>
        <w:rPr>
          <w:rFonts w:ascii="Arial" w:cs="Arial" w:eastAsia="Arial" w:hAnsi="Arial"/>
          <w:sz w:val="17"/>
          <w:szCs w:val="17"/>
          <w:color w:val="auto"/>
        </w:rPr>
        <w:t>July 27, 2020, Churchill effected a stock dividend of 0.50 to 1 share of Churchill’s Class B common stock</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each outstanding share of Churchill’s Class B common stock, and on July 30, 2020, Churchill effected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dividend of approximately 0.20 to 1 share of Churchill’s Class B common stock for each outstanding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 of Churchill’s Class B common stock, resulting in 51,750,000 shares of Churchill’s Class B common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The founder shares included an aggregate of up to 6,750,000 shares subject to forfeiture to the extent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the underwriters’ over-allotment option was not exercised in full or in part, so that the Sponsor would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own, on an as-converted basis, 20% of Churchill’s issued and outstanding shares after the Churchill IPO. 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the underwriters’ election to fully exercise their over-allotment option in the Crh, 6,750,000</w:t>
      </w:r>
    </w:p>
    <w:p>
      <w:pPr>
        <w:ind w:left="1260"/>
        <w:spacing w:after="0"/>
        <w:rPr>
          <w:sz w:val="20"/>
          <w:szCs w:val="20"/>
          <w:color w:val="auto"/>
        </w:rPr>
      </w:pPr>
      <w:r>
        <w:rPr>
          <w:rFonts w:ascii="Arial" w:cs="Arial" w:eastAsia="Arial" w:hAnsi="Arial"/>
          <w:sz w:val="18"/>
          <w:szCs w:val="18"/>
          <w:color w:val="auto"/>
        </w:rPr>
        <w:t>founder shares ceased to be subject to forfeiture.</w:t>
      </w:r>
    </w:p>
    <w:p>
      <w:pPr>
        <w:spacing w:after="0" w:line="12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Sponsor also purchased an aggregate of 42,850,000 Private Placement Warrants for a purchase price of $ 1.00 per warrant in a private placement that occurred simultaneously with the closing of the Churchill IPO. As such, the Sponsor’s interest in the Churchill IPO was valued at $ 42,850,000, based on the number of Private Placement Warrants purchased. Each Private Placement Warrant entitles the holder thereof to purchase one share of our Class A common stock at a price of $11.50 per share, subject to adjustment.</w:t>
      </w:r>
    </w:p>
    <w:p>
      <w:pPr>
        <w:spacing w:after="0" w:line="12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Glenn R. August, William J. Bynum, Malcom S. McDermid, Bonnie Jonas and Karen G. Mills, each of whom was a director of Churchill, has an economic interest in the founder shares and Private Placement Warrants purchased by the Sponsor as a result of his or her direct or indirect ownership of membership interests in the Sponsor.</w:t>
      </w:r>
    </w:p>
    <w:p>
      <w:pPr>
        <w:spacing w:after="0" w:line="107"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Churchill entered into an Administrative Services Agreement pursuant to which it paid an affiliate of its Sponsor a total of $50,000 per month for office space, administrative and support services. From and after July 1, 2021, Churchill ceased paying these monthly fees.</w:t>
      </w:r>
    </w:p>
    <w:p>
      <w:pPr>
        <w:spacing w:after="0" w:line="114" w:lineRule="exact"/>
        <w:rPr>
          <w:sz w:val="20"/>
          <w:szCs w:val="20"/>
          <w:color w:val="auto"/>
        </w:rPr>
      </w:pPr>
    </w:p>
    <w:p>
      <w:pPr>
        <w:jc w:val="both"/>
        <w:ind w:left="1260" w:right="499" w:firstLine="360"/>
        <w:spacing w:after="0" w:line="270" w:lineRule="auto"/>
        <w:rPr>
          <w:sz w:val="20"/>
          <w:szCs w:val="20"/>
          <w:color w:val="auto"/>
        </w:rPr>
      </w:pPr>
      <w:r>
        <w:rPr>
          <w:rFonts w:ascii="Arial" w:cs="Arial" w:eastAsia="Arial" w:hAnsi="Arial"/>
          <w:sz w:val="17"/>
          <w:szCs w:val="17"/>
          <w:color w:val="auto"/>
        </w:rPr>
        <w:t>The Sponsor, Churchill’s officers and directors or any of their respective affiliates were reimbursed for any out-of-pocket expenses incurred in connection with activities on Churchill’s behalf such as identifying potential target businesses and performing due diligence on suitable business combinations.</w:t>
      </w:r>
    </w:p>
    <w:p>
      <w:pPr>
        <w:spacing w:after="0" w:line="96" w:lineRule="exact"/>
        <w:rPr>
          <w:sz w:val="20"/>
          <w:szCs w:val="20"/>
          <w:color w:val="auto"/>
        </w:rPr>
      </w:pPr>
    </w:p>
    <w:p>
      <w:pPr>
        <w:jc w:val="both"/>
        <w:ind w:left="1260" w:right="439" w:firstLine="360"/>
        <w:spacing w:after="0" w:line="262" w:lineRule="auto"/>
        <w:rPr>
          <w:sz w:val="20"/>
          <w:szCs w:val="20"/>
          <w:color w:val="auto"/>
        </w:rPr>
      </w:pPr>
      <w:r>
        <w:rPr>
          <w:rFonts w:ascii="Arial" w:cs="Arial" w:eastAsia="Arial" w:hAnsi="Arial"/>
          <w:sz w:val="17"/>
          <w:szCs w:val="17"/>
          <w:color w:val="auto"/>
        </w:rPr>
        <w:t>Churchill’s audit committee reviewed on a quarterly basis all payments that were made by Churchill to its Sponsor, officers, directors or its or any of their respective affiliates and determined which expenses and the amount of expenses that would be reimbursed. There was no cap or ceiling on the reimbursement of out-of-pocket expenses incurred by such persons in connection with activities on Churchill’s behalf.</w:t>
      </w:r>
    </w:p>
    <w:p>
      <w:pPr>
        <w:spacing w:after="0" w:line="91"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Andrew Liveris is current Chairman of our Board, was the Chairman of Lucid’s board of directors and is an operating partner of the Sponsor. Mr. Liveris also has had an economic interest in shares of our Class A common stock and Private Placement Warrants through his ownership of membership interests in the Sponsor. For more information, see the section entitled “</w:t>
      </w:r>
      <w:r>
        <w:rPr>
          <w:rFonts w:ascii="Arial" w:cs="Arial" w:eastAsia="Arial" w:hAnsi="Arial"/>
          <w:sz w:val="17"/>
          <w:szCs w:val="17"/>
          <w:i w:val="1"/>
          <w:iCs w:val="1"/>
          <w:color w:val="auto"/>
        </w:rPr>
        <w:t>Beneficial Ownership of Securities.</w:t>
      </w:r>
      <w:r>
        <w:rPr>
          <w:rFonts w:ascii="Arial" w:cs="Arial" w:eastAsia="Arial" w:hAnsi="Arial"/>
          <w:sz w:val="17"/>
          <w:szCs w:val="17"/>
          <w:color w:val="auto"/>
        </w:rPr>
        <w:t>”</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February 22, 2021, Churchill issued the Note in the principal amount of $1,500,000 to the Sponsor.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 bore no interest and was repayable in full upon the closing of Merger. In connection with the</w:t>
      </w:r>
    </w:p>
    <w:p>
      <w:pPr>
        <w:ind w:left="1260"/>
        <w:spacing w:after="0" w:line="234" w:lineRule="auto"/>
        <w:rPr>
          <w:sz w:val="20"/>
          <w:szCs w:val="20"/>
          <w:color w:val="auto"/>
        </w:rPr>
      </w:pPr>
      <w:r>
        <w:rPr>
          <w:rFonts w:ascii="Arial" w:cs="Arial" w:eastAsia="Arial" w:hAnsi="Arial"/>
          <w:sz w:val="18"/>
          <w:szCs w:val="18"/>
          <w:color w:val="auto"/>
        </w:rPr>
        <w:t>Closing, the Sponsor has elected to exercise its option to convert the unpaid balance of the Note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$1,500,000 into 1,500,000 Working Capital Warrants. The terms of any such Working Capital Warrant are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identical to the terms of the Private Placement Warrants held by the Sponsor. The proceeds of the Note were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used to fund expenses related to Churchill’s normal operating expenses and other transactional related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expenses.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Sponsor Agreement</w:t>
      </w:r>
    </w:p>
    <w:p>
      <w:pPr>
        <w:spacing w:after="0" w:line="158"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In connection with the execution of the Merger Agreement, the Sponsor and certain insiders entered into the Sponsor Agreement pursuant to which they have agreed to comply with the provisions of the Merger</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Agreement applicable to such persons as well as the covenants set forth in the Sponsor Agreement, including voting all shares of common stock of Churchill beneficially owned by such persons in favor of the Transactions.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 Rights Agreement and Registration Rights</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Churchill, the Sponsor, Ayar and certain other parties thereto entered into the Investor Rights Agreement, pursuant to which such stockholders are entitled to, among other things, certain registration rights, including demand, piggy-back and shelf registration rights, subject to cut-back provisions. We are also required to register additional shares of our common stock pursuant to the PIPE Subscription Agreements and the Warrant Agreement. To satisfy these obligations, we are registering up to 1,422,079,949 shares of Class A common stock pursuant to the registration statement of which this prospectus is a part. Certain parties to the Investor Rights Agreement, including the Sponsor and Ayar, have agreed not to sell, transfer, pledge or otherwise dispose of shares of Class A common stock they hold or receive for certain time periods specified therein.</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and Support Agreement</w:t>
      </w:r>
    </w:p>
    <w:p>
      <w:pPr>
        <w:spacing w:after="0" w:line="158"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In connection with the Merger Agreement, on February 22, 2021, Churchill entered into a Voting and Support Agreement with Lucid and Ayar. Pursuant to the Voting and Support Agreement, Ayar agreed to vote all of its Lucid Shares, among other things, in favor of the adoption and approval of the Merger Agreement, the Transaction Agreements (as defined in the Merger Agreement) and the Transactions and in favor of the other matters set forth in the Merger Agreement, including the conversion of the Lucid Preferred Shares to Lucid Common Shares. The affirmative vote of the shares subject to the Voting and Support Agreement is sufficient to obtain the required approval by Lucid’s existing shareholders.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connection with the execution of the Merger Agreement, Churchill entered into the PIPE Subscription Agreements with the PIPE Investors. Pursuant to the terms of the PIPE Subscription Agreements, Churchill agreed to issue and sell to the PIPE Investors, and the PIPE Investors have agreed to buy, 166,666,667 shares of Class A common stock at a purchase price of $15.00 per share for an aggregate commitment of $2,500,000,005. In connection with the PIPE Investment, Churchill entered into PIPE Subscription Agreements with Ayar, Lucid’s majority shareholder, Aristeia, which previously beneficially owned greater than five percent of Churchill’s outstanding stock, and entities affiliated with Magnetar, which previously beneficially owned greater than five percent of Churchill’s outstanding stock. Pursuant to such PIPE Subscription Agreements, (i) Ayar subscribed for 13,333,333 shares of Class A common stock for a commitment of $200.0 million, (ii) Aristeia subscribed for 666,667 shares of Class A common stock for a commitment of $10.0 million, and (iii) entities affiliated with Magnetar subscribed for an aggregate of 10,000,000 shares of Class A common stock for an aggregate commitment of $150.0 million.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Relationships and Related Person Transactions of Lucid</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following sets forth transactions and series of similar transactions, since January 1, 2018, in which Lucid participated or will participate, in which (i) the amounts involved exceeded or will exceed $120,000, and (ii) any of Lucid’s then directors, executive officers, or holders of more than 5% of its capital stock at the time of such transaction, or any member of the immediate family of the foregoing persons, had or will have a direct or indirect material interest.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Agreements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Investors’ Rights Agreement</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Lucid entered into a third amended and restated investors’ rights agreement dated September 21, 2020 with certain of its preferred shareholders, including Ayar. The investors’ rights agreement grants registration rights, preemptive rights and information rights, among other things, to certain preferred shareholders, including Ayar. This agreement terminated upon the Closing.</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Right of First Refusal and Co-Sale Agreement</w:t>
      </w:r>
    </w:p>
    <w:p>
      <w:pPr>
        <w:spacing w:after="0" w:line="144"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7"/>
          <w:szCs w:val="17"/>
          <w:color w:val="auto"/>
        </w:rPr>
        <w:t>Lucid entered into a third amended and restated right of first refusal and co-sale agreement dated September 1, 2020 with certain of its preferred shareholders, including Ayar. The right of first refusal and co-sale agreement grants Ayar a right of first refusal and grants certain shareholders a right of co-sale in respect of certain sales of securities. This agreement terminated upon the Closing.</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Voting Agreement</w:t>
      </w:r>
    </w:p>
    <w:p>
      <w:pPr>
        <w:spacing w:after="0" w:line="15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Lucid entered into a third amended and restated voting agreement dated September 21, 2020 with certain of its preferred shareholders, including Ayar, pursuant to which such shareholders have agreed to vote in certain ways on certain matters, including with respect to the election of directors of Lucid. This agreement terminated upon the Closing, following which none of Lucid’s shareholders has any rights pursuant to this agreement with respect to the election or designation of members of our Board.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Preferred Share and Convertible Note Financings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Series D Financing</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In September 2018, Lucid and Ayar entered into a secured convertible loan agreement, a securities purchase agreement and certain other agreements (together, the “</w:t>
      </w:r>
      <w:r>
        <w:rPr>
          <w:rFonts w:ascii="Arial" w:cs="Arial" w:eastAsia="Arial" w:hAnsi="Arial"/>
          <w:sz w:val="17"/>
          <w:szCs w:val="17"/>
          <w:i w:val="1"/>
          <w:iCs w:val="1"/>
          <w:color w:val="auto"/>
        </w:rPr>
        <w:t>2018 Series D Agreements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2018 Series D Agreements, Lucid issued and sold $300.0 million aggregate principal amount of secured convertible notes (the “</w:t>
      </w:r>
      <w:r>
        <w:rPr>
          <w:rFonts w:ascii="Arial" w:cs="Arial" w:eastAsia="Arial" w:hAnsi="Arial"/>
          <w:sz w:val="17"/>
          <w:szCs w:val="17"/>
          <w:i w:val="1"/>
          <w:iCs w:val="1"/>
          <w:color w:val="auto"/>
        </w:rPr>
        <w:t>Convertible Notes</w:t>
      </w:r>
      <w:r>
        <w:rPr>
          <w:rFonts w:ascii="Arial" w:cs="Arial" w:eastAsia="Arial" w:hAnsi="Arial"/>
          <w:sz w:val="17"/>
          <w:szCs w:val="17"/>
          <w:color w:val="auto"/>
        </w:rPr>
        <w:t>”) to Ayar and granted Ayar a security interest in substantially all of its tangible and intangible property (the “</w:t>
      </w:r>
      <w:r>
        <w:rPr>
          <w:rFonts w:ascii="Arial" w:cs="Arial" w:eastAsia="Arial" w:hAnsi="Arial"/>
          <w:sz w:val="17"/>
          <w:szCs w:val="17"/>
          <w:i w:val="1"/>
          <w:iCs w:val="1"/>
          <w:color w:val="auto"/>
        </w:rPr>
        <w:t>Security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The Convertible Notes bore interest at a rate of 8% per annum. Under the 2018 Series D Agreements, the Convertible Notes (and any interest accruing thereon) automatically convert into Lucid Series D Preferred Shares at a conversion price of $6.41 per share upon satisfaction of certain conditions, including approval by the Committee on Foreign Investment in the</w:t>
      </w:r>
    </w:p>
    <w:p>
      <w:pPr>
        <w:spacing w:after="0" w:line="100"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United States (“</w:t>
      </w:r>
      <w:r>
        <w:rPr>
          <w:rFonts w:ascii="Arial" w:cs="Arial" w:eastAsia="Arial" w:hAnsi="Arial"/>
          <w:sz w:val="17"/>
          <w:szCs w:val="17"/>
          <w:i w:val="1"/>
          <w:iCs w:val="1"/>
          <w:color w:val="auto"/>
        </w:rPr>
        <w:t>CFIUS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Ayar agreed to subscribe for approximately $200.0 million in additional Lucid Series D Preferred Shares at $6.41 per share upon the conversion of the Convertible Notes and an additional amount of up to $800.0 million thereafter subject to the satisfaction of certain milestones.</w:t>
      </w:r>
    </w:p>
    <w:p>
      <w:pPr>
        <w:spacing w:after="0" w:line="96"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In April 2019, upon CFIUS approval and pursuant to the terms of the 2018 Series D Agreements, Ayar released the Security Interest, and Lucid issued and sold Ayar an aggregate of 79,343,833 Lucid Series D Preferred Shares, including (i) 48,142,585 Lucid Series D Preferred Shares issued at a conversion price of $6.41 per share upon conversion of the $300.0 million aggregate principal amount of the Convertible Notes and approximately $8.6 million in accrued and unpaid interest on the Convertible Notes and (ii) 31,201,248 Lucid Series D Preferred Shares issued at a purchase price of $6.41 per share for aggregate cash consideration of approximately $200.0 million.</w:t>
      </w:r>
    </w:p>
    <w:p>
      <w:pPr>
        <w:spacing w:after="0" w:line="123"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Pursuant to the 2018 Series D Agreements, upon the satisfaction of various milestones, Lucid issued and sold Ayar an aggregate of 124,804,992 additional Lucid Series D Preferred Shares in subsequent closings between June 2019 and June 2020 at a purchase price of $6.41 per share for aggregate cash consideration of approximately $800.0 million.</w:t>
      </w:r>
    </w:p>
    <w:p>
      <w:pPr>
        <w:spacing w:after="0" w:line="107"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The 2018 Series D Agreements also contemplated certain commercial arrangements which are now satisfied. In the 2018 Series D Agreements, Lucid and Ayar agreed to establish a partnership which would have been granted exclusive development, manufacturing, distribution and service capabilities in respect of Lucid’s products and services in Africa, Europe, the Middle East, and India and to negotiate in good faith a business plan that included a full production facility in the Kingdom of Saudi Arabia. In December 2020, Lucid’s board of directors, with the support of Ayar, decided to instead pursue a strategy that contemplates global sales and distribution and manufacturing of Lucid vehicles and other products in Asia-Pacific, the Middle East and potentially Europe through wholly owned subsidiaries of Lucid. As part of this strategy, Lucid’s business plan contemplates manufacturing facilities in Saudi Arabia and China. In connection with this decision, Lucid has satisfied its applicable obligations under the 2018 Series D Agreements.</w:t>
      </w:r>
    </w:p>
    <w:p>
      <w:pPr>
        <w:spacing w:after="0" w:line="113" w:lineRule="exact"/>
        <w:rPr>
          <w:sz w:val="20"/>
          <w:szCs w:val="20"/>
          <w:color w:val="auto"/>
        </w:rPr>
      </w:pPr>
    </w:p>
    <w:p>
      <w:pPr>
        <w:ind w:left="1260" w:right="639" w:firstLine="360"/>
        <w:spacing w:after="0" w:line="291" w:lineRule="auto"/>
        <w:rPr>
          <w:sz w:val="20"/>
          <w:szCs w:val="20"/>
          <w:color w:val="auto"/>
        </w:rPr>
      </w:pPr>
      <w:r>
        <w:rPr>
          <w:rFonts w:ascii="Arial" w:cs="Arial" w:eastAsia="Arial" w:hAnsi="Arial"/>
          <w:sz w:val="17"/>
          <w:szCs w:val="17"/>
          <w:color w:val="auto"/>
        </w:rPr>
        <w:t>In connection with the Transactions, each Lucid Series D Preferred Share held by Ayar automatically converted into one Lucid Common Share and was exchanged for the per share Merger Consideration.</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Series E Financing</w:t>
      </w:r>
    </w:p>
    <w:p>
      <w:pPr>
        <w:spacing w:after="0" w:line="144"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In September 2020, Lucid and Ayar entered into a preferred share purchase agreement (the “</w:t>
      </w:r>
      <w:r>
        <w:rPr>
          <w:rFonts w:ascii="Arial" w:cs="Arial" w:eastAsia="Arial" w:hAnsi="Arial"/>
          <w:sz w:val="18"/>
          <w:szCs w:val="18"/>
          <w:i w:val="1"/>
          <w:iCs w:val="1"/>
          <w:color w:val="auto"/>
        </w:rPr>
        <w:t>Series 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Pursuant to the Series E Agreement, Lucid issued and sold Ayar an aggregate of 113,877,589</w:t>
      </w:r>
      <w:r>
        <w:rPr>
          <w:rFonts w:ascii="Arial" w:cs="Arial" w:eastAsia="Arial" w:hAnsi="Arial"/>
          <w:sz w:val="18"/>
          <w:szCs w:val="18"/>
          <w:i w:val="1"/>
          <w:iCs w:val="1"/>
          <w:color w:val="auto"/>
        </w:rPr>
        <w:t xml:space="preserve"> </w:t>
      </w:r>
      <w:r>
        <w:rPr>
          <w:rFonts w:ascii="Arial" w:cs="Arial" w:eastAsia="Arial" w:hAnsi="Arial"/>
          <w:sz w:val="18"/>
          <w:szCs w:val="18"/>
          <w:color w:val="auto"/>
        </w:rPr>
        <w:t>Lucid Series E Preferred Shares in two closings in September and December 2020 at a purchase price of approximately $7.90 per share (the “</w:t>
      </w:r>
      <w:r>
        <w:rPr>
          <w:rFonts w:ascii="Arial" w:cs="Arial" w:eastAsia="Arial" w:hAnsi="Arial"/>
          <w:sz w:val="18"/>
          <w:szCs w:val="18"/>
          <w:i w:val="1"/>
          <w:iCs w:val="1"/>
          <w:color w:val="auto"/>
        </w:rPr>
        <w:t>Series E Price</w:t>
      </w:r>
      <w:r>
        <w:rPr>
          <w:rFonts w:ascii="Arial" w:cs="Arial" w:eastAsia="Arial" w:hAnsi="Arial"/>
          <w:sz w:val="18"/>
          <w:szCs w:val="18"/>
          <w:color w:val="auto"/>
        </w:rPr>
        <w:t>”) for aggregate cash consideration of approximately $900.0 million.</w:t>
      </w:r>
    </w:p>
    <w:p>
      <w:pPr>
        <w:spacing w:after="0" w:line="122"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In February 2021, Lucid and Ayar entered into an amendment to the Series E Agreement (the “</w:t>
      </w:r>
      <w:r>
        <w:rPr>
          <w:rFonts w:ascii="Arial" w:cs="Arial" w:eastAsia="Arial" w:hAnsi="Arial"/>
          <w:sz w:val="17"/>
          <w:szCs w:val="17"/>
          <w:i w:val="1"/>
          <w:iCs w:val="1"/>
          <w:color w:val="auto"/>
        </w:rPr>
        <w:t>Series E</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w:t>
      </w:r>
      <w:r>
        <w:rPr>
          <w:rFonts w:ascii="Arial" w:cs="Arial" w:eastAsia="Arial" w:hAnsi="Arial"/>
          <w:sz w:val="17"/>
          <w:szCs w:val="17"/>
          <w:color w:val="auto"/>
        </w:rPr>
        <w:t>”), pursuant to which Lucid agreed to issue and sell an additional 75,918,392 Lucid Series 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Shares (the “</w:t>
      </w:r>
      <w:r>
        <w:rPr>
          <w:rFonts w:ascii="Arial" w:cs="Arial" w:eastAsia="Arial" w:hAnsi="Arial"/>
          <w:sz w:val="17"/>
          <w:szCs w:val="17"/>
          <w:i w:val="1"/>
          <w:iCs w:val="1"/>
          <w:color w:val="auto"/>
        </w:rPr>
        <w:t>Extension Amount</w:t>
      </w:r>
      <w:r>
        <w:rPr>
          <w:rFonts w:ascii="Arial" w:cs="Arial" w:eastAsia="Arial" w:hAnsi="Arial"/>
          <w:sz w:val="17"/>
          <w:szCs w:val="17"/>
          <w:color w:val="auto"/>
        </w:rPr>
        <w:t xml:space="preserve"> ”) at the Series E Price for aggregate cash consideration of approximately $600.0 million to (i) Ayar and (ii) holders of Lucid’s preferred shares other than Ayar as of March 1, 2021 (collectively, “</w:t>
      </w:r>
      <w:r>
        <w:rPr>
          <w:rFonts w:ascii="Arial" w:cs="Arial" w:eastAsia="Arial" w:hAnsi="Arial"/>
          <w:sz w:val="17"/>
          <w:szCs w:val="17"/>
          <w:i w:val="1"/>
          <w:iCs w:val="1"/>
          <w:color w:val="auto"/>
        </w:rPr>
        <w:t>Eligible Holders</w:t>
      </w:r>
      <w:r>
        <w:rPr>
          <w:rFonts w:ascii="Arial" w:cs="Arial" w:eastAsia="Arial" w:hAnsi="Arial"/>
          <w:sz w:val="17"/>
          <w:szCs w:val="17"/>
          <w:color w:val="auto"/>
        </w:rPr>
        <w:t>”) that elect to participate in a rights offering, in each case based on their respective pro rata share of the Extension Amount. Eligible Holders received a right of over allocation to the extent the aggregate pro rata share for Eligible Holders was not taken up. Lucid was also granted discretion to offer Lucid Series E Preferred Shares to Lucid’s senior management employees, directors, consultants, advisors, contractors, and others, subject to compliance with applicable securities laws and Ayar’s approval as to the identity of such person and the number of shares offered (each, an “</w:t>
      </w:r>
      <w:r>
        <w:rPr>
          <w:rFonts w:ascii="Arial" w:cs="Arial" w:eastAsia="Arial" w:hAnsi="Arial"/>
          <w:sz w:val="17"/>
          <w:szCs w:val="17"/>
          <w:i w:val="1"/>
          <w:iCs w:val="1"/>
          <w:color w:val="auto"/>
        </w:rPr>
        <w:t>Additional Purchaser</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Ayar committed to purchase the entire Extension Amount to the extent not subscribed by Eligible Holders or Additional Purchasers.</w:t>
      </w:r>
    </w:p>
    <w:p>
      <w:pPr>
        <w:spacing w:after="0" w:line="11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Upon the execution of the Series E Amendment, Lucid issued and sold Ayar 50,612,262 Lucid Series E Preferred Shares at the Series E Price for cash consideration of approximately $400.0 million. In early April 2021, Lucid issued and sold an additional 25,306,130 Lucid Series E Preferred Shares at the Series E Price for cash consideration of approximately $200.0 million as follows: (i) to Eligible Holders (not including Ayar) pursuant to a rights offering for an aggregate of 8,977,769 Lucid Series E Preferred Shares (representing such Eligible Holders’ aggregate pro rata share of the Extension Amount); (ii) to certain Additional Purchasers (comprised of directors, senior management of Lucid, and certain other individuals), an aggregate of 6,026,345 Lucid Series E Preferred Shares including 202,449 Lucid Series E Preferred Shares each to Andrew Liveris, Peter Rawlinson, and Xiaobing Chen (a current director of Lucid), 1,741,526 Lucid Series E Preferred Shares to H.E. Yasir Othman Al-Rumayyan, 782,957 Lucid Series E Preferred Shares to Turqi Alnowaiser, 20,000 Lucid Series E Preferred Shares to Tony Posawatz, 221,428 Lucid Series E Preferred Shares to Eric Bach, 37,959 Lucid Series E Preferred Shares to Michael Bell and 45,000 Lucid Series E Preferred Shares to Michael Smuts; and (iii) to Ayar, an aggregate of 10,302,016 Lucid Series E Preferred Shares pursuant to Ayar’s commitment to purchase any Lucid Series E Preferred Shares not purchased by Eligible Holders or Additional Purchasers.</w:t>
      </w:r>
    </w:p>
    <w:p>
      <w:pPr>
        <w:spacing w:after="0" w:line="106"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In connection with the Transactions, each Lucid Series E Preferred Share automatically converted into one Lucid Common Share and was exchanged for the per share Merger Consideration.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Separation Agreements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Doug Haslam</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January 2019, Lucid entered into a separation agreement and release of claims with Doug Haslam, its former Vice President of Human Resources and Secretary. Pursuant to this agreement, Mr. Haslam agreed to resign from his positions with Lucid and executed a general release of claims, and Lucid agreed to provide certain severance benefits, including (i) a lump sum payment of $127,500, (ii) continued benefits eligibility for a period of up to six months and (iii) accelerated vesting of a previously granted option to purchase 150,000 Lucid Common Shares.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Sam Weng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April 2019, Lucid entered into a resignation agreement and release of claims with Sam Weng, its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former Chief Executive Officer and a former member of Lucid’s board of directors. Pursuant to this</w:t>
      </w:r>
    </w:p>
    <w:p>
      <w:pPr>
        <w:ind w:left="1260"/>
        <w:spacing w:after="0" w:line="234" w:lineRule="auto"/>
        <w:rPr>
          <w:sz w:val="20"/>
          <w:szCs w:val="20"/>
          <w:color w:val="auto"/>
        </w:rPr>
      </w:pPr>
      <w:r>
        <w:rPr>
          <w:rFonts w:ascii="Arial" w:cs="Arial" w:eastAsia="Arial" w:hAnsi="Arial"/>
          <w:sz w:val="18"/>
          <w:szCs w:val="18"/>
          <w:color w:val="auto"/>
        </w:rPr>
        <w:t>agreement, Mr. Weng agreed to resign from his positions with Lucid and executed a general release of</w:t>
      </w:r>
    </w:p>
    <w:p>
      <w:pPr>
        <w:ind w:left="1260"/>
        <w:spacing w:after="0" w:line="235" w:lineRule="auto"/>
        <w:rPr>
          <w:sz w:val="20"/>
          <w:szCs w:val="20"/>
          <w:color w:val="auto"/>
        </w:rPr>
      </w:pPr>
      <w:r>
        <w:rPr>
          <w:rFonts w:ascii="Arial" w:cs="Arial" w:eastAsia="Arial" w:hAnsi="Arial"/>
          <w:sz w:val="18"/>
          <w:szCs w:val="18"/>
          <w:color w:val="auto"/>
        </w:rPr>
        <w:t>claims, and Lucid agreed to provide certain severance benefits, including (i) a lump sum payment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$350,000, (ii) continued benefits eligibility for a period of up to one year, (iii) grant of an option to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1,500,000</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94" w:lineRule="auto"/>
        <w:rPr>
          <w:sz w:val="20"/>
          <w:szCs w:val="20"/>
          <w:color w:val="auto"/>
        </w:rPr>
      </w:pPr>
      <w:r>
        <w:rPr>
          <w:rFonts w:ascii="Arial" w:cs="Arial" w:eastAsia="Arial" w:hAnsi="Arial"/>
          <w:sz w:val="16"/>
          <w:szCs w:val="16"/>
          <w:color w:val="auto"/>
        </w:rPr>
        <w:t>Lucid Common Shares at an exercise price of $2.19 per share, with accelerated vesting such that 1,156,250 shares subject to such option became vested upon Mr. Weng’s resignation and (iv) accelerated vesting of 41,667 unvested shares subject to a previously granted option to purchase 250,000 Lucid Common Shares.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Investment Fund Training Program</w:t>
      </w:r>
    </w:p>
    <w:p>
      <w:pPr>
        <w:spacing w:after="0" w:line="144"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In 2019, Lucid and PIF, an affiliate of Ayar, entered into an agreement to implement a recruitment and talent development program pursuant to which Lucid agreed to evaluate, employ and train participants nominated by PIF for six-month internships, and PIF agreed to reimburse Lucid for expenses related to participant wages, visa fees, medical insurance, airfare and housing incurred by Lucid. Lucid was reimbursed a total of $709,000 by PIF for such expenses in connection with the program from its 2019 initiation until its termination in 2020.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158" w:lineRule="exact"/>
        <w:rPr>
          <w:sz w:val="20"/>
          <w:szCs w:val="20"/>
          <w:color w:val="auto"/>
        </w:rPr>
      </w:pPr>
    </w:p>
    <w:p>
      <w:pPr>
        <w:ind w:left="1260" w:right="839" w:firstLine="360"/>
        <w:spacing w:after="0" w:line="241" w:lineRule="auto"/>
        <w:rPr>
          <w:sz w:val="20"/>
          <w:szCs w:val="20"/>
          <w:color w:val="auto"/>
        </w:rPr>
      </w:pPr>
      <w:r>
        <w:rPr>
          <w:rFonts w:ascii="Arial" w:cs="Arial" w:eastAsia="Arial" w:hAnsi="Arial"/>
          <w:sz w:val="18"/>
          <w:szCs w:val="18"/>
          <w:color w:val="auto"/>
        </w:rPr>
        <w:t>On July 14, 2021, a subsidiary of Lucid entered into a master services agreement with Emdad Al Khebrat Limited Company (“</w:t>
      </w:r>
      <w:r>
        <w:rPr>
          <w:rFonts w:ascii="Arial" w:cs="Arial" w:eastAsia="Arial" w:hAnsi="Arial"/>
          <w:sz w:val="18"/>
          <w:szCs w:val="18"/>
          <w:i w:val="1"/>
          <w:iCs w:val="1"/>
          <w:color w:val="auto"/>
        </w:rPr>
        <w:t>Emdad</w:t>
      </w:r>
      <w:r>
        <w:rPr>
          <w:rFonts w:ascii="Arial" w:cs="Arial" w:eastAsia="Arial" w:hAnsi="Arial"/>
          <w:sz w:val="18"/>
          <w:szCs w:val="18"/>
          <w:color w:val="auto"/>
        </w:rPr>
        <w:t>”), an entity wholly owned by PIF, the parent entity of Ayar, our majority stockholder. Pursuant to the agreement, Emdad will provide direct hire and contractor staffing services to us. We expect to make payments under the agreement of approximately $9 million in the aggregate in 2021.</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Proposed Public Investment Fund Internship Agreement</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We expect to enter into a proposed agreement with PIF, the parent entity of Ayar, our majority stockholder, to implement a recruitment and talent development program pursuant to which we would evaluate, employ and train participants nominated by PIF during six-month internships, and PIF would reimburse us for expenses related to participant wages, visa fees, medical insurance, airfare and housing incurred by us. We expect to be reimbursed by PIF in an aggregate of $1 million in 2021 for such expenses.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Officer and Director Compensation Arrangements</w:t>
      </w:r>
    </w:p>
    <w:p>
      <w:pPr>
        <w:spacing w:after="0" w:line="144" w:lineRule="exact"/>
        <w:rPr>
          <w:sz w:val="20"/>
          <w:szCs w:val="20"/>
          <w:color w:val="auto"/>
        </w:rPr>
      </w:pPr>
    </w:p>
    <w:p>
      <w:pPr>
        <w:ind w:left="1260" w:right="1099" w:firstLine="360"/>
        <w:spacing w:after="0" w:line="270" w:lineRule="auto"/>
        <w:rPr>
          <w:sz w:val="20"/>
          <w:szCs w:val="20"/>
          <w:color w:val="auto"/>
        </w:rPr>
      </w:pPr>
      <w:r>
        <w:rPr>
          <w:rFonts w:ascii="Arial" w:cs="Arial" w:eastAsia="Arial" w:hAnsi="Arial"/>
          <w:sz w:val="17"/>
          <w:szCs w:val="17"/>
          <w:color w:val="auto"/>
        </w:rPr>
        <w:t xml:space="preserve">See “ </w:t>
      </w:r>
      <w:r>
        <w:rPr>
          <w:rFonts w:ascii="Arial" w:cs="Arial" w:eastAsia="Arial" w:hAnsi="Arial"/>
          <w:sz w:val="17"/>
          <w:szCs w:val="17"/>
          <w:i w:val="1"/>
          <w:iCs w:val="1"/>
          <w:color w:val="auto"/>
        </w:rPr>
        <w:t>Executive Compensation</w:t>
      </w:r>
      <w:r>
        <w:rPr>
          <w:rFonts w:ascii="Arial" w:cs="Arial" w:eastAsia="Arial" w:hAnsi="Arial"/>
          <w:sz w:val="17"/>
          <w:szCs w:val="17"/>
          <w:color w:val="auto"/>
        </w:rPr>
        <w:t>” for information regarding compensation arrangements with our executive officers and directors, which include, among other things, employment, termination of employment and change in control arrangements, stock awards and certain other benefits.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and Executive Officer Indemnification</w:t>
      </w:r>
    </w:p>
    <w:p>
      <w:pPr>
        <w:spacing w:after="0" w:line="15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Lucid’s memorandum and articles of association provided, and our current certificate of incorporation and our current bylaws provide, for indemnification for directors and certain officers to the fullest extent permitted by law. Lucid previously entered and, in connection with the Closing, we entered into indemnification agreements with each director and executive officer and certain other officers. Such agreements provide among other things, the officers and directors of Lucid or Lucid Group, respectively, with contractual rights to indemnification, expense advancement and reimbursement, to the fullest extent permitted by law, including to the extent they serve at Lucid’s or Lucid Group’s request as directors, officers, employees or other agents of any other affiliated entity, to the fullest extent permitted by law.</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Lucid Group or any of its subsidiaries was, is or will be a participant, the amount of which involved exceeds $120,000, and in which any related person had, has or will have a direct or indirect material interest. A “related person” means:</w:t>
      </w:r>
    </w:p>
    <w:p>
      <w:pPr>
        <w:spacing w:after="0" w:line="52" w:lineRule="exact"/>
        <w:rPr>
          <w:sz w:val="20"/>
          <w:szCs w:val="20"/>
          <w:color w:val="auto"/>
        </w:rPr>
      </w:pPr>
    </w:p>
    <w:p>
      <w:pPr>
        <w:ind w:left="1800" w:right="579" w:hanging="180"/>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Lucid Group’s executive officers or directors;</w:t>
      </w:r>
    </w:p>
    <w:p>
      <w:pPr>
        <w:spacing w:after="0" w:line="62"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person who is known by Lucid Group to be the beneficial owner of more than 5% of Lucid Group’s voting stock;</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55"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Lucid Group’s voting stock, and any person (other than a tenant or employee) sharing the household of such director, executive officer or beneficial owner of more than 5% of Lucid Group’s voting stock; and</w:t>
      </w:r>
    </w:p>
    <w:p>
      <w:pPr>
        <w:spacing w:after="0" w:line="84" w:lineRule="exact"/>
        <w:rPr>
          <w:rFonts w:ascii="Arial" w:cs="Arial" w:eastAsia="Arial" w:hAnsi="Arial"/>
          <w:sz w:val="18"/>
          <w:szCs w:val="18"/>
          <w:color w:val="auto"/>
        </w:rPr>
      </w:pPr>
    </w:p>
    <w:p>
      <w:pPr>
        <w:jc w:val="both"/>
        <w:ind w:left="1800" w:right="579" w:hanging="180"/>
        <w:spacing w:after="0" w:line="308"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a partner or principal, or in a similar position, or in which such person has a 10% or greater beneficial ownership interest.</w:t>
      </w:r>
    </w:p>
    <w:p>
      <w:pPr>
        <w:spacing w:after="0" w:line="65"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Lucid Group has policies and procedures designed to minimize potential conflicts of interest arising from any dealings it may have with its affiliates and to provide appropriate procedures for the disclosure of any actual or potential conflicts of interest that may exist from time to time. Specifically, pursuant to its audit committee charter, Lucid Group’s audit committee has the responsibility to review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BENEFICIAL OWNERSHIP OF SECURITIES</w:t>
      </w:r>
    </w:p>
    <w:p>
      <w:pPr>
        <w:spacing w:after="0" w:line="148"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The following table sets forth information known to us regarding the beneficial ownership of Class A common stock immediately following consummation of the Transactions the Closing Date by:</w:t>
      </w:r>
    </w:p>
    <w:p>
      <w:pPr>
        <w:spacing w:after="0" w:line="39" w:lineRule="exact"/>
        <w:rPr>
          <w:sz w:val="20"/>
          <w:szCs w:val="20"/>
          <w:color w:val="auto"/>
        </w:rPr>
      </w:pPr>
    </w:p>
    <w:p>
      <w:pPr>
        <w:ind w:left="1800" w:right="979" w:hanging="180"/>
        <w:spacing w:after="0" w:line="277"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Class A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08" w:lineRule="exact"/>
        <w:rPr>
          <w:sz w:val="20"/>
          <w:szCs w:val="20"/>
          <w:color w:val="auto"/>
        </w:rPr>
      </w:pPr>
    </w:p>
    <w:p>
      <w:pPr>
        <w:jc w:val="both"/>
        <w:ind w:left="1260" w:right="959" w:firstLine="360"/>
        <w:spacing w:after="0" w:line="243" w:lineRule="auto"/>
        <w:rPr>
          <w:sz w:val="20"/>
          <w:szCs w:val="20"/>
          <w:color w:val="auto"/>
        </w:rPr>
      </w:pPr>
      <w:r>
        <w:rPr>
          <w:rFonts w:ascii="Arial" w:cs="Arial" w:eastAsia="Arial" w:hAnsi="Arial"/>
          <w:sz w:val="18"/>
          <w:szCs w:val="18"/>
          <w:color w:val="auto"/>
        </w:rPr>
        <w:t>The beneficial ownership of Class A common stock is based on 1,618,621,534 shares of Class A common stock issued and outstanding immediately following consummation of the Transactions. The amount of shares of Class A common stock excludes the 21,644 shares that were validly redeemed in connection with the Merger.</w:t>
      </w:r>
    </w:p>
    <w:p>
      <w:pPr>
        <w:sectPr>
          <w:pgSz w:w="11900" w:h="16838" w:orient="portrait"/>
          <w:cols w:equalWidth="0" w:num="1">
            <w:col w:w="9879"/>
          </w:cols>
          <w:pgMar w:left="580" w:top="131" w:right="1440" w:bottom="1440" w:gutter="0" w:footer="0" w:header="0"/>
        </w:sectPr>
      </w:pP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46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i w:val="1"/>
          <w:iCs w:val="1"/>
          <w:color w:val="auto"/>
        </w:rPr>
        <w:t>Five Percent Holders:</w:t>
      </w:r>
    </w:p>
    <w:p>
      <w:pPr>
        <w:ind w:left="1260"/>
        <w:spacing w:after="0" w:line="184" w:lineRule="auto"/>
        <w:rPr>
          <w:sz w:val="20"/>
          <w:szCs w:val="20"/>
          <w:color w:val="auto"/>
        </w:rPr>
      </w:pPr>
      <w:r>
        <w:rPr>
          <w:rFonts w:ascii="Arial" w:cs="Arial" w:eastAsia="Arial" w:hAnsi="Arial"/>
          <w:sz w:val="18"/>
          <w:szCs w:val="18"/>
          <w:color w:val="auto"/>
        </w:rPr>
        <w:t>Churchill Sponsor IV LLC</w:t>
      </w:r>
      <w:r>
        <w:rPr>
          <w:rFonts w:ascii="Arial" w:cs="Arial" w:eastAsia="Arial" w:hAnsi="Arial"/>
          <w:sz w:val="26"/>
          <w:szCs w:val="26"/>
          <w:color w:val="auto"/>
          <w:vertAlign w:val="superscript"/>
        </w:rPr>
        <w:t>(2)</w:t>
      </w:r>
    </w:p>
    <w:p>
      <w:pPr>
        <w:ind w:left="1260"/>
        <w:spacing w:after="0" w:line="217" w:lineRule="auto"/>
        <w:rPr>
          <w:sz w:val="20"/>
          <w:szCs w:val="20"/>
          <w:color w:val="auto"/>
        </w:rPr>
      </w:pPr>
      <w:r>
        <w:rPr>
          <w:rFonts w:ascii="Arial" w:cs="Arial" w:eastAsia="Arial" w:hAnsi="Arial"/>
          <w:sz w:val="18"/>
          <w:szCs w:val="18"/>
          <w:color w:val="auto"/>
        </w:rPr>
        <w:t>The Public Investment Fund</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5212080"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line="203" w:lineRule="auto"/>
        <w:rPr>
          <w:sz w:val="20"/>
          <w:szCs w:val="20"/>
          <w:color w:val="auto"/>
        </w:rPr>
      </w:pPr>
      <w:r>
        <w:rPr>
          <w:rFonts w:ascii="Arial" w:cs="Arial" w:eastAsia="Arial" w:hAnsi="Arial"/>
          <w:sz w:val="18"/>
          <w:szCs w:val="18"/>
          <w:i w:val="1"/>
          <w:iCs w:val="1"/>
          <w:color w:val="auto"/>
        </w:rPr>
        <w:t>Named Executive Officers and Directors:</w:t>
      </w:r>
    </w:p>
    <w:p>
      <w:pPr>
        <w:ind w:left="1260"/>
        <w:spacing w:after="0" w:line="184" w:lineRule="auto"/>
        <w:rPr>
          <w:sz w:val="20"/>
          <w:szCs w:val="20"/>
          <w:color w:val="auto"/>
        </w:rPr>
      </w:pPr>
      <w:r>
        <w:rPr>
          <w:rFonts w:ascii="Arial" w:cs="Arial" w:eastAsia="Arial" w:hAnsi="Arial"/>
          <w:sz w:val="18"/>
          <w:szCs w:val="18"/>
          <w:color w:val="auto"/>
        </w:rPr>
        <w:t>Peter Rawlinson</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146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line="184" w:lineRule="auto"/>
        <w:rPr>
          <w:sz w:val="20"/>
          <w:szCs w:val="20"/>
          <w:color w:val="auto"/>
        </w:rPr>
      </w:pPr>
      <w:r>
        <w:rPr>
          <w:rFonts w:ascii="Arial" w:cs="Arial" w:eastAsia="Arial" w:hAnsi="Arial"/>
          <w:sz w:val="18"/>
          <w:szCs w:val="18"/>
          <w:color w:val="auto"/>
        </w:rPr>
        <w:t>Eric Bach</w:t>
      </w:r>
      <w:r>
        <w:rPr>
          <w:rFonts w:ascii="Arial" w:cs="Arial" w:eastAsia="Arial" w:hAnsi="Arial"/>
          <w:sz w:val="26"/>
          <w:szCs w:val="26"/>
          <w:color w:val="auto"/>
          <w:vertAlign w:val="superscript"/>
        </w:rPr>
        <w:t>(5)</w:t>
      </w:r>
    </w:p>
    <w:p>
      <w:pPr>
        <w:ind w:left="1260"/>
        <w:spacing w:after="0" w:line="195" w:lineRule="auto"/>
        <w:rPr>
          <w:sz w:val="20"/>
          <w:szCs w:val="20"/>
          <w:color w:val="auto"/>
        </w:rPr>
      </w:pPr>
      <w:r>
        <w:rPr>
          <w:rFonts w:ascii="Arial" w:cs="Arial" w:eastAsia="Arial" w:hAnsi="Arial"/>
          <w:sz w:val="18"/>
          <w:szCs w:val="18"/>
          <w:color w:val="auto"/>
        </w:rPr>
        <w:t>Michael Smuts</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5212080" cy="146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line="195" w:lineRule="auto"/>
        <w:rPr>
          <w:sz w:val="20"/>
          <w:szCs w:val="20"/>
          <w:color w:val="auto"/>
        </w:rPr>
      </w:pPr>
      <w:r>
        <w:rPr>
          <w:rFonts w:ascii="Arial" w:cs="Arial" w:eastAsia="Arial" w:hAnsi="Arial"/>
          <w:sz w:val="18"/>
          <w:szCs w:val="18"/>
          <w:color w:val="auto"/>
        </w:rPr>
        <w:t>Turqi Alnowaiser</w:t>
      </w:r>
      <w:r>
        <w:rPr>
          <w:rFonts w:ascii="Arial" w:cs="Arial" w:eastAsia="Arial" w:hAnsi="Arial"/>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195" w:lineRule="auto"/>
        <w:rPr>
          <w:sz w:val="20"/>
          <w:szCs w:val="20"/>
          <w:color w:val="auto"/>
        </w:rPr>
      </w:pPr>
      <w:r>
        <w:rPr>
          <w:rFonts w:ascii="Arial" w:cs="Arial" w:eastAsia="Arial" w:hAnsi="Arial"/>
          <w:sz w:val="18"/>
          <w:szCs w:val="18"/>
          <w:color w:val="auto"/>
        </w:rPr>
        <w:t>Glenn R. August</w:t>
      </w:r>
      <w:r>
        <w:rPr>
          <w:rFonts w:ascii="Arial" w:cs="Arial" w:eastAsia="Arial" w:hAnsi="Arial"/>
          <w:sz w:val="26"/>
          <w:szCs w:val="26"/>
          <w:color w:val="auto"/>
          <w:vertAlign w:val="superscript"/>
        </w:rPr>
        <w:t>(8)</w:t>
      </w:r>
    </w:p>
    <w:p>
      <w:pPr>
        <w:ind w:left="1260"/>
        <w:spacing w:after="0" w:line="228" w:lineRule="auto"/>
        <w:rPr>
          <w:sz w:val="20"/>
          <w:szCs w:val="20"/>
          <w:color w:val="auto"/>
        </w:rPr>
      </w:pPr>
      <w:r>
        <w:rPr>
          <w:rFonts w:ascii="Arial" w:cs="Arial" w:eastAsia="Arial" w:hAnsi="Arial"/>
          <w:sz w:val="18"/>
          <w:szCs w:val="18"/>
          <w:color w:val="auto"/>
        </w:rPr>
        <w:t>Nancy Gioia</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-25400</wp:posOffset>
            </wp:positionV>
            <wp:extent cx="5212080" cy="145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line="219" w:lineRule="auto"/>
        <w:rPr>
          <w:sz w:val="20"/>
          <w:szCs w:val="20"/>
          <w:color w:val="auto"/>
        </w:rPr>
      </w:pPr>
      <w:r>
        <w:rPr>
          <w:rFonts w:ascii="Arial" w:cs="Arial" w:eastAsia="Arial" w:hAnsi="Arial"/>
          <w:sz w:val="18"/>
          <w:szCs w:val="18"/>
          <w:color w:val="auto"/>
        </w:rPr>
        <w:t>Frank Lindenberg</w:t>
      </w:r>
    </w:p>
    <w:p>
      <w:pPr>
        <w:ind w:left="1260"/>
        <w:spacing w:after="0" w:line="228" w:lineRule="auto"/>
        <w:rPr>
          <w:sz w:val="20"/>
          <w:szCs w:val="20"/>
          <w:color w:val="auto"/>
        </w:rPr>
      </w:pPr>
      <w:r>
        <w:rPr>
          <w:rFonts w:ascii="Arial" w:cs="Arial" w:eastAsia="Arial" w:hAnsi="Arial"/>
          <w:sz w:val="18"/>
          <w:szCs w:val="18"/>
          <w:color w:val="auto"/>
        </w:rPr>
        <w:t>Andrew Liveris</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45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Nichelle Maynard-Elliott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Tony Posawatz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46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Janet Wong</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 executive officers and directors as a group (12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141605</wp:posOffset>
            </wp:positionV>
            <wp:extent cx="12344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1" w:lineRule="exact"/>
        <w:rPr>
          <w:sz w:val="20"/>
          <w:szCs w:val="20"/>
          <w:color w:val="auto"/>
        </w:rPr>
      </w:pPr>
    </w:p>
    <w:p>
      <w:pPr>
        <w:ind w:left="1620" w:hanging="360"/>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Number of Shares</w:t>
      </w:r>
      <w:r>
        <w:rPr>
          <w:sz w:val="20"/>
          <w:szCs w:val="20"/>
          <w:color w:val="auto"/>
        </w:rPr>
        <w:tab/>
      </w:r>
      <w:r>
        <w:rPr>
          <w:rFonts w:ascii="Arial" w:cs="Arial" w:eastAsia="Arial" w:hAnsi="Arial"/>
          <w:sz w:val="12"/>
          <w:szCs w:val="12"/>
          <w:b w:val="1"/>
          <w:bCs w:val="1"/>
          <w:color w:val="auto"/>
        </w:rPr>
        <w:t>Percent Owned</w:t>
      </w:r>
    </w:p>
    <w:p>
      <w:pPr>
        <w:spacing w:after="0" w:line="293" w:lineRule="exact"/>
        <w:rPr>
          <w:sz w:val="20"/>
          <w:szCs w:val="20"/>
          <w:color w:val="auto"/>
        </w:rPr>
      </w:pPr>
    </w:p>
    <w:p>
      <w:pPr>
        <w:ind w:left="240"/>
        <w:spacing w:after="0"/>
        <w:tabs>
          <w:tab w:leader="none" w:pos="1660" w:val="left"/>
        </w:tabs>
        <w:rPr>
          <w:sz w:val="20"/>
          <w:szCs w:val="20"/>
          <w:color w:val="auto"/>
        </w:rPr>
      </w:pPr>
      <w:r>
        <w:rPr>
          <w:rFonts w:ascii="Arial" w:cs="Arial" w:eastAsia="Arial" w:hAnsi="Arial"/>
          <w:sz w:val="18"/>
          <w:szCs w:val="18"/>
          <w:color w:val="auto"/>
        </w:rPr>
        <w:t>96,100,000</w:t>
      </w:r>
      <w:r>
        <w:rPr>
          <w:sz w:val="20"/>
          <w:szCs w:val="20"/>
          <w:color w:val="auto"/>
        </w:rPr>
        <w:tab/>
      </w:r>
      <w:r>
        <w:rPr>
          <w:rFonts w:ascii="Arial" w:cs="Arial" w:eastAsia="Arial" w:hAnsi="Arial"/>
          <w:sz w:val="18"/>
          <w:szCs w:val="18"/>
          <w:color w:val="auto"/>
        </w:rPr>
        <w:t>5.9%</w:t>
      </w:r>
    </w:p>
    <w:p>
      <w:pPr>
        <w:spacing w:after="0" w:line="23"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1,015,252,523</w:t>
      </w:r>
      <w:r>
        <w:rPr>
          <w:sz w:val="20"/>
          <w:szCs w:val="20"/>
          <w:color w:val="auto"/>
        </w:rPr>
        <w:tab/>
      </w:r>
      <w:r>
        <w:rPr>
          <w:rFonts w:ascii="Arial" w:cs="Arial" w:eastAsia="Arial" w:hAnsi="Arial"/>
          <w:sz w:val="18"/>
          <w:szCs w:val="18"/>
          <w:color w:val="auto"/>
        </w:rPr>
        <w:t>62.7%</w:t>
      </w:r>
    </w:p>
    <w:p>
      <w:pPr>
        <w:spacing w:after="0" w:line="238" w:lineRule="exact"/>
        <w:rPr>
          <w:sz w:val="20"/>
          <w:szCs w:val="20"/>
          <w:color w:val="auto"/>
        </w:rPr>
      </w:pPr>
    </w:p>
    <w:p>
      <w:pPr>
        <w:ind w:left="240"/>
        <w:spacing w:after="0"/>
        <w:tabs>
          <w:tab w:leader="none" w:pos="1800" w:val="left"/>
        </w:tabs>
        <w:rPr>
          <w:sz w:val="20"/>
          <w:szCs w:val="20"/>
          <w:color w:val="auto"/>
        </w:rPr>
      </w:pPr>
      <w:r>
        <w:rPr>
          <w:rFonts w:ascii="Arial" w:cs="Arial" w:eastAsia="Arial" w:hAnsi="Arial"/>
          <w:sz w:val="18"/>
          <w:szCs w:val="18"/>
          <w:color w:val="auto"/>
        </w:rPr>
        <w:t>13,127,090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20"/>
        <w:spacing w:after="0"/>
        <w:tabs>
          <w:tab w:leader="none" w:pos="1800" w:val="left"/>
        </w:tabs>
        <w:rPr>
          <w:sz w:val="20"/>
          <w:szCs w:val="20"/>
          <w:color w:val="auto"/>
        </w:rPr>
      </w:pPr>
      <w:r>
        <w:rPr>
          <w:rFonts w:ascii="Arial" w:cs="Arial" w:eastAsia="Arial" w:hAnsi="Arial"/>
          <w:sz w:val="18"/>
          <w:szCs w:val="18"/>
          <w:color w:val="auto"/>
        </w:rPr>
        <w:t>2,669,807</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8"/>
          <w:szCs w:val="18"/>
          <w:color w:val="auto"/>
        </w:rPr>
        <w:t>284,229</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1,017,322,661</w:t>
      </w:r>
      <w:r>
        <w:rPr>
          <w:sz w:val="20"/>
          <w:szCs w:val="20"/>
          <w:color w:val="auto"/>
        </w:rPr>
        <w:tab/>
      </w:r>
      <w:r>
        <w:rPr>
          <w:rFonts w:ascii="Arial" w:cs="Arial" w:eastAsia="Arial" w:hAnsi="Arial"/>
          <w:sz w:val="18"/>
          <w:szCs w:val="18"/>
          <w:color w:val="auto"/>
        </w:rPr>
        <w:t>62.9%</w:t>
      </w:r>
    </w:p>
    <w:p>
      <w:pPr>
        <w:spacing w:after="0" w:line="36"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8"/>
          <w:szCs w:val="18"/>
          <w:color w:val="auto"/>
        </w:rPr>
        <w:t>535,275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8"/>
          <w:szCs w:val="18"/>
          <w:color w:val="auto"/>
        </w:rPr>
        <w:t>52,880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1,033,808,077</w:t>
      </w:r>
      <w:r>
        <w:rPr>
          <w:sz w:val="20"/>
          <w:szCs w:val="20"/>
          <w:color w:val="auto"/>
        </w:rPr>
        <w:tab/>
      </w:r>
      <w:r>
        <w:rPr>
          <w:rFonts w:ascii="Arial" w:cs="Arial" w:eastAsia="Arial" w:hAnsi="Arial"/>
          <w:sz w:val="18"/>
          <w:szCs w:val="18"/>
          <w:color w:val="auto"/>
        </w:rPr>
        <w:t>63.9%</w:t>
      </w:r>
    </w:p>
    <w:p>
      <w:pPr>
        <w:spacing w:after="0" w:line="643" w:lineRule="exact"/>
        <w:rPr>
          <w:sz w:val="20"/>
          <w:szCs w:val="20"/>
          <w:color w:val="auto"/>
        </w:rPr>
      </w:pPr>
    </w:p>
    <w:p>
      <w:pPr>
        <w:sectPr>
          <w:pgSz w:w="11900" w:h="16838" w:orient="portrait"/>
          <w:cols w:equalWidth="0" w:num="2">
            <w:col w:w="6540" w:space="720"/>
            <w:col w:w="2619"/>
          </w:cols>
          <w:pgMar w:left="580" w:top="131" w:right="1440" w:bottom="1440" w:gutter="0" w:footer="0" w:header="0"/>
          <w:type w:val="continuous"/>
        </w:sectPr>
      </w:pPr>
    </w:p>
    <w:p>
      <w:pPr>
        <w:ind w:left="1620" w:right="1139" w:hanging="360"/>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Lucid Group, Inc., 7373 Gateway Blvd., Newark, CA 94560.</w:t>
      </w:r>
    </w:p>
    <w:p>
      <w:pPr>
        <w:spacing w:after="0" w:line="21" w:lineRule="exact"/>
        <w:rPr>
          <w:rFonts w:ascii="Arial" w:cs="Arial" w:eastAsia="Arial" w:hAnsi="Arial"/>
          <w:sz w:val="18"/>
          <w:szCs w:val="18"/>
          <w:color w:val="auto"/>
        </w:rPr>
      </w:pPr>
    </w:p>
    <w:p>
      <w:pPr>
        <w:ind w:left="1620" w:right="419" w:hanging="360"/>
        <w:spacing w:after="0" w:line="252"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shown consist of (i) 51,750,000 shares of Class A common stock and (ii) 44,350,000 Private Placement Warrants (including 1,500,000 Working Capital Warrants) to purchase shares of Class A common stock. Each warrant entitles the holder thereof to purchase one share of Class A common stock at a price of $11.50 per share, subject to adjustment. 17,250,000 of such shares and 14,783,333 of such warrants unvested as of the Closing and such shares and warrants will revest as follows: (a) 1/3 of such shares and warrants will revest at such time as during the 5-year period starting on the Closing and ending on the 5-year anniversary of the Closing (the “</w:t>
      </w:r>
      <w:r>
        <w:rPr>
          <w:rFonts w:ascii="Arial" w:cs="Arial" w:eastAsia="Arial" w:hAnsi="Arial"/>
          <w:sz w:val="18"/>
          <w:szCs w:val="18"/>
          <w:i w:val="1"/>
          <w:iCs w:val="1"/>
          <w:color w:val="auto"/>
        </w:rPr>
        <w:t>Vesting Period</w:t>
      </w:r>
      <w:r>
        <w:rPr>
          <w:rFonts w:ascii="Arial" w:cs="Arial" w:eastAsia="Arial" w:hAnsi="Arial"/>
          <w:sz w:val="18"/>
          <w:szCs w:val="18"/>
          <w:color w:val="auto"/>
        </w:rPr>
        <w:t>”), the closing price of Class A common stock exceeds $20.00 for any 40 trading days in a 60 consecutive day period, (b) an additional 1/3 of such shares and warrants will revest at such time as during the Vesting Period, the closing price of Class A common stock exceeds $25.00 for any 40 trading days in a 60 consecutive day period and (c) an additional 1/3 of such shares and warrants will revest at such time as during the Vesting</w:t>
      </w:r>
    </w:p>
    <w:p>
      <w:pPr>
        <w:sectPr>
          <w:pgSz w:w="11900" w:h="16838" w:orient="portrait"/>
          <w:cols w:equalWidth="0" w:num="1">
            <w:col w:w="9879"/>
          </w:cols>
          <w:pgMar w:left="580" w:top="131" w:right="1440" w:bottom="1440" w:gutter="0" w:footer="0" w:header="0"/>
          <w:type w:val="continuous"/>
        </w:sectPr>
      </w:pP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1260"/>
        <w:spacing w:after="0" w:line="235" w:lineRule="auto"/>
        <w:rPr>
          <w:sz w:val="20"/>
          <w:szCs w:val="20"/>
          <w:color w:val="auto"/>
        </w:rPr>
      </w:pPr>
      <w:r>
        <w:rPr>
          <w:rFonts w:ascii="Arial" w:cs="Arial" w:eastAsia="Arial" w:hAnsi="Arial"/>
          <w:sz w:val="18"/>
          <w:szCs w:val="18"/>
          <w:color w:val="auto"/>
        </w:rPr>
        <w:t>Period, the closing price of Class A common stock exceeds $30.00 for any 40 trading days in a 60 consecutive day period. Michael Klein is the sole stockholder of M. Klein Associates, Inc., which is the managing member of the Sponsor. The shares beneficially owned by the Sponsor may also be deemed to be beneficially owned by Mr. Klein. The business address for Mr. Klein is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w:t>
      </w:r>
    </w:p>
    <w:p>
      <w:pPr>
        <w:spacing w:after="0" w:line="58" w:lineRule="exact"/>
        <w:rPr>
          <w:sz w:val="20"/>
          <w:szCs w:val="20"/>
          <w:color w:val="auto"/>
        </w:rPr>
      </w:pPr>
    </w:p>
    <w:p>
      <w:pPr>
        <w:ind w:left="1620" w:hanging="360"/>
        <w:spacing w:after="0"/>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Interests shown consist of 1,015,252,523 shares of Class A common stock issued to Ayar upon</w:t>
      </w:r>
    </w:p>
    <w:p>
      <w:pPr>
        <w:spacing w:after="0" w:line="23" w:lineRule="exact"/>
        <w:rPr>
          <w:rFonts w:ascii="Arial" w:cs="Arial" w:eastAsia="Arial" w:hAnsi="Arial"/>
          <w:sz w:val="18"/>
          <w:szCs w:val="18"/>
          <w:color w:val="auto"/>
        </w:rPr>
      </w:pPr>
    </w:p>
    <w:p>
      <w:pPr>
        <w:jc w:val="both"/>
        <w:ind w:left="1620" w:right="1340"/>
        <w:spacing w:after="0" w:line="265" w:lineRule="auto"/>
        <w:rPr>
          <w:rFonts w:ascii="Arial" w:cs="Arial" w:eastAsia="Arial" w:hAnsi="Arial"/>
          <w:sz w:val="18"/>
          <w:szCs w:val="18"/>
          <w:color w:val="auto"/>
        </w:rPr>
      </w:pPr>
      <w:r>
        <w:rPr>
          <w:rFonts w:ascii="Arial" w:cs="Arial" w:eastAsia="Arial" w:hAnsi="Arial"/>
          <w:sz w:val="17"/>
          <w:szCs w:val="17"/>
          <w:color w:val="auto"/>
        </w:rPr>
        <w:t>the Closing (including in connection with the PIPE Investment). Ayar is a wholly owned subsidiary of PIF. The Board of Directors of PIF, consisting of His Royal Highness Mohammad bin Salman Al-Saud (Chairman), H.E. Ibrahim Abdulaziz Al-Assaf, H.E. Mohammad Abdul Malek Al Shaikh, H.E.</w:t>
      </w:r>
    </w:p>
    <w:p>
      <w:pPr>
        <w:ind w:left="1620" w:right="1360"/>
        <w:spacing w:after="0" w:line="267" w:lineRule="auto"/>
        <w:rPr>
          <w:rFonts w:ascii="Arial" w:cs="Arial" w:eastAsia="Arial" w:hAnsi="Arial"/>
          <w:sz w:val="18"/>
          <w:szCs w:val="18"/>
          <w:color w:val="auto"/>
        </w:rPr>
      </w:pPr>
      <w:r>
        <w:rPr>
          <w:rFonts w:ascii="Arial" w:cs="Arial" w:eastAsia="Arial" w:hAnsi="Arial"/>
          <w:sz w:val="17"/>
          <w:szCs w:val="17"/>
          <w:color w:val="auto"/>
        </w:rPr>
        <w:t>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4,604,595 shares of Class A common stock issued to H.E. Al-Rumayyan upon the Closing or 2,070,138 shares of Class A common stock issued to Mr. Alnowaiser upon the Closing. The business address for PIF and for H.E. Al-Rumayyan is Alr’idah Digital City, Building MU04, Al Nakhil District, P.O. Box 6847, Riyadh 11452, The Kingdom of Saudi Arabia.</w:t>
      </w:r>
    </w:p>
    <w:p>
      <w:pPr>
        <w:spacing w:after="0" w:line="35" w:lineRule="exact"/>
        <w:rPr>
          <w:rFonts w:ascii="Arial" w:cs="Arial" w:eastAsia="Arial" w:hAnsi="Arial"/>
          <w:sz w:val="18"/>
          <w:szCs w:val="18"/>
          <w:color w:val="auto"/>
        </w:rPr>
      </w:pPr>
    </w:p>
    <w:p>
      <w:pPr>
        <w:ind w:left="1620" w:right="1420" w:hanging="360"/>
        <w:spacing w:after="0" w:line="263"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Interests shown consist of 537,919 shares of Class A common stock issued upon the Closing and 12,589,171 shares of Class A common stock subject to option awards that are currently exercisable or exercisable within 60 days of the Closing.</w:t>
      </w:r>
    </w:p>
    <w:p>
      <w:pPr>
        <w:spacing w:after="0" w:line="48" w:lineRule="exact"/>
        <w:rPr>
          <w:rFonts w:ascii="Arial" w:cs="Arial" w:eastAsia="Arial" w:hAnsi="Arial"/>
          <w:sz w:val="18"/>
          <w:szCs w:val="18"/>
          <w:color w:val="auto"/>
        </w:rPr>
      </w:pPr>
    </w:p>
    <w:p>
      <w:pPr>
        <w:ind w:left="1620" w:right="1520" w:hanging="360"/>
        <w:spacing w:after="0" w:line="263"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Interests shown consist of 1,173,177 shares of Class A common stock issued upon the Closing and 1,496,630 shares of Class A common stock subject to option awards that are currently exercisable or exercisable within 60 days of the Closing.</w:t>
      </w:r>
    </w:p>
    <w:p>
      <w:pPr>
        <w:spacing w:after="0" w:line="35" w:lineRule="exact"/>
        <w:rPr>
          <w:rFonts w:ascii="Arial" w:cs="Arial" w:eastAsia="Arial" w:hAnsi="Arial"/>
          <w:sz w:val="18"/>
          <w:szCs w:val="18"/>
          <w:color w:val="auto"/>
        </w:rPr>
      </w:pPr>
    </w:p>
    <w:p>
      <w:pPr>
        <w:ind w:left="1620" w:right="1660" w:hanging="360"/>
        <w:spacing w:after="0" w:line="263"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Interests shown consist of 118,980 shares of Class A common stock issued upon the Closing and 165,249 shares of Class A common stock subject to option awards that are currently exercisable or exercisable within 60 days of the Closing.</w:t>
      </w:r>
    </w:p>
    <w:p>
      <w:pPr>
        <w:spacing w:after="0" w:line="35" w:lineRule="exact"/>
        <w:rPr>
          <w:rFonts w:ascii="Arial" w:cs="Arial" w:eastAsia="Arial" w:hAnsi="Arial"/>
          <w:sz w:val="18"/>
          <w:szCs w:val="18"/>
          <w:color w:val="auto"/>
        </w:rPr>
      </w:pPr>
    </w:p>
    <w:p>
      <w:pPr>
        <w:ind w:left="1620" w:right="1260" w:hanging="360"/>
        <w:spacing w:after="0" w:line="255"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Interests shown consist of (i) 2,070,138 shares of Class A common stock issued to Mr. Alnowaiser upon the Closing and (ii) 1,015,252,523 shares of Class A common stock issued to Ayar upon the Closing (including in connection with the PIPE Investment). Mr. Alnowaiser, who is Deputy Governor and Head of the International Investments Division of PIF, has shared voting power with respect to the shares held by Ayar and has no pecuniary interest in and disclaims beneficial ownership of such shares. See note (3) above.</w:t>
      </w:r>
    </w:p>
    <w:p>
      <w:pPr>
        <w:spacing w:after="0" w:line="57" w:lineRule="exact"/>
        <w:rPr>
          <w:rFonts w:ascii="Arial" w:cs="Arial" w:eastAsia="Arial" w:hAnsi="Arial"/>
          <w:sz w:val="18"/>
          <w:szCs w:val="18"/>
          <w:color w:val="auto"/>
        </w:rPr>
      </w:pPr>
    </w:p>
    <w:p>
      <w:pPr>
        <w:ind w:left="1620" w:right="1260" w:hanging="360"/>
        <w:spacing w:after="0" w:line="254"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Nancy Gioia and Andrew Liveris has an economic interest in shares of Class A common stock and Private Placement Warrants through his or her ownership of membership interests in the Sponsor, but does not beneficially own any Class A common stock or warrants. In addition, Glenn R. August has an economic interest in the shares of Class A common stock and Private Placement Warrants through his control and partial ownership of an entity, OHA Partner Global Co-Investment III, LLP, which owns membership interests in the Sponsor, but does not beneficially own any Class A common stock or warrants.</w:t>
      </w:r>
    </w:p>
    <w:p>
      <w:pPr>
        <w:spacing w:after="0" w:line="46" w:lineRule="exact"/>
        <w:rPr>
          <w:rFonts w:ascii="Arial" w:cs="Arial" w:eastAsia="Arial" w:hAnsi="Arial"/>
          <w:sz w:val="18"/>
          <w:szCs w:val="18"/>
          <w:color w:val="auto"/>
        </w:rPr>
      </w:pPr>
    </w:p>
    <w:p>
      <w:pPr>
        <w:ind w:left="1620" w:right="1840"/>
        <w:spacing w:after="0" w:line="277" w:lineRule="auto"/>
        <w:rPr>
          <w:rFonts w:ascii="Arial" w:cs="Arial" w:eastAsia="Arial" w:hAnsi="Arial"/>
          <w:sz w:val="18"/>
          <w:szCs w:val="18"/>
          <w:color w:val="auto"/>
        </w:rPr>
      </w:pPr>
      <w:r>
        <w:rPr>
          <w:rFonts w:ascii="Arial" w:cs="Arial" w:eastAsia="Arial" w:hAnsi="Arial"/>
          <w:sz w:val="18"/>
          <w:szCs w:val="18"/>
          <w:color w:val="auto"/>
        </w:rPr>
        <w:t>The economic interest (or deemed economic interest) of these individuals and entity in shares of Class A common stock and warrants held by the Sponsor is as shown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A</w:t>
            </w: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2"/>
        </w:trPr>
        <w:tc>
          <w:tcPr>
            <w:tcW w:w="1620" w:type="dxa"/>
            <w:vAlign w:val="bottom"/>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common stock</w:t>
            </w: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Warrants</w:t>
            </w:r>
          </w:p>
        </w:tc>
        <w:tc>
          <w:tcPr>
            <w:tcW w:w="1620" w:type="dxa"/>
            <w:vAlign w:val="bottom"/>
          </w:tcPr>
          <w:p>
            <w:pPr>
              <w:spacing w:after="0"/>
              <w:rPr>
                <w:sz w:val="16"/>
                <w:szCs w:val="16"/>
                <w:color w:val="auto"/>
              </w:rPr>
            </w:pPr>
          </w:p>
        </w:tc>
      </w:tr>
      <w:tr>
        <w:trPr>
          <w:trHeight w:val="215"/>
        </w:trPr>
        <w:tc>
          <w:tcPr>
            <w:tcW w:w="16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Nancy Gioia</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18"/>
                <w:szCs w:val="18"/>
                <w:color w:val="auto"/>
              </w:rPr>
            </w:pPr>
          </w:p>
        </w:tc>
      </w:tr>
      <w:tr>
        <w:trPr>
          <w:trHeight w:val="216"/>
        </w:trPr>
        <w:tc>
          <w:tcPr>
            <w:tcW w:w="5100" w:type="dxa"/>
            <w:vAlign w:val="bottom"/>
            <w:gridSpan w:val="2"/>
          </w:tcPr>
          <w:p>
            <w:pPr>
              <w:ind w:left="1620"/>
              <w:spacing w:after="0"/>
              <w:rPr>
                <w:sz w:val="20"/>
                <w:szCs w:val="20"/>
                <w:color w:val="auto"/>
              </w:rPr>
            </w:pPr>
            <w:r>
              <w:rPr>
                <w:rFonts w:ascii="Arial" w:cs="Arial" w:eastAsia="Arial" w:hAnsi="Arial"/>
                <w:sz w:val="18"/>
                <w:szCs w:val="18"/>
                <w:color w:val="auto"/>
              </w:rPr>
              <w:t>Andrew Liveris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363,347</w:t>
            </w:r>
          </w:p>
        </w:tc>
        <w:tc>
          <w:tcPr>
            <w:tcW w:w="1620" w:type="dxa"/>
            <w:vAlign w:val="bottom"/>
          </w:tcPr>
          <w:p>
            <w:pPr>
              <w:spacing w:after="0"/>
              <w:rPr>
                <w:sz w:val="18"/>
                <w:szCs w:val="18"/>
                <w:color w:val="auto"/>
              </w:rPr>
            </w:pPr>
          </w:p>
        </w:tc>
      </w:tr>
      <w:tr>
        <w:trPr>
          <w:trHeight w:val="230"/>
        </w:trPr>
        <w:tc>
          <w:tcPr>
            <w:tcW w:w="16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OHA Partner Global Co-Investment III, LLP</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6,858,569</w:t>
            </w:r>
          </w:p>
        </w:tc>
        <w:tc>
          <w:tcPr>
            <w:tcW w:w="1620" w:type="dxa"/>
            <w:vAlign w:val="bottom"/>
          </w:tcPr>
          <w:p>
            <w:pPr>
              <w:spacing w:after="0"/>
              <w:rPr>
                <w:sz w:val="19"/>
                <w:szCs w:val="19"/>
                <w:color w:val="auto"/>
              </w:rPr>
            </w:pPr>
          </w:p>
        </w:tc>
      </w:tr>
      <w:tr>
        <w:trPr>
          <w:trHeight w:val="621"/>
        </w:trPr>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80" w:type="dxa"/>
            <w:vAlign w:val="bottom"/>
          </w:tcPr>
          <w:p>
            <w:pPr>
              <w:jc w:val="right"/>
              <w:ind w:right="1710"/>
              <w:spacing w:after="0"/>
              <w:rPr>
                <w:sz w:val="20"/>
                <w:szCs w:val="20"/>
                <w:color w:val="auto"/>
              </w:rPr>
            </w:pPr>
            <w:r>
              <w:rPr>
                <w:rFonts w:ascii="Arial" w:cs="Arial" w:eastAsia="Arial" w:hAnsi="Arial"/>
                <w:sz w:val="18"/>
                <w:szCs w:val="18"/>
                <w:color w:val="auto"/>
              </w:rPr>
              <w:t>134</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-1087755</wp:posOffset>
            </wp:positionV>
            <wp:extent cx="42773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5" w:name="page146"/>
    <w:bookmarkEnd w:id="1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SELLING SECURITYHOLDERS</w:t>
      </w:r>
    </w:p>
    <w:p>
      <w:pPr>
        <w:spacing w:after="0" w:line="148"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6"/>
          <w:szCs w:val="16"/>
          <w:color w:val="auto"/>
        </w:rPr>
        <w:t>Pursuant to the Investor Rights Agreement, the PIPE Subscription Agreements and the Warrant Agreement, as applicable, we previously agreed to file a registration statement with the SEC for the purposes of registering for resale certain of our securities. This prospectus relates to the resale by the Selling Securityholders from time to time of (a) up to 1,336,329,949 shares of Class A common stock, consisting of (i) 1,244,157,121 issued and outstanding shares of Class A common stock, (ii) 47,822,828 shares of Class A common stock subject to vesting and/or exercise of the assumed Lucid Equity Awards and</w:t>
      </w:r>
    </w:p>
    <w:p>
      <w:pPr>
        <w:spacing w:after="0" w:line="4" w:lineRule="exact"/>
        <w:rPr>
          <w:sz w:val="20"/>
          <w:szCs w:val="20"/>
          <w:color w:val="auto"/>
        </w:rPr>
      </w:pPr>
    </w:p>
    <w:p>
      <w:pPr>
        <w:ind w:left="1260" w:right="439"/>
        <w:spacing w:after="0" w:line="251" w:lineRule="auto"/>
        <w:tabs>
          <w:tab w:leader="none" w:pos="15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44,350,000 shares of Class A common stock issuable upon exercise of the Private Placement Warrants and the Working Capital Warrants, and (b) 44,350,000 warrants representing the Private Placement Warrants and the Working Capital Warrants. The Selling Securityholders may from time to time offer and sell any or all of the Class A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Class A common stock or warrants in accordance with the terms of the agreements governing the registration rights applicable to such Selling Securityholder’s shares of Class A common stock or warrants.</w:t>
      </w:r>
    </w:p>
    <w:p>
      <w:pPr>
        <w:spacing w:after="0" w:line="13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following table sets forth, based on written representations from the Selling Securityholders and, unless stated otherwise below, as of the Closing Date, the names of the Selling Securityholders, the aggregate number of shares of Class A common stock and warrants beneficially owned, the aggregate number of shares of Class A common stock and warrants that the Selling Securityholders may offer pursuant to this prospectus and the number of shares of Class A common stock and warrants beneficially owned by the Selling Securityholders after the sale of the securities offered hereby. We have based percentage ownership on 1,618,621,534 shares of Class A common stock issued and outstanding immediately following consummation of the Transactions on the Closing Date.</w:t>
      </w:r>
    </w:p>
    <w:p>
      <w:pPr>
        <w:spacing w:after="0" w:line="12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0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Class A common stock or warrants. In addition, the Selling Securityholders may sell, transfer or otherwise dispose of, at any time and from time to time,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7"/>
          <w:szCs w:val="17"/>
          <w:i w:val="1"/>
          <w:iCs w:val="1"/>
          <w:color w:val="auto"/>
        </w:rPr>
        <w:t>Plan of Distribution</w:t>
      </w:r>
      <w:r>
        <w:rPr>
          <w:rFonts w:ascii="Arial" w:cs="Arial" w:eastAsia="Arial" w:hAnsi="Arial"/>
          <w:sz w:val="17"/>
          <w:szCs w:val="17"/>
          <w:color w:val="auto"/>
        </w:rPr>
        <w:t>.”</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 of Class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Shares of Class A common</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 common</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stock Beneficially Owned</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stock</w:t>
            </w: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3"/>
              </w:rPr>
              <w:t>Shares of Class</w:t>
            </w: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After the Offered Shares of</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Beneficially</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 common</w:t>
            </w: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Common Stock are Sold</w:t>
            </w:r>
          </w:p>
        </w:tc>
        <w:tc>
          <w:tcPr>
            <w:tcW w:w="0" w:type="dxa"/>
            <w:vAlign w:val="bottom"/>
          </w:tcPr>
          <w:p>
            <w:pPr>
              <w:spacing w:after="0"/>
              <w:rPr>
                <w:sz w:val="1"/>
                <w:szCs w:val="1"/>
                <w:color w:val="auto"/>
              </w:rPr>
            </w:pPr>
          </w:p>
        </w:tc>
      </w:tr>
      <w:tr>
        <w:trPr>
          <w:trHeight w:val="92"/>
        </w:trPr>
        <w:tc>
          <w:tcPr>
            <w:tcW w:w="3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Owned Prior to</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stock Being</w:t>
            </w:r>
          </w:p>
        </w:tc>
        <w:tc>
          <w:tcPr>
            <w:tcW w:w="1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Securityholder</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Offering</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Offered</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25"/>
        </w:trPr>
        <w:tc>
          <w:tcPr>
            <w:tcW w:w="3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Peter Rawlinson</w:t>
            </w:r>
            <w:r>
              <w:rPr>
                <w:rFonts w:ascii="Arial" w:cs="Arial" w:eastAsia="Arial" w:hAnsi="Arial"/>
                <w:sz w:val="26"/>
                <w:szCs w:val="26"/>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13,127,090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42,986,249</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40" w:type="dxa"/>
            <w:vAlign w:val="bottom"/>
            <w:gridSpan w:val="2"/>
          </w:tcPr>
          <w:p>
            <w:pPr>
              <w:spacing w:after="0" w:line="256" w:lineRule="exact"/>
              <w:rPr>
                <w:sz w:val="20"/>
                <w:szCs w:val="20"/>
                <w:color w:val="auto"/>
              </w:rPr>
            </w:pPr>
            <w:r>
              <w:rPr>
                <w:rFonts w:ascii="Arial" w:cs="Arial" w:eastAsia="Arial" w:hAnsi="Arial"/>
                <w:sz w:val="18"/>
                <w:szCs w:val="18"/>
                <w:color w:val="auto"/>
              </w:rPr>
              <w:t>Sherry House</w:t>
            </w:r>
            <w:r>
              <w:rPr>
                <w:rFonts w:ascii="Arial" w:cs="Arial" w:eastAsia="Arial" w:hAnsi="Arial"/>
                <w:sz w:val="26"/>
                <w:szCs w:val="26"/>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661,000</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Eric Bach</w:t>
            </w:r>
            <w:r>
              <w:rPr>
                <w:rFonts w:ascii="Arial" w:cs="Arial" w:eastAsia="Arial" w:hAnsi="Arial"/>
                <w:sz w:val="26"/>
                <w:szCs w:val="26"/>
                <w:color w:val="auto"/>
                <w:vertAlign w:val="superscript"/>
              </w:rPr>
              <w:t>(3)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2,669,807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4,564,675</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9"/>
        </w:trPr>
        <w:tc>
          <w:tcPr>
            <w:tcW w:w="4040" w:type="dxa"/>
            <w:vAlign w:val="bottom"/>
            <w:gridSpan w:val="2"/>
          </w:tcPr>
          <w:p>
            <w:pPr>
              <w:spacing w:after="0"/>
              <w:rPr>
                <w:sz w:val="20"/>
                <w:szCs w:val="20"/>
                <w:color w:val="auto"/>
              </w:rPr>
            </w:pPr>
            <w:r>
              <w:rPr>
                <w:rFonts w:ascii="Arial" w:cs="Arial" w:eastAsia="Arial" w:hAnsi="Arial"/>
                <w:sz w:val="18"/>
                <w:szCs w:val="18"/>
                <w:color w:val="auto"/>
              </w:rPr>
              <w:t>Michael Bell</w:t>
            </w:r>
            <w:r>
              <w:rPr>
                <w:rFonts w:ascii="Arial" w:cs="Arial" w:eastAsia="Arial" w:hAnsi="Arial"/>
                <w:sz w:val="26"/>
                <w:szCs w:val="26"/>
                <w:color w:val="auto"/>
                <w:vertAlign w:val="superscript"/>
              </w:rPr>
              <w:t>(4)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100,364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1,422,364</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-730885</wp:posOffset>
            </wp:positionV>
            <wp:extent cx="137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-730885</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-730885</wp:posOffset>
            </wp:positionV>
            <wp:extent cx="137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-730885</wp:posOffset>
            </wp:positionV>
            <wp:extent cx="137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 of Class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Shares of Class A common</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 common</w:t>
            </w: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6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stock Beneficially Owned</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1"/>
              </w:rPr>
              <w:t>stock</w:t>
            </w: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3"/>
              </w:rPr>
              <w:t>Shares of Class</w:t>
            </w:r>
          </w:p>
        </w:tc>
        <w:tc>
          <w:tcPr>
            <w:tcW w:w="16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After the Offered Shares of</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Beneficially</w:t>
            </w: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 common</w:t>
            </w:r>
          </w:p>
        </w:tc>
        <w:tc>
          <w:tcPr>
            <w:tcW w:w="16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Common Stock are Sold</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2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Owned Prior to</w:t>
            </w: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stock Being</w:t>
            </w:r>
          </w:p>
        </w:tc>
        <w:tc>
          <w:tcPr>
            <w:tcW w:w="162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b w:val="1"/>
                <w:bCs w:val="1"/>
                <w:color w:val="auto"/>
              </w:rPr>
              <w:t>Name of Selling Securityholder</w:t>
            </w:r>
          </w:p>
        </w:tc>
        <w:tc>
          <w:tcPr>
            <w:tcW w:w="22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Offering</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Offered</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2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Andrew Liveris</w:t>
            </w:r>
            <w:r>
              <w:rPr>
                <w:rFonts w:ascii="Arial" w:cs="Arial" w:eastAsia="Arial" w:hAnsi="Arial"/>
                <w:sz w:val="26"/>
                <w:szCs w:val="26"/>
                <w:color w:val="auto"/>
                <w:vertAlign w:val="superscript"/>
              </w:rPr>
              <w:t>(5)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535,275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1,298,622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Glenn R. August</w:t>
            </w:r>
            <w:r>
              <w:rPr>
                <w:rFonts w:ascii="Arial" w:cs="Arial" w:eastAsia="Arial" w:hAnsi="Arial"/>
                <w:sz w:val="26"/>
                <w:szCs w:val="26"/>
                <w:color w:val="auto"/>
                <w:vertAlign w:val="superscript"/>
              </w:rPr>
              <w:t>(6)</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13,858,569</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Nancy Gioia</w:t>
            </w:r>
            <w:r>
              <w:rPr>
                <w:rFonts w:ascii="Arial" w:cs="Arial" w:eastAsia="Arial" w:hAnsi="Arial"/>
                <w:sz w:val="26"/>
                <w:szCs w:val="26"/>
                <w:color w:val="auto"/>
                <w:vertAlign w:val="superscript"/>
              </w:rPr>
              <w:t>(7)</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Tony Posawatz</w:t>
            </w:r>
            <w:r>
              <w:rPr>
                <w:rFonts w:ascii="Arial" w:cs="Arial" w:eastAsia="Arial" w:hAnsi="Arial"/>
                <w:sz w:val="26"/>
                <w:szCs w:val="26"/>
                <w:color w:val="auto"/>
                <w:vertAlign w:val="superscript"/>
              </w:rPr>
              <w:t>(8)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52,880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52,880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Turqi Alnowaiser</w:t>
            </w:r>
            <w:r>
              <w:rPr>
                <w:rFonts w:ascii="Arial" w:cs="Arial" w:eastAsia="Arial" w:hAnsi="Arial"/>
                <w:sz w:val="26"/>
                <w:szCs w:val="26"/>
                <w:color w:val="auto"/>
                <w:vertAlign w:val="superscript"/>
              </w:rPr>
              <w:t>(9)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2,070,138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2,070,138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H.E. Yasir Othman Al-Rumayyan</w:t>
            </w:r>
            <w:r>
              <w:rPr>
                <w:rFonts w:ascii="Arial" w:cs="Arial" w:eastAsia="Arial" w:hAnsi="Arial"/>
                <w:sz w:val="26"/>
                <w:szCs w:val="26"/>
                <w:color w:val="auto"/>
                <w:vertAlign w:val="superscript"/>
              </w:rPr>
              <w:t>(10)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4,604,595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4,604,595</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Churchill Sponsor IV LLC</w:t>
            </w:r>
            <w:r>
              <w:rPr>
                <w:rFonts w:ascii="Arial" w:cs="Arial" w:eastAsia="Arial" w:hAnsi="Arial"/>
                <w:sz w:val="26"/>
                <w:szCs w:val="26"/>
                <w:color w:val="auto"/>
                <w:vertAlign w:val="superscript"/>
              </w:rPr>
              <w:t>(11)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51,750,000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51,750,000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40 North Latitude Master Fund Ltd.</w:t>
            </w:r>
            <w:r>
              <w:rPr>
                <w:rFonts w:ascii="Arial" w:cs="Arial" w:eastAsia="Arial" w:hAnsi="Arial"/>
                <w:sz w:val="26"/>
                <w:szCs w:val="26"/>
                <w:color w:val="auto"/>
                <w:vertAlign w:val="superscript"/>
              </w:rPr>
              <w:t>(12)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Aurora Trust</w:t>
            </w:r>
            <w:r>
              <w:rPr>
                <w:rFonts w:ascii="Arial" w:cs="Arial" w:eastAsia="Arial" w:hAnsi="Arial"/>
                <w:sz w:val="26"/>
                <w:szCs w:val="26"/>
                <w:color w:val="auto"/>
                <w:vertAlign w:val="superscript"/>
              </w:rPr>
              <w:t>(13)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Ayar Third Investment Company</w:t>
            </w:r>
            <w:r>
              <w:rPr>
                <w:rFonts w:ascii="Arial" w:cs="Arial" w:eastAsia="Arial" w:hAnsi="Arial"/>
                <w:sz w:val="26"/>
                <w:szCs w:val="26"/>
                <w:color w:val="auto"/>
                <w:vertAlign w:val="superscript"/>
              </w:rPr>
              <w:t>(14)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1,015,252,523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1,015,252,523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Alberta Investment Management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shd w:val="clear" w:color="auto" w:fill="CCEEFF"/>
          </w:tcPr>
          <w:p>
            <w:pPr>
              <w:ind w:left="180"/>
              <w:spacing w:after="0" w:line="281" w:lineRule="exact"/>
              <w:rPr>
                <w:sz w:val="20"/>
                <w:szCs w:val="20"/>
                <w:color w:val="auto"/>
              </w:rPr>
            </w:pPr>
            <w:r>
              <w:rPr>
                <w:rFonts w:ascii="Arial" w:cs="Arial" w:eastAsia="Arial" w:hAnsi="Arial"/>
                <w:sz w:val="18"/>
                <w:szCs w:val="18"/>
                <w:color w:val="auto"/>
              </w:rPr>
              <w:t>Corporation</w:t>
            </w:r>
            <w:r>
              <w:rPr>
                <w:rFonts w:ascii="Arial" w:cs="Arial" w:eastAsia="Arial" w:hAnsi="Arial"/>
                <w:sz w:val="26"/>
                <w:szCs w:val="26"/>
                <w:color w:val="auto"/>
                <w:vertAlign w:val="superscript"/>
              </w:rPr>
              <w:t>(15)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Alpine Partners (BVI), L.P.</w:t>
            </w:r>
            <w:r>
              <w:rPr>
                <w:rFonts w:ascii="Arial" w:cs="Arial" w:eastAsia="Arial" w:hAnsi="Arial"/>
                <w:sz w:val="26"/>
                <w:szCs w:val="26"/>
                <w:color w:val="auto"/>
                <w:vertAlign w:val="superscript"/>
              </w:rPr>
              <w:t>(16)</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1,333,334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1,333,334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Altimeter Partners Fund, L.P.</w:t>
            </w:r>
            <w:r>
              <w:rPr>
                <w:rFonts w:ascii="Arial" w:cs="Arial" w:eastAsia="Arial" w:hAnsi="Arial"/>
                <w:sz w:val="26"/>
                <w:szCs w:val="26"/>
                <w:color w:val="auto"/>
                <w:vertAlign w:val="superscript"/>
              </w:rPr>
              <w:t>(17)</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Alyeska Master Fund, L.P.</w:t>
            </w:r>
            <w:r>
              <w:rPr>
                <w:rFonts w:ascii="Arial" w:cs="Arial" w:eastAsia="Arial" w:hAnsi="Arial"/>
                <w:sz w:val="26"/>
                <w:szCs w:val="26"/>
                <w:color w:val="auto"/>
                <w:vertAlign w:val="superscript"/>
              </w:rPr>
              <w:t>(18)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1,416,314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1,333,333</w:t>
            </w:r>
          </w:p>
        </w:tc>
        <w:tc>
          <w:tcPr>
            <w:tcW w:w="760" w:type="dxa"/>
            <w:vAlign w:val="bottom"/>
          </w:tcPr>
          <w:p>
            <w:pPr>
              <w:jc w:val="right"/>
              <w:spacing w:after="0"/>
              <w:rPr>
                <w:sz w:val="20"/>
                <w:szCs w:val="20"/>
                <w:color w:val="auto"/>
              </w:rPr>
            </w:pPr>
            <w:r>
              <w:rPr>
                <w:rFonts w:ascii="Arial" w:cs="Arial" w:eastAsia="Arial" w:hAnsi="Arial"/>
                <w:sz w:val="18"/>
                <w:szCs w:val="18"/>
                <w:color w:val="auto"/>
              </w:rPr>
              <w:t>82,981</w:t>
            </w:r>
          </w:p>
        </w:tc>
        <w:tc>
          <w:tcPr>
            <w:tcW w:w="220" w:type="dxa"/>
            <w:vAlign w:val="bottom"/>
          </w:tcPr>
          <w:p>
            <w:pPr>
              <w:spacing w:after="0"/>
              <w:rPr>
                <w:sz w:val="23"/>
                <w:szCs w:val="23"/>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Arena Capital Funds</w:t>
            </w:r>
            <w:r>
              <w:rPr>
                <w:rFonts w:ascii="Arial" w:cs="Arial" w:eastAsia="Arial" w:hAnsi="Arial"/>
                <w:sz w:val="26"/>
                <w:szCs w:val="26"/>
                <w:color w:val="auto"/>
                <w:vertAlign w:val="superscript"/>
              </w:rPr>
              <w:t>(19)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 xml:space="preserve">Aristeia Funds </w:t>
            </w:r>
            <w:r>
              <w:rPr>
                <w:rFonts w:ascii="Arial" w:cs="Arial" w:eastAsia="Arial" w:hAnsi="Arial"/>
                <w:sz w:val="26"/>
                <w:szCs w:val="26"/>
                <w:color w:val="auto"/>
                <w:vertAlign w:val="superscript"/>
              </w:rPr>
              <w:t>(20)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Atlas Diversified Master Fund, Ltd.</w:t>
            </w:r>
            <w:r>
              <w:rPr>
                <w:rFonts w:ascii="Arial" w:cs="Arial" w:eastAsia="Arial" w:hAnsi="Arial"/>
                <w:sz w:val="26"/>
                <w:szCs w:val="26"/>
                <w:color w:val="auto"/>
                <w:vertAlign w:val="superscript"/>
              </w:rPr>
              <w:t>(21)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BCP Portfolio II LLC</w:t>
            </w:r>
            <w:r>
              <w:rPr>
                <w:rFonts w:ascii="Arial" w:cs="Arial" w:eastAsia="Arial" w:hAnsi="Arial"/>
                <w:sz w:val="26"/>
                <w:szCs w:val="26"/>
                <w:color w:val="auto"/>
                <w:vertAlign w:val="superscript"/>
              </w:rPr>
              <w:t>(22)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133,333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133,333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Behdad Eghbali</w:t>
            </w:r>
            <w:r>
              <w:rPr>
                <w:rFonts w:ascii="Arial" w:cs="Arial" w:eastAsia="Arial" w:hAnsi="Arial"/>
                <w:sz w:val="26"/>
                <w:szCs w:val="26"/>
                <w:color w:val="auto"/>
                <w:vertAlign w:val="superscript"/>
              </w:rPr>
              <w:t>(23)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833,334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833,334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BlackRock Funds</w:t>
            </w:r>
            <w:r>
              <w:rPr>
                <w:rFonts w:ascii="Arial" w:cs="Arial" w:eastAsia="Arial" w:hAnsi="Arial"/>
                <w:sz w:val="26"/>
                <w:szCs w:val="26"/>
                <w:color w:val="auto"/>
                <w:vertAlign w:val="superscript"/>
              </w:rPr>
              <w:t>(24)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16,666,667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Blackstone Funds</w:t>
            </w:r>
            <w:r>
              <w:rPr>
                <w:rFonts w:ascii="Arial" w:cs="Arial" w:eastAsia="Arial" w:hAnsi="Arial"/>
                <w:sz w:val="26"/>
                <w:szCs w:val="26"/>
                <w:color w:val="auto"/>
                <w:vertAlign w:val="superscript"/>
              </w:rPr>
              <w:t>(25)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8,733,334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8,333,334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8"/>
              </w:rPr>
              <w:t>MMCAP International Inc. SPC for and on behalf</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tcPr>
          <w:p>
            <w:pPr>
              <w:ind w:left="180"/>
              <w:spacing w:after="0" w:line="281" w:lineRule="exact"/>
              <w:rPr>
                <w:sz w:val="20"/>
                <w:szCs w:val="20"/>
                <w:color w:val="auto"/>
              </w:rPr>
            </w:pPr>
            <w:r>
              <w:rPr>
                <w:rFonts w:ascii="Arial" w:cs="Arial" w:eastAsia="Arial" w:hAnsi="Arial"/>
                <w:sz w:val="18"/>
                <w:szCs w:val="18"/>
                <w:color w:val="auto"/>
              </w:rPr>
              <w:t>of MMCAP Master Segregated Portfolio</w:t>
            </w:r>
            <w:r>
              <w:rPr>
                <w:rFonts w:ascii="Arial" w:cs="Arial" w:eastAsia="Arial" w:hAnsi="Arial"/>
                <w:sz w:val="26"/>
                <w:szCs w:val="26"/>
                <w:color w:val="auto"/>
                <w:vertAlign w:val="superscript"/>
              </w:rPr>
              <w:t>(26)</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CCC-IV INVESTMENTS LLC</w:t>
            </w:r>
            <w:r>
              <w:rPr>
                <w:rFonts w:ascii="Arial" w:cs="Arial" w:eastAsia="Arial" w:hAnsi="Arial"/>
                <w:sz w:val="26"/>
                <w:szCs w:val="26"/>
                <w:color w:val="auto"/>
                <w:vertAlign w:val="superscript"/>
              </w:rPr>
              <w:t>(27)</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Citadel Multi-Strategy Equities Master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tcPr>
          <w:p>
            <w:pPr>
              <w:ind w:left="180"/>
              <w:spacing w:after="0" w:line="281" w:lineRule="exact"/>
              <w:rPr>
                <w:sz w:val="20"/>
                <w:szCs w:val="20"/>
                <w:color w:val="auto"/>
              </w:rPr>
            </w:pPr>
            <w:r>
              <w:rPr>
                <w:rFonts w:ascii="Arial" w:cs="Arial" w:eastAsia="Arial" w:hAnsi="Arial"/>
                <w:sz w:val="18"/>
                <w:szCs w:val="18"/>
                <w:color w:val="auto"/>
              </w:rPr>
              <w:t xml:space="preserve">Fund Ltd. </w:t>
            </w:r>
            <w:r>
              <w:rPr>
                <w:rFonts w:ascii="Arial" w:cs="Arial" w:eastAsia="Arial" w:hAnsi="Arial"/>
                <w:sz w:val="26"/>
                <w:szCs w:val="26"/>
                <w:color w:val="auto"/>
                <w:vertAlign w:val="superscript"/>
              </w:rPr>
              <w:t>(28)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5,450,511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5,333,333</w:t>
            </w:r>
          </w:p>
        </w:tc>
        <w:tc>
          <w:tcPr>
            <w:tcW w:w="760" w:type="dxa"/>
            <w:vAlign w:val="bottom"/>
          </w:tcPr>
          <w:p>
            <w:pPr>
              <w:jc w:val="right"/>
              <w:spacing w:after="0"/>
              <w:rPr>
                <w:sz w:val="20"/>
                <w:szCs w:val="20"/>
                <w:color w:val="auto"/>
              </w:rPr>
            </w:pPr>
            <w:r>
              <w:rPr>
                <w:rFonts w:ascii="Arial" w:cs="Arial" w:eastAsia="Arial" w:hAnsi="Arial"/>
                <w:sz w:val="18"/>
                <w:szCs w:val="18"/>
                <w:color w:val="auto"/>
              </w:rPr>
              <w:t>117,178</w:t>
            </w:r>
          </w:p>
        </w:tc>
        <w:tc>
          <w:tcPr>
            <w:tcW w:w="220" w:type="dxa"/>
            <w:vAlign w:val="bottom"/>
          </w:tcPr>
          <w:p>
            <w:pPr>
              <w:spacing w:after="0"/>
              <w:rPr>
                <w:sz w:val="24"/>
                <w:szCs w:val="24"/>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Corsair Capital Funds</w:t>
            </w:r>
            <w:r>
              <w:rPr>
                <w:rFonts w:ascii="Arial" w:cs="Arial" w:eastAsia="Arial" w:hAnsi="Arial"/>
                <w:sz w:val="26"/>
                <w:szCs w:val="26"/>
                <w:color w:val="auto"/>
                <w:vertAlign w:val="superscript"/>
              </w:rPr>
              <w:t>(29)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 xml:space="preserve">Cramer Rosenthal McGlynn Funds </w:t>
            </w:r>
            <w:r>
              <w:rPr>
                <w:rFonts w:ascii="Arial" w:cs="Arial" w:eastAsia="Arial" w:hAnsi="Arial"/>
                <w:sz w:val="26"/>
                <w:szCs w:val="26"/>
                <w:color w:val="auto"/>
                <w:vertAlign w:val="superscript"/>
              </w:rPr>
              <w:t>(30)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333,333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333,333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D.E. Shaw Oculus Portfolios, L.L.C.</w:t>
            </w:r>
            <w:r>
              <w:rPr>
                <w:rFonts w:ascii="Arial" w:cs="Arial" w:eastAsia="Arial" w:hAnsi="Arial"/>
                <w:sz w:val="26"/>
                <w:szCs w:val="26"/>
                <w:color w:val="auto"/>
                <w:vertAlign w:val="superscript"/>
              </w:rPr>
              <w:t>(31)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166,667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D. E. Shaw Valence Portfolios, L.L.C.</w:t>
            </w:r>
            <w:r>
              <w:rPr>
                <w:rFonts w:ascii="Arial" w:cs="Arial" w:eastAsia="Arial" w:hAnsi="Arial"/>
                <w:sz w:val="26"/>
                <w:szCs w:val="26"/>
                <w:color w:val="auto"/>
                <w:vertAlign w:val="superscript"/>
              </w:rPr>
              <w:t>(32)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500,000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2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Diameter Master Fund LP</w:t>
            </w:r>
            <w:r>
              <w:rPr>
                <w:rFonts w:ascii="Arial" w:cs="Arial" w:eastAsia="Arial" w:hAnsi="Arial"/>
                <w:sz w:val="26"/>
                <w:szCs w:val="26"/>
                <w:color w:val="auto"/>
                <w:vertAlign w:val="superscript"/>
              </w:rPr>
              <w:t>(33)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820" w:type="dxa"/>
            <w:vAlign w:val="bottom"/>
          </w:tcPr>
          <w:p>
            <w:pPr>
              <w:spacing w:after="0" w:line="283" w:lineRule="exact"/>
              <w:rPr>
                <w:sz w:val="20"/>
                <w:szCs w:val="20"/>
                <w:color w:val="auto"/>
              </w:rPr>
            </w:pPr>
            <w:r>
              <w:rPr>
                <w:rFonts w:ascii="Arial" w:cs="Arial" w:eastAsia="Arial" w:hAnsi="Arial"/>
                <w:sz w:val="18"/>
                <w:szCs w:val="18"/>
                <w:color w:val="auto"/>
              </w:rPr>
              <w:t>Dragoneer Global Fund II, L.P.</w:t>
            </w:r>
            <w:r>
              <w:rPr>
                <w:rFonts w:ascii="Arial" w:cs="Arial" w:eastAsia="Arial" w:hAnsi="Arial"/>
                <w:sz w:val="26"/>
                <w:szCs w:val="26"/>
                <w:color w:val="auto"/>
                <w:vertAlign w:val="superscript"/>
              </w:rPr>
              <w:t>(34)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4,333,333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4,333,333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DSAM Partners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shd w:val="clear" w:color="auto" w:fill="CCEEFF"/>
          </w:tcPr>
          <w:p>
            <w:pPr>
              <w:ind w:left="180"/>
              <w:spacing w:after="0" w:line="281" w:lineRule="exact"/>
              <w:rPr>
                <w:sz w:val="20"/>
                <w:szCs w:val="20"/>
                <w:color w:val="auto"/>
              </w:rPr>
            </w:pPr>
            <w:r>
              <w:rPr>
                <w:rFonts w:ascii="Arial" w:cs="Arial" w:eastAsia="Arial" w:hAnsi="Arial"/>
                <w:sz w:val="18"/>
                <w:szCs w:val="18"/>
                <w:color w:val="auto"/>
              </w:rPr>
              <w:t>(London) Ltd.</w:t>
            </w:r>
            <w:r>
              <w:rPr>
                <w:rFonts w:ascii="Arial" w:cs="Arial" w:eastAsia="Arial" w:hAnsi="Arial"/>
                <w:sz w:val="26"/>
                <w:szCs w:val="26"/>
                <w:color w:val="auto"/>
                <w:vertAlign w:val="superscript"/>
              </w:rPr>
              <w:t>(35)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839,518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575,307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264,211</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Empyrean Capital Overseas Master</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tcPr>
          <w:p>
            <w:pPr>
              <w:ind w:left="180"/>
              <w:spacing w:after="0" w:line="281" w:lineRule="exact"/>
              <w:rPr>
                <w:sz w:val="20"/>
                <w:szCs w:val="20"/>
                <w:color w:val="auto"/>
              </w:rPr>
            </w:pPr>
            <w:r>
              <w:rPr>
                <w:rFonts w:ascii="Arial" w:cs="Arial" w:eastAsia="Arial" w:hAnsi="Arial"/>
                <w:sz w:val="18"/>
                <w:szCs w:val="18"/>
                <w:color w:val="auto"/>
              </w:rPr>
              <w:t>Fund Ltd.</w:t>
            </w:r>
            <w:r>
              <w:rPr>
                <w:rFonts w:ascii="Arial" w:cs="Arial" w:eastAsia="Arial" w:hAnsi="Arial"/>
                <w:sz w:val="26"/>
                <w:szCs w:val="26"/>
                <w:color w:val="auto"/>
                <w:vertAlign w:val="superscript"/>
              </w:rPr>
              <w:t>(36)</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2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Fidelity Funds</w:t>
            </w:r>
            <w:r>
              <w:rPr>
                <w:rFonts w:ascii="Arial" w:cs="Arial" w:eastAsia="Arial" w:hAnsi="Arial"/>
                <w:sz w:val="26"/>
                <w:szCs w:val="26"/>
                <w:color w:val="auto"/>
                <w:vertAlign w:val="superscript"/>
              </w:rPr>
              <w:t>(37)</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13,333,334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20" w:type="dxa"/>
            <w:vAlign w:val="bottom"/>
          </w:tcPr>
          <w:p>
            <w:pPr>
              <w:spacing w:after="0" w:line="283" w:lineRule="exact"/>
              <w:rPr>
                <w:sz w:val="20"/>
                <w:szCs w:val="20"/>
                <w:color w:val="auto"/>
              </w:rPr>
            </w:pPr>
            <w:r>
              <w:rPr>
                <w:rFonts w:ascii="Arial" w:cs="Arial" w:eastAsia="Arial" w:hAnsi="Arial"/>
                <w:sz w:val="18"/>
                <w:szCs w:val="18"/>
                <w:color w:val="auto"/>
              </w:rPr>
              <w:t>Franklin Funds</w:t>
            </w:r>
            <w:r>
              <w:rPr>
                <w:rFonts w:ascii="Arial" w:cs="Arial" w:eastAsia="Arial" w:hAnsi="Arial"/>
                <w:sz w:val="26"/>
                <w:szCs w:val="26"/>
                <w:color w:val="auto"/>
                <w:vertAlign w:val="superscript"/>
              </w:rPr>
              <w:t>(38)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13,415,491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13,333,334</w:t>
            </w:r>
          </w:p>
        </w:tc>
        <w:tc>
          <w:tcPr>
            <w:tcW w:w="760" w:type="dxa"/>
            <w:vAlign w:val="bottom"/>
          </w:tcPr>
          <w:p>
            <w:pPr>
              <w:jc w:val="right"/>
              <w:spacing w:after="0"/>
              <w:rPr>
                <w:sz w:val="20"/>
                <w:szCs w:val="20"/>
                <w:color w:val="auto"/>
              </w:rPr>
            </w:pPr>
            <w:r>
              <w:rPr>
                <w:rFonts w:ascii="Arial" w:cs="Arial" w:eastAsia="Arial" w:hAnsi="Arial"/>
                <w:sz w:val="18"/>
                <w:szCs w:val="18"/>
                <w:color w:val="auto"/>
              </w:rPr>
              <w:t>82,157</w:t>
            </w:r>
          </w:p>
        </w:tc>
        <w:tc>
          <w:tcPr>
            <w:tcW w:w="220" w:type="dxa"/>
            <w:vAlign w:val="bottom"/>
          </w:tcPr>
          <w:p>
            <w:pPr>
              <w:spacing w:after="0"/>
              <w:rPr>
                <w:sz w:val="24"/>
                <w:szCs w:val="24"/>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82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Ghisallo Master Fund LP</w:t>
            </w:r>
            <w:r>
              <w:rPr>
                <w:rFonts w:ascii="Arial" w:cs="Arial" w:eastAsia="Arial" w:hAnsi="Arial"/>
                <w:sz w:val="26"/>
                <w:szCs w:val="26"/>
                <w:color w:val="auto"/>
                <w:vertAlign w:val="superscript"/>
              </w:rPr>
              <w:t>(39)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60" w:type="dxa"/>
            <w:vAlign w:val="bottom"/>
            <w:gridSpan w:val="2"/>
          </w:tcPr>
          <w:p>
            <w:pPr>
              <w:jc w:val="right"/>
              <w:ind w:right="784"/>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-7448550</wp:posOffset>
            </wp:positionV>
            <wp:extent cx="137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-7448550</wp:posOffset>
            </wp:positionV>
            <wp:extent cx="137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-7448550</wp:posOffset>
            </wp:positionV>
            <wp:extent cx="137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-7448550</wp:posOffset>
            </wp:positionV>
            <wp:extent cx="137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7" w:name="page148"/>
    <w:bookmarkEnd w:id="1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Shares of Class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 common</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stock</w:t>
            </w: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Shares of Class</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Beneficially</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 common</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Owned Prior to</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stock Being</w:t>
            </w:r>
          </w:p>
        </w:tc>
      </w:tr>
      <w:tr>
        <w:trPr>
          <w:trHeight w:val="18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Securityholder</w:t>
            </w:r>
          </w:p>
        </w:tc>
        <w:tc>
          <w:tcPr>
            <w:tcW w:w="200" w:type="dxa"/>
            <w:vAlign w:val="bottom"/>
          </w:tcPr>
          <w:p>
            <w:pPr>
              <w:spacing w:after="0"/>
              <w:rPr>
                <w:sz w:val="16"/>
                <w:szCs w:val="16"/>
                <w:color w:val="auto"/>
              </w:rPr>
            </w:pP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Offered</w:t>
            </w:r>
          </w:p>
        </w:tc>
      </w:tr>
      <w:tr>
        <w:trPr>
          <w:trHeight w:val="26"/>
        </w:trPr>
        <w:tc>
          <w:tcPr>
            <w:tcW w:w="3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3"/>
        </w:trPr>
        <w:tc>
          <w:tcPr>
            <w:tcW w:w="3840" w:type="dxa"/>
            <w:vAlign w:val="bottom"/>
            <w:gridSpan w:val="3"/>
          </w:tcPr>
          <w:p>
            <w:pPr>
              <w:spacing w:after="0" w:line="252" w:lineRule="exact"/>
              <w:rPr>
                <w:sz w:val="20"/>
                <w:szCs w:val="20"/>
                <w:color w:val="auto"/>
              </w:rPr>
            </w:pPr>
            <w:r>
              <w:rPr>
                <w:rFonts w:ascii="Arial" w:cs="Arial" w:eastAsia="Arial" w:hAnsi="Arial"/>
                <w:sz w:val="18"/>
                <w:szCs w:val="18"/>
                <w:color w:val="auto"/>
              </w:rPr>
              <w:t>HBK Master Fund L.P.</w:t>
            </w:r>
            <w:r>
              <w:rPr>
                <w:rFonts w:ascii="Arial" w:cs="Arial" w:eastAsia="Arial" w:hAnsi="Arial"/>
                <w:sz w:val="26"/>
                <w:szCs w:val="26"/>
                <w:color w:val="auto"/>
                <w:vertAlign w:val="superscript"/>
              </w:rPr>
              <w:t>(40)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666,667</w:t>
            </w:r>
          </w:p>
        </w:tc>
        <w:tc>
          <w:tcPr>
            <w:tcW w:w="4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José E. Feliciano</w:t>
            </w:r>
            <w:r>
              <w:rPr>
                <w:rFonts w:ascii="Arial" w:cs="Arial" w:eastAsia="Arial" w:hAnsi="Arial"/>
                <w:sz w:val="26"/>
                <w:szCs w:val="26"/>
                <w:color w:val="auto"/>
                <w:vertAlign w:val="superscript"/>
              </w:rPr>
              <w:t>(41)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833,333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833,333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Linden Capital L.P.</w:t>
            </w:r>
            <w:r>
              <w:rPr>
                <w:rFonts w:ascii="Arial" w:cs="Arial" w:eastAsia="Arial" w:hAnsi="Arial"/>
                <w:sz w:val="26"/>
                <w:szCs w:val="26"/>
                <w:color w:val="auto"/>
                <w:vertAlign w:val="superscript"/>
              </w:rPr>
              <w:t>(42)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Longfellow Investment Management Funds</w:t>
            </w:r>
            <w:r>
              <w:rPr>
                <w:rFonts w:ascii="Arial" w:cs="Arial" w:eastAsia="Arial" w:hAnsi="Arial"/>
                <w:sz w:val="26"/>
                <w:szCs w:val="26"/>
                <w:color w:val="auto"/>
                <w:vertAlign w:val="superscript"/>
              </w:rPr>
              <w:t>(43)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Magnetar Funds</w:t>
            </w:r>
            <w:r>
              <w:rPr>
                <w:rFonts w:ascii="Arial" w:cs="Arial" w:eastAsia="Arial" w:hAnsi="Arial"/>
                <w:sz w:val="26"/>
                <w:szCs w:val="26"/>
                <w:color w:val="auto"/>
                <w:vertAlign w:val="superscript"/>
              </w:rPr>
              <w:t>(44)</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13,515,598</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10,000,000</w:t>
            </w:r>
          </w:p>
        </w:tc>
      </w:tr>
      <w:tr>
        <w:trPr>
          <w:trHeight w:val="293"/>
        </w:trPr>
        <w:tc>
          <w:tcPr>
            <w:tcW w:w="3840" w:type="dxa"/>
            <w:vAlign w:val="bottom"/>
            <w:gridSpan w:val="3"/>
          </w:tcPr>
          <w:p>
            <w:pPr>
              <w:spacing w:after="0" w:line="293" w:lineRule="exact"/>
              <w:rPr>
                <w:sz w:val="20"/>
                <w:szCs w:val="20"/>
                <w:color w:val="auto"/>
              </w:rPr>
            </w:pPr>
            <w:r>
              <w:rPr>
                <w:rFonts w:ascii="Arial" w:cs="Arial" w:eastAsia="Arial" w:hAnsi="Arial"/>
                <w:sz w:val="18"/>
                <w:szCs w:val="18"/>
                <w:color w:val="auto"/>
              </w:rPr>
              <w:t>Millais Limited</w:t>
            </w:r>
            <w:r>
              <w:rPr>
                <w:rFonts w:ascii="Arial" w:cs="Arial" w:eastAsia="Arial" w:hAnsi="Arial"/>
                <w:sz w:val="26"/>
                <w:szCs w:val="26"/>
                <w:color w:val="auto"/>
                <w:vertAlign w:val="superscript"/>
              </w:rPr>
              <w:t>(45)</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2,000,000</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2,000,000</w:t>
            </w:r>
          </w:p>
        </w:tc>
      </w:tr>
      <w:tr>
        <w:trPr>
          <w:trHeight w:val="179"/>
        </w:trPr>
        <w:tc>
          <w:tcPr>
            <w:tcW w:w="3840" w:type="dxa"/>
            <w:vAlign w:val="bottom"/>
            <w:gridSpan w:val="3"/>
          </w:tcPr>
          <w:p>
            <w:pPr>
              <w:spacing w:after="0" w:line="179" w:lineRule="exact"/>
              <w:rPr>
                <w:sz w:val="20"/>
                <w:szCs w:val="20"/>
                <w:color w:val="auto"/>
              </w:rPr>
            </w:pPr>
            <w:r>
              <w:rPr>
                <w:rFonts w:ascii="Arial" w:cs="Arial" w:eastAsia="Arial" w:hAnsi="Arial"/>
                <w:sz w:val="18"/>
                <w:szCs w:val="18"/>
                <w:color w:val="auto"/>
              </w:rPr>
              <w:t>Entities Affiliated with Millennium Management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84"/>
        </w:trPr>
        <w:tc>
          <w:tcPr>
            <w:tcW w:w="3840" w:type="dxa"/>
            <w:vAlign w:val="bottom"/>
            <w:gridSpan w:val="3"/>
          </w:tcPr>
          <w:p>
            <w:pPr>
              <w:ind w:left="180"/>
              <w:spacing w:after="0" w:line="283"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(46)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4,391,666</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3,424,693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MMF LT, LLC</w:t>
            </w:r>
            <w:r>
              <w:rPr>
                <w:rFonts w:ascii="Arial" w:cs="Arial" w:eastAsia="Arial" w:hAnsi="Arial"/>
                <w:sz w:val="26"/>
                <w:szCs w:val="26"/>
                <w:color w:val="auto"/>
                <w:vertAlign w:val="superscript"/>
              </w:rPr>
              <w:t>(47)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MSD Funds</w:t>
            </w:r>
            <w:r>
              <w:rPr>
                <w:rFonts w:ascii="Arial" w:cs="Arial" w:eastAsia="Arial" w:hAnsi="Arial"/>
                <w:sz w:val="26"/>
                <w:szCs w:val="26"/>
                <w:color w:val="auto"/>
                <w:vertAlign w:val="superscript"/>
              </w:rPr>
              <w:t>(48)</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1,000,000</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Naya Investor Holdings Limited</w:t>
            </w:r>
            <w:r>
              <w:rPr>
                <w:rFonts w:ascii="Arial" w:cs="Arial" w:eastAsia="Arial" w:hAnsi="Arial"/>
                <w:sz w:val="26"/>
                <w:szCs w:val="26"/>
                <w:color w:val="auto"/>
                <w:vertAlign w:val="superscript"/>
              </w:rPr>
              <w:t>(49)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Neuberger Berman Funds</w:t>
            </w:r>
            <w:r>
              <w:rPr>
                <w:rFonts w:ascii="Arial" w:cs="Arial" w:eastAsia="Arial" w:hAnsi="Arial"/>
                <w:sz w:val="26"/>
                <w:szCs w:val="26"/>
                <w:color w:val="auto"/>
                <w:vertAlign w:val="superscript"/>
              </w:rPr>
              <w:t>(50)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NR CM Limited</w:t>
            </w:r>
            <w:r>
              <w:rPr>
                <w:rFonts w:ascii="Arial" w:cs="Arial" w:eastAsia="Arial" w:hAnsi="Arial"/>
                <w:sz w:val="26"/>
                <w:szCs w:val="26"/>
                <w:color w:val="auto"/>
                <w:vertAlign w:val="superscript"/>
              </w:rPr>
              <w:t>(51)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Oaktree Value Equity Holdings, L.P.</w:t>
            </w:r>
            <w:r>
              <w:rPr>
                <w:rFonts w:ascii="Arial" w:cs="Arial" w:eastAsia="Arial" w:hAnsi="Arial"/>
                <w:sz w:val="26"/>
                <w:szCs w:val="26"/>
                <w:color w:val="auto"/>
                <w:vertAlign w:val="superscript"/>
              </w:rPr>
              <w:t>(52)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PEAK6 Capital Management LLC</w:t>
            </w:r>
            <w:r>
              <w:rPr>
                <w:rFonts w:ascii="Arial" w:cs="Arial" w:eastAsia="Arial" w:hAnsi="Arial"/>
                <w:sz w:val="26"/>
                <w:szCs w:val="26"/>
                <w:color w:val="auto"/>
                <w:vertAlign w:val="superscript"/>
              </w:rPr>
              <w:t>(53)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PIMCO Funds</w:t>
            </w:r>
            <w:r>
              <w:rPr>
                <w:rFonts w:ascii="Arial" w:cs="Arial" w:eastAsia="Arial" w:hAnsi="Arial"/>
                <w:sz w:val="26"/>
                <w:szCs w:val="26"/>
                <w:color w:val="auto"/>
                <w:vertAlign w:val="superscript"/>
              </w:rPr>
              <w:t>(54)</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4,000,000</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4,000,000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SB Northstar LP</w:t>
            </w:r>
            <w:r>
              <w:rPr>
                <w:rFonts w:ascii="Arial" w:cs="Arial" w:eastAsia="Arial" w:hAnsi="Arial"/>
                <w:sz w:val="26"/>
                <w:szCs w:val="26"/>
                <w:color w:val="auto"/>
                <w:vertAlign w:val="superscript"/>
              </w:rPr>
              <w:t>(55)</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Schonfeld Strategic 460 Fund LLC</w:t>
            </w:r>
            <w:r>
              <w:rPr>
                <w:rFonts w:ascii="Arial" w:cs="Arial" w:eastAsia="Arial" w:hAnsi="Arial"/>
                <w:sz w:val="26"/>
                <w:szCs w:val="26"/>
                <w:color w:val="auto"/>
                <w:vertAlign w:val="superscript"/>
              </w:rPr>
              <w:t>(56)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2,333,332</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2,333,332</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Sculptor Capital Funds</w:t>
            </w:r>
            <w:r>
              <w:rPr>
                <w:rFonts w:ascii="Arial" w:cs="Arial" w:eastAsia="Arial" w:hAnsi="Arial"/>
                <w:sz w:val="26"/>
                <w:szCs w:val="26"/>
                <w:color w:val="auto"/>
                <w:vertAlign w:val="superscript"/>
              </w:rPr>
              <w:t>(57)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1,666,667</w:t>
            </w:r>
          </w:p>
        </w:tc>
      </w:tr>
      <w:tr>
        <w:trPr>
          <w:trHeight w:val="293"/>
        </w:trPr>
        <w:tc>
          <w:tcPr>
            <w:tcW w:w="3840" w:type="dxa"/>
            <w:vAlign w:val="bottom"/>
            <w:gridSpan w:val="3"/>
          </w:tcPr>
          <w:p>
            <w:pPr>
              <w:spacing w:after="0" w:line="293" w:lineRule="exact"/>
              <w:rPr>
                <w:sz w:val="20"/>
                <w:szCs w:val="20"/>
                <w:color w:val="auto"/>
              </w:rPr>
            </w:pPr>
            <w:r>
              <w:rPr>
                <w:rFonts w:ascii="Arial" w:cs="Arial" w:eastAsia="Arial" w:hAnsi="Arial"/>
                <w:sz w:val="18"/>
                <w:szCs w:val="18"/>
                <w:color w:val="auto"/>
              </w:rPr>
              <w:t>Soroban Opportunities Master Fund LP</w:t>
            </w:r>
            <w:r>
              <w:rPr>
                <w:rFonts w:ascii="Arial" w:cs="Arial" w:eastAsia="Arial" w:hAnsi="Arial"/>
                <w:sz w:val="26"/>
                <w:szCs w:val="26"/>
                <w:color w:val="auto"/>
                <w:vertAlign w:val="superscript"/>
              </w:rPr>
              <w:t>(58)</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179"/>
        </w:trPr>
        <w:tc>
          <w:tcPr>
            <w:tcW w:w="3840" w:type="dxa"/>
            <w:vAlign w:val="bottom"/>
            <w:gridSpan w:val="3"/>
          </w:tcPr>
          <w:p>
            <w:pPr>
              <w:spacing w:after="0" w:line="179" w:lineRule="exact"/>
              <w:rPr>
                <w:sz w:val="20"/>
                <w:szCs w:val="20"/>
                <w:color w:val="auto"/>
              </w:rPr>
            </w:pPr>
            <w:r>
              <w:rPr>
                <w:rFonts w:ascii="Arial" w:cs="Arial" w:eastAsia="Arial" w:hAnsi="Arial"/>
                <w:sz w:val="18"/>
                <w:szCs w:val="18"/>
                <w:color w:val="auto"/>
              </w:rPr>
              <w:t>Entities Affiliated with Soros Fund Management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83"/>
        </w:trPr>
        <w:tc>
          <w:tcPr>
            <w:tcW w:w="3840" w:type="dxa"/>
            <w:vAlign w:val="bottom"/>
            <w:gridSpan w:val="3"/>
          </w:tcPr>
          <w:p>
            <w:pPr>
              <w:ind w:left="180"/>
              <w:spacing w:after="0" w:line="283"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(59)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1,666,667</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Suvretta Capital Funds</w:t>
            </w:r>
            <w:r>
              <w:rPr>
                <w:rFonts w:ascii="Arial" w:cs="Arial" w:eastAsia="Arial" w:hAnsi="Arial"/>
                <w:sz w:val="26"/>
                <w:szCs w:val="26"/>
                <w:color w:val="auto"/>
                <w:vertAlign w:val="superscript"/>
              </w:rPr>
              <w:t>(60)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293"/>
        </w:trPr>
        <w:tc>
          <w:tcPr>
            <w:tcW w:w="3840" w:type="dxa"/>
            <w:vAlign w:val="bottom"/>
            <w:gridSpan w:val="3"/>
          </w:tcPr>
          <w:p>
            <w:pPr>
              <w:spacing w:after="0" w:line="293" w:lineRule="exact"/>
              <w:rPr>
                <w:sz w:val="20"/>
                <w:szCs w:val="20"/>
                <w:color w:val="auto"/>
              </w:rPr>
            </w:pPr>
            <w:r>
              <w:rPr>
                <w:rFonts w:ascii="Arial" w:cs="Arial" w:eastAsia="Arial" w:hAnsi="Arial"/>
                <w:sz w:val="18"/>
                <w:szCs w:val="18"/>
                <w:color w:val="auto"/>
              </w:rPr>
              <w:t>Tech Opportunities LLC</w:t>
            </w:r>
            <w:r>
              <w:rPr>
                <w:rFonts w:ascii="Arial" w:cs="Arial" w:eastAsia="Arial" w:hAnsi="Arial"/>
                <w:sz w:val="26"/>
                <w:szCs w:val="26"/>
                <w:color w:val="auto"/>
                <w:vertAlign w:val="superscript"/>
              </w:rPr>
              <w:t>(61)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179"/>
        </w:trPr>
        <w:tc>
          <w:tcPr>
            <w:tcW w:w="3840" w:type="dxa"/>
            <w:vAlign w:val="bottom"/>
            <w:gridSpan w:val="3"/>
          </w:tcPr>
          <w:p>
            <w:pPr>
              <w:spacing w:after="0" w:line="179" w:lineRule="exact"/>
              <w:rPr>
                <w:sz w:val="20"/>
                <w:szCs w:val="20"/>
                <w:color w:val="auto"/>
              </w:rPr>
            </w:pPr>
            <w:r>
              <w:rPr>
                <w:rFonts w:ascii="Arial" w:cs="Arial" w:eastAsia="Arial" w:hAnsi="Arial"/>
                <w:sz w:val="18"/>
                <w:szCs w:val="18"/>
                <w:color w:val="auto"/>
              </w:rPr>
              <w:t>Entities managed by TOMS Capital Investment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83"/>
        </w:trPr>
        <w:tc>
          <w:tcPr>
            <w:tcW w:w="3840" w:type="dxa"/>
            <w:vAlign w:val="bottom"/>
            <w:gridSpan w:val="3"/>
          </w:tcPr>
          <w:p>
            <w:pPr>
              <w:ind w:left="180"/>
              <w:spacing w:after="0" w:line="283" w:lineRule="exact"/>
              <w:rPr>
                <w:sz w:val="20"/>
                <w:szCs w:val="20"/>
                <w:color w:val="auto"/>
              </w:rPr>
            </w:pPr>
            <w:r>
              <w:rPr>
                <w:rFonts w:ascii="Arial" w:cs="Arial" w:eastAsia="Arial" w:hAnsi="Arial"/>
                <w:sz w:val="18"/>
                <w:szCs w:val="18"/>
                <w:color w:val="auto"/>
              </w:rPr>
              <w:t>Management L.P.</w:t>
            </w:r>
            <w:r>
              <w:rPr>
                <w:rFonts w:ascii="Arial" w:cs="Arial" w:eastAsia="Arial" w:hAnsi="Arial"/>
                <w:sz w:val="26"/>
                <w:szCs w:val="26"/>
                <w:color w:val="auto"/>
                <w:vertAlign w:val="superscript"/>
              </w:rPr>
              <w:t>(62)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1,000,000</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UBS O’Connor Funds</w:t>
            </w:r>
            <w:r>
              <w:rPr>
                <w:rFonts w:ascii="Arial" w:cs="Arial" w:eastAsia="Arial" w:hAnsi="Arial"/>
                <w:sz w:val="26"/>
                <w:szCs w:val="26"/>
                <w:color w:val="auto"/>
                <w:vertAlign w:val="superscript"/>
              </w:rPr>
              <w:t>(63)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WCH Fund I, LP</w:t>
            </w:r>
            <w:r>
              <w:rPr>
                <w:rFonts w:ascii="Arial" w:cs="Arial" w:eastAsia="Arial" w:hAnsi="Arial"/>
                <w:sz w:val="26"/>
                <w:szCs w:val="26"/>
                <w:color w:val="auto"/>
                <w:vertAlign w:val="superscript"/>
              </w:rPr>
              <w:t>(64)</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1,000,000</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Weiss Funds</w:t>
            </w:r>
            <w:r>
              <w:rPr>
                <w:rFonts w:ascii="Arial" w:cs="Arial" w:eastAsia="Arial" w:hAnsi="Arial"/>
                <w:sz w:val="26"/>
                <w:szCs w:val="26"/>
                <w:color w:val="auto"/>
                <w:vertAlign w:val="superscript"/>
              </w:rPr>
              <w:t>(65)</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Wellington Capital Funds</w:t>
            </w:r>
            <w:r>
              <w:rPr>
                <w:rFonts w:ascii="Arial" w:cs="Arial" w:eastAsia="Arial" w:hAnsi="Arial"/>
                <w:sz w:val="26"/>
                <w:szCs w:val="26"/>
                <w:color w:val="auto"/>
                <w:vertAlign w:val="superscript"/>
              </w:rPr>
              <w:t>(66)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Winslow Capital Funds</w:t>
            </w:r>
            <w:r>
              <w:rPr>
                <w:rFonts w:ascii="Arial" w:cs="Arial" w:eastAsia="Arial" w:hAnsi="Arial"/>
                <w:sz w:val="26"/>
                <w:szCs w:val="26"/>
                <w:color w:val="auto"/>
                <w:vertAlign w:val="superscript"/>
              </w:rPr>
              <w:t>(67)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13,333,334</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13,333,334</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Whale Rock Funds</w:t>
            </w:r>
            <w:r>
              <w:rPr>
                <w:rFonts w:ascii="Arial" w:cs="Arial" w:eastAsia="Arial" w:hAnsi="Arial"/>
                <w:sz w:val="26"/>
                <w:szCs w:val="26"/>
                <w:color w:val="auto"/>
                <w:vertAlign w:val="superscript"/>
              </w:rPr>
              <w:t>(68)</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353"/>
        </w:trPr>
        <w:tc>
          <w:tcPr>
            <w:tcW w:w="3840" w:type="dxa"/>
            <w:vAlign w:val="bottom"/>
            <w:gridSpan w:val="3"/>
          </w:tcPr>
          <w:p>
            <w:pPr>
              <w:spacing w:after="0"/>
              <w:rPr>
                <w:sz w:val="20"/>
                <w:szCs w:val="20"/>
                <w:color w:val="auto"/>
              </w:rPr>
            </w:pPr>
            <w:r>
              <w:rPr>
                <w:rFonts w:ascii="Arial" w:cs="Arial" w:eastAsia="Arial" w:hAnsi="Arial"/>
                <w:sz w:val="18"/>
                <w:szCs w:val="18"/>
                <w:color w:val="auto"/>
              </w:rPr>
              <w:t>ZP Master Utility Fund, Ltd.</w:t>
            </w:r>
            <w:r>
              <w:rPr>
                <w:rFonts w:ascii="Arial" w:cs="Arial" w:eastAsia="Arial" w:hAnsi="Arial"/>
                <w:sz w:val="26"/>
                <w:szCs w:val="26"/>
                <w:color w:val="auto"/>
                <w:vertAlign w:val="superscript"/>
              </w:rPr>
              <w:t>(69)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540"/>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Private</w:t>
            </w:r>
          </w:p>
        </w:tc>
        <w:tc>
          <w:tcPr>
            <w:tcW w:w="1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Number of</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Placement</w:t>
            </w:r>
          </w:p>
        </w:tc>
        <w:tc>
          <w:tcPr>
            <w:tcW w:w="1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Private</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Warrants /</w:t>
            </w:r>
          </w:p>
        </w:tc>
        <w:tc>
          <w:tcPr>
            <w:tcW w:w="1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Placement</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Working Capital</w:t>
            </w:r>
          </w:p>
        </w:tc>
        <w:tc>
          <w:tcPr>
            <w:tcW w:w="1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Warrants /</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Warrants</w:t>
            </w:r>
          </w:p>
        </w:tc>
        <w:tc>
          <w:tcPr>
            <w:tcW w:w="1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Working Capital</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Beneficially Owned Prior to</w:t>
            </w:r>
          </w:p>
        </w:tc>
        <w:tc>
          <w:tcPr>
            <w:tcW w:w="1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Warrants Being</w:t>
            </w:r>
          </w:p>
        </w:tc>
      </w:tr>
      <w:tr>
        <w:trPr>
          <w:trHeight w:val="18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Securityholder</w:t>
            </w:r>
          </w:p>
        </w:tc>
        <w:tc>
          <w:tcPr>
            <w:tcW w:w="200" w:type="dxa"/>
            <w:vAlign w:val="bottom"/>
          </w:tcPr>
          <w:p>
            <w:pPr>
              <w:spacing w:after="0"/>
              <w:rPr>
                <w:sz w:val="16"/>
                <w:szCs w:val="16"/>
                <w:color w:val="auto"/>
              </w:rPr>
            </w:pPr>
          </w:p>
        </w:tc>
        <w:tc>
          <w:tcPr>
            <w:tcW w:w="1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Offered</w:t>
            </w:r>
          </w:p>
        </w:tc>
      </w:tr>
      <w:tr>
        <w:trPr>
          <w:trHeight w:val="25"/>
        </w:trPr>
        <w:tc>
          <w:tcPr>
            <w:tcW w:w="3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346"/>
        </w:trPr>
        <w:tc>
          <w:tcPr>
            <w:tcW w:w="3320" w:type="dxa"/>
            <w:vAlign w:val="bottom"/>
          </w:tcPr>
          <w:p>
            <w:pPr>
              <w:spacing w:after="0"/>
              <w:rPr>
                <w:sz w:val="20"/>
                <w:szCs w:val="20"/>
                <w:color w:val="auto"/>
              </w:rPr>
            </w:pPr>
            <w:r>
              <w:rPr>
                <w:rFonts w:ascii="Arial" w:cs="Arial" w:eastAsia="Arial" w:hAnsi="Arial"/>
                <w:sz w:val="18"/>
                <w:szCs w:val="18"/>
                <w:color w:val="auto"/>
              </w:rPr>
              <w:t>Churchill Sponsor IV LLC</w:t>
            </w:r>
            <w:r>
              <w:rPr>
                <w:rFonts w:ascii="Arial" w:cs="Arial" w:eastAsia="Arial" w:hAnsi="Arial"/>
                <w:sz w:val="26"/>
                <w:szCs w:val="26"/>
                <w:color w:val="auto"/>
                <w:vertAlign w:val="superscript"/>
              </w:rPr>
              <w:t>(11)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center"/>
              <w:ind w:right="68"/>
              <w:spacing w:after="0"/>
              <w:rPr>
                <w:sz w:val="20"/>
                <w:szCs w:val="20"/>
                <w:color w:val="auto"/>
              </w:rPr>
            </w:pPr>
            <w:r>
              <w:rPr>
                <w:rFonts w:ascii="Arial" w:cs="Arial" w:eastAsia="Arial" w:hAnsi="Arial"/>
                <w:sz w:val="18"/>
                <w:szCs w:val="18"/>
                <w:color w:val="auto"/>
                <w:w w:val="90"/>
              </w:rPr>
              <w:t>44,350,000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44,350,000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-6584315</wp:posOffset>
            </wp:positionV>
            <wp:extent cx="5212080" cy="1714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-6241415</wp:posOffset>
            </wp:positionV>
            <wp:extent cx="521208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-5898515</wp:posOffset>
            </wp:positionV>
            <wp:extent cx="5212080" cy="3086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-5418455</wp:posOffset>
            </wp:positionV>
            <wp:extent cx="521208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-5075555</wp:posOffset>
            </wp:positionV>
            <wp:extent cx="521208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-4732655</wp:posOffset>
            </wp:positionV>
            <wp:extent cx="521208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-4389755</wp:posOffset>
            </wp:positionV>
            <wp:extent cx="52120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-4046855</wp:posOffset>
            </wp:positionV>
            <wp:extent cx="521208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-3703955</wp:posOffset>
            </wp:positionV>
            <wp:extent cx="521208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-3223895</wp:posOffset>
            </wp:positionV>
            <wp:extent cx="521208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-2880995</wp:posOffset>
            </wp:positionV>
            <wp:extent cx="5212080" cy="3086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-2400935</wp:posOffset>
            </wp:positionV>
            <wp:extent cx="521208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-2058035</wp:posOffset>
            </wp:positionV>
            <wp:extent cx="5212080"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-1715135</wp:posOffset>
            </wp:positionV>
            <wp:extent cx="5212080" cy="171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-6935470</wp:posOffset>
            </wp:positionV>
            <wp:extent cx="5212080"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-231775</wp:posOffset>
            </wp:positionV>
            <wp:extent cx="5212080"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60" w:right="439"/>
        <w:spacing w:after="0" w:line="309" w:lineRule="auto"/>
        <w:rPr>
          <w:sz w:val="20"/>
          <w:szCs w:val="20"/>
          <w:color w:val="auto"/>
        </w:rPr>
      </w:pPr>
      <w:r>
        <w:rPr>
          <w:rFonts w:ascii="Arial" w:cs="Arial" w:eastAsia="Arial" w:hAnsi="Arial"/>
          <w:sz w:val="12"/>
          <w:szCs w:val="12"/>
          <w:b w:val="1"/>
          <w:bCs w:val="1"/>
          <w:color w:val="auto"/>
        </w:rPr>
        <w:t>Shares of Class A common stock Beneficially Owned After the Offered Shares of Common Stock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1055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6"/>
        </w:trPr>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3"/>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900" w:type="dxa"/>
            <w:vAlign w:val="bottom"/>
          </w:tcPr>
          <w:p>
            <w:pPr>
              <w:jc w:val="right"/>
              <w:spacing w:after="0"/>
              <w:rPr>
                <w:sz w:val="20"/>
                <w:szCs w:val="20"/>
                <w:color w:val="auto"/>
              </w:rPr>
            </w:pPr>
            <w:r>
              <w:rPr>
                <w:rFonts w:ascii="Arial" w:cs="Arial" w:eastAsia="Arial" w:hAnsi="Arial"/>
                <w:sz w:val="18"/>
                <w:szCs w:val="18"/>
                <w:color w:val="auto"/>
              </w:rPr>
              <w:t>3,515,598</w:t>
            </w:r>
          </w:p>
        </w:tc>
        <w:tc>
          <w:tcPr>
            <w:tcW w:w="220" w:type="dxa"/>
            <w:vAlign w:val="bottom"/>
          </w:tcPr>
          <w:p>
            <w:pPr>
              <w:spacing w:after="0"/>
              <w:rPr>
                <w:sz w:val="23"/>
                <w:szCs w:val="23"/>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73"/>
        </w:trPr>
        <w:tc>
          <w:tcPr>
            <w:tcW w:w="900" w:type="dxa"/>
            <w:vAlign w:val="bottom"/>
          </w:tcPr>
          <w:p>
            <w:pPr>
              <w:jc w:val="right"/>
              <w:spacing w:after="0"/>
              <w:rPr>
                <w:sz w:val="20"/>
                <w:szCs w:val="20"/>
                <w:color w:val="auto"/>
              </w:rPr>
            </w:pPr>
            <w:r>
              <w:rPr>
                <w:rFonts w:ascii="Arial" w:cs="Arial" w:eastAsia="Arial" w:hAnsi="Arial"/>
                <w:sz w:val="18"/>
                <w:szCs w:val="18"/>
                <w:color w:val="auto"/>
              </w:rPr>
              <w:t>966,973</w:t>
            </w:r>
          </w:p>
        </w:tc>
        <w:tc>
          <w:tcPr>
            <w:tcW w:w="220" w:type="dxa"/>
            <w:vAlign w:val="bottom"/>
          </w:tcPr>
          <w:p>
            <w:pPr>
              <w:spacing w:after="0"/>
              <w:rPr>
                <w:sz w:val="24"/>
                <w:szCs w:val="24"/>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83"/>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73"/>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84"/>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72"/>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84"/>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7" w:lineRule="exact"/>
        <w:rPr>
          <w:sz w:val="20"/>
          <w:szCs w:val="20"/>
          <w:color w:val="auto"/>
        </w:rPr>
      </w:pPr>
    </w:p>
    <w:p>
      <w:pPr>
        <w:jc w:val="center"/>
        <w:ind w:left="-179" w:right="40"/>
        <w:spacing w:after="0" w:line="286" w:lineRule="auto"/>
        <w:rPr>
          <w:sz w:val="20"/>
          <w:szCs w:val="20"/>
          <w:color w:val="auto"/>
        </w:rPr>
      </w:pPr>
      <w:r>
        <w:rPr>
          <w:rFonts w:ascii="Arial" w:cs="Arial" w:eastAsia="Arial" w:hAnsi="Arial"/>
          <w:sz w:val="12"/>
          <w:szCs w:val="12"/>
          <w:b w:val="1"/>
          <w:bCs w:val="1"/>
          <w:color w:val="auto"/>
        </w:rPr>
        <w:t>Private Placement Warrants / Working Capital Warrants Beneficially Owned After the Offered Private Placement Warrants /</w:t>
      </w:r>
    </w:p>
    <w:p>
      <w:pPr>
        <w:spacing w:after="0" w:line="1" w:lineRule="exact"/>
        <w:rPr>
          <w:sz w:val="20"/>
          <w:szCs w:val="20"/>
          <w:color w:val="auto"/>
        </w:rPr>
      </w:pPr>
    </w:p>
    <w:p>
      <w:pPr>
        <w:ind w:left="440" w:right="639" w:firstLine="29"/>
        <w:spacing w:after="0" w:line="337" w:lineRule="auto"/>
        <w:rPr>
          <w:sz w:val="20"/>
          <w:szCs w:val="20"/>
          <w:color w:val="auto"/>
        </w:rPr>
      </w:pPr>
      <w:r>
        <w:rPr>
          <w:rFonts w:ascii="Arial" w:cs="Arial" w:eastAsia="Arial" w:hAnsi="Arial"/>
          <w:sz w:val="12"/>
          <w:szCs w:val="12"/>
          <w:b w:val="1"/>
          <w:bCs w:val="1"/>
          <w:color w:val="auto"/>
        </w:rPr>
        <w:t>Working Capital Warrants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-18415</wp:posOffset>
            </wp:positionV>
            <wp:extent cx="9772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300"/>
        <w:spacing w:after="0"/>
        <w:tabs>
          <w:tab w:leader="none" w:pos="11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Percent</w:t>
      </w:r>
    </w:p>
    <w:p>
      <w:pPr>
        <w:spacing w:after="0" w:line="104"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sectPr>
          <w:pgSz w:w="11900" w:h="16838" w:orient="portrait"/>
          <w:cols w:equalWidth="0" w:num="2">
            <w:col w:w="7720" w:space="0"/>
            <w:col w:w="2159"/>
          </w:cols>
          <w:pgMar w:left="580" w:top="131" w:right="1440" w:bottom="1440" w:gutter="0" w:footer="0" w:header="0"/>
        </w:sectPr>
      </w:pPr>
    </w:p>
    <w:p>
      <w:pPr>
        <w:spacing w:after="0" w:line="10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right="539" w:hanging="360"/>
        <w:spacing w:after="0" w:line="275" w:lineRule="auto"/>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Mr. Rawlinson has served as our Chief Executive Officer and Chief Technology Officer and director since April 2019. Shares offered hereby include (i) 537,919 currently issued and outstanding shares of Class A common stock; (ii) 12,589,171 shares of Class A common stock issuable upon exercise of currently outstanding and exercisable Lucid Group Options; and (iii) 29,859,159 shares of Class A common stock subject to currently outstanding Lucid Group RSUs vesting after September 21, 2021.</w:t>
      </w:r>
    </w:p>
    <w:p>
      <w:pPr>
        <w:spacing w:after="0" w:line="27" w:lineRule="exact"/>
        <w:rPr>
          <w:rFonts w:ascii="Arial" w:cs="Arial" w:eastAsia="Arial" w:hAnsi="Arial"/>
          <w:sz w:val="17"/>
          <w:szCs w:val="17"/>
          <w:color w:val="auto"/>
        </w:rPr>
      </w:pPr>
    </w:p>
    <w:p>
      <w:pPr>
        <w:ind w:left="1620" w:right="439" w:hanging="360"/>
        <w:spacing w:after="0" w:line="296" w:lineRule="auto"/>
        <w:tabs>
          <w:tab w:leader="none" w:pos="1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Ms. House has served as our Chief Financial Officer since May 2021. Shares offered hereby include 661,000 shares of Class A common stock subject to currently outstanding Lucid Group RSUs vesting after September 21, 2021. Upon vesting of such RSUs, the shares will be held by The House Revocable Trust, dated March 20, 2021, with Christopher A. House and/or Sherry A. House serving as Trustees. Christopher A. House and Sherry A. House are the beneficial owners of The House Revocable Trust.</w:t>
      </w:r>
    </w:p>
    <w:p>
      <w:pPr>
        <w:spacing w:after="0" w:line="12" w:lineRule="exact"/>
        <w:rPr>
          <w:rFonts w:ascii="Arial" w:cs="Arial" w:eastAsia="Arial" w:hAnsi="Arial"/>
          <w:sz w:val="16"/>
          <w:szCs w:val="16"/>
          <w:color w:val="auto"/>
        </w:rPr>
      </w:pPr>
    </w:p>
    <w:p>
      <w:pPr>
        <w:ind w:left="1620" w:right="479" w:hanging="360"/>
        <w:spacing w:after="0" w:line="269" w:lineRule="auto"/>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Mr. Bach has served as our Senior Vice President, Product and Chief Engineer since February 2021. Mr. Bach previously served as our Vice President, Hardware Engineering from September 2018 to February 2021 and as Senior Director, Body Engineering from April 2015 to August 2018. Shares offered hereby include (i) 1,173,177 currently issued and outstanding shares of Class A common stock;</w:t>
      </w:r>
    </w:p>
    <w:p>
      <w:pPr>
        <w:spacing w:after="0" w:line="1" w:lineRule="exact"/>
        <w:rPr>
          <w:rFonts w:ascii="Arial" w:cs="Arial" w:eastAsia="Arial" w:hAnsi="Arial"/>
          <w:sz w:val="17"/>
          <w:szCs w:val="17"/>
          <w:color w:val="auto"/>
        </w:rPr>
      </w:pPr>
    </w:p>
    <w:p>
      <w:pPr>
        <w:ind w:left="1620" w:right="799"/>
        <w:spacing w:after="0" w:line="253" w:lineRule="auto"/>
        <w:tabs>
          <w:tab w:leader="none" w:pos="1903" w:val="left"/>
        </w:tabs>
        <w:numPr>
          <w:ilvl w:val="1"/>
          <w:numId w:val="89"/>
        </w:numPr>
        <w:rPr>
          <w:rFonts w:ascii="Arial" w:cs="Arial" w:eastAsia="Arial" w:hAnsi="Arial"/>
          <w:sz w:val="18"/>
          <w:szCs w:val="18"/>
          <w:color w:val="auto"/>
        </w:rPr>
      </w:pPr>
      <w:r>
        <w:rPr>
          <w:rFonts w:ascii="Arial" w:cs="Arial" w:eastAsia="Arial" w:hAnsi="Arial"/>
          <w:sz w:val="18"/>
          <w:szCs w:val="18"/>
          <w:color w:val="auto"/>
        </w:rPr>
        <w:t>1,496,630 shares of Class A common stock issuable upon exercise of currently outstanding and exercisable Lucid Group Options; and (iii) 1,894,868 shares of Class A common stock subject to currently outstanding Lucid Group Awards vesting or becoming exercisable, as applicable, after September 21, 2021.</w:t>
      </w:r>
    </w:p>
    <w:p>
      <w:pPr>
        <w:spacing w:after="0" w:line="44" w:lineRule="exact"/>
        <w:rPr>
          <w:rFonts w:ascii="Arial" w:cs="Arial" w:eastAsia="Arial" w:hAnsi="Arial"/>
          <w:sz w:val="18"/>
          <w:szCs w:val="18"/>
          <w:color w:val="auto"/>
        </w:rPr>
      </w:pPr>
    </w:p>
    <w:p>
      <w:pPr>
        <w:ind w:left="1620" w:right="579" w:hanging="360"/>
        <w:spacing w:after="0" w:line="279" w:lineRule="auto"/>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Mr. Bell has served as our Senior Vice President, Digital since February 2021, and served as our consultant from August 2020 to February 2021. Shares offered hereby include (i) 100,364 currently issued and outstanding shares of Class A common stock and (ii) 1,322,000 shares of Class A common stock subject to currently outstanding Lucid Group RSUs vesting after September 21, 2021.</w:t>
      </w:r>
    </w:p>
    <w:p>
      <w:pPr>
        <w:spacing w:after="0" w:line="22" w:lineRule="exact"/>
        <w:rPr>
          <w:rFonts w:ascii="Arial" w:cs="Arial" w:eastAsia="Arial" w:hAnsi="Arial"/>
          <w:sz w:val="17"/>
          <w:szCs w:val="17"/>
          <w:color w:val="auto"/>
        </w:rPr>
      </w:pPr>
    </w:p>
    <w:p>
      <w:pPr>
        <w:jc w:val="both"/>
        <w:ind w:left="1620" w:right="639" w:hanging="360"/>
        <w:spacing w:after="0" w:line="274" w:lineRule="auto"/>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Mr. Liveris has served as Chairman of our board of directors since April 2019. Shares offered hereby include (i) 535,275 shares of Class A common stock currently beneficially owned by Mr. Liveris and</w:t>
      </w:r>
    </w:p>
    <w:p>
      <w:pPr>
        <w:ind w:left="1620" w:right="539"/>
        <w:spacing w:after="0" w:line="281" w:lineRule="auto"/>
        <w:tabs>
          <w:tab w:leader="none" w:pos="1903" w:val="left"/>
        </w:tabs>
        <w:numPr>
          <w:ilvl w:val="1"/>
          <w:numId w:val="89"/>
        </w:numPr>
        <w:rPr>
          <w:rFonts w:ascii="Arial" w:cs="Arial" w:eastAsia="Arial" w:hAnsi="Arial"/>
          <w:sz w:val="16"/>
          <w:szCs w:val="16"/>
          <w:color w:val="auto"/>
        </w:rPr>
      </w:pPr>
      <w:r>
        <w:rPr>
          <w:rFonts w:ascii="Arial" w:cs="Arial" w:eastAsia="Arial" w:hAnsi="Arial"/>
          <w:sz w:val="16"/>
          <w:szCs w:val="16"/>
          <w:color w:val="auto"/>
        </w:rPr>
        <w:t>(a) 400,000 shares of Class A common stock and (b) 363,347 shares of Class A common stock issuable upon exercise of certain Private Placement Warrants. With respect to the securities referenced in (ii)(a) and (b), Mr. Liveris currently has an economic interest in such shares of Class A common stock and Private Placement Warrants through his ownership of membership interests in the Sponsor, but he does not beneficially own any such Class A common stock or Private Placement Warrants.</w:t>
      </w:r>
    </w:p>
    <w:p>
      <w:pPr>
        <w:spacing w:after="0" w:line="2" w:lineRule="exact"/>
        <w:rPr>
          <w:rFonts w:ascii="Arial" w:cs="Arial" w:eastAsia="Arial" w:hAnsi="Arial"/>
          <w:sz w:val="16"/>
          <w:szCs w:val="16"/>
          <w:color w:val="auto"/>
        </w:rPr>
      </w:pPr>
    </w:p>
    <w:p>
      <w:pPr>
        <w:ind w:left="1620" w:right="759"/>
        <w:spacing w:after="0" w:line="260" w:lineRule="auto"/>
        <w:rPr>
          <w:rFonts w:ascii="Arial" w:cs="Arial" w:eastAsia="Arial" w:hAnsi="Arial"/>
          <w:sz w:val="16"/>
          <w:szCs w:val="16"/>
          <w:color w:val="auto"/>
        </w:rPr>
      </w:pPr>
      <w:r>
        <w:rPr>
          <w:rFonts w:ascii="Arial" w:cs="Arial" w:eastAsia="Arial" w:hAnsi="Arial"/>
          <w:sz w:val="18"/>
          <w:szCs w:val="18"/>
          <w:color w:val="auto"/>
        </w:rPr>
        <w:t>Mr. Liveris may beneficially own such Class A common stock or Private Placement Warrants in the future.</w:t>
      </w:r>
    </w:p>
    <w:p>
      <w:pPr>
        <w:spacing w:after="0" w:line="50" w:lineRule="exact"/>
        <w:rPr>
          <w:rFonts w:ascii="Arial" w:cs="Arial" w:eastAsia="Arial" w:hAnsi="Arial"/>
          <w:sz w:val="16"/>
          <w:szCs w:val="16"/>
          <w:color w:val="auto"/>
        </w:rPr>
      </w:pPr>
    </w:p>
    <w:p>
      <w:pPr>
        <w:ind w:left="1620" w:right="439" w:hanging="360"/>
        <w:spacing w:after="0" w:line="254"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August has served as a member of our Board since July 2021 and he previously served as a member of Churchill’s board of directors from August 2020. Shares offered hereby include (i) 7,000,000 shares of Class A common stock and (ii) 6,858,569 shares of Class A common stock issuable upon exercise of certain Private Placement Warrants, which Mr. August does not currently beneficially own. Mr. August has an economic interest in a portion of such shares through his control and partial ownership of an entity, OHA Partner Global Co-Investment III, LLP (“</w:t>
      </w:r>
      <w:r>
        <w:rPr>
          <w:rFonts w:ascii="Arial" w:cs="Arial" w:eastAsia="Arial" w:hAnsi="Arial"/>
          <w:sz w:val="18"/>
          <w:szCs w:val="18"/>
          <w:i w:val="1"/>
          <w:iCs w:val="1"/>
          <w:color w:val="auto"/>
        </w:rPr>
        <w:t>OHA PGCI3</w:t>
      </w:r>
      <w:r>
        <w:rPr>
          <w:rFonts w:ascii="Arial" w:cs="Arial" w:eastAsia="Arial" w:hAnsi="Arial"/>
          <w:sz w:val="18"/>
          <w:szCs w:val="18"/>
          <w:color w:val="auto"/>
        </w:rPr>
        <w:t>”), which owns membership interests in the Sponsor. OHA PGCI3 and Mr. August may beneficially own such Class A common stock or Private Placement Warrants in the future.</w:t>
      </w:r>
    </w:p>
    <w:p>
      <w:pPr>
        <w:spacing w:after="0" w:line="43" w:lineRule="exact"/>
        <w:rPr>
          <w:rFonts w:ascii="Arial" w:cs="Arial" w:eastAsia="Arial" w:hAnsi="Arial"/>
          <w:sz w:val="18"/>
          <w:szCs w:val="18"/>
          <w:color w:val="auto"/>
        </w:rPr>
      </w:pPr>
    </w:p>
    <w:p>
      <w:pPr>
        <w:ind w:left="1620" w:right="439" w:hanging="360"/>
        <w:spacing w:after="0" w:line="25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Ms. Gioia has served as a member of our Board since July 2021. Shares offered hereby include 125,000 shares of Class A common stock. Ms. Gioia currently has an economic interest in such shares of Class A common stock through her ownership of membership interests in the Sponsor, but she does not beneficially own any such Class A common stock. Ms. Gioia may beneficially own such Class A common stock in the future.</w:t>
      </w:r>
    </w:p>
    <w:p>
      <w:pPr>
        <w:spacing w:after="0" w:line="39"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Posawatz has served as a member of our board of directors since April 2019. Shares offered hereby include 52,880 shares of Class A common stock.</w:t>
      </w:r>
    </w:p>
    <w:p>
      <w:pPr>
        <w:spacing w:after="0" w:line="35" w:lineRule="exact"/>
        <w:rPr>
          <w:rFonts w:ascii="Arial" w:cs="Arial" w:eastAsia="Arial" w:hAnsi="Arial"/>
          <w:sz w:val="18"/>
          <w:szCs w:val="18"/>
          <w:color w:val="auto"/>
        </w:rPr>
      </w:pPr>
    </w:p>
    <w:p>
      <w:pPr>
        <w:ind w:left="1620" w:right="1039" w:hanging="360"/>
        <w:spacing w:after="0" w:line="263"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Alnowaiser has served as a member of our board of directors since April 2019. Also see footnote 14. Shares offered hereby include 2,070,138 shares of Class A common stock issued to Mr. Alnowaiser upon the Closing.</w:t>
      </w:r>
    </w:p>
    <w:p>
      <w:pPr>
        <w:spacing w:after="0" w:line="35"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Also see footnote 14. Shares offered hereby include 4,604,595 shares of Class A common stock issued to H.E. Al-Rumayyan upon the Closing.</w:t>
      </w:r>
    </w:p>
    <w:p>
      <w:pPr>
        <w:spacing w:after="0" w:line="21" w:lineRule="exact"/>
        <w:rPr>
          <w:rFonts w:ascii="Arial" w:cs="Arial" w:eastAsia="Arial" w:hAnsi="Arial"/>
          <w:sz w:val="18"/>
          <w:szCs w:val="18"/>
          <w:color w:val="auto"/>
        </w:rPr>
      </w:pPr>
    </w:p>
    <w:p>
      <w:pPr>
        <w:ind w:left="1620" w:right="1339" w:hanging="360"/>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Sponsor acted as sponsor to Churchill Capital Corp IV, a blank check company and our predecessor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51" w:lineRule="auto"/>
        <w:rPr>
          <w:sz w:val="20"/>
          <w:szCs w:val="20"/>
          <w:color w:val="auto"/>
        </w:rPr>
      </w:pPr>
      <w:r>
        <w:rPr>
          <w:rFonts w:ascii="Arial" w:cs="Arial" w:eastAsia="Arial" w:hAnsi="Arial"/>
          <w:sz w:val="17"/>
          <w:szCs w:val="17"/>
          <w:color w:val="auto"/>
        </w:rPr>
        <w:t>company. Shares beneficially owned and offered hereby include: (i) 51,750,000 currently outstanding shares of Class A common stock; (ii) 42,850,000 shares of Class A common stock issuable upon exercise of the Private Placement Warrants and (iii) 1,500,000 shares of Class A common stock issuable upon exercise of the Working Capital Warrants. Each such warrant entitles the Sponsor to purchase one share of Class A common stock at a price of $ 11.50 per share, subject to adjustment. 17,250,000 of such shares and 14,783,333 of such warrants unvested as of the Closing and such shares and warrants will revest as follows: (a) 1/3 of such shares and warrants will revest at such time as during the Vesting Period, which is the 5-year period starting on the Closing and ending on the 5-year anniversary of the Closing, the closing price of Class A common stock exceeds $20.00 for any 40 trading days in a 60 consecutive day period, (b) an additional 1/3 of such shares and warrants will revest at such time as during the Vesting Period, the closing price of Class A common stock exceeds $25.00 for any 40 trading days in a 60 consecutive day period and (c) an additional 1/3 of such shares and warrants will revest at such time as during the Vesting Period, the closing price of Class A common stock exceeds $30.00 for any 40 trading days in a 60 consecutive day period. Michael Klein is the sole stockholder of M. Klein Associates, Inc., which is the managing member of Churchill Sponsor IV LLC. The shares beneficially owned by Churchill Sponsor IV LLC may also be deemed to be beneficially owned by Mr. Klein. The business address for Mr. Klein is 640 Fifth Avenue, 12th Floor, New York, NY 10019. Also see footnotes 5, 6 and 7 to this table and footnote 8 to the table under the heading “</w:t>
      </w:r>
      <w:r>
        <w:rPr>
          <w:rFonts w:ascii="Arial" w:cs="Arial" w:eastAsia="Arial" w:hAnsi="Arial"/>
          <w:sz w:val="17"/>
          <w:szCs w:val="17"/>
          <w:i w:val="1"/>
          <w:iCs w:val="1"/>
          <w:color w:val="auto"/>
        </w:rPr>
        <w:t>Beneficial Ownership of Securities.</w:t>
      </w:r>
      <w:r>
        <w:rPr>
          <w:rFonts w:ascii="Arial" w:cs="Arial" w:eastAsia="Arial" w:hAnsi="Arial"/>
          <w:sz w:val="17"/>
          <w:szCs w:val="17"/>
          <w:color w:val="auto"/>
        </w:rPr>
        <w:t>”</w:t>
      </w:r>
    </w:p>
    <w:p>
      <w:pPr>
        <w:spacing w:after="0" w:line="31" w:lineRule="exact"/>
        <w:rPr>
          <w:sz w:val="20"/>
          <w:szCs w:val="20"/>
          <w:color w:val="auto"/>
        </w:rPr>
      </w:pPr>
    </w:p>
    <w:p>
      <w:pPr>
        <w:ind w:left="1620" w:right="459" w:hanging="360"/>
        <w:spacing w:after="0" w:line="25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40 North Management LLC has sole voting power over the shares offered hereby. 40 North Latitude Fund LP is the sole shareholder of the Selling Securityholder and 40 North GP III LLC is the general partner of 40 North Latitude Fund LP. David S. Winter and David J. Millstone are the sole Managers of each of 40 North Management LLC and 40 North GP III LLC, and sole Directors of the Selling Securityholder.</w:t>
      </w:r>
    </w:p>
    <w:p>
      <w:pPr>
        <w:spacing w:after="0" w:line="39" w:lineRule="exact"/>
        <w:rPr>
          <w:rFonts w:ascii="Arial" w:cs="Arial" w:eastAsia="Arial" w:hAnsi="Arial"/>
          <w:sz w:val="18"/>
          <w:szCs w:val="18"/>
          <w:color w:val="auto"/>
        </w:rPr>
      </w:pPr>
    </w:p>
    <w:p>
      <w:pPr>
        <w:ind w:left="1620" w:right="739" w:hanging="36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Held of record by Naya Capital Management UK Limited. Nikesh Arora is settlor and trustee of the Aurora Trust. Mr. Arora is the sole beneficial owner.</w:t>
      </w:r>
    </w:p>
    <w:p>
      <w:pPr>
        <w:spacing w:after="0" w:line="21" w:lineRule="exact"/>
        <w:rPr>
          <w:rFonts w:ascii="Arial" w:cs="Arial" w:eastAsia="Arial" w:hAnsi="Arial"/>
          <w:sz w:val="18"/>
          <w:szCs w:val="18"/>
          <w:color w:val="auto"/>
        </w:rPr>
      </w:pPr>
    </w:p>
    <w:p>
      <w:pPr>
        <w:ind w:left="1620" w:right="419" w:hanging="360"/>
        <w:spacing w:after="0" w:line="267"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1,015,252,523 shares of Class A common stock issued to Ayar upon the Closing (including in connection with the PIPE Investment). Ayar is a wholly owned subsidiary of the Public Investment Fund, which is the sovereign wealth fund of the Kingdom of Saudi Arabia. The Board of Directors of the Public Investment Fund, consisting of His Royal Highness Mohammad bin Salman Al-Saud (Chairman), H.E. Ibrahim Abdulaziz Al-Assaf, H.E. Mohammad Abdul Malek 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the Public Investment Fund, H.E. Al-Rumayyan and Turqi Alnowaiser has shared voting power over the shares held by Ayar. Neither H.E. Al-Rumayyan, who is the Governor of the Public Investment Fund, nor Mr. Alnowaiser, who is Deputy Governor and Head of the International Investments Division of the Public Investment Fund, has a pecuniary interest in the shares held by Ayar, and each of H.E. Al-Rumayyan and Mr. Alnowaiser disclaims beneficial ownership of the shares held by Ayar. Interests shown do not include 4,604,595 shares of Class A common stock issued to H.E. Al-Rumayyan upon the Closing or 2,070,138 shares of Class A common stock issued to Mr. Alnowaiser upon the Closing. See footnotes 10 and 9, respectively. The business address for The Public Investment Fund, Mr. Alnowaiser and for H.E. Al-Rumayyan is Alr’idah Digital City, Building MU04, Al Nakhil District, P.O. Box 6847, Riyadh 11452, The Kingdom of Saudi Arabia.</w:t>
      </w:r>
    </w:p>
    <w:p>
      <w:pPr>
        <w:spacing w:after="0" w:line="39" w:lineRule="exact"/>
        <w:rPr>
          <w:rFonts w:ascii="Arial" w:cs="Arial" w:eastAsia="Arial" w:hAnsi="Arial"/>
          <w:sz w:val="17"/>
          <w:szCs w:val="17"/>
          <w:color w:val="auto"/>
        </w:rPr>
      </w:pPr>
    </w:p>
    <w:p>
      <w:pPr>
        <w:ind w:left="1620" w:right="519" w:hanging="360"/>
        <w:spacing w:after="0" w:line="263"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Alberta Investment Management Corporation is a body corporate established as an agent of the Crown in right of the Province of Alberta and manages the funds on behalf of a diverse set of Alberta public sector clients for which it serves as its investment manager.</w:t>
      </w:r>
    </w:p>
    <w:p>
      <w:pPr>
        <w:spacing w:after="0" w:line="35"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Amy Tarlowe, Authorized Signor and Chief Operating Officer of the general partner of Alpine Partners (BVI), L.P. may be deemed to be a beneficial owner of the shares offered hereby.</w:t>
      </w:r>
    </w:p>
    <w:p>
      <w:pPr>
        <w:spacing w:after="0" w:line="21"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Brad Gerstner, General Partner of Altimeter Partners Fund, L.P. may be deemed to be a beneficial owner of the shares offered hereby.</w:t>
      </w:r>
    </w:p>
    <w:p>
      <w:pPr>
        <w:spacing w:after="0" w:line="21"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1,333,333 shares of Class A common stock. Shares beneficially owned also include 82,981 shares of Class A common stock issuable upon exercise of the Public Warrants held by the Selling Securityholder. Alyeska Investment Group, L.P., the investment</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55" w:lineRule="auto"/>
        <w:rPr>
          <w:sz w:val="20"/>
          <w:szCs w:val="20"/>
          <w:color w:val="auto"/>
        </w:rPr>
      </w:pPr>
      <w:r>
        <w:rPr>
          <w:rFonts w:ascii="Arial" w:cs="Arial" w:eastAsia="Arial" w:hAnsi="Arial"/>
          <w:sz w:val="17"/>
          <w:szCs w:val="17"/>
          <w:color w:val="auto"/>
        </w:rPr>
        <w:t>manager of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31" w:lineRule="exact"/>
        <w:rPr>
          <w:sz w:val="20"/>
          <w:szCs w:val="20"/>
          <w:color w:val="auto"/>
        </w:rPr>
      </w:pPr>
    </w:p>
    <w:p>
      <w:pPr>
        <w:ind w:left="1620" w:right="439" w:hanging="360"/>
        <w:spacing w:after="0" w:line="253"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133,000 shares of Class A common stock held by Arena Capital Fund, LP — Series 2, 133,000 shares of Class A common stock held by Arena Capital Fund, LP — Series 3, 250,000 shares of Class A common stock held by Arena Capital Fund, LP — Series 4, 383,000 shares of Class A common stock held by Arena Capital Fund, LP — Series 5, 166,000 shares of Class A common stock held by Arena Capital Fund, LP — Series 6, and 268,333 shares of Class A common stock held by Arena Capital Fund, LP — Series 9 (together, the “</w:t>
      </w:r>
      <w:r>
        <w:rPr>
          <w:rFonts w:ascii="Arial" w:cs="Arial" w:eastAsia="Arial" w:hAnsi="Arial"/>
          <w:sz w:val="18"/>
          <w:szCs w:val="18"/>
          <w:i w:val="1"/>
          <w:iCs w:val="1"/>
          <w:color w:val="auto"/>
        </w:rPr>
        <w:t>Arena Funds</w:t>
      </w:r>
      <w:r>
        <w:rPr>
          <w:rFonts w:ascii="Arial" w:cs="Arial" w:eastAsia="Arial" w:hAnsi="Arial"/>
          <w:sz w:val="18"/>
          <w:szCs w:val="18"/>
          <w:color w:val="auto"/>
        </w:rPr>
        <w:t>”). The Arena Funds are partnerships organized under the laws of the State of Delaware. Arena Capital Advisors, LLC acts as General Partner for the Arena Funds. The partners of Arena Capital Advisors are Daniel Elperin, Jeremy Sagi and Sanije Perrett and as such may be deemed beneficial owners of the shares offered hereby. The address of each of the Arena Funds is 12121 Wilshire Blvd, Ste. 1010, Los Angeles, CA 90025.</w:t>
      </w:r>
    </w:p>
    <w:p>
      <w:pPr>
        <w:spacing w:after="0" w:line="43" w:lineRule="exact"/>
        <w:rPr>
          <w:rFonts w:ascii="Arial" w:cs="Arial" w:eastAsia="Arial" w:hAnsi="Arial"/>
          <w:sz w:val="18"/>
          <w:szCs w:val="18"/>
          <w:color w:val="auto"/>
        </w:rPr>
      </w:pPr>
    </w:p>
    <w:p>
      <w:pPr>
        <w:ind w:left="1620" w:right="439" w:hanging="360"/>
        <w:spacing w:after="0" w:line="252"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568,875 shares of Class A common stock held by Aristeia Master, L.P., 42,576 shares of Class A common stock held by ASIG International Limited, 15,885 shares of Class A common stock held by Windermere Ireland Fund PLC and 39,331 shares of Class A common stock held by DS Liquid Div RVA ARST, LLC (together, the “</w:t>
      </w:r>
      <w:r>
        <w:rPr>
          <w:rFonts w:ascii="Arial" w:cs="Arial" w:eastAsia="Arial" w:hAnsi="Arial"/>
          <w:sz w:val="18"/>
          <w:szCs w:val="18"/>
          <w:i w:val="1"/>
          <w:iCs w:val="1"/>
          <w:color w:val="auto"/>
        </w:rPr>
        <w:t>Funds</w:t>
      </w:r>
      <w:r>
        <w:rPr>
          <w:rFonts w:ascii="Arial" w:cs="Arial" w:eastAsia="Arial" w:hAnsi="Arial"/>
          <w:sz w:val="18"/>
          <w:szCs w:val="18"/>
          <w:color w:val="auto"/>
        </w:rPr>
        <w:t>”). Aristeia Capital, L.L.C. and Aristeia Advisors, L.L.C. (collectively, “</w:t>
      </w:r>
      <w:r>
        <w:rPr>
          <w:rFonts w:ascii="Arial" w:cs="Arial" w:eastAsia="Arial" w:hAnsi="Arial"/>
          <w:sz w:val="18"/>
          <w:szCs w:val="18"/>
          <w:i w:val="1"/>
          <w:iCs w:val="1"/>
          <w:color w:val="auto"/>
        </w:rPr>
        <w:t>Aristeia</w:t>
      </w:r>
      <w:r>
        <w:rPr>
          <w:rFonts w:ascii="Arial" w:cs="Arial" w:eastAsia="Arial" w:hAnsi="Arial"/>
          <w:sz w:val="18"/>
          <w:szCs w:val="18"/>
          <w:color w:val="auto"/>
        </w:rPr>
        <w:t>”) may be deemed the beneficial owners of the shares offered hereby in their capacity as the investment manager, trading manager, and/or general partner, as the case may be, of the Funds. As investment manager, trading advisor and/or general partner of each Fund, Aristeia has voting and investment control with respect to the shares offered hereby and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w:t>
      </w:r>
    </w:p>
    <w:p>
      <w:pPr>
        <w:spacing w:after="0" w:line="51" w:lineRule="exact"/>
        <w:rPr>
          <w:rFonts w:ascii="Arial" w:cs="Arial" w:eastAsia="Arial" w:hAnsi="Arial"/>
          <w:sz w:val="18"/>
          <w:szCs w:val="18"/>
          <w:color w:val="auto"/>
        </w:rPr>
      </w:pPr>
    </w:p>
    <w:p>
      <w:pPr>
        <w:ind w:left="1620" w:right="1159" w:hanging="360"/>
        <w:spacing w:after="0" w:line="27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Directors Linburgh Martin, John Sutlic and Scott Schroeder are the beneficial owners of Atlas Diversified Master Fund, Ltd.</w:t>
      </w:r>
    </w:p>
    <w:p>
      <w:pPr>
        <w:spacing w:after="0" w:line="21" w:lineRule="exact"/>
        <w:rPr>
          <w:rFonts w:ascii="Arial" w:cs="Arial" w:eastAsia="Arial" w:hAnsi="Arial"/>
          <w:sz w:val="18"/>
          <w:szCs w:val="18"/>
          <w:color w:val="auto"/>
        </w:rPr>
      </w:pPr>
    </w:p>
    <w:p>
      <w:pPr>
        <w:ind w:left="1620" w:right="439" w:hanging="360"/>
        <w:spacing w:after="0" w:line="259"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133,333 shares of Class A common stock held by BCP Portfolio II LLC. Patrick Kolek, Frank Friedrich and Lawrence lllg have shared voting and investment power with regard to the shares held by BCP Portfolio II LLC whose address is 22551 San Vicente Ave, San Jose, CA 95120.</w:t>
      </w:r>
    </w:p>
    <w:p>
      <w:pPr>
        <w:spacing w:after="0" w:line="38" w:lineRule="exact"/>
        <w:rPr>
          <w:rFonts w:ascii="Arial" w:cs="Arial" w:eastAsia="Arial" w:hAnsi="Arial"/>
          <w:sz w:val="18"/>
          <w:szCs w:val="18"/>
          <w:color w:val="auto"/>
        </w:rPr>
      </w:pPr>
    </w:p>
    <w:p>
      <w:pPr>
        <w:ind w:left="1620" w:hanging="360"/>
        <w:spacing w:after="0"/>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Behdad Eghbali is the beneficiary of Citibank NA as Custodian FBO Behdad Eghbali.</w:t>
      </w:r>
    </w:p>
    <w:p>
      <w:pPr>
        <w:spacing w:after="0" w:line="90" w:lineRule="exact"/>
        <w:rPr>
          <w:rFonts w:ascii="Arial" w:cs="Arial" w:eastAsia="Arial" w:hAnsi="Arial"/>
          <w:sz w:val="18"/>
          <w:szCs w:val="18"/>
          <w:color w:val="auto"/>
        </w:rPr>
      </w:pPr>
    </w:p>
    <w:p>
      <w:pPr>
        <w:ind w:left="1620" w:right="419" w:hanging="360"/>
        <w:spacing w:after="0" w:line="267"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registered holders of the referenced shares are the following funds and accounts under management by subsidiaries of BlackRock, Inc.: 1,599,853 shares of Class A common stock held by BlackRock Global Allocation Fund, Inc., 996,300 shares of Class A common stock held by BlackRock Global Funds — Global Allocation Fund, 529,280 shares of Class A common stock held by BlackRock Global Allocation V.I. Fund of BlackRock Variable Series Funds, Inc., 12,400 shares of Class A common stock held by BlackRock Global Allocation Portfolio of BlackRock Series Fund, Inc., 158,470 shares of Class A common stock held by BlackRock Global Allocation Collective Fund, 40,750 shares of Class A common stock held by BlackRock Global Funds — Global Dynamic Equity Fund, 217,280 shares of Class A common stock held by BlackRock Capital Allocation Trust, 2,240,840 shares of Class A common stock held by BlackRock Strategic Income Opportunities Portfolio of BlackRock Funds V, 44,140 shares of Class A common stock held by Strategic Income Opportunities Bond Fund, 69,090 shares of Class A common stock held by BGF ESG Fixed Income Global Opportunities Fund, 640,420 shares of Class A common stock held by BGF Fixed Income Global Opportunities Fund, 1,259,080 shares of Class A common stock held by Master Total Return Portfolio of Master Bond LLC, 366,650 shares of Class A common stock held by BlackRock Total Return Bond Fund, 94,780 shares of Class A common stock held by BlackRock Global Long/Short Credit Fund of BlackRock Funds IV, 55,390 shares of Class A common stock held by BlackRock Strategic Global Bond Fund, Inc.,</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68" w:lineRule="auto"/>
        <w:rPr>
          <w:sz w:val="20"/>
          <w:szCs w:val="20"/>
          <w:color w:val="auto"/>
        </w:rPr>
      </w:pPr>
      <w:r>
        <w:rPr>
          <w:rFonts w:ascii="Arial" w:cs="Arial" w:eastAsia="Arial" w:hAnsi="Arial"/>
          <w:sz w:val="17"/>
          <w:szCs w:val="17"/>
          <w:color w:val="auto"/>
        </w:rPr>
        <w:t>8,610 shares of Class A common stock held by BlackRock Global Funds — Global Bond Income Fund, 3,386,372 shares of Class A common stock held by BlackRock Technology Opportunities Fund, a series of BlackRock Funds and 4,946,962 shares of Class A common stock held by BlackRock Global Funds — World Technology Fund.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38" w:lineRule="exact"/>
        <w:rPr>
          <w:sz w:val="20"/>
          <w:szCs w:val="20"/>
          <w:color w:val="auto"/>
        </w:rPr>
      </w:pPr>
    </w:p>
    <w:p>
      <w:pPr>
        <w:ind w:left="1620" w:right="499" w:hanging="360"/>
        <w:spacing w:after="0" w:line="269"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2,365,379 shares of Class A common stock held of record by BSOF Master Fund L.P. (“</w:t>
      </w:r>
      <w:r>
        <w:rPr>
          <w:rFonts w:ascii="Arial" w:cs="Arial" w:eastAsia="Arial" w:hAnsi="Arial"/>
          <w:sz w:val="17"/>
          <w:szCs w:val="17"/>
          <w:i w:val="1"/>
          <w:iCs w:val="1"/>
          <w:color w:val="auto"/>
        </w:rPr>
        <w:t>BSOF</w:t>
      </w:r>
      <w:r>
        <w:rPr>
          <w:rFonts w:ascii="Arial" w:cs="Arial" w:eastAsia="Arial" w:hAnsi="Arial"/>
          <w:sz w:val="17"/>
          <w:szCs w:val="17"/>
          <w:color w:val="auto"/>
        </w:rPr>
        <w:t>”), 967,955 shares of Class A common stock held of record by BSOF Master Fund II L.P. (“</w:t>
      </w:r>
      <w:r>
        <w:rPr>
          <w:rFonts w:ascii="Arial" w:cs="Arial" w:eastAsia="Arial" w:hAnsi="Arial"/>
          <w:sz w:val="17"/>
          <w:szCs w:val="17"/>
          <w:i w:val="1"/>
          <w:iCs w:val="1"/>
          <w:color w:val="auto"/>
        </w:rPr>
        <w:t>BSOF II</w:t>
      </w:r>
      <w:r>
        <w:rPr>
          <w:rFonts w:ascii="Arial" w:cs="Arial" w:eastAsia="Arial" w:hAnsi="Arial"/>
          <w:sz w:val="17"/>
          <w:szCs w:val="17"/>
          <w:color w:val="auto"/>
        </w:rPr>
        <w:t>”), and 5,000,000 shares of Class A common stock held of record by Blackstone Aqua Master Sub-Fund, a sub-fund of the Blackstone Global Master</w:t>
      </w:r>
    </w:p>
    <w:p>
      <w:pPr>
        <w:spacing w:after="0" w:line="1" w:lineRule="exact"/>
        <w:rPr>
          <w:rFonts w:ascii="Arial" w:cs="Arial" w:eastAsia="Arial" w:hAnsi="Arial"/>
          <w:sz w:val="17"/>
          <w:szCs w:val="17"/>
          <w:color w:val="auto"/>
        </w:rPr>
      </w:pPr>
    </w:p>
    <w:p>
      <w:pPr>
        <w:ind w:left="1620" w:right="439"/>
        <w:spacing w:after="0" w:line="266" w:lineRule="auto"/>
        <w:rPr>
          <w:rFonts w:ascii="Arial" w:cs="Arial" w:eastAsia="Arial" w:hAnsi="Arial"/>
          <w:sz w:val="17"/>
          <w:szCs w:val="17"/>
          <w:color w:val="auto"/>
        </w:rPr>
      </w:pPr>
      <w:r>
        <w:rPr>
          <w:rFonts w:ascii="Arial" w:cs="Arial" w:eastAsia="Arial" w:hAnsi="Arial"/>
          <w:sz w:val="17"/>
          <w:szCs w:val="17"/>
          <w:color w:val="auto"/>
        </w:rPr>
        <w:t>Fund ICAV (the “</w:t>
      </w:r>
      <w:r>
        <w:rPr>
          <w:rFonts w:ascii="Arial" w:cs="Arial" w:eastAsia="Arial" w:hAnsi="Arial"/>
          <w:sz w:val="17"/>
          <w:szCs w:val="17"/>
          <w:i w:val="1"/>
          <w:iCs w:val="1"/>
          <w:color w:val="auto"/>
        </w:rPr>
        <w:t>Aqua Fund</w:t>
      </w:r>
      <w:r>
        <w:rPr>
          <w:rFonts w:ascii="Arial" w:cs="Arial" w:eastAsia="Arial" w:hAnsi="Arial"/>
          <w:sz w:val="17"/>
          <w:szCs w:val="17"/>
          <w:color w:val="auto"/>
        </w:rPr>
        <w:t>”). Additional shares beneficially owned include 400,000 shares of Class A common stock issuable upon exercise of the Public Warrants held by the Aqua Fund. Blackstone Alternative Solutions L.L.C. is the investment manager of each of BSOF, BSOF II and the Aqua Fund. Blackstone Holdings I L.P. is the sole member of Blackstone Alternative Solutions L.L.C. Blackstone Holdings I/II GP L.L.C. is the general partner of Blackstone Holdings I L.P. Blackstone Strategic Opportunity Associates L.L.C. is the general partner of BSOF and BSOF II. Blackstone Holdings II L.P. is the sole member of Blackstone Strategic Opportunity Associates L.L.C. Blackstone Holdings I/II GP L.L.C. is the general partner of Blackstone Holdings II L.P. The Blackstone Group Inc. is the sole member of Blackstone Holdings I/II GP L.L.C. Blackstone Group Management L.L.C. is the sole holder of the Series II preferred stock of The Blackstone Group Inc. Blackstone Group Management L.L.C. is wholly owned by its senior managing directors and controlled by its founder, Stephen A. Schwarzman. Each of such Blackstone entities and Mr. Schwarzman may be deemed to beneficially own the shares beneficially owned by BSOF, BSOF II and/or the Aqua Fund directly or indirectly controlled by it or him, but each (other than each of BSOF, BSOF II and the Aqua Fund, severally and not jointly, to the extent of its respective direct holdings) disclaims beneficial ownership of such shares. Each of BSOF, BSOF II and the Aqua Fund has represented to us that it is an affiliate of a broker-dealer but that its shares were purchased in the ordinary course of business and that at the time of its purchase it had no agreements or understandings, directly or indirectly, with any person to distribute such shares. The principal business address of each of the entities listed in this footnote is c/o The Blackstone Group Inc., 345 Park Avenue, New York, New York 10154.</w:t>
      </w:r>
    </w:p>
    <w:p>
      <w:pPr>
        <w:spacing w:after="0" w:line="40" w:lineRule="exact"/>
        <w:rPr>
          <w:rFonts w:ascii="Arial" w:cs="Arial" w:eastAsia="Arial" w:hAnsi="Arial"/>
          <w:sz w:val="17"/>
          <w:szCs w:val="17"/>
          <w:color w:val="auto"/>
        </w:rPr>
      </w:pPr>
    </w:p>
    <w:p>
      <w:pPr>
        <w:ind w:left="1620" w:right="1099" w:hanging="360"/>
        <w:spacing w:after="0" w:line="334"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Matthew MacIsaac, Secretary MM Asset Management Inc., Investment Advisor to MMCAP International Inc. SPC. may be deemed to be the beneficial owner of the shares offered hereby.</w:t>
      </w:r>
    </w:p>
    <w:p>
      <w:pPr>
        <w:ind w:left="1620" w:hanging="360"/>
        <w:spacing w:after="0"/>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business address of the Selling Securityholder is 40 West 57th Street, New York, New York 10019.</w:t>
      </w:r>
    </w:p>
    <w:p>
      <w:pPr>
        <w:spacing w:after="0" w:line="88" w:lineRule="exact"/>
        <w:rPr>
          <w:rFonts w:ascii="Arial" w:cs="Arial" w:eastAsia="Arial" w:hAnsi="Arial"/>
          <w:sz w:val="17"/>
          <w:szCs w:val="17"/>
          <w:color w:val="auto"/>
        </w:rPr>
      </w:pPr>
    </w:p>
    <w:p>
      <w:pPr>
        <w:ind w:left="1620" w:right="479" w:hanging="360"/>
        <w:spacing w:after="0" w:line="269"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Shares offered hereby consist of 5,333,333 shares of Class A common stock. As of July 29, 2021, shares beneficially owned also included (i) 25,000 shares of Class A common stock issuable upon exercise of the Public Warrants held by the Selling Securityholder, Citadel Multi-Strategy Equities Master Fund Ltd. (“</w:t>
      </w:r>
      <w:r>
        <w:rPr>
          <w:rFonts w:ascii="Arial" w:cs="Arial" w:eastAsia="Arial" w:hAnsi="Arial"/>
          <w:sz w:val="17"/>
          <w:szCs w:val="17"/>
          <w:i w:val="1"/>
          <w:iCs w:val="1"/>
          <w:color w:val="auto"/>
        </w:rPr>
        <w:t>CEMF</w:t>
      </w:r>
      <w:r>
        <w:rPr>
          <w:rFonts w:ascii="Arial" w:cs="Arial" w:eastAsia="Arial" w:hAnsi="Arial"/>
          <w:sz w:val="17"/>
          <w:szCs w:val="17"/>
          <w:color w:val="auto"/>
        </w:rPr>
        <w:t>”) and (ii) 92,178 shares of Class A common stock. Citadel Advisors LLC (“</w:t>
      </w:r>
      <w:r>
        <w:rPr>
          <w:rFonts w:ascii="Arial" w:cs="Arial" w:eastAsia="Arial" w:hAnsi="Arial"/>
          <w:sz w:val="17"/>
          <w:szCs w:val="17"/>
          <w:i w:val="1"/>
          <w:iCs w:val="1"/>
          <w:color w:val="auto"/>
        </w:rPr>
        <w:t>Citadel Advisors</w:t>
      </w:r>
      <w:r>
        <w:rPr>
          <w:rFonts w:ascii="Arial" w:cs="Arial" w:eastAsia="Arial" w:hAnsi="Arial"/>
          <w:sz w:val="17"/>
          <w:szCs w:val="17"/>
          <w:color w:val="auto"/>
        </w:rPr>
        <w:t>”) is the portfolio manager of CEMF. Citadel Advisors Holdings LP (“</w:t>
      </w:r>
      <w:r>
        <w:rPr>
          <w:rFonts w:ascii="Arial" w:cs="Arial" w:eastAsia="Arial" w:hAnsi="Arial"/>
          <w:sz w:val="17"/>
          <w:szCs w:val="17"/>
          <w:i w:val="1"/>
          <w:iCs w:val="1"/>
          <w:color w:val="auto"/>
        </w:rPr>
        <w:t>CAH</w:t>
      </w:r>
      <w:r>
        <w:rPr>
          <w:rFonts w:ascii="Arial" w:cs="Arial" w:eastAsia="Arial" w:hAnsi="Arial"/>
          <w:sz w:val="17"/>
          <w:szCs w:val="17"/>
          <w:color w:val="auto"/>
        </w:rPr>
        <w:t>”) is the sole member of Citadel Advisors. Citadel GP LLC (“</w:t>
      </w:r>
      <w:r>
        <w:rPr>
          <w:rFonts w:ascii="Arial" w:cs="Arial" w:eastAsia="Arial" w:hAnsi="Arial"/>
          <w:sz w:val="17"/>
          <w:szCs w:val="17"/>
          <w:i w:val="1"/>
          <w:iCs w:val="1"/>
          <w:color w:val="auto"/>
        </w:rPr>
        <w:t>CGP</w:t>
      </w:r>
      <w:r>
        <w:rPr>
          <w:rFonts w:ascii="Arial" w:cs="Arial" w:eastAsia="Arial" w:hAnsi="Arial"/>
          <w:sz w:val="17"/>
          <w:szCs w:val="17"/>
          <w:color w:val="auto"/>
        </w:rPr>
        <w:t>”) is the general partner of CAH. Kenneth Griffin owns a controlling interest in CGP. Mr. Griffin, as the owner of a controlling interest in CGP, may be deemed to have shared power to vote or direct the vote of, and/or shared power to dispose or to direct the disposition over, the shares held by CEMF. The foregoing shall not be construed as an admission that Mr. Griffin or any of the Citadel related entities listed above is the beneficial owner of any securities of the Company other than the securities actually owned by such person (if any). The address of CEMF is 601 Lexington Ave., New York, NY 10022.</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39" w:hanging="360"/>
        <w:spacing w:after="0" w:line="259"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546,667 shares of Class A common stock held by Corsair Capital Partners, L.P. and 786,666 shares of Class A common stock held by Corsair Select, L.P. Jay Petschek and Steven Major are managing members of the general partner and may be deemed to be beneficial owners.</w:t>
      </w:r>
    </w:p>
    <w:p>
      <w:pPr>
        <w:spacing w:after="0" w:line="38" w:lineRule="exact"/>
        <w:rPr>
          <w:rFonts w:ascii="Arial" w:cs="Arial" w:eastAsia="Arial" w:hAnsi="Arial"/>
          <w:sz w:val="18"/>
          <w:szCs w:val="18"/>
          <w:color w:val="auto"/>
        </w:rPr>
      </w:pPr>
    </w:p>
    <w:p>
      <w:pPr>
        <w:ind w:left="1620" w:right="439" w:hanging="360"/>
        <w:spacing w:after="0" w:line="257"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136,368 shares of Class A common stock held by CRM Long/Short Opportunities Mutual Fund, 28,471 shares of Class A common stock held by CRM Long/Short Opportunities Master Fund LP and 168,494 shares of Class A common stock held by CRM Long/Short Opportunities UCITS. The portfolio managers who exercise investment discretion over the shares are Madeline “Mimi” Morris and Jason Yellin.</w:t>
      </w:r>
    </w:p>
    <w:p>
      <w:pPr>
        <w:spacing w:after="0" w:line="39" w:lineRule="exact"/>
        <w:rPr>
          <w:rFonts w:ascii="Arial" w:cs="Arial" w:eastAsia="Arial" w:hAnsi="Arial"/>
          <w:sz w:val="18"/>
          <w:szCs w:val="18"/>
          <w:color w:val="auto"/>
        </w:rPr>
      </w:pPr>
    </w:p>
    <w:p>
      <w:pPr>
        <w:ind w:left="1620" w:right="499" w:hanging="360"/>
        <w:spacing w:after="0" w:line="267" w:lineRule="auto"/>
        <w:tabs>
          <w:tab w:leader="none" w:pos="1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 E. Shaw Oculus Portfolios, L.L.C. may be deemed an affiliate of D. E. Shaw Securities, L.L.C., a registered broker-dealer, which will not be involved in the offering or distribution of the Class A common stock to be registered pursuant to the registration statement of which this prospectus forms a part. Based on information provided by the Selling Securityholder, the Selling Securityholder acquired the shares for investment purposes, and at the time of the acquisition of such shares, the Selling Securityholder did not have any agreements or understandings with any person to distribute such shares. D. E. Shaw Oculus Portfolios, L.L.C. holds the shares offered hereby (the “</w:t>
      </w:r>
      <w:r>
        <w:rPr>
          <w:rFonts w:ascii="Arial" w:cs="Arial" w:eastAsia="Arial" w:hAnsi="Arial"/>
          <w:sz w:val="17"/>
          <w:szCs w:val="17"/>
          <w:i w:val="1"/>
          <w:iCs w:val="1"/>
          <w:color w:val="auto"/>
        </w:rPr>
        <w:t>Subject Shares</w:t>
      </w:r>
      <w:r>
        <w:rPr>
          <w:rFonts w:ascii="Arial" w:cs="Arial" w:eastAsia="Arial" w:hAnsi="Arial"/>
          <w:sz w:val="17"/>
          <w:szCs w:val="17"/>
          <w:color w:val="auto"/>
        </w:rPr>
        <w:t>”).</w:t>
      </w:r>
    </w:p>
    <w:p>
      <w:pPr>
        <w:spacing w:after="0" w:line="4" w:lineRule="exact"/>
        <w:rPr>
          <w:rFonts w:ascii="Arial" w:cs="Arial" w:eastAsia="Arial" w:hAnsi="Arial"/>
          <w:sz w:val="17"/>
          <w:szCs w:val="17"/>
          <w:color w:val="auto"/>
        </w:rPr>
      </w:pPr>
    </w:p>
    <w:p>
      <w:pPr>
        <w:ind w:left="1620" w:right="419"/>
        <w:spacing w:after="0" w:line="265" w:lineRule="auto"/>
        <w:tabs>
          <w:tab w:leader="none" w:pos="1851" w:val="left"/>
        </w:tabs>
        <w:numPr>
          <w:ilvl w:val="1"/>
          <w:numId w:val="93"/>
        </w:numPr>
        <w:rPr>
          <w:rFonts w:ascii="Arial" w:cs="Arial" w:eastAsia="Arial" w:hAnsi="Arial"/>
          <w:sz w:val="17"/>
          <w:szCs w:val="17"/>
          <w:color w:val="auto"/>
        </w:rPr>
      </w:pPr>
      <w:r>
        <w:rPr>
          <w:rFonts w:ascii="Arial" w:cs="Arial" w:eastAsia="Arial" w:hAnsi="Arial"/>
          <w:sz w:val="17"/>
          <w:szCs w:val="17"/>
          <w:color w:val="auto"/>
        </w:rPr>
        <w:t>E. Shaw Oculus Portfolios, L.L.C. has the power to vote or to direct the vote of (and the power to dispose or direct the disposition of) the Subject Shares directly owned by it. D. E. Shaw &amp; Co., L.P. (“</w:t>
      </w:r>
      <w:r>
        <w:rPr>
          <w:rFonts w:ascii="Arial" w:cs="Arial" w:eastAsia="Arial" w:hAnsi="Arial"/>
          <w:sz w:val="17"/>
          <w:szCs w:val="17"/>
          <w:i w:val="1"/>
          <w:iCs w:val="1"/>
          <w:color w:val="auto"/>
        </w:rPr>
        <w:t>DESCO LP</w:t>
      </w:r>
      <w:r>
        <w:rPr>
          <w:rFonts w:ascii="Arial" w:cs="Arial" w:eastAsia="Arial" w:hAnsi="Arial"/>
          <w:sz w:val="17"/>
          <w:szCs w:val="17"/>
          <w:color w:val="auto"/>
        </w:rPr>
        <w:t>”), as the investment adviser of D. E. Shaw Oculus Portfolios, L.L.C., may be deemed to have the shared power to vote or direct the vote of (and the shared power to dispose or direct the disposition of) the Subject Shares. D. E. Shaw &amp; Co., L.L.C. (“</w:t>
      </w:r>
      <w:r>
        <w:rPr>
          <w:rFonts w:ascii="Arial" w:cs="Arial" w:eastAsia="Arial" w:hAnsi="Arial"/>
          <w:sz w:val="17"/>
          <w:szCs w:val="17"/>
          <w:i w:val="1"/>
          <w:iCs w:val="1"/>
          <w:color w:val="auto"/>
        </w:rPr>
        <w:t>DESCO LLC</w:t>
      </w:r>
      <w:r>
        <w:rPr>
          <w:rFonts w:ascii="Arial" w:cs="Arial" w:eastAsia="Arial" w:hAnsi="Arial"/>
          <w:sz w:val="17"/>
          <w:szCs w:val="17"/>
          <w:color w:val="auto"/>
        </w:rPr>
        <w:t>”), as the manager of D. E. Shaw Oculus Portfolios, L.L.C., may be deemed to have the shared power to vote or direct the vote of (and the shared power to dispose or direct the disposition of) the Subject Shares. Julius Gaudio, Maximilian Stone, and Eric Wepsic, or their designees, exercise voting and investment control over the Subject Shares on DESCO LP’s and DESCO LLC’s behalf. D. E. Shaw &amp; Co., Inc. (“</w:t>
      </w:r>
      <w:r>
        <w:rPr>
          <w:rFonts w:ascii="Arial" w:cs="Arial" w:eastAsia="Arial" w:hAnsi="Arial"/>
          <w:sz w:val="17"/>
          <w:szCs w:val="17"/>
          <w:i w:val="1"/>
          <w:iCs w:val="1"/>
          <w:color w:val="auto"/>
        </w:rPr>
        <w:t>DESCO Inc.</w:t>
      </w:r>
      <w:r>
        <w:rPr>
          <w:rFonts w:ascii="Arial" w:cs="Arial" w:eastAsia="Arial" w:hAnsi="Arial"/>
          <w:sz w:val="17"/>
          <w:szCs w:val="17"/>
          <w:color w:val="auto"/>
        </w:rPr>
        <w:t>”), as general partner of DESCO LP, may be deemed to have the shared power to vote or direct the vote of (and the shared power to dispose or direct the disposition of) the Subject Shares. D. E. Shaw &amp; Co. II, Inc. (“</w:t>
      </w:r>
      <w:r>
        <w:rPr>
          <w:rFonts w:ascii="Arial" w:cs="Arial" w:eastAsia="Arial" w:hAnsi="Arial"/>
          <w:sz w:val="17"/>
          <w:szCs w:val="17"/>
          <w:i w:val="1"/>
          <w:iCs w:val="1"/>
          <w:color w:val="auto"/>
        </w:rPr>
        <w:t>DESCO II Inc.</w:t>
      </w:r>
      <w:r>
        <w:rPr>
          <w:rFonts w:ascii="Arial" w:cs="Arial" w:eastAsia="Arial" w:hAnsi="Arial"/>
          <w:sz w:val="17"/>
          <w:szCs w:val="17"/>
          <w:color w:val="auto"/>
        </w:rPr>
        <w:t>”), as managing member of DESCO LLC, may be deemed to have the shared power to vote or direct the vote of (and the shared power to dispose or direct the disposition of) the Subject Shares. None of DESCO LP, DESCO LLC, DESCO Inc., or DESCO II Inc. owns any shares of the Company directly, and each such entity disclaims beneficial ownership of the Subject Shares. David</w:t>
      </w:r>
    </w:p>
    <w:p>
      <w:pPr>
        <w:spacing w:after="0" w:line="2" w:lineRule="exact"/>
        <w:rPr>
          <w:rFonts w:ascii="Arial" w:cs="Arial" w:eastAsia="Arial" w:hAnsi="Arial"/>
          <w:sz w:val="17"/>
          <w:szCs w:val="17"/>
          <w:color w:val="auto"/>
        </w:rPr>
      </w:pPr>
    </w:p>
    <w:p>
      <w:pPr>
        <w:ind w:left="1620" w:right="439"/>
        <w:spacing w:after="0" w:line="269" w:lineRule="auto"/>
        <w:tabs>
          <w:tab w:leader="none" w:pos="1831" w:val="left"/>
        </w:tabs>
        <w:numPr>
          <w:ilvl w:val="1"/>
          <w:numId w:val="93"/>
        </w:numPr>
        <w:rPr>
          <w:rFonts w:ascii="Arial" w:cs="Arial" w:eastAsia="Arial" w:hAnsi="Arial"/>
          <w:sz w:val="17"/>
          <w:szCs w:val="17"/>
          <w:color w:val="auto"/>
        </w:rPr>
      </w:pPr>
      <w:r>
        <w:rPr>
          <w:rFonts w:ascii="Arial" w:cs="Arial" w:eastAsia="Arial" w:hAnsi="Arial"/>
          <w:sz w:val="17"/>
          <w:szCs w:val="17"/>
          <w:color w:val="auto"/>
        </w:rPr>
        <w:t>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w:t>
      </w:r>
    </w:p>
    <w:p>
      <w:pPr>
        <w:spacing w:after="0" w:line="31" w:lineRule="exact"/>
        <w:rPr>
          <w:rFonts w:ascii="Arial" w:cs="Arial" w:eastAsia="Arial" w:hAnsi="Arial"/>
          <w:sz w:val="17"/>
          <w:szCs w:val="17"/>
          <w:color w:val="auto"/>
        </w:rPr>
      </w:pPr>
    </w:p>
    <w:p>
      <w:pPr>
        <w:ind w:left="1620" w:right="499" w:hanging="360"/>
        <w:spacing w:after="0" w:line="267" w:lineRule="auto"/>
        <w:tabs>
          <w:tab w:leader="none" w:pos="1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 E. Shaw Oculus Portfolios, L.L.C. may be deemed an affiliate of D. E. Shaw Securities, L.L.C., a registered broker-dealer, which will not be involved in the offering or distribution of the Class A common stock to be registered pursuant to the registration statement of which this prospectus forms a part. Based on information provided by the Selling Securityholder, the Selling Securityholder acquired the shares for investment purposes and, at the time of the acquisition of such shares, the Selling Securityholder did not have any agreements or understandings with any person to distribute such shares. D. E. Shaw Valence Portfolios, L.L.C. holds the shares offered hereby (the “</w:t>
      </w:r>
      <w:r>
        <w:rPr>
          <w:rFonts w:ascii="Arial" w:cs="Arial" w:eastAsia="Arial" w:hAnsi="Arial"/>
          <w:sz w:val="17"/>
          <w:szCs w:val="17"/>
          <w:i w:val="1"/>
          <w:iCs w:val="1"/>
          <w:color w:val="auto"/>
        </w:rPr>
        <w:t>Subject Shares</w:t>
      </w:r>
      <w:r>
        <w:rPr>
          <w:rFonts w:ascii="Arial" w:cs="Arial" w:eastAsia="Arial" w:hAnsi="Arial"/>
          <w:sz w:val="17"/>
          <w:szCs w:val="17"/>
          <w:color w:val="auto"/>
        </w:rPr>
        <w:t>”).</w:t>
      </w:r>
    </w:p>
    <w:p>
      <w:pPr>
        <w:spacing w:after="0" w:line="4" w:lineRule="exact"/>
        <w:rPr>
          <w:rFonts w:ascii="Arial" w:cs="Arial" w:eastAsia="Arial" w:hAnsi="Arial"/>
          <w:sz w:val="17"/>
          <w:szCs w:val="17"/>
          <w:color w:val="auto"/>
        </w:rPr>
      </w:pPr>
    </w:p>
    <w:p>
      <w:pPr>
        <w:ind w:left="1620" w:right="499"/>
        <w:spacing w:after="0" w:line="265" w:lineRule="auto"/>
        <w:tabs>
          <w:tab w:leader="none" w:pos="1851" w:val="left"/>
        </w:tabs>
        <w:numPr>
          <w:ilvl w:val="1"/>
          <w:numId w:val="93"/>
        </w:numPr>
        <w:rPr>
          <w:rFonts w:ascii="Arial" w:cs="Arial" w:eastAsia="Arial" w:hAnsi="Arial"/>
          <w:sz w:val="17"/>
          <w:szCs w:val="17"/>
          <w:color w:val="auto"/>
        </w:rPr>
      </w:pPr>
      <w:r>
        <w:rPr>
          <w:rFonts w:ascii="Arial" w:cs="Arial" w:eastAsia="Arial" w:hAnsi="Arial"/>
          <w:sz w:val="17"/>
          <w:szCs w:val="17"/>
          <w:color w:val="auto"/>
        </w:rPr>
        <w:t>E. Shaw Valence Portfolios, L.L.C. has the power to vote or to direct the vote of (and the power to dispose or direct the disposition of) the Subject Shares directly owned by it. D. E. Shaw &amp; Co., L.P. (“</w:t>
      </w:r>
      <w:r>
        <w:rPr>
          <w:rFonts w:ascii="Arial" w:cs="Arial" w:eastAsia="Arial" w:hAnsi="Arial"/>
          <w:sz w:val="17"/>
          <w:szCs w:val="17"/>
          <w:i w:val="1"/>
          <w:iCs w:val="1"/>
          <w:color w:val="auto"/>
        </w:rPr>
        <w:t>DESCO LP</w:t>
      </w:r>
      <w:r>
        <w:rPr>
          <w:rFonts w:ascii="Arial" w:cs="Arial" w:eastAsia="Arial" w:hAnsi="Arial"/>
          <w:sz w:val="17"/>
          <w:szCs w:val="17"/>
          <w:color w:val="auto"/>
        </w:rPr>
        <w:t>”), as the investment adviser of D. E. Shaw Valence Portfolios, L.L.C., may be deemed to have the shared power to vote or direct the vote of (and the shared power to dispose or direct the disposition of) the Subject Shares. D. E. Shaw &amp; Co., L.L.C. (“</w:t>
      </w:r>
      <w:r>
        <w:rPr>
          <w:rFonts w:ascii="Arial" w:cs="Arial" w:eastAsia="Arial" w:hAnsi="Arial"/>
          <w:sz w:val="17"/>
          <w:szCs w:val="17"/>
          <w:i w:val="1"/>
          <w:iCs w:val="1"/>
          <w:color w:val="auto"/>
        </w:rPr>
        <w:t>DESCO LLC</w:t>
      </w:r>
      <w:r>
        <w:rPr>
          <w:rFonts w:ascii="Arial" w:cs="Arial" w:eastAsia="Arial" w:hAnsi="Arial"/>
          <w:sz w:val="17"/>
          <w:szCs w:val="17"/>
          <w:color w:val="auto"/>
        </w:rPr>
        <w:t>”), as the manager of</w:t>
      </w:r>
    </w:p>
    <w:p>
      <w:pPr>
        <w:ind w:left="1620" w:right="459"/>
        <w:spacing w:after="0" w:line="271" w:lineRule="auto"/>
        <w:tabs>
          <w:tab w:leader="none" w:pos="1851" w:val="left"/>
        </w:tabs>
        <w:numPr>
          <w:ilvl w:val="1"/>
          <w:numId w:val="94"/>
        </w:numPr>
        <w:rPr>
          <w:rFonts w:ascii="Arial" w:cs="Arial" w:eastAsia="Arial" w:hAnsi="Arial"/>
          <w:sz w:val="17"/>
          <w:szCs w:val="17"/>
          <w:color w:val="auto"/>
        </w:rPr>
      </w:pPr>
      <w:r>
        <w:rPr>
          <w:rFonts w:ascii="Arial" w:cs="Arial" w:eastAsia="Arial" w:hAnsi="Arial"/>
          <w:sz w:val="17"/>
          <w:szCs w:val="17"/>
          <w:color w:val="auto"/>
        </w:rPr>
        <w:t>E. Shaw Valence Portfolios, L.L.C., may be deemed to have the shared power to vote or direct the vote of (and the shared power to dispose or direct the disposition of) the Subject Shares. Julius Gaudio, Maximilian Stone, and Eric Wepsic, or their designees, exercise voting and investment control over the Subject Shares on DESCO LP’s and DESCO LLC’s behalf. D. E. Shaw &amp; Co., Inc. (“</w:t>
      </w:r>
      <w:r>
        <w:rPr>
          <w:rFonts w:ascii="Arial" w:cs="Arial" w:eastAsia="Arial" w:hAnsi="Arial"/>
          <w:sz w:val="17"/>
          <w:szCs w:val="17"/>
          <w:i w:val="1"/>
          <w:iCs w:val="1"/>
          <w:color w:val="auto"/>
        </w:rPr>
        <w:t>DESCO Inc.</w:t>
      </w:r>
      <w:r>
        <w:rPr>
          <w:rFonts w:ascii="Arial" w:cs="Arial" w:eastAsia="Arial" w:hAnsi="Arial"/>
          <w:sz w:val="17"/>
          <w:szCs w:val="17"/>
          <w:color w:val="auto"/>
        </w:rPr>
        <w:t>”), as general partner of DESCO LP, may be deemed to have the shared power to vote or direct the vote</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52" w:lineRule="auto"/>
        <w:rPr>
          <w:sz w:val="20"/>
          <w:szCs w:val="20"/>
          <w:color w:val="auto"/>
        </w:rPr>
      </w:pPr>
      <w:r>
        <w:rPr>
          <w:rFonts w:ascii="Arial" w:cs="Arial" w:eastAsia="Arial" w:hAnsi="Arial"/>
          <w:sz w:val="17"/>
          <w:szCs w:val="17"/>
          <w:color w:val="auto"/>
        </w:rPr>
        <w:t xml:space="preserve">of (and the shared power to dispose or direct the disposition of) the Subject Shares. D. E. Shaw &amp; Co. II, Inc. (“ </w:t>
      </w:r>
      <w:r>
        <w:rPr>
          <w:rFonts w:ascii="Arial" w:cs="Arial" w:eastAsia="Arial" w:hAnsi="Arial"/>
          <w:sz w:val="17"/>
          <w:szCs w:val="17"/>
          <w:i w:val="1"/>
          <w:iCs w:val="1"/>
          <w:color w:val="auto"/>
        </w:rPr>
        <w:t>DESCO II Inc.</w:t>
      </w:r>
      <w:r>
        <w:rPr>
          <w:rFonts w:ascii="Arial" w:cs="Arial" w:eastAsia="Arial" w:hAnsi="Arial"/>
          <w:sz w:val="17"/>
          <w:szCs w:val="17"/>
          <w:color w:val="auto"/>
        </w:rPr>
        <w:t>”), as managing member of DESCO LLC, may be deemed to have the shared power to vote or direct the vote of (and the shared power to dispose or direct the disposition of) the Subject Shares. None of DESCO LP, DESCO LLC, DESCO Inc., or DESCO II Inc. owns any shares of the Company directly, and each such entity disclaims beneficial ownership of the Subject Shares. 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w:t>
      </w:r>
    </w:p>
    <w:p>
      <w:pPr>
        <w:spacing w:after="0" w:line="35" w:lineRule="exact"/>
        <w:rPr>
          <w:sz w:val="20"/>
          <w:szCs w:val="20"/>
          <w:color w:val="auto"/>
        </w:rPr>
      </w:pPr>
    </w:p>
    <w:p>
      <w:pPr>
        <w:ind w:left="1620" w:right="419" w:hanging="360"/>
        <w:spacing w:after="0" w:line="254" w:lineRule="auto"/>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Diameter Capital Partners LP is the investment manager of Diameter Master Fund LP and, therefore, has investment and voting power over these Class A common stock. Scott Goodwin and Jonathan Lewinsohn, as the sole managing members of the general partner of the investment manager, make voting and investment decisions on behalf of the investment manager. As a result, the investment manager, Mr. Goodwin and Mr. Lewinsohn may be deemed to be the beneficial owners of these Class A common stock. Notwithstanding the foregoing, each of Mr. Goodwin and Mr. Lewinsohn disclaim any such beneficial ownership. The business address of Diameter Master Fund LP is 55 Hudson Yards, 29th Floor, New York, NY 10001.</w:t>
      </w:r>
    </w:p>
    <w:p>
      <w:pPr>
        <w:spacing w:after="0" w:line="43" w:lineRule="exact"/>
        <w:rPr>
          <w:rFonts w:ascii="Arial" w:cs="Arial" w:eastAsia="Arial" w:hAnsi="Arial"/>
          <w:sz w:val="18"/>
          <w:szCs w:val="18"/>
          <w:color w:val="auto"/>
        </w:rPr>
      </w:pPr>
    </w:p>
    <w:p>
      <w:pPr>
        <w:ind w:left="1620" w:right="419" w:hanging="360"/>
        <w:spacing w:after="0" w:line="254" w:lineRule="auto"/>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4,333,333 shares of Class A common stock held by Dragoneer Global Fund II, L.P. (the “</w:t>
      </w:r>
      <w:r>
        <w:rPr>
          <w:rFonts w:ascii="Arial" w:cs="Arial" w:eastAsia="Arial" w:hAnsi="Arial"/>
          <w:sz w:val="18"/>
          <w:szCs w:val="18"/>
          <w:i w:val="1"/>
          <w:iCs w:val="1"/>
          <w:color w:val="auto"/>
        </w:rPr>
        <w:t>Fund</w:t>
      </w:r>
      <w:r>
        <w:rPr>
          <w:rFonts w:ascii="Arial" w:cs="Arial" w:eastAsia="Arial" w:hAnsi="Arial"/>
          <w:sz w:val="18"/>
          <w:szCs w:val="18"/>
          <w:color w:val="auto"/>
        </w:rPr>
        <w:t>”). The Fund’s registered investment adviser is Dragoneer Investment Group, LLC (“</w:t>
      </w:r>
      <w:r>
        <w:rPr>
          <w:rFonts w:ascii="Arial" w:cs="Arial" w:eastAsia="Arial" w:hAnsi="Arial"/>
          <w:sz w:val="18"/>
          <w:szCs w:val="18"/>
          <w:i w:val="1"/>
          <w:iCs w:val="1"/>
          <w:color w:val="auto"/>
        </w:rPr>
        <w:t>Dragoneer Adviser</w:t>
      </w:r>
      <w:r>
        <w:rPr>
          <w:rFonts w:ascii="Arial" w:cs="Arial" w:eastAsia="Arial" w:hAnsi="Arial"/>
          <w:sz w:val="18"/>
          <w:szCs w:val="18"/>
          <w:color w:val="auto"/>
        </w:rPr>
        <w:t>”). Cardinal DIG CC, LLC (“</w:t>
      </w:r>
      <w:r>
        <w:rPr>
          <w:rFonts w:ascii="Arial" w:cs="Arial" w:eastAsia="Arial" w:hAnsi="Arial"/>
          <w:sz w:val="18"/>
          <w:szCs w:val="18"/>
          <w:i w:val="1"/>
          <w:iCs w:val="1"/>
          <w:color w:val="auto"/>
        </w:rPr>
        <w:t>Cardinal</w:t>
      </w:r>
      <w:r>
        <w:rPr>
          <w:rFonts w:ascii="Arial" w:cs="Arial" w:eastAsia="Arial" w:hAnsi="Arial"/>
          <w:sz w:val="18"/>
          <w:szCs w:val="18"/>
          <w:color w:val="auto"/>
        </w:rPr>
        <w:t>” and together with the Fund and Dragoneer Adviser, the “</w:t>
      </w:r>
      <w:r>
        <w:rPr>
          <w:rFonts w:ascii="Arial" w:cs="Arial" w:eastAsia="Arial" w:hAnsi="Arial"/>
          <w:sz w:val="18"/>
          <w:szCs w:val="18"/>
          <w:i w:val="1"/>
          <w:iCs w:val="1"/>
          <w:color w:val="auto"/>
        </w:rPr>
        <w:t>Dragoneer Entities</w:t>
      </w:r>
      <w:r>
        <w:rPr>
          <w:rFonts w:ascii="Arial" w:cs="Arial" w:eastAsia="Arial" w:hAnsi="Arial"/>
          <w:sz w:val="18"/>
          <w:szCs w:val="18"/>
          <w:color w:val="auto"/>
        </w:rPr>
        <w:t>”) is the managing member of Dragoneer Adviser. Marc Stad is the sole member of Cardinal. By virtue of these relationships, Marc Stad and each of the Dragoneer Entities may be deemed to share voting and dispositive power with respect to the shares offered hereby. The business address for Mr. Stad and each of the Dragoneer Entities is 1 Letterman Drive, Building D M-500, San Francisco, CA 94129.</w:t>
      </w:r>
    </w:p>
    <w:p>
      <w:pPr>
        <w:spacing w:after="0" w:line="43" w:lineRule="exact"/>
        <w:rPr>
          <w:rFonts w:ascii="Arial" w:cs="Arial" w:eastAsia="Arial" w:hAnsi="Arial"/>
          <w:sz w:val="18"/>
          <w:szCs w:val="18"/>
          <w:color w:val="auto"/>
        </w:rPr>
      </w:pPr>
    </w:p>
    <w:p>
      <w:pPr>
        <w:ind w:left="1620" w:right="419" w:hanging="360"/>
        <w:spacing w:after="0" w:line="269" w:lineRule="auto"/>
        <w:tabs>
          <w:tab w:leader="none" w:pos="1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Shares beneficially owned include 110,332 shares of Class A common stock held by LMA SPC-MAP 112 Segregated Portfolio, 260,797 shares of Class A common stock held by DSAM Alpha+ Master Fund, 133,333 shares of Class A common stock held by DSAM Co-Invest Ltd, and 335,056 shares of Class A common stock held by DSAM+ Master Fund. Shares offered hereby consist of 63,733 shares of Class A common stock held by LMA SPC-MAP 112 Segregated Portfolio, 172,374 shares of Class A common stock held by DSAM Alpha+ Master fund, 133,333 shares of Class A common stock held by DSAM Co-Invest Ltd, and 205,867 shares of Class A common stock held by DSAM+ Master Fund. DSAM Partners (London) Ltd. (the “</w:t>
      </w:r>
      <w:r>
        <w:rPr>
          <w:rFonts w:ascii="Arial" w:cs="Arial" w:eastAsia="Arial" w:hAnsi="Arial"/>
          <w:sz w:val="17"/>
          <w:szCs w:val="17"/>
          <w:i w:val="1"/>
          <w:iCs w:val="1"/>
          <w:color w:val="auto"/>
        </w:rPr>
        <w:t>Investment Advisor</w:t>
      </w:r>
      <w:r>
        <w:rPr>
          <w:rFonts w:ascii="Arial" w:cs="Arial" w:eastAsia="Arial" w:hAnsi="Arial"/>
          <w:sz w:val="17"/>
          <w:szCs w:val="17"/>
          <w:color w:val="auto"/>
        </w:rPr>
        <w:t>”) is the investment advisor to such funds and as such may be deemed to have voting and investment power over the shares held by the funds. The Investment Advisor is ultimately controlled by Mr. Guy Shahar. The funds and Mr. Shahar disclaim beneficial ownership of the shares listed above.</w:t>
      </w:r>
    </w:p>
    <w:p>
      <w:pPr>
        <w:spacing w:after="0" w:line="46" w:lineRule="exact"/>
        <w:rPr>
          <w:rFonts w:ascii="Arial" w:cs="Arial" w:eastAsia="Arial" w:hAnsi="Arial"/>
          <w:sz w:val="17"/>
          <w:szCs w:val="17"/>
          <w:color w:val="auto"/>
        </w:rPr>
      </w:pPr>
    </w:p>
    <w:p>
      <w:pPr>
        <w:ind w:left="1620" w:right="499" w:hanging="360"/>
        <w:spacing w:after="0" w:line="254" w:lineRule="auto"/>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offered hereby consist of 666,667 shares of Class A common stock held by Empyrean Capital Overseas Master Fund, Ltd. (“</w:t>
      </w:r>
      <w:r>
        <w:rPr>
          <w:rFonts w:ascii="Arial" w:cs="Arial" w:eastAsia="Arial" w:hAnsi="Arial"/>
          <w:sz w:val="18"/>
          <w:szCs w:val="18"/>
          <w:i w:val="1"/>
          <w:iCs w:val="1"/>
          <w:color w:val="auto"/>
        </w:rPr>
        <w:t>ECOMF</w:t>
      </w:r>
      <w:r>
        <w:rPr>
          <w:rFonts w:ascii="Arial" w:cs="Arial" w:eastAsia="Arial" w:hAnsi="Arial"/>
          <w:sz w:val="18"/>
          <w:szCs w:val="18"/>
          <w:color w:val="auto"/>
        </w:rPr>
        <w:t>”). Empyrean Capital Partners, LP (“</w:t>
      </w:r>
      <w:r>
        <w:rPr>
          <w:rFonts w:ascii="Arial" w:cs="Arial" w:eastAsia="Arial" w:hAnsi="Arial"/>
          <w:sz w:val="18"/>
          <w:szCs w:val="18"/>
          <w:i w:val="1"/>
          <w:iCs w:val="1"/>
          <w:color w:val="auto"/>
        </w:rPr>
        <w:t>Empyrean</w:t>
      </w:r>
      <w:r>
        <w:rPr>
          <w:rFonts w:ascii="Arial" w:cs="Arial" w:eastAsia="Arial" w:hAnsi="Arial"/>
          <w:sz w:val="18"/>
          <w:szCs w:val="18"/>
          <w:color w:val="auto"/>
        </w:rPr>
        <w:t>”) serves as investment manager to ECOMF, and has voting and investment control of the shares held by ECOMF. Empyrean Capital, LLC serves as the general partner to Empyrean. Amos Meron is the managing member of Empyrean Capital, LLC, and as such may be deemed to have voting and dispositive control of the shares held by ECOMF. The address of each of ECOMF, Empyrean, Empyrean Capital, LLC, and Amos Meron is c/o Empyrean Capital Partners, LP, 10250 Constellation Boulevard, Suite 2950, Los Angeles, CA 90067.</w:t>
      </w:r>
    </w:p>
    <w:p>
      <w:pPr>
        <w:spacing w:after="0" w:line="43" w:lineRule="exact"/>
        <w:rPr>
          <w:rFonts w:ascii="Arial" w:cs="Arial" w:eastAsia="Arial" w:hAnsi="Arial"/>
          <w:sz w:val="18"/>
          <w:szCs w:val="18"/>
          <w:color w:val="auto"/>
        </w:rPr>
      </w:pPr>
    </w:p>
    <w:p>
      <w:pPr>
        <w:ind w:left="1620" w:right="559" w:hanging="360"/>
        <w:spacing w:after="0" w:line="254" w:lineRule="auto"/>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9,900 shares of Class A common stock held by Fidelity Select Portfolios: Select Automotive Portfolio, 534,050 shares of Class A common stock held by Fidelity Select Portfolios: Technology Portfolio, 359,755 shares of Class A common stock held by Fidelity Puritan Trust: Fidelity Balanced Fund — Information Technology Sub, 48,422 shares of Class A common stock held by Fidelity Advisor Series I: Fidelity Advisor Balanced Fund — Information Technology Sub, 52,477 shares of Class A common stock held by Variable Insurance Products Fund III: VIP Balanced Portfolio — Information Technology Sub, 5,296 shares of Class A common</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49" w:lineRule="auto"/>
        <w:rPr>
          <w:sz w:val="20"/>
          <w:szCs w:val="20"/>
          <w:color w:val="auto"/>
        </w:rPr>
      </w:pPr>
      <w:r>
        <w:rPr>
          <w:rFonts w:ascii="Arial" w:cs="Arial" w:eastAsia="Arial" w:hAnsi="Arial"/>
          <w:sz w:val="17"/>
          <w:szCs w:val="17"/>
          <w:color w:val="auto"/>
        </w:rPr>
        <w:t>stock held by Fidelity Puritan Trust: Fidelity Balanced K6 Fund — Information Technology Sub-portfolio, 211,400 shares of Class A common stock held by Fidelity Advisor Series VII: Fidelity Advisor Technology Fund, 79,100 shares of Class A common stock held by Variable Insurance Products Fund IV: VIP Technology Portfolio, 156,100 shares of Class A common stock held by Variable Insurance Products Fund III: VIP Growth Opportunities Portfolio, 1,056,300 shares of Class A common stock held by Fidelity Advisor Series I: Fidelity Advisor Growth Opportunities Fund, 36,400 shares of Class A common stock held by Fidelity Advisor Series I: Fidelity Advisor Series Growth Opportunities Fund, 14,126 shares of Class A common stock held by Fidelity U.S. Growth Opportunities Investment Trust by its manager Fidelity Investments Canada ULC, 62,208 shares of Class A common stock held by Fidelity NorthStar Fund by its manager Fidelity Investments Canada ULC, 656,000 shares of Class A common stock held by Fidelity Mt. Vernon Street Trust: Fidelity Series Growth Company Fund, 3,081,200 shares of Class A common stock held by Fidelity Mt. Vernon Street Trust: Fidelity Growth Company Fund, 3,131,100 shares of Class A common stock held by Fidelity Growth Company Commingled Pool by: Fidelity Management Trust Company, as Trustee, 478,300 shares of Class A common stock held by Fidelity Mt. Vernon Street Trust: Fidelity Growth Company K6 Fund, 2,496,600 shares of Class A common stock held by Fidelity Securities Fund: Fidelity Blue Chip Growth Fund, 88,700 shares of Class A common stock held by Fidelity Blue Chip Growth Commingled Pool by: Fidelity Management Trust Company, as Trustee, 5,700 shares of Class A common stock held by Fidelity Securities Fund: Fidelity Flex Large Cap Growth Fund, 274,400 shares of Class A common stock held by Fidelity Securities Fund: Fidelity Blue Chip Growth K6 Fund, 6,700 shares of Class A common stock held by Fidelity Blue Chip Growth Institutional Trust by its manager Fidelity Investments Canada ULC, 293,500 shares of Class A common stock held by Fidelity Securities Fund: Fidelity Series Blue Chip Growth Fund, and 195,600 shares of Class A common stock held by FIAM Target Date Blue Chip Growth Commingled Pool by: Fidelity Institutional Asset Management Trust Company, as Trustee.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w:t>
      </w:r>
      <w:r>
        <w:rPr>
          <w:rFonts w:ascii="Arial" w:cs="Arial" w:eastAsia="Arial" w:hAnsi="Arial"/>
          <w:sz w:val="17"/>
          <w:szCs w:val="17"/>
          <w:i w:val="1"/>
          <w:iCs w:val="1"/>
          <w:color w:val="auto"/>
        </w:rPr>
        <w:t>Fidelity Funds</w:t>
      </w:r>
      <w:r>
        <w:rPr>
          <w:rFonts w:ascii="Arial" w:cs="Arial" w:eastAsia="Arial" w:hAnsi="Arial"/>
          <w:sz w:val="17"/>
          <w:szCs w:val="17"/>
          <w:color w:val="auto"/>
        </w:rPr>
        <w:t>”) advised by Fidelity Management &amp; Research Company (“</w:t>
      </w:r>
      <w:r>
        <w:rPr>
          <w:rFonts w:ascii="Arial" w:cs="Arial" w:eastAsia="Arial" w:hAnsi="Arial"/>
          <w:sz w:val="17"/>
          <w:szCs w:val="17"/>
          <w:i w:val="1"/>
          <w:iCs w:val="1"/>
          <w:color w:val="auto"/>
        </w:rPr>
        <w:t>FMR Co</w:t>
      </w:r>
      <w:r>
        <w:rPr>
          <w:rFonts w:ascii="Arial" w:cs="Arial" w:eastAsia="Arial" w:hAnsi="Arial"/>
          <w:sz w:val="17"/>
          <w:szCs w:val="17"/>
          <w:color w:val="auto"/>
        </w:rPr>
        <w:t>”), a wholly owned subsidiary of FMR LLC, which power resides with the Fidelity Funds’ Boards of Trustees. Fidelity Management &amp; Research Company carries out the voting of the shares under written guidelines established by the Fidelity Funds’ Boards of Trustees. None of the Securityholders are registered broker-dealers. The Securityholders are affiliates of registered broker-dealers. The Securityholders acquired the shares in the ordinary course of business. The Securityholders, at the time of purchase of the shares, had no agreements, plans or understandings, directly or indirectly, with any person to distribute the shares.</w:t>
      </w:r>
    </w:p>
    <w:p>
      <w:pPr>
        <w:spacing w:after="0" w:line="257" w:lineRule="exact"/>
        <w:rPr>
          <w:sz w:val="20"/>
          <w:szCs w:val="20"/>
          <w:color w:val="auto"/>
        </w:rPr>
      </w:pPr>
    </w:p>
    <w:p>
      <w:pPr>
        <w:ind w:left="1620" w:right="519" w:hanging="360"/>
        <w:spacing w:after="0" w:line="268" w:lineRule="auto"/>
        <w:tabs>
          <w:tab w:leader="none" w:pos="1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shares beneficially owned and offered hereby include 141,414 shares of Class A common stock held by Franklin Strategic Series — Franklin Natural Resources Fund, 2,167,003 shares of Class A common stock held by Franklin Strategic Series — Franklin Growth Opportunities Fund, 728,215 shares of Class A common stock held by Franklin Strategic Series — Franklin Small-Mid Cap Growth Fund, 4,040,405 shares of Class A common stock held by Franklin Custodian Funds — Franklin Growth Fund, 262,626 shares of Class A common stock held by Franklin Templeton Investment Funds</w:t>
      </w:r>
    </w:p>
    <w:p>
      <w:pPr>
        <w:ind w:left="1620" w:right="479"/>
        <w:spacing w:after="0" w:line="269" w:lineRule="auto"/>
        <w:rPr>
          <w:rFonts w:ascii="Arial" w:cs="Arial" w:eastAsia="Arial" w:hAnsi="Arial"/>
          <w:sz w:val="17"/>
          <w:szCs w:val="17"/>
          <w:color w:val="auto"/>
        </w:rPr>
      </w:pPr>
      <w:r>
        <w:rPr>
          <w:rFonts w:ascii="Arial" w:cs="Arial" w:eastAsia="Arial" w:hAnsi="Arial"/>
          <w:sz w:val="17"/>
          <w:szCs w:val="17"/>
          <w:color w:val="auto"/>
        </w:rPr>
        <w:t>— Franklin Natural Resources Fund, 79,866 shares of Class A common stock held by Franklin Templeton Variable Insurance Products Trust — Franklin Small-Mid Cap Growth VIP Fund, 1,200,000 shares of Class A common stock held by Franklin Templeton Investment Funds — Franklin US Opportunities Fund and 4,713,805 shares of Class A common stock held by Franklin Templeton Investment Funds — Franklin Technology Fund. Additional shares beneficially owned but not offered hereby include 11,802 shares of Class A common stock held by Franklin Templeton Variable Insurance Products Trust — Franklin Large Cap Growth VIP Fund, 14,448 shares of Class A common stock held</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50" w:lineRule="auto"/>
        <w:rPr>
          <w:sz w:val="20"/>
          <w:szCs w:val="20"/>
          <w:color w:val="auto"/>
        </w:rPr>
      </w:pPr>
      <w:r>
        <w:rPr>
          <w:rFonts w:ascii="Arial" w:cs="Arial" w:eastAsia="Arial" w:hAnsi="Arial"/>
          <w:sz w:val="17"/>
          <w:szCs w:val="17"/>
          <w:color w:val="auto"/>
        </w:rPr>
        <w:t>by Franklin Templeton Funds — Franklin US Opportunities Fund, 26,092 shares of Class A common stock held by Franklin U.S. Opportunities Fund and 29,815 shares of Class A common stock held by Franklin MPF US Opportunities Fund. Franklin Advisers, Inc. (“</w:t>
      </w:r>
      <w:r>
        <w:rPr>
          <w:rFonts w:ascii="Arial" w:cs="Arial" w:eastAsia="Arial" w:hAnsi="Arial"/>
          <w:sz w:val="17"/>
          <w:szCs w:val="17"/>
          <w:i w:val="1"/>
          <w:iCs w:val="1"/>
          <w:color w:val="auto"/>
        </w:rPr>
        <w:t>FAV</w:t>
      </w:r>
      <w:r>
        <w:rPr>
          <w:rFonts w:ascii="Arial" w:cs="Arial" w:eastAsia="Arial" w:hAnsi="Arial"/>
          <w:sz w:val="17"/>
          <w:szCs w:val="17"/>
          <w:color w:val="auto"/>
        </w:rPr>
        <w:t>”) is the investment manager for the funds listed above. FAV is affiliated with several FINRA members — Franklin/Templeton Distributors, Inc., Templeton/Franklin Investment Services, Inc., Franklin Templeton Financial Services Corp., Royce Fund Services, LLC, Quest Distributors, Inc., Quest Securities, Inc. and Royce Fund Services, Inc. All of these entities are indirect wholly owned subsidiaries of Franklin Resources, Inc. (“</w:t>
      </w:r>
      <w:r>
        <w:rPr>
          <w:rFonts w:ascii="Arial" w:cs="Arial" w:eastAsia="Arial" w:hAnsi="Arial"/>
          <w:sz w:val="17"/>
          <w:szCs w:val="17"/>
          <w:i w:val="1"/>
          <w:iCs w:val="1"/>
          <w:color w:val="auto"/>
        </w:rPr>
        <w:t>FRI</w:t>
      </w:r>
      <w:r>
        <w:rPr>
          <w:rFonts w:ascii="Arial" w:cs="Arial" w:eastAsia="Arial" w:hAnsi="Arial"/>
          <w:sz w:val="17"/>
          <w:szCs w:val="17"/>
          <w:color w:val="auto"/>
        </w:rPr>
        <w:t>”), the parent of FAV and only distribute funds for subsidiaries of FRI. Based on information provided by the Selling Securityholders, the Selling Securityholders acquired the shares for investment purposes, and at the time of the acquisition of the shares, the Selling Securityholders did not have any agreements or understandings with any person to distribute such shares. FAV is an indirect wholly owned subsidiary of a publicly traded company, FRI, and may be deemed to be the beneficial owner of these shares for purposes of Rule 13d-3 under the Exchange Act in its capacity as the investment adviser to such funds and accounts pursuant to investment management contracts that grant investment and/or voting power to FAV. When an investment management contract (including a sub-advisory agreement) delegates to FAV investment discretion or voting power over the securities held in the investment advisory accounts that are subject to that agreement, FRI treats FAV as having sole investment discretion or voting authority, as the case may be, unless the agreement specifies otherwise. Accordingly, FAV reports for purposes of Section 13(d) of the Exchange Act that it has sole investment discretion and voting authority over the securities covered by any such investment management agreement, unless otherwise specifically noted. The address of the Franklin Funds is c/o Franklin Advisers, Inc., One Franklin Parkway, San Mateo, California 94403.</w:t>
      </w:r>
    </w:p>
    <w:p>
      <w:pPr>
        <w:spacing w:after="0" w:line="43" w:lineRule="exact"/>
        <w:rPr>
          <w:sz w:val="20"/>
          <w:szCs w:val="20"/>
          <w:color w:val="auto"/>
        </w:rPr>
      </w:pPr>
    </w:p>
    <w:p>
      <w:pPr>
        <w:ind w:left="1620" w:right="639" w:hanging="360"/>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Ghisallo Capital Management LLC (“</w:t>
      </w:r>
      <w:r>
        <w:rPr>
          <w:rFonts w:ascii="Arial" w:cs="Arial" w:eastAsia="Arial" w:hAnsi="Arial"/>
          <w:sz w:val="18"/>
          <w:szCs w:val="18"/>
          <w:i w:val="1"/>
          <w:iCs w:val="1"/>
          <w:color w:val="auto"/>
        </w:rPr>
        <w:t>GCM</w:t>
      </w:r>
      <w:r>
        <w:rPr>
          <w:rFonts w:ascii="Arial" w:cs="Arial" w:eastAsia="Arial" w:hAnsi="Arial"/>
          <w:sz w:val="18"/>
          <w:szCs w:val="18"/>
          <w:color w:val="auto"/>
        </w:rPr>
        <w:t>”) is the investment manager of Ghisallo Master Fund LP. Michael Germino is the managing member of GCM.</w:t>
      </w:r>
    </w:p>
    <w:p>
      <w:pPr>
        <w:spacing w:after="0" w:line="21"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HBK Investments L.P., a Delaware limited partnership, has shared voting and dispositive power over the shares offered hereby pursuant to an Investment Management Agreement between HBK Investments L.P. and the Selling Securityholder. HBK Investments L.P. has delegated discretion to vote and dispose of the shares offered hereby to HBK Services LLC. The following individuals may be deemed to have control over HBK Investments LP and HBK Services LLC: Jamiel A. Akhtar, David C. Haley, Jon L. Mosle III and Matthew F. Luth. Each of HBK Services LLC and the individuals listed above disclaim beneficial ownership of any of the shares reported.</w:t>
      </w:r>
    </w:p>
    <w:p>
      <w:pPr>
        <w:spacing w:after="0" w:line="46" w:lineRule="exact"/>
        <w:rPr>
          <w:rFonts w:ascii="Arial" w:cs="Arial" w:eastAsia="Arial" w:hAnsi="Arial"/>
          <w:sz w:val="18"/>
          <w:szCs w:val="18"/>
          <w:color w:val="auto"/>
        </w:rPr>
      </w:pPr>
    </w:p>
    <w:p>
      <w:pPr>
        <w:ind w:left="1620" w:hanging="360"/>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José E. Feliciano is the beneficiary of Citibank NA as Custodian FBO José E. Feliciano.</w:t>
      </w:r>
    </w:p>
    <w:p>
      <w:pPr>
        <w:spacing w:after="0" w:line="76" w:lineRule="exact"/>
        <w:rPr>
          <w:rFonts w:ascii="Arial" w:cs="Arial" w:eastAsia="Arial" w:hAnsi="Arial"/>
          <w:sz w:val="18"/>
          <w:szCs w:val="18"/>
          <w:color w:val="auto"/>
        </w:rPr>
      </w:pPr>
    </w:p>
    <w:p>
      <w:pPr>
        <w:ind w:left="1620" w:right="479" w:hanging="360"/>
        <w:spacing w:after="0" w:line="25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shares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shares held by Linden Capital L.P.</w:t>
      </w:r>
    </w:p>
    <w:p>
      <w:pPr>
        <w:spacing w:after="0" w:line="52" w:lineRule="exact"/>
        <w:rPr>
          <w:rFonts w:ascii="Arial" w:cs="Arial" w:eastAsia="Arial" w:hAnsi="Arial"/>
          <w:sz w:val="18"/>
          <w:szCs w:val="18"/>
          <w:color w:val="auto"/>
        </w:rPr>
      </w:pPr>
    </w:p>
    <w:p>
      <w:pPr>
        <w:ind w:left="1620" w:right="439" w:hanging="360"/>
        <w:spacing w:after="0" w:line="269" w:lineRule="auto"/>
        <w:tabs>
          <w:tab w:leader="none" w:pos="1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10,000 shares of Class A common stock held by Boothbay Absolute Return Strategies, LP, 15,000 shares of Class A common stock held by Boothbay Diversified Alpha Master, LP, 1,500 shares of Class A common stock held by Starr Commonwealth, 150,000 shares of Class A common stock held by HR Fund LP, 10,000 shares of Class A common stock held by BBR Fixed Income Opportunities Fund LP, 3,750 shares of Class A common stock held by BBR Absolute Return (QP), LP, 500 shares of Class A common stock held by BBR Absolute Return, LP, 600 shares of Class A common stock held by BBR Absolute Return Ltd. and 8,650 shares of Class A common stock held by LIM BCOF Special Account, Ltd. Acting as their investment advisor, Longfellow Investment Management Co., LLC is deemed to have investment discretion and shared voting control over the shares beneficially owned by their clients. David Stueher, portfolio manager, may be deemed to be the beneficial owner of the shares. The business address for Longfellow Investment Management Co., LLC is 125 High Street, Suite 832, Boston, MA 02110.</w:t>
      </w:r>
    </w:p>
    <w:p>
      <w:pPr>
        <w:spacing w:after="0" w:line="30" w:lineRule="exact"/>
        <w:rPr>
          <w:rFonts w:ascii="Arial" w:cs="Arial" w:eastAsia="Arial" w:hAnsi="Arial"/>
          <w:sz w:val="17"/>
          <w:szCs w:val="17"/>
          <w:color w:val="auto"/>
        </w:rPr>
      </w:pPr>
    </w:p>
    <w:p>
      <w:pPr>
        <w:ind w:left="1620" w:right="459" w:hanging="360"/>
        <w:spacing w:after="0" w:line="255"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shares beneficially owned and offered hereby include: (i) 6,240,000 shares of Class A common stock held by Astrum, Series 8 Holdings LLC and 1,493,334 shares of Class A common stock held by LNGH Holdings LLC, which are pledged to Citibank, N.A. and other lenders and held through Citigroup Global Markets Inc., as securities intermediary; (ii) 400,000 shares of Class A common stock held by Magnetar Capital Master Fund, Ltd, (iii) 533,333 shares of Class A common stock held by Magnetar</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Discovery Master Fund Ltd and (iv) 1,333,333 shares of Class A common stock held by 405 MTSV I</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LP. Additional shares beneficially owned but not offered hereby include 1,408,727 shares of Class A</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common stock issuable upon exercise of the Public Warrants held by Magnetar Constellation Master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Fund, Ltd, 398,497 shares of Class A common stock issuable upon exercise of the Public Warrants held</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Magnetar Constellation Fund II, Ltd, 524,340 shares of Class A common stock issuable upon</w:t>
      </w:r>
    </w:p>
    <w:p>
      <w:pPr>
        <w:ind w:left="1620"/>
        <w:spacing w:after="0" w:line="234" w:lineRule="auto"/>
        <w:rPr>
          <w:sz w:val="20"/>
          <w:szCs w:val="20"/>
          <w:color w:val="auto"/>
        </w:rPr>
      </w:pPr>
      <w:r>
        <w:rPr>
          <w:rFonts w:ascii="Arial" w:cs="Arial" w:eastAsia="Arial" w:hAnsi="Arial"/>
          <w:sz w:val="18"/>
          <w:szCs w:val="18"/>
          <w:color w:val="auto"/>
        </w:rPr>
        <w:t>exercise of the Public Warrants held by Magnetar Structured Credit Fund, LP, 489,384 shares of</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Class A common stock issuable upon exercise of the Public Warrants held by Magnetar Xing He Master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Fund Ltd, 374,030 shares of Class A common stock issuable upon exercise of the Public Warrants held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by Magnetar SC Fund Ltd, 300,620 shares of Class A common stock issuable upon exercise of the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Public Warrants held by Magnetar Lake Credit Fund LLC, and 20,000 shares of Class A common stock</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issuable upon exercise of the Public Warrants held by Magnetar Systematic Multi-Strategy Master</w:t>
      </w:r>
    </w:p>
    <w:p>
      <w:pPr>
        <w:ind w:left="1620"/>
        <w:spacing w:after="0" w:line="234" w:lineRule="auto"/>
        <w:rPr>
          <w:sz w:val="20"/>
          <w:szCs w:val="20"/>
          <w:color w:val="auto"/>
        </w:rPr>
      </w:pPr>
      <w:r>
        <w:rPr>
          <w:rFonts w:ascii="Arial" w:cs="Arial" w:eastAsia="Arial" w:hAnsi="Arial"/>
          <w:sz w:val="18"/>
          <w:szCs w:val="18"/>
          <w:color w:val="auto"/>
        </w:rPr>
        <w:t>Fund Ltd. Such entities and funds and accounts (together, the “</w:t>
      </w:r>
      <w:r>
        <w:rPr>
          <w:rFonts w:ascii="Arial" w:cs="Arial" w:eastAsia="Arial" w:hAnsi="Arial"/>
          <w:sz w:val="18"/>
          <w:szCs w:val="18"/>
          <w:i w:val="1"/>
          <w:iCs w:val="1"/>
          <w:color w:val="auto"/>
        </w:rPr>
        <w:t>Magnetar Funds</w:t>
      </w:r>
      <w:r>
        <w:rPr>
          <w:rFonts w:ascii="Arial" w:cs="Arial" w:eastAsia="Arial" w:hAnsi="Arial"/>
          <w:sz w:val="18"/>
          <w:szCs w:val="18"/>
          <w:color w:val="auto"/>
        </w:rPr>
        <w:t>”) are managed by</w:t>
      </w:r>
    </w:p>
    <w:p>
      <w:pPr>
        <w:ind w:left="1620"/>
        <w:spacing w:after="0" w:line="235" w:lineRule="auto"/>
        <w:rPr>
          <w:sz w:val="20"/>
          <w:szCs w:val="20"/>
          <w:color w:val="auto"/>
        </w:rPr>
      </w:pPr>
      <w:r>
        <w:rPr>
          <w:rFonts w:ascii="Arial" w:cs="Arial" w:eastAsia="Arial" w:hAnsi="Arial"/>
          <w:sz w:val="18"/>
          <w:szCs w:val="18"/>
          <w:color w:val="auto"/>
        </w:rPr>
        <w:t>Magnetar Financial LLC (“</w:t>
      </w:r>
      <w:r>
        <w:rPr>
          <w:rFonts w:ascii="Arial" w:cs="Arial" w:eastAsia="Arial" w:hAnsi="Arial"/>
          <w:sz w:val="18"/>
          <w:szCs w:val="18"/>
          <w:i w:val="1"/>
          <w:iCs w:val="1"/>
          <w:color w:val="auto"/>
        </w:rPr>
        <w:t>MFL</w:t>
      </w:r>
      <w:r>
        <w:rPr>
          <w:rFonts w:ascii="Arial" w:cs="Arial" w:eastAsia="Arial" w:hAnsi="Arial"/>
          <w:sz w:val="18"/>
          <w:szCs w:val="18"/>
          <w:color w:val="auto"/>
        </w:rPr>
        <w:t>”). MFL serves as investment manager of each Magnetar Capital</w:t>
      </w:r>
    </w:p>
    <w:p>
      <w:pPr>
        <w:ind w:left="1620"/>
        <w:spacing w:after="0" w:line="235" w:lineRule="auto"/>
        <w:rPr>
          <w:sz w:val="20"/>
          <w:szCs w:val="20"/>
          <w:color w:val="auto"/>
        </w:rPr>
      </w:pPr>
      <w:r>
        <w:rPr>
          <w:rFonts w:ascii="Arial" w:cs="Arial" w:eastAsia="Arial" w:hAnsi="Arial"/>
          <w:sz w:val="18"/>
          <w:szCs w:val="18"/>
          <w:color w:val="auto"/>
        </w:rPr>
        <w:t>Master Fund, Ltd, Magnetar Discovery Master Fund Ltd, Magnetar Constellation Master Fund, Ltd,</w:t>
      </w:r>
    </w:p>
    <w:p>
      <w:pPr>
        <w:ind w:left="1620"/>
        <w:spacing w:after="0"/>
        <w:rPr>
          <w:sz w:val="20"/>
          <w:szCs w:val="20"/>
          <w:color w:val="auto"/>
        </w:rPr>
      </w:pPr>
      <w:r>
        <w:rPr>
          <w:rFonts w:ascii="Arial" w:cs="Arial" w:eastAsia="Arial" w:hAnsi="Arial"/>
          <w:sz w:val="17"/>
          <w:szCs w:val="17"/>
          <w:color w:val="auto"/>
        </w:rPr>
        <w:t>Magnetar Constellation Fund II, Ltd, Magnetar Xing He Master Fund Ltd, Magnetar SC Fund Ltd and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Magnetar Systematic Multi-Strategy Master Fund Ltd. MFL is the manager of each of LNGH Holdings</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LLC, Astrum, Series 8 Holdings LLC and Magnetar Lake Credit Fund LLC. MFL is the general partner</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Magnetar Structured Credit Fund, LP. MFL is the trading advisor of 405 MSTV I LP. In such</w:t>
      </w:r>
    </w:p>
    <w:p>
      <w:pPr>
        <w:ind w:left="1620"/>
        <w:spacing w:after="0"/>
        <w:rPr>
          <w:sz w:val="20"/>
          <w:szCs w:val="20"/>
          <w:color w:val="auto"/>
        </w:rPr>
      </w:pPr>
      <w:r>
        <w:rPr>
          <w:rFonts w:ascii="Arial" w:cs="Arial" w:eastAsia="Arial" w:hAnsi="Arial"/>
          <w:sz w:val="17"/>
          <w:szCs w:val="17"/>
          <w:color w:val="auto"/>
        </w:rPr>
        <w:t>capacities, MFL exercises voting and investment power over the securities listed above held for the</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accounts of the Magnetar Funds. MFL is a registered investment adviser under Section 203 of the</w:t>
      </w:r>
    </w:p>
    <w:p>
      <w:pPr>
        <w:ind w:left="1620"/>
        <w:spacing w:after="0" w:line="234" w:lineRule="auto"/>
        <w:rPr>
          <w:sz w:val="20"/>
          <w:szCs w:val="20"/>
          <w:color w:val="auto"/>
        </w:rPr>
      </w:pPr>
      <w:r>
        <w:rPr>
          <w:rFonts w:ascii="Arial" w:cs="Arial" w:eastAsia="Arial" w:hAnsi="Arial"/>
          <w:sz w:val="18"/>
          <w:szCs w:val="18"/>
          <w:color w:val="auto"/>
        </w:rPr>
        <w:t>Investment Advisers Act of 1940, as amended. Magnetar Capital Partners LP (“</w:t>
      </w:r>
      <w:r>
        <w:rPr>
          <w:rFonts w:ascii="Arial" w:cs="Arial" w:eastAsia="Arial" w:hAnsi="Arial"/>
          <w:sz w:val="18"/>
          <w:szCs w:val="18"/>
          <w:i w:val="1"/>
          <w:iCs w:val="1"/>
          <w:color w:val="auto"/>
        </w:rPr>
        <w:t>MCP</w:t>
      </w:r>
      <w:r>
        <w:rPr>
          <w:rFonts w:ascii="Arial" w:cs="Arial" w:eastAsia="Arial" w:hAnsi="Arial"/>
          <w:sz w:val="18"/>
          <w:szCs w:val="18"/>
          <w:color w:val="auto"/>
        </w:rPr>
        <w:t>”) is the sole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member and parent holding company of MFL. Supernova Management LLC (“</w:t>
      </w:r>
      <w:r>
        <w:rPr>
          <w:rFonts w:ascii="Arial" w:cs="Arial" w:eastAsia="Arial" w:hAnsi="Arial"/>
          <w:sz w:val="17"/>
          <w:szCs w:val="17"/>
          <w:i w:val="1"/>
          <w:iCs w:val="1"/>
          <w:color w:val="auto"/>
        </w:rPr>
        <w:t>Supernova</w:t>
      </w:r>
      <w:r>
        <w:rPr>
          <w:rFonts w:ascii="Arial" w:cs="Arial" w:eastAsia="Arial" w:hAnsi="Arial"/>
          <w:sz w:val="17"/>
          <w:szCs w:val="17"/>
          <w:color w:val="auto"/>
        </w:rPr>
        <w:t>”) is the sole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general partner of MCP. The manager of Supernova is Alec N. Litowitz, a citizen of the United States</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America. Each of the Magnetar Funds, MFL, MCP, Supernova and Alec N. Litowitz disclaims</w:t>
      </w:r>
    </w:p>
    <w:p>
      <w:pPr>
        <w:ind w:left="1620"/>
        <w:spacing w:after="0"/>
        <w:rPr>
          <w:sz w:val="20"/>
          <w:szCs w:val="20"/>
          <w:color w:val="auto"/>
        </w:rPr>
      </w:pPr>
      <w:r>
        <w:rPr>
          <w:rFonts w:ascii="Arial" w:cs="Arial" w:eastAsia="Arial" w:hAnsi="Arial"/>
          <w:sz w:val="17"/>
          <w:szCs w:val="17"/>
          <w:color w:val="auto"/>
        </w:rPr>
        <w:t>beneficial ownership of these securities except to the extent of their pecuniary interest in the securities.</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business address of each of MFL, MCP, Supernova and Alec N. Litowitz is 1603 Orrington</w:t>
      </w:r>
    </w:p>
    <w:p>
      <w:pPr>
        <w:ind w:left="1620"/>
        <w:spacing w:after="0"/>
        <w:rPr>
          <w:sz w:val="20"/>
          <w:szCs w:val="20"/>
          <w:color w:val="auto"/>
        </w:rPr>
      </w:pPr>
      <w:r>
        <w:rPr>
          <w:rFonts w:ascii="Arial" w:cs="Arial" w:eastAsia="Arial" w:hAnsi="Arial"/>
          <w:sz w:val="17"/>
          <w:szCs w:val="17"/>
          <w:color w:val="auto"/>
        </w:rPr>
        <w:t>Avenue, 13th Floor, Evanston, Illinois 60201. In addition, certain Magnetar Funds have an economic</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interest in shares of Class A common stock and Private Placement Warrants through their ownership of</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membership interests in the Sponsor, but do not beneficially own any such Class A common stock or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Private Placement Warrants. Such economic interest (or deemed economic interest) of such Magnetar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Funds relates to 6,500,000 shares of Class A common stock and 5,904,385 Private Placement Warrants.</w:t>
      </w:r>
    </w:p>
    <w:p>
      <w:pPr>
        <w:spacing w:after="0" w:line="70" w:lineRule="exact"/>
        <w:rPr>
          <w:sz w:val="20"/>
          <w:szCs w:val="20"/>
          <w:color w:val="auto"/>
        </w:rPr>
      </w:pPr>
    </w:p>
    <w:p>
      <w:pPr>
        <w:ind w:left="1620" w:right="639" w:hanging="360"/>
        <w:spacing w:after="0" w:line="263"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Directors Andrew Dodd and Michael Bell have voting power over the shares offered hereby and they both disclaim beneficial ownership of such shares. Millias Limited’s address is 767 5th Ave., 9th Fl. New York, NY 10153.</w:t>
      </w:r>
    </w:p>
    <w:p>
      <w:pPr>
        <w:spacing w:after="0" w:line="35" w:lineRule="exact"/>
        <w:rPr>
          <w:rFonts w:ascii="Arial" w:cs="Arial" w:eastAsia="Arial" w:hAnsi="Arial"/>
          <w:sz w:val="18"/>
          <w:szCs w:val="18"/>
          <w:color w:val="auto"/>
        </w:rPr>
      </w:pPr>
    </w:p>
    <w:p>
      <w:pPr>
        <w:ind w:left="1620" w:right="439" w:hanging="360"/>
        <w:spacing w:after="0" w:line="267" w:lineRule="auto"/>
        <w:tabs>
          <w:tab w:leader="none" w:pos="16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3,024,693 shares of Class A common stock held by Integrated Core Strategies (US) LLC (“</w:t>
      </w:r>
      <w:r>
        <w:rPr>
          <w:rFonts w:ascii="Arial" w:cs="Arial" w:eastAsia="Arial" w:hAnsi="Arial"/>
          <w:sz w:val="17"/>
          <w:szCs w:val="17"/>
          <w:i w:val="1"/>
          <w:iCs w:val="1"/>
          <w:color w:val="auto"/>
        </w:rPr>
        <w:t>Integrated Core Strategies</w:t>
      </w:r>
      <w:r>
        <w:rPr>
          <w:rFonts w:ascii="Arial" w:cs="Arial" w:eastAsia="Arial" w:hAnsi="Arial"/>
          <w:sz w:val="17"/>
          <w:szCs w:val="17"/>
          <w:color w:val="auto"/>
        </w:rPr>
        <w:t>”) and 400,000 shares of Class A common stock held by ICS Opportunities, Ltd (“</w:t>
      </w:r>
      <w:r>
        <w:rPr>
          <w:rFonts w:ascii="Arial" w:cs="Arial" w:eastAsia="Arial" w:hAnsi="Arial"/>
          <w:sz w:val="17"/>
          <w:szCs w:val="17"/>
          <w:i w:val="1"/>
          <w:iCs w:val="1"/>
          <w:color w:val="auto"/>
        </w:rPr>
        <w:t>ICS Opportunities</w:t>
      </w:r>
      <w:r>
        <w:rPr>
          <w:rFonts w:ascii="Arial" w:cs="Arial" w:eastAsia="Arial" w:hAnsi="Arial"/>
          <w:sz w:val="17"/>
          <w:szCs w:val="17"/>
          <w:color w:val="auto"/>
        </w:rPr>
        <w:t>”). Additional shares beneficially owned include 67,925 shares of Class A common stock held by Integrated Core Strategies, 426,759 shares of Class A common stock and 447,264 shares of Class A common stock issuable upon exercise of the Public Warrants held by ICS Opportunities and 25,025 shares of Class A common stock held by ICS Opportunities II LLC (“</w:t>
      </w:r>
      <w:r>
        <w:rPr>
          <w:rFonts w:ascii="Arial" w:cs="Arial" w:eastAsia="Arial" w:hAnsi="Arial"/>
          <w:sz w:val="17"/>
          <w:szCs w:val="17"/>
          <w:i w:val="1"/>
          <w:iCs w:val="1"/>
          <w:color w:val="auto"/>
        </w:rPr>
        <w:t>ICS Opportunities II</w:t>
      </w:r>
      <w:r>
        <w:rPr>
          <w:rFonts w:ascii="Arial" w:cs="Arial" w:eastAsia="Arial" w:hAnsi="Arial"/>
          <w:sz w:val="17"/>
          <w:szCs w:val="17"/>
          <w:color w:val="auto"/>
        </w:rPr>
        <w:t>”). Millennium International Management LP, a Delaware limited partnership (“</w:t>
      </w:r>
      <w:r>
        <w:rPr>
          <w:rFonts w:ascii="Arial" w:cs="Arial" w:eastAsia="Arial" w:hAnsi="Arial"/>
          <w:sz w:val="17"/>
          <w:szCs w:val="17"/>
          <w:i w:val="1"/>
          <w:iCs w:val="1"/>
          <w:color w:val="auto"/>
        </w:rPr>
        <w:t>Millennium International Management</w:t>
      </w:r>
      <w:r>
        <w:rPr>
          <w:rFonts w:ascii="Arial" w:cs="Arial" w:eastAsia="Arial" w:hAnsi="Arial"/>
          <w:sz w:val="17"/>
          <w:szCs w:val="17"/>
          <w:color w:val="auto"/>
        </w:rPr>
        <w:t>”), is the investment manager to ICS Opportunities and ICS Opportunities II and may be deemed to have shared voting control and investment discretion over securities owned by ICS Opportunities and ICS Opportunities II. Millennium Management LLC, a Delaware limited liability company (“</w:t>
      </w:r>
      <w:r>
        <w:rPr>
          <w:rFonts w:ascii="Arial" w:cs="Arial" w:eastAsia="Arial" w:hAnsi="Arial"/>
          <w:sz w:val="17"/>
          <w:szCs w:val="17"/>
          <w:i w:val="1"/>
          <w:iCs w:val="1"/>
          <w:color w:val="auto"/>
        </w:rPr>
        <w:t>Millennium Management</w:t>
      </w:r>
      <w:r>
        <w:rPr>
          <w:rFonts w:ascii="Arial" w:cs="Arial" w:eastAsia="Arial" w:hAnsi="Arial"/>
          <w:sz w:val="17"/>
          <w:szCs w:val="17"/>
          <w:color w:val="auto"/>
        </w:rPr>
        <w: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w:t>
      </w:r>
      <w:r>
        <w:rPr>
          <w:rFonts w:ascii="Arial" w:cs="Arial" w:eastAsia="Arial" w:hAnsi="Arial"/>
          <w:sz w:val="17"/>
          <w:szCs w:val="17"/>
          <w:i w:val="1"/>
          <w:iCs w:val="1"/>
          <w:color w:val="auto"/>
        </w:rPr>
        <w:t>Millennium Group Management</w:t>
      </w:r>
      <w:r>
        <w:rPr>
          <w:rFonts w:ascii="Arial" w:cs="Arial" w:eastAsia="Arial" w:hAnsi="Arial"/>
          <w:sz w:val="17"/>
          <w:szCs w:val="17"/>
          <w:color w:val="auto"/>
        </w:rPr>
        <w: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68" w:lineRule="auto"/>
        <w:rPr>
          <w:sz w:val="20"/>
          <w:szCs w:val="20"/>
          <w:color w:val="auto"/>
        </w:rPr>
      </w:pPr>
      <w:r>
        <w:rPr>
          <w:rFonts w:ascii="Arial" w:cs="Arial" w:eastAsia="Arial" w:hAnsi="Arial"/>
          <w:sz w:val="17"/>
          <w:szCs w:val="17"/>
          <w:color w:val="auto"/>
        </w:rPr>
        <w:t>Opportunities and ICS Opportunities II. The managing member of Millennium Group Management is a trust of which Israel A. Englander, a United States citizen (“</w:t>
      </w:r>
      <w:r>
        <w:rPr>
          <w:rFonts w:ascii="Arial" w:cs="Arial" w:eastAsia="Arial" w:hAnsi="Arial"/>
          <w:sz w:val="17"/>
          <w:szCs w:val="17"/>
          <w:i w:val="1"/>
          <w:iCs w:val="1"/>
          <w:color w:val="auto"/>
        </w:rPr>
        <w:t>Mr. Englander</w:t>
      </w:r>
      <w:r>
        <w:rPr>
          <w:rFonts w:ascii="Arial" w:cs="Arial" w:eastAsia="Arial" w:hAnsi="Arial"/>
          <w:sz w:val="17"/>
          <w:szCs w:val="17"/>
          <w:color w:val="auto"/>
        </w:rPr>
        <w:t>”), currently serves as the sole voting trustee. Therefore, Mr. Englander may also be deemed to have shared voting control and investment discretion over securities owned by Integrated Core Strategies, ICS Opportunities and ICS Opportunities II. The foregoing should not be construed in and of itself as an admission by Millennium International Management, Millennium Management, Millennium Group Management or</w:t>
      </w:r>
    </w:p>
    <w:p>
      <w:pPr>
        <w:spacing w:after="0" w:line="1" w:lineRule="exact"/>
        <w:rPr>
          <w:sz w:val="20"/>
          <w:szCs w:val="20"/>
          <w:color w:val="auto"/>
        </w:rPr>
      </w:pPr>
    </w:p>
    <w:p>
      <w:pPr>
        <w:ind w:left="1620" w:right="719"/>
        <w:spacing w:after="0" w:line="260" w:lineRule="auto"/>
        <w:rPr>
          <w:sz w:val="20"/>
          <w:szCs w:val="20"/>
          <w:color w:val="auto"/>
        </w:rPr>
      </w:pPr>
      <w:r>
        <w:rPr>
          <w:rFonts w:ascii="Arial" w:cs="Arial" w:eastAsia="Arial" w:hAnsi="Arial"/>
          <w:sz w:val="18"/>
          <w:szCs w:val="18"/>
          <w:color w:val="auto"/>
        </w:rPr>
        <w:t>Mr. Englander as to beneficial ownership of the securities owned by Integrated Core Strategies, ICS Opportunities or ICS Opportunities II, as the case may be.</w:t>
      </w:r>
    </w:p>
    <w:p>
      <w:pPr>
        <w:spacing w:after="0" w:line="37" w:lineRule="exact"/>
        <w:rPr>
          <w:sz w:val="20"/>
          <w:szCs w:val="20"/>
          <w:color w:val="auto"/>
        </w:rPr>
      </w:pPr>
    </w:p>
    <w:p>
      <w:pPr>
        <w:ind w:left="1620" w:right="439" w:hanging="360"/>
        <w:spacing w:after="0" w:line="255"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43" w:lineRule="exact"/>
        <w:rPr>
          <w:rFonts w:ascii="Arial" w:cs="Arial" w:eastAsia="Arial" w:hAnsi="Arial"/>
          <w:sz w:val="18"/>
          <w:szCs w:val="18"/>
          <w:color w:val="auto"/>
        </w:rPr>
      </w:pPr>
    </w:p>
    <w:p>
      <w:pPr>
        <w:ind w:left="1620" w:right="419" w:hanging="360"/>
        <w:spacing w:after="0" w:line="266" w:lineRule="auto"/>
        <w:tabs>
          <w:tab w:leader="none" w:pos="1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544,525 shares of Class A common stock held by MSD Special Investments Fund, L.P., a Delaware limited partnership (“</w:t>
      </w:r>
      <w:r>
        <w:rPr>
          <w:rFonts w:ascii="Arial" w:cs="Arial" w:eastAsia="Arial" w:hAnsi="Arial"/>
          <w:sz w:val="17"/>
          <w:szCs w:val="17"/>
          <w:i w:val="1"/>
          <w:iCs w:val="1"/>
          <w:color w:val="auto"/>
        </w:rPr>
        <w:t>MSDS</w:t>
      </w:r>
      <w:r>
        <w:rPr>
          <w:rFonts w:ascii="Arial" w:cs="Arial" w:eastAsia="Arial" w:hAnsi="Arial"/>
          <w:sz w:val="17"/>
          <w:szCs w:val="17"/>
          <w:color w:val="auto"/>
        </w:rPr>
        <w:t>”), 257,085 shares of Class A common stock held by MSD SIF Holdings, L.P., a Delaware limited partnership (“</w:t>
      </w:r>
      <w:r>
        <w:rPr>
          <w:rFonts w:ascii="Arial" w:cs="Arial" w:eastAsia="Arial" w:hAnsi="Arial"/>
          <w:sz w:val="17"/>
          <w:szCs w:val="17"/>
          <w:i w:val="1"/>
          <w:iCs w:val="1"/>
          <w:color w:val="auto"/>
        </w:rPr>
        <w:t>MSDSIF</w:t>
      </w:r>
      <w:r>
        <w:rPr>
          <w:rFonts w:ascii="Arial" w:cs="Arial" w:eastAsia="Arial" w:hAnsi="Arial"/>
          <w:sz w:val="17"/>
          <w:szCs w:val="17"/>
          <w:color w:val="auto"/>
        </w:rPr>
        <w:t>”), and 198,390 shares of Class A common stock held by MSD Credit Opportunity Master Fund, L.P., a Cayman Islands exempted limited partnership (“</w:t>
      </w:r>
      <w:r>
        <w:rPr>
          <w:rFonts w:ascii="Arial" w:cs="Arial" w:eastAsia="Arial" w:hAnsi="Arial"/>
          <w:sz w:val="17"/>
          <w:szCs w:val="17"/>
          <w:i w:val="1"/>
          <w:iCs w:val="1"/>
          <w:color w:val="auto"/>
        </w:rPr>
        <w:t>MSDC</w:t>
      </w:r>
      <w:r>
        <w:rPr>
          <w:rFonts w:ascii="Arial" w:cs="Arial" w:eastAsia="Arial" w:hAnsi="Arial"/>
          <w:sz w:val="17"/>
          <w:szCs w:val="17"/>
          <w:color w:val="auto"/>
        </w:rPr>
        <w:t>”). MSD Partners, L.P. (“</w:t>
      </w:r>
      <w:r>
        <w:rPr>
          <w:rFonts w:ascii="Arial" w:cs="Arial" w:eastAsia="Arial" w:hAnsi="Arial"/>
          <w:sz w:val="17"/>
          <w:szCs w:val="17"/>
          <w:i w:val="1"/>
          <w:iCs w:val="1"/>
          <w:color w:val="auto"/>
        </w:rPr>
        <w:t>MSD Partners</w:t>
      </w:r>
      <w:r>
        <w:rPr>
          <w:rFonts w:ascii="Arial" w:cs="Arial" w:eastAsia="Arial" w:hAnsi="Arial"/>
          <w:sz w:val="17"/>
          <w:szCs w:val="17"/>
          <w:color w:val="auto"/>
        </w:rPr>
        <w:t>”) is the investment manager of MSDS, MSDSIF, and MSDC and may be deemed to beneficially own securities beneficially owned by each of them. MSD Partners (GP), LLC (“</w:t>
      </w:r>
      <w:r>
        <w:rPr>
          <w:rFonts w:ascii="Arial" w:cs="Arial" w:eastAsia="Arial" w:hAnsi="Arial"/>
          <w:sz w:val="17"/>
          <w:szCs w:val="17"/>
          <w:i w:val="1"/>
          <w:iCs w:val="1"/>
          <w:color w:val="auto"/>
        </w:rPr>
        <w:t>MSD GP</w:t>
      </w:r>
      <w:r>
        <w:rPr>
          <w:rFonts w:ascii="Arial" w:cs="Arial" w:eastAsia="Arial" w:hAnsi="Arial"/>
          <w:sz w:val="17"/>
          <w:szCs w:val="17"/>
          <w:color w:val="auto"/>
        </w:rPr>
        <w:t>”), a Delaware limited liability company, is the general partner of MSD Partners, and may be deemed to beneficially own securities beneficially owned by MSD Partners. Each of John C. Phelan, Marc R. Lisker and Brendan P. Rogers is a manager of and may be deemed to beneficially own securities beneficially owned by MSD GP. The address of the principal business office of the MSD Affiliates is c/o MSD Partners, L.P.,</w:t>
      </w:r>
    </w:p>
    <w:p>
      <w:pPr>
        <w:spacing w:after="0" w:line="7"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645 Fifth Avenue, 21st Floor, New York, NY 10022.</w:t>
      </w:r>
    </w:p>
    <w:p>
      <w:pPr>
        <w:spacing w:after="0" w:line="75" w:lineRule="exact"/>
        <w:rPr>
          <w:rFonts w:ascii="Arial" w:cs="Arial" w:eastAsia="Arial" w:hAnsi="Arial"/>
          <w:sz w:val="17"/>
          <w:szCs w:val="17"/>
          <w:color w:val="auto"/>
        </w:rPr>
      </w:pPr>
    </w:p>
    <w:p>
      <w:pPr>
        <w:ind w:left="1620" w:hanging="360"/>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Surayya Siddiqui is the beneficial owner of Naya Investor Holdings Limited.</w:t>
      </w:r>
    </w:p>
    <w:p>
      <w:pPr>
        <w:spacing w:after="0" w:line="76" w:lineRule="exact"/>
        <w:rPr>
          <w:rFonts w:ascii="Arial" w:cs="Arial" w:eastAsia="Arial" w:hAnsi="Arial"/>
          <w:sz w:val="18"/>
          <w:szCs w:val="18"/>
          <w:color w:val="auto"/>
        </w:rPr>
      </w:pPr>
    </w:p>
    <w:p>
      <w:pPr>
        <w:ind w:left="1620" w:right="439" w:hanging="360"/>
        <w:spacing w:after="0" w:line="266" w:lineRule="auto"/>
        <w:tabs>
          <w:tab w:leader="none" w:pos="1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366,667 shares of Class A common stock held by Neuberger Berman Principal Strategies Master Fund L.P., 500,000 shares of Class A common stock held by MAP 204 Segregated Portfolio, a segregated portfolio of LMA SPC, 1,733,333 shares of Class A common stock held by Neuberger Berman Alternative Funds, Neuberger Berman Long Short Fund, 466,667 shares of Class A common stock held by Neuberger Berman Equity Funds, Neuberger Berman Guardian Fund, 25,000 shares of Class A common stock held by NB All Cap Alpha Master Fund Ltd., 366,667 shares of Class A common stock held by Neuberger Berman Investment Funds Plc, Neuberger Berman US Long Short Equity Fund, 8,333 shares of Class A common stock held by Neuberger Berman Investment Funds Plc, Neuberger Berman U.S. Equity Fund, 2,200,000 shares of Class A common stock held by Kantor Private Opportunities IV LP. Neuberger Berman BD LLC (“</w:t>
      </w:r>
      <w:r>
        <w:rPr>
          <w:rFonts w:ascii="Arial" w:cs="Arial" w:eastAsia="Arial" w:hAnsi="Arial"/>
          <w:sz w:val="17"/>
          <w:szCs w:val="17"/>
          <w:i w:val="1"/>
          <w:iCs w:val="1"/>
          <w:color w:val="auto"/>
        </w:rPr>
        <w:t>NBBD</w:t>
      </w:r>
      <w:r>
        <w:rPr>
          <w:rFonts w:ascii="Arial" w:cs="Arial" w:eastAsia="Arial" w:hAnsi="Arial"/>
          <w:sz w:val="17"/>
          <w:szCs w:val="17"/>
          <w:color w:val="auto"/>
        </w:rPr>
        <w:t>”) is a registered broker-dealer and member FINRA. NBBD is an affiliate of each Selling Securityholder listed above based on being under common control of Neuberger Berman Investment Advisers LLC, the investment adviser to each Selling Securityholder and the direct parent company of NBBD. Additionally, NBBD serves as the distributor and principal underwriter for each of:</w:t>
      </w:r>
    </w:p>
    <w:p>
      <w:pPr>
        <w:spacing w:after="0" w:line="5" w:lineRule="exact"/>
        <w:rPr>
          <w:rFonts w:ascii="Arial" w:cs="Arial" w:eastAsia="Arial" w:hAnsi="Arial"/>
          <w:sz w:val="17"/>
          <w:szCs w:val="17"/>
          <w:color w:val="auto"/>
        </w:rPr>
      </w:pPr>
    </w:p>
    <w:p>
      <w:pPr>
        <w:ind w:left="1620" w:right="459"/>
        <w:spacing w:after="0" w:line="268" w:lineRule="auto"/>
        <w:rPr>
          <w:rFonts w:ascii="Arial" w:cs="Arial" w:eastAsia="Arial" w:hAnsi="Arial"/>
          <w:sz w:val="17"/>
          <w:szCs w:val="17"/>
          <w:color w:val="auto"/>
        </w:rPr>
      </w:pPr>
      <w:r>
        <w:rPr>
          <w:rFonts w:ascii="Arial" w:cs="Arial" w:eastAsia="Arial" w:hAnsi="Arial"/>
          <w:sz w:val="17"/>
          <w:szCs w:val="17"/>
          <w:color w:val="auto"/>
        </w:rPr>
        <w:t>(i) Neuberger Berman Alternative Funds, Neuberger Berman Long Short Fund; and (ii) Neuberger Berman Equity Funds, Neuberger Berman Guardian Fund, as such funds are both mutual funds. Based on information provided by the Selling Securityholders, the Selling Securityholders acquired the shares for investment purposes, and at the time of the acquisition of such shares, the Selling Securityholders did not have any agreements or understandings with any person to distribute such shares. Neuberger Berman Group LLC (“</w:t>
      </w:r>
      <w:r>
        <w:rPr>
          <w:rFonts w:ascii="Arial" w:cs="Arial" w:eastAsia="Arial" w:hAnsi="Arial"/>
          <w:sz w:val="17"/>
          <w:szCs w:val="17"/>
          <w:i w:val="1"/>
          <w:iCs w:val="1"/>
          <w:color w:val="auto"/>
        </w:rPr>
        <w:t>NBG</w:t>
      </w:r>
      <w:r>
        <w:rPr>
          <w:rFonts w:ascii="Arial" w:cs="Arial" w:eastAsia="Arial" w:hAnsi="Arial"/>
          <w:sz w:val="17"/>
          <w:szCs w:val="17"/>
          <w:color w:val="auto"/>
        </w:rPr>
        <w:t>”) and certain of its affiliates, including Neuberger Berman Investment Advisers LLC, as investment adviser of certain Selling Securityholders that are not registered investment companies, have voting power and investment power over the shares. NBG and its affiliates do not, however, have any economic interest in the shares.</w:t>
      </w: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hanging="360"/>
        <w:spacing w:after="0" w:line="257"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are held by NR CM Limited. LH Capital Markets LLC, as its investment adviser, has voting and dispositive power over such shares. Aaron Nieman, as the managing member and chief investment officer of LH Capital Markets, LLC, has sole voting and dispositive power over the shares held and may be deemed to beneficially own such shares. Mr. Nieman disclaims beneficial ownership of the shares, except to the extent of his pecuniary interest therein.</w:t>
      </w:r>
    </w:p>
    <w:p>
      <w:pPr>
        <w:spacing w:after="0" w:line="39" w:lineRule="exact"/>
        <w:rPr>
          <w:rFonts w:ascii="Arial" w:cs="Arial" w:eastAsia="Arial" w:hAnsi="Arial"/>
          <w:sz w:val="18"/>
          <w:szCs w:val="18"/>
          <w:color w:val="auto"/>
        </w:rPr>
      </w:pPr>
    </w:p>
    <w:p>
      <w:pPr>
        <w:ind w:left="1620" w:right="439" w:hanging="360"/>
        <w:spacing w:after="0" w:line="267" w:lineRule="auto"/>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Oaktree Value Equity Holdings, L.P. (“</w:t>
      </w:r>
      <w:r>
        <w:rPr>
          <w:rFonts w:ascii="Arial" w:cs="Arial" w:eastAsia="Arial" w:hAnsi="Arial"/>
          <w:sz w:val="17"/>
          <w:szCs w:val="17"/>
          <w:i w:val="1"/>
          <w:iCs w:val="1"/>
          <w:color w:val="auto"/>
        </w:rPr>
        <w:t>VEF Holdings</w:t>
      </w:r>
      <w:r>
        <w:rPr>
          <w:rFonts w:ascii="Arial" w:cs="Arial" w:eastAsia="Arial" w:hAnsi="Arial"/>
          <w:sz w:val="17"/>
          <w:szCs w:val="17"/>
          <w:color w:val="auto"/>
        </w:rPr>
        <w:t>”) is beneficially owned by Oaktree Value Equity Fund, L.P. (“</w:t>
      </w:r>
      <w:r>
        <w:rPr>
          <w:rFonts w:ascii="Arial" w:cs="Arial" w:eastAsia="Arial" w:hAnsi="Arial"/>
          <w:sz w:val="17"/>
          <w:szCs w:val="17"/>
          <w:i w:val="1"/>
          <w:iCs w:val="1"/>
          <w:color w:val="auto"/>
        </w:rPr>
        <w:t>VEF Fund</w:t>
      </w:r>
      <w:r>
        <w:rPr>
          <w:rFonts w:ascii="Arial" w:cs="Arial" w:eastAsia="Arial" w:hAnsi="Arial"/>
          <w:sz w:val="17"/>
          <w:szCs w:val="17"/>
          <w:color w:val="auto"/>
        </w:rPr>
        <w:t>”). VEF Holdings is controlled by its general partner, Oaktree Value Equity Fund GP, L.P. (“</w:t>
      </w:r>
      <w:r>
        <w:rPr>
          <w:rFonts w:ascii="Arial" w:cs="Arial" w:eastAsia="Arial" w:hAnsi="Arial"/>
          <w:sz w:val="17"/>
          <w:szCs w:val="17"/>
          <w:i w:val="1"/>
          <w:iCs w:val="1"/>
          <w:color w:val="auto"/>
        </w:rPr>
        <w:t>VEF GP</w:t>
      </w:r>
      <w:r>
        <w:rPr>
          <w:rFonts w:ascii="Arial" w:cs="Arial" w:eastAsia="Arial" w:hAnsi="Arial"/>
          <w:sz w:val="17"/>
          <w:szCs w:val="17"/>
          <w:color w:val="auto"/>
        </w:rPr>
        <w:t>”), and VEF GP’s general partner, which is Oaktree Value Equity Fund GP Ltd. (“</w:t>
      </w:r>
      <w:r>
        <w:rPr>
          <w:rFonts w:ascii="Arial" w:cs="Arial" w:eastAsia="Arial" w:hAnsi="Arial"/>
          <w:sz w:val="17"/>
          <w:szCs w:val="17"/>
          <w:i w:val="1"/>
          <w:iCs w:val="1"/>
          <w:color w:val="auto"/>
        </w:rPr>
        <w:t>VEF Ultimate GP</w:t>
      </w:r>
      <w:r>
        <w:rPr>
          <w:rFonts w:ascii="Arial" w:cs="Arial" w:eastAsia="Arial" w:hAnsi="Arial"/>
          <w:sz w:val="17"/>
          <w:szCs w:val="17"/>
          <w:color w:val="auto"/>
        </w:rPr>
        <w:t>”). VEF GP and VEF Ultimate GP are each in turn an affiliate of Oaktree Capital Management, L.P. (“</w:t>
      </w:r>
      <w:r>
        <w:rPr>
          <w:rFonts w:ascii="Arial" w:cs="Arial" w:eastAsia="Arial" w:hAnsi="Arial"/>
          <w:sz w:val="17"/>
          <w:szCs w:val="17"/>
          <w:i w:val="1"/>
          <w:iCs w:val="1"/>
          <w:color w:val="auto"/>
        </w:rPr>
        <w:t>OCM</w:t>
      </w:r>
      <w:r>
        <w:rPr>
          <w:rFonts w:ascii="Arial" w:cs="Arial" w:eastAsia="Arial" w:hAnsi="Arial"/>
          <w:sz w:val="17"/>
          <w:szCs w:val="17"/>
          <w:color w:val="auto"/>
        </w:rPr>
        <w:t>”), which is the investment manager of VEF Fund and is the director of VEF Ultimate GP. As a result, VEF Fund and OCM may be deemed to have beneficial ownership of the shares owned by VEF Holdings. OCM’s asset management business is indirectly controlled by Oaktree Capital Group, LLC (“</w:t>
      </w:r>
      <w:r>
        <w:rPr>
          <w:rFonts w:ascii="Arial" w:cs="Arial" w:eastAsia="Arial" w:hAnsi="Arial"/>
          <w:sz w:val="17"/>
          <w:szCs w:val="17"/>
          <w:i w:val="1"/>
          <w:iCs w:val="1"/>
          <w:color w:val="auto"/>
        </w:rPr>
        <w:t>OCG</w:t>
      </w:r>
      <w:r>
        <w:rPr>
          <w:rFonts w:ascii="Arial" w:cs="Arial" w:eastAsia="Arial" w:hAnsi="Arial"/>
          <w:sz w:val="17"/>
          <w:szCs w:val="17"/>
          <w:color w:val="auto"/>
        </w:rPr>
        <w:t>”) and Atlas OCM Holdings LLC (“</w:t>
      </w:r>
      <w:r>
        <w:rPr>
          <w:rFonts w:ascii="Arial" w:cs="Arial" w:eastAsia="Arial" w:hAnsi="Arial"/>
          <w:sz w:val="17"/>
          <w:szCs w:val="17"/>
          <w:i w:val="1"/>
          <w:iCs w:val="1"/>
          <w:color w:val="auto"/>
        </w:rPr>
        <w:t>Atlas OCM</w:t>
      </w:r>
      <w:r>
        <w:rPr>
          <w:rFonts w:ascii="Arial" w:cs="Arial" w:eastAsia="Arial" w:hAnsi="Arial"/>
          <w:sz w:val="17"/>
          <w:szCs w:val="17"/>
          <w:color w:val="auto"/>
        </w:rPr>
        <w:t>”). As of November 9, 2020, approximately 61.8% of OCM’s business is indirectly owned by Brookfield Asset Management, Inc. (“</w:t>
      </w:r>
      <w:r>
        <w:rPr>
          <w:rFonts w:ascii="Arial" w:cs="Arial" w:eastAsia="Arial" w:hAnsi="Arial"/>
          <w:sz w:val="17"/>
          <w:szCs w:val="17"/>
          <w:i w:val="1"/>
          <w:iCs w:val="1"/>
          <w:color w:val="auto"/>
        </w:rPr>
        <w:t>Brookfield</w:t>
      </w:r>
      <w:r>
        <w:rPr>
          <w:rFonts w:ascii="Arial" w:cs="Arial" w:eastAsia="Arial" w:hAnsi="Arial"/>
          <w:sz w:val="17"/>
          <w:szCs w:val="17"/>
          <w:color w:val="auto"/>
        </w:rPr>
        <w:t>”) and the remaining approximately 38.2% is ultimately owned by current and former OCM executives and employees. Brookfield’s ownership interest in OCM’s business is held through OCG, Atlas OCM and other holding entities. BAM Partners Trust is the sole owner of Class B Limited Voting Shares of Brookfield. The current and former OCM executives and employees hold their interests through a separate entity, Oaktree Capital Group Holdings, L.P. (“</w:t>
      </w:r>
      <w:r>
        <w:rPr>
          <w:rFonts w:ascii="Arial" w:cs="Arial" w:eastAsia="Arial" w:hAnsi="Arial"/>
          <w:sz w:val="17"/>
          <w:szCs w:val="17"/>
          <w:i w:val="1"/>
          <w:iCs w:val="1"/>
          <w:color w:val="auto"/>
        </w:rPr>
        <w:t>OCGH</w:t>
      </w:r>
      <w:r>
        <w:rPr>
          <w:rFonts w:ascii="Arial" w:cs="Arial" w:eastAsia="Arial" w:hAnsi="Arial"/>
          <w:sz w:val="17"/>
          <w:szCs w:val="17"/>
          <w:color w:val="auto"/>
        </w:rPr>
        <w:t xml:space="preserve"> </w:t>
      </w:r>
      <w:r>
        <w:rPr>
          <w:rFonts w:ascii="Arial" w:cs="Arial" w:eastAsia="Arial" w:hAnsi="Arial"/>
          <w:sz w:val="17"/>
          <w:szCs w:val="17"/>
          <w:i w:val="1"/>
          <w:iCs w:val="1"/>
          <w:color w:val="auto"/>
        </w:rPr>
        <w:t>LP</w:t>
      </w:r>
      <w:r>
        <w:rPr>
          <w:rFonts w:ascii="Arial" w:cs="Arial" w:eastAsia="Arial" w:hAnsi="Arial"/>
          <w:sz w:val="17"/>
          <w:szCs w:val="17"/>
          <w:color w:val="auto"/>
        </w:rPr>
        <w:t>”). The board of directors of OCG and of Atlas OCM is currently comprised of: (i) five Oaktree</w:t>
      </w:r>
      <w:r>
        <w:rPr>
          <w:rFonts w:ascii="Arial" w:cs="Arial" w:eastAsia="Arial" w:hAnsi="Arial"/>
          <w:sz w:val="17"/>
          <w:szCs w:val="17"/>
          <w:i w:val="1"/>
          <w:iCs w:val="1"/>
          <w:color w:val="auto"/>
        </w:rPr>
        <w:t xml:space="preserve"> </w:t>
      </w:r>
      <w:r>
        <w:rPr>
          <w:rFonts w:ascii="Arial" w:cs="Arial" w:eastAsia="Arial" w:hAnsi="Arial"/>
          <w:sz w:val="17"/>
          <w:szCs w:val="17"/>
          <w:color w:val="auto"/>
        </w:rPr>
        <w:t>senior executives, Howard S. Marks, Bruce A. Karsh, Jay S. Wintrob, John B. Frank, and Sheldon M. Stone; (ii) three independent directors, Stephen J. Gilbert, D. Richard Masson, and Marna C. Whittington; and (iii) two Brookfield senior executives, Justin B. Beber and J. Bruce Flatt.</w:t>
      </w:r>
    </w:p>
    <w:p>
      <w:pPr>
        <w:spacing w:after="0" w:line="41" w:lineRule="exact"/>
        <w:rPr>
          <w:rFonts w:ascii="Arial" w:cs="Arial" w:eastAsia="Arial" w:hAnsi="Arial"/>
          <w:sz w:val="17"/>
          <w:szCs w:val="17"/>
          <w:color w:val="auto"/>
        </w:rPr>
      </w:pPr>
    </w:p>
    <w:p>
      <w:pPr>
        <w:ind w:left="1620" w:right="459" w:hanging="360"/>
        <w:spacing w:after="0" w:line="254"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offered hereby are held by PEAK6 Capital Management LLC (“</w:t>
      </w:r>
      <w:r>
        <w:rPr>
          <w:rFonts w:ascii="Arial" w:cs="Arial" w:eastAsia="Arial" w:hAnsi="Arial"/>
          <w:sz w:val="18"/>
          <w:szCs w:val="18"/>
          <w:i w:val="1"/>
          <w:iCs w:val="1"/>
          <w:color w:val="auto"/>
        </w:rPr>
        <w:t>PEAK6</w:t>
      </w:r>
      <w:r>
        <w:rPr>
          <w:rFonts w:ascii="Arial" w:cs="Arial" w:eastAsia="Arial" w:hAnsi="Arial"/>
          <w:sz w:val="18"/>
          <w:szCs w:val="18"/>
          <w:color w:val="auto"/>
        </w:rPr>
        <w:t>”) in which Matthew Hulsizer and Jennifer Just are the only beneficial controlling owners and share voting and investment power equally. PEAK6 is a registered-broker dealer. PEAK6 is also affiliated with Apex Clearing Corporation, Electronic Transaction Clearing, Inc. and Hardcastle Trading USA, LLC, which are all broker-dealers. Based on information provided by the Selling Securityholder, the Selling Securityholder acquired the shares for investment purposes, and at the time of the acquisition of the shares, the Selling Securityholder did not have any agreements or understandings with any person to distribute such shares.</w:t>
      </w:r>
    </w:p>
    <w:p>
      <w:pPr>
        <w:spacing w:after="0" w:line="43" w:lineRule="exact"/>
        <w:rPr>
          <w:rFonts w:ascii="Arial" w:cs="Arial" w:eastAsia="Arial" w:hAnsi="Arial"/>
          <w:sz w:val="18"/>
          <w:szCs w:val="18"/>
          <w:color w:val="auto"/>
        </w:rPr>
      </w:pPr>
    </w:p>
    <w:p>
      <w:pPr>
        <w:ind w:left="1620" w:right="439" w:hanging="360"/>
        <w:spacing w:after="0" w:line="270" w:lineRule="auto"/>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333,333 shares of Class A common stock held by PIMCO Red Stick Fund, L.P., 666,667 shares of Class A common stock held by PIMCO Global Credit Opportunity Master Fund LDC, 2,333,333 shares of Class A common stock held by PIMCO Tactical Opportunities Master Fund Ltd. and 666,667 shares of Class A common stock held by OC III LVS V LP. PIMCO Investments LLC is a broker-dealer subsidiary of Pacific Investment Management Company LLC, the Investment Manager of the Selling Securityholders. Based on information provided by the Selling Securityholders, the Selling Securityholders acquired the shares for investment purposes, and at the time of the acquisition of such shares, the Selling Securityholders did not have any agreements or understandings with any person to distribute such shares.</w:t>
      </w:r>
    </w:p>
    <w:p>
      <w:pPr>
        <w:spacing w:after="0" w:line="32" w:lineRule="exact"/>
        <w:rPr>
          <w:rFonts w:ascii="Arial" w:cs="Arial" w:eastAsia="Arial" w:hAnsi="Arial"/>
          <w:sz w:val="17"/>
          <w:szCs w:val="17"/>
          <w:color w:val="auto"/>
        </w:rPr>
      </w:pPr>
    </w:p>
    <w:p>
      <w:pPr>
        <w:ind w:left="1620" w:right="499" w:hanging="360"/>
        <w:spacing w:after="0" w:line="259"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SB Management Limited is the investment manager of SB Northstar LP and as such may be deemed to have voting and investment power of the securities held by SB Northstar LP. SB Management Limited is owned by Softbank Group Corp. The principal business address of SB Northstar LP is 190 Elgin Avenye, George Town, Grand Cayman Ky 1-9008, Cayman Islands.</w:t>
      </w:r>
    </w:p>
    <w:p>
      <w:pPr>
        <w:spacing w:after="0" w:line="38"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Schonfeld Strategic Advisors LLC is a registered investment advisor and has been delegated the legal power to vote and/or direct the disposition of the shares offered hereby on behalf of Schonfeld Strategic 460 Fund LLC as a general partner or investment manager and would be considered the beneficial owner of such shares. The above shall not be deemed to be an admission by the record owner or Schonfeld Strategic 460 Fund LLC that they are themselves beneficial owners of these shares for purposes of Section 13(d) of the Exchange Act or any other purpose. The address of the foregoing entities is 460 Park Ave., Fl. 19, New York, NY 10022.</w:t>
      </w:r>
    </w:p>
    <w:p>
      <w:pPr>
        <w:spacing w:after="0" w:line="59" w:lineRule="exact"/>
        <w:rPr>
          <w:rFonts w:ascii="Arial" w:cs="Arial" w:eastAsia="Arial" w:hAnsi="Arial"/>
          <w:sz w:val="18"/>
          <w:szCs w:val="18"/>
          <w:color w:val="auto"/>
        </w:rPr>
      </w:pPr>
    </w:p>
    <w:p>
      <w:pPr>
        <w:ind w:left="1620" w:right="519" w:hanging="360"/>
        <w:spacing w:after="0" w:line="286" w:lineRule="auto"/>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1,416,667 shares of Class A common stock held by Sculptor Special Funding, LP and 250,000 shares of Class A common stock held by Sculptor Enhanced Master Fund, Ltd. Sculptor Special Funding, LP (“</w:t>
      </w:r>
      <w:r>
        <w:rPr>
          <w:rFonts w:ascii="Arial" w:cs="Arial" w:eastAsia="Arial" w:hAnsi="Arial"/>
          <w:sz w:val="17"/>
          <w:szCs w:val="17"/>
          <w:i w:val="1"/>
          <w:iCs w:val="1"/>
          <w:color w:val="auto"/>
        </w:rPr>
        <w:t>NRMD</w:t>
      </w:r>
      <w:r>
        <w:rPr>
          <w:rFonts w:ascii="Arial" w:cs="Arial" w:eastAsia="Arial" w:hAnsi="Arial"/>
          <w:sz w:val="17"/>
          <w:szCs w:val="17"/>
          <w:color w:val="auto"/>
        </w:rPr>
        <w:t>”), a Cayman Islands exempted</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limited partnership, is the beneficial owner of 1,416,667 shares. NRMD is wholly owned by Sculptor</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Master Fund, Ltd. (“</w:t>
      </w:r>
      <w:r>
        <w:rPr>
          <w:rFonts w:ascii="Arial" w:cs="Arial" w:eastAsia="Arial" w:hAnsi="Arial"/>
          <w:sz w:val="17"/>
          <w:szCs w:val="17"/>
          <w:i w:val="1"/>
          <w:iCs w:val="1"/>
          <w:color w:val="auto"/>
        </w:rPr>
        <w:t>SCMF</w:t>
      </w:r>
      <w:r>
        <w:rPr>
          <w:rFonts w:ascii="Arial" w:cs="Arial" w:eastAsia="Arial" w:hAnsi="Arial"/>
          <w:sz w:val="17"/>
          <w:szCs w:val="17"/>
          <w:color w:val="auto"/>
        </w:rPr>
        <w:t>”), a Cayman Islands exempted limited partnership, and thus SCMF may be</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deemed a beneficial owner of the shares held by NRMD. Sculptor Enhanced Master Fund, Ltd.</w:t>
      </w: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SCEN</w:t>
      </w:r>
      <w:r>
        <w:rPr>
          <w:rFonts w:ascii="Arial" w:cs="Arial" w:eastAsia="Arial" w:hAnsi="Arial"/>
          <w:sz w:val="17"/>
          <w:szCs w:val="17"/>
          <w:color w:val="auto"/>
        </w:rPr>
        <w:t>”), a Cayman Islands company, is the beneficial owner of 250,000 shares. Sculptor Capital LP</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Sculptor</w:t>
      </w:r>
      <w:r>
        <w:rPr>
          <w:rFonts w:ascii="Arial" w:cs="Arial" w:eastAsia="Arial" w:hAnsi="Arial"/>
          <w:sz w:val="17"/>
          <w:szCs w:val="17"/>
          <w:color w:val="auto"/>
        </w:rPr>
        <w:t>”), a Delaware limited partnership, is the investment adviser to NRMD, SCMF and SCEN,</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and thus may be deemed a beneficial owner of the shares in the accounts managed by Sculptor.</w:t>
      </w:r>
    </w:p>
    <w:p>
      <w:pPr>
        <w:ind w:left="1620"/>
        <w:spacing w:after="0"/>
        <w:rPr>
          <w:sz w:val="20"/>
          <w:szCs w:val="20"/>
          <w:color w:val="auto"/>
        </w:rPr>
      </w:pPr>
      <w:r>
        <w:rPr>
          <w:rFonts w:ascii="Arial" w:cs="Arial" w:eastAsia="Arial" w:hAnsi="Arial"/>
          <w:sz w:val="17"/>
          <w:szCs w:val="17"/>
          <w:color w:val="auto"/>
        </w:rPr>
        <w:t>Sculptor Capital Holding Corporation, a Delaware corporation (“</w:t>
      </w:r>
      <w:r>
        <w:rPr>
          <w:rFonts w:ascii="Arial" w:cs="Arial" w:eastAsia="Arial" w:hAnsi="Arial"/>
          <w:sz w:val="17"/>
          <w:szCs w:val="17"/>
          <w:i w:val="1"/>
          <w:iCs w:val="1"/>
          <w:color w:val="auto"/>
        </w:rPr>
        <w:t>SCHC</w:t>
      </w:r>
      <w:r>
        <w:rPr>
          <w:rFonts w:ascii="Arial" w:cs="Arial" w:eastAsia="Arial" w:hAnsi="Arial"/>
          <w:sz w:val="17"/>
          <w:szCs w:val="17"/>
          <w:color w:val="auto"/>
        </w:rPr>
        <w:t>”), serves as the sole general</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partner of Sculptor. As such, SCHC may be deemed to control Sculptor and, therefore, may be deemed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beneficial owner of the shares in the accounts managed by Sculptor. Sculptor Capital Management,</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 (“</w:t>
      </w:r>
      <w:r>
        <w:rPr>
          <w:rFonts w:ascii="Arial" w:cs="Arial" w:eastAsia="Arial" w:hAnsi="Arial"/>
          <w:sz w:val="18"/>
          <w:szCs w:val="18"/>
          <w:i w:val="1"/>
          <w:iCs w:val="1"/>
          <w:color w:val="auto"/>
        </w:rPr>
        <w:t>SCU</w:t>
      </w:r>
      <w:r>
        <w:rPr>
          <w:rFonts w:ascii="Arial" w:cs="Arial" w:eastAsia="Arial" w:hAnsi="Arial"/>
          <w:sz w:val="18"/>
          <w:szCs w:val="18"/>
          <w:color w:val="auto"/>
        </w:rPr>
        <w:t>”), a Delaware corporation, is the sole shareholder of SCHC, and may be deemed a</w:t>
      </w:r>
    </w:p>
    <w:p>
      <w:pPr>
        <w:ind w:left="1620"/>
        <w:spacing w:after="0"/>
        <w:rPr>
          <w:sz w:val="20"/>
          <w:szCs w:val="20"/>
          <w:color w:val="auto"/>
        </w:rPr>
      </w:pPr>
      <w:r>
        <w:rPr>
          <w:rFonts w:ascii="Arial" w:cs="Arial" w:eastAsia="Arial" w:hAnsi="Arial"/>
          <w:sz w:val="17"/>
          <w:szCs w:val="17"/>
          <w:color w:val="auto"/>
        </w:rPr>
        <w:t>beneficial owner of the shares in the accounts managed by Sculptor. The business address of Sculptor,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SCHC and SCU is 9 West 57 Street, 39 Floor, New York, NY 10019. The business address of NRMD,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SCMF, and SCEN is c/o State Street (Cayman) Trust, Limited, 1 Nexus Way — Suite #5203, PO Box</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896, Helicona Courtyard, Camana Bay, Grand Cayman, KY1-1103, Cayman Islands.</w:t>
      </w:r>
    </w:p>
    <w:p>
      <w:pPr>
        <w:spacing w:after="0" w:line="47" w:lineRule="exact"/>
        <w:rPr>
          <w:sz w:val="20"/>
          <w:szCs w:val="20"/>
          <w:color w:val="auto"/>
        </w:rPr>
      </w:pPr>
    </w:p>
    <w:p>
      <w:pPr>
        <w:ind w:left="1620" w:right="459" w:hanging="360"/>
        <w:spacing w:after="0" w:line="253"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shares are held in the account of Soroban Opportunities Master Fund LP. Soroban Capital GP LLC may be deemed to beneficially own the shares by virtue of its role as general partner of Soroban Opportunities Master Fund LP. Soroban Capital Partners LP may be deemed to beneficially own the shares by virtue of its role as investment manager of Soroban Opportunities Master Fund LP. Soroban Capital Partners GP LLC may be deemed to beneficially own the shares by virtue of its role as general partner of Soroban Capital Partners LP. Eric W. Mandelblatt may be deemed to beneficially own the shares by virtue of his role as Managing Partner of Soroban Capital Partners GP LLC. Each of Soroban Capital GP LLC, Soroban Capital Partners LP, Soroban Capital Partners GP LLC and Eric W. Mandelblatt disclaim beneficial ownership of the shares except to the extent of his or its pecuniary interest.</w:t>
      </w:r>
    </w:p>
    <w:p>
      <w:pPr>
        <w:spacing w:after="0" w:line="45" w:lineRule="exact"/>
        <w:rPr>
          <w:rFonts w:ascii="Arial" w:cs="Arial" w:eastAsia="Arial" w:hAnsi="Arial"/>
          <w:sz w:val="18"/>
          <w:szCs w:val="18"/>
          <w:color w:val="auto"/>
        </w:rPr>
      </w:pPr>
    </w:p>
    <w:p>
      <w:pPr>
        <w:ind w:left="1620" w:right="419" w:hanging="360"/>
        <w:spacing w:after="0" w:line="270"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180,827 shares of Class A common stock held for the account of Palindrome Trading LLC, a Delaware limited liability company (“</w:t>
      </w:r>
      <w:r>
        <w:rPr>
          <w:rFonts w:ascii="Arial" w:cs="Arial" w:eastAsia="Arial" w:hAnsi="Arial"/>
          <w:sz w:val="17"/>
          <w:szCs w:val="17"/>
          <w:i w:val="1"/>
          <w:iCs w:val="1"/>
          <w:color w:val="auto"/>
        </w:rPr>
        <w:t>Palindrome</w:t>
      </w:r>
      <w:r>
        <w:rPr>
          <w:rFonts w:ascii="Arial" w:cs="Arial" w:eastAsia="Arial" w:hAnsi="Arial"/>
          <w:sz w:val="17"/>
          <w:szCs w:val="17"/>
          <w:color w:val="auto"/>
        </w:rPr>
        <w:t>”) and 1,485,840 shares of Class A common stock held for the account of Quantum Investments Ltd., a Cayman Islands exempted limited company (</w:t>
      </w:r>
      <w:r>
        <w:rPr>
          <w:rFonts w:ascii="Arial" w:cs="Arial" w:eastAsia="Arial" w:hAnsi="Arial"/>
          <w:sz w:val="17"/>
          <w:szCs w:val="17"/>
          <w:i w:val="1"/>
          <w:iCs w:val="1"/>
          <w:color w:val="auto"/>
        </w:rPr>
        <w:t>“QI</w:t>
      </w:r>
      <w:r>
        <w:rPr>
          <w:rFonts w:ascii="Arial" w:cs="Arial" w:eastAsia="Arial" w:hAnsi="Arial"/>
          <w:sz w:val="17"/>
          <w:szCs w:val="17"/>
          <w:color w:val="auto"/>
        </w:rPr>
        <w:t>”). Soros Fund Management LLC (“</w:t>
      </w:r>
      <w:r>
        <w:rPr>
          <w:rFonts w:ascii="Arial" w:cs="Arial" w:eastAsia="Arial" w:hAnsi="Arial"/>
          <w:sz w:val="17"/>
          <w:szCs w:val="17"/>
          <w:i w:val="1"/>
          <w:iCs w:val="1"/>
          <w:color w:val="auto"/>
        </w:rPr>
        <w:t>SFM LLC</w:t>
      </w:r>
      <w:r>
        <w:rPr>
          <w:rFonts w:ascii="Arial" w:cs="Arial" w:eastAsia="Arial" w:hAnsi="Arial"/>
          <w:sz w:val="17"/>
          <w:szCs w:val="17"/>
          <w:color w:val="auto"/>
        </w:rPr>
        <w:t>”) serves as principal investment manager to QI and Palindrome. As such, SFM LLC has been granted investment discretion over portfolio investments, including the shares, held for the accounts of QI and Palindrome. George Soros serves as Chairman of SFM LLC and has sole discretion to replace FPR Manager LLC, the manager of SFM LLC. The business address for QI and Palindrome is c/o Soros Fund Management LLC, 250 West 55th Street, New York, NY 10019.</w:t>
      </w:r>
    </w:p>
    <w:p>
      <w:pPr>
        <w:spacing w:after="0" w:line="32" w:lineRule="exact"/>
        <w:rPr>
          <w:rFonts w:ascii="Arial" w:cs="Arial" w:eastAsia="Arial" w:hAnsi="Arial"/>
          <w:sz w:val="17"/>
          <w:szCs w:val="17"/>
          <w:color w:val="auto"/>
        </w:rPr>
      </w:pPr>
    </w:p>
    <w:p>
      <w:pPr>
        <w:ind w:left="1620" w:right="419" w:hanging="360"/>
        <w:spacing w:after="0" w:line="257"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1,323,333 Class A common stock held by Suvretta Master Fund, Ltd. and 10,000 Class A common stock held by Suvretta Long Master Fund, Ltd. Aaron Cowen may be deemed a beneficial owner of such shares due to his position as control person of Suvreta Capital Management, LLC, the investment manager of Suvretta Master Fund, Ltd. and Suvretta Long Master Fund, Ltd.</w:t>
      </w:r>
    </w:p>
    <w:p>
      <w:pPr>
        <w:spacing w:after="0" w:line="39" w:lineRule="exact"/>
        <w:rPr>
          <w:rFonts w:ascii="Arial" w:cs="Arial" w:eastAsia="Arial" w:hAnsi="Arial"/>
          <w:sz w:val="18"/>
          <w:szCs w:val="18"/>
          <w:color w:val="auto"/>
        </w:rPr>
      </w:pPr>
    </w:p>
    <w:p>
      <w:pPr>
        <w:ind w:left="1620" w:right="599" w:hanging="360"/>
        <w:spacing w:after="0" w:line="279"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Hudson Bay Capital Management LP, the investment manager of Tech Opportunities LLC, has voting and investment power over these shares. Sander Gerber is the managing member of Hudson Bay Capital GP LLC, which is the general partner of Hudson Bay Capital Management LP. Each of Tech Opportunities LLC and Sander Gerber disclaims beneficial ownership over these shares.</w:t>
      </w:r>
    </w:p>
    <w:p>
      <w:pPr>
        <w:spacing w:after="0" w:line="22" w:lineRule="exact"/>
        <w:rPr>
          <w:rFonts w:ascii="Arial" w:cs="Arial" w:eastAsia="Arial" w:hAnsi="Arial"/>
          <w:sz w:val="17"/>
          <w:szCs w:val="17"/>
          <w:color w:val="auto"/>
        </w:rPr>
      </w:pPr>
    </w:p>
    <w:p>
      <w:pPr>
        <w:ind w:left="1620" w:right="439" w:hanging="360"/>
        <w:spacing w:after="0" w:line="255"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186,428 shares of Class A common stock held by PBCAY One Limited, 401,244 shares of Class A common stock held by TCIM Opportunities I Ltd. and 412,328 shares of Class A common stock held by TOMS Capital Investments LLC. TOMS Capital Investment Management L.P. is the investment manager of the Selling Securityholders. Benjamin Pass is the Chief Investment Officer of TOMS Capital Investment Management L.P. and may be deemed a beneficial owner of the shares.</w:t>
      </w:r>
    </w:p>
    <w:p>
      <w:pPr>
        <w:spacing w:after="0" w:line="57" w:lineRule="exact"/>
        <w:rPr>
          <w:rFonts w:ascii="Arial" w:cs="Arial" w:eastAsia="Arial" w:hAnsi="Arial"/>
          <w:sz w:val="18"/>
          <w:szCs w:val="18"/>
          <w:color w:val="auto"/>
        </w:rPr>
      </w:pPr>
    </w:p>
    <w:p>
      <w:pPr>
        <w:ind w:left="1620" w:right="439" w:hanging="360"/>
        <w:spacing w:after="0" w:line="255"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153,833 shares of Class A common stock held by Nineteen77 Global Multi-Strategy Alpha Master Limited, 153,833 shares of Class A common stock held by Nineteen77 Global Merger Arbitrage Master Limited and 25,667 shares of Class A common stock held by Nineteen77 Global Merger Arbitrage Opportunity Fund. Kevin Russell, Chief Investment Officer, UBS O’Connor, the investment manager of the Selling Securityholders, disclaims beneficial ownership of the shares.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hanging="360"/>
        <w:spacing w:after="0" w:line="259"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Willoughby Capital Holdings, LLC is the sole owner of the general partner of the Selling Securityholder and may share dispositive and voting power over the shares held by the Selling Securityholder. The business address of the Selling Securityholder is c/o Willoughby Capital Holdings, LLC, 10 Bank St., Suite 1120, White Plains, NY 10606.</w:t>
      </w:r>
    </w:p>
    <w:p>
      <w:pPr>
        <w:spacing w:after="0" w:line="38" w:lineRule="exact"/>
        <w:rPr>
          <w:rFonts w:ascii="Arial" w:cs="Arial" w:eastAsia="Arial" w:hAnsi="Arial"/>
          <w:sz w:val="18"/>
          <w:szCs w:val="18"/>
          <w:color w:val="auto"/>
        </w:rPr>
      </w:pPr>
    </w:p>
    <w:p>
      <w:pPr>
        <w:ind w:left="1620" w:right="439" w:hanging="360"/>
        <w:spacing w:after="0" w:line="289" w:lineRule="auto"/>
        <w:tabs>
          <w:tab w:leader="none" w:pos="1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493,333 shares of Class A common stock held by Brookdale Global Opportunity Fund (“</w:t>
      </w:r>
      <w:r>
        <w:rPr>
          <w:rFonts w:ascii="Arial" w:cs="Arial" w:eastAsia="Arial" w:hAnsi="Arial"/>
          <w:sz w:val="16"/>
          <w:szCs w:val="16"/>
          <w:i w:val="1"/>
          <w:iCs w:val="1"/>
          <w:color w:val="auto"/>
        </w:rPr>
        <w:t>BGO</w:t>
      </w:r>
      <w:r>
        <w:rPr>
          <w:rFonts w:ascii="Arial" w:cs="Arial" w:eastAsia="Arial" w:hAnsi="Arial"/>
          <w:sz w:val="16"/>
          <w:szCs w:val="16"/>
          <w:color w:val="auto"/>
        </w:rPr>
        <w:t>”) and 840,000 shares of Class A common stock held by Brookdale International Partners, L.P. (“</w:t>
      </w:r>
      <w:r>
        <w:rPr>
          <w:rFonts w:ascii="Arial" w:cs="Arial" w:eastAsia="Arial" w:hAnsi="Arial"/>
          <w:sz w:val="16"/>
          <w:szCs w:val="16"/>
          <w:i w:val="1"/>
          <w:iCs w:val="1"/>
          <w:color w:val="auto"/>
        </w:rPr>
        <w:t>BIP</w:t>
      </w:r>
      <w:r>
        <w:rPr>
          <w:rFonts w:ascii="Arial" w:cs="Arial" w:eastAsia="Arial" w:hAnsi="Arial"/>
          <w:sz w:val="16"/>
          <w:szCs w:val="16"/>
          <w:color w:val="auto"/>
        </w:rPr>
        <w:t>”). Andrew Weiss is the Manager of WAM GP LLC, which is the general partner of Weiss Asset Management LP, the investment manager of BGO and BIP. WAM GP LLC is also the Manager of BIP GP LLC, the general partner of BIP. Mr. Weiss has voting and dispositive power with respect to the shares held by BGO and BIP. Mr. Weiss, WAM GP LLC, Weiss Asset Management LP and BIP GP LLC each disclaim beneficial ownership of the shares held by BGO and BIP, except to the extent of their respective pecuniary interests therein. The business address of the foregoing entities is c/o Weiss Asset Management, 222 Berkeley Street, 16th Floor, Boston, MA 02116.</w:t>
      </w:r>
    </w:p>
    <w:p>
      <w:pPr>
        <w:spacing w:after="0" w:line="17" w:lineRule="exact"/>
        <w:rPr>
          <w:rFonts w:ascii="Arial" w:cs="Arial" w:eastAsia="Arial" w:hAnsi="Arial"/>
          <w:sz w:val="16"/>
          <w:szCs w:val="16"/>
          <w:color w:val="auto"/>
        </w:rPr>
      </w:pPr>
    </w:p>
    <w:p>
      <w:pPr>
        <w:ind w:left="1620" w:right="439" w:hanging="360"/>
        <w:spacing w:after="0" w:line="266" w:lineRule="auto"/>
        <w:tabs>
          <w:tab w:leader="none" w:pos="1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registered holders of the referenced shares are the following entities affiliated with Wellington Management Company, LLP (“</w:t>
      </w:r>
      <w:r>
        <w:rPr>
          <w:rFonts w:ascii="Arial" w:cs="Arial" w:eastAsia="Arial" w:hAnsi="Arial"/>
          <w:sz w:val="17"/>
          <w:szCs w:val="17"/>
          <w:i w:val="1"/>
          <w:iCs w:val="1"/>
          <w:color w:val="auto"/>
        </w:rPr>
        <w:t>WMC</w:t>
      </w:r>
      <w:r>
        <w:rPr>
          <w:rFonts w:ascii="Arial" w:cs="Arial" w:eastAsia="Arial" w:hAnsi="Arial"/>
          <w:sz w:val="17"/>
          <w:szCs w:val="17"/>
          <w:color w:val="auto"/>
        </w:rPr>
        <w:t>”): 101,216 shares of Class A common stock held by High Haith Investors (Cayman) II, Ltd., 92,588 shares of Class A common stock held by High Haith Master Investors (Cayman) L.P., 336,752 shares of Class A common stock held by Next Generation Vehicles Master Fund (Cayman) L.P., 120,916 shares of Class A common stock held by Quissett Investors (Bermuda) L.P., 103,130 shares of Class A common stock held by Quissett Partners, L.P., 45,169 shares of Class A common stock held by SA Multi-Managed Mid Cap Growth Portfolio, 898,723 shares of Class A common stock held by SA Wellington Capital Appreciation Portfolio, 26,764 shares of Class A common stock held by Schroder Investment Management (Luxembourg) S.A., 19,699 shares of Class A common stock held by Schroder Investment Management (Luxembourg) S.A., 27,094 shares of Class A common stock held by Schroder Investment Management (Luxembourg) S.A., 136,973 shares of Class A common stock held by Spindrift Investors (Bermuda) L.P., 201,712 shares of Class A common stock held by Spindrift Partners, L.P. and 3,555,931 shares of Class A common stock held by The Hartford Growth Opportunities Fund. WMC has the power to vote and dispose the shares held by the entities named herein pursuant to WMC’s investment management relationship with each of such entities. WMC is a subsidiary of Wellington Management Group LLP (“</w:t>
      </w:r>
      <w:r>
        <w:rPr>
          <w:rFonts w:ascii="Arial" w:cs="Arial" w:eastAsia="Arial" w:hAnsi="Arial"/>
          <w:sz w:val="17"/>
          <w:szCs w:val="17"/>
          <w:i w:val="1"/>
          <w:iCs w:val="1"/>
          <w:color w:val="auto"/>
        </w:rPr>
        <w:t>WMG</w:t>
      </w:r>
      <w:r>
        <w:rPr>
          <w:rFonts w:ascii="Arial" w:cs="Arial" w:eastAsia="Arial" w:hAnsi="Arial"/>
          <w:sz w:val="17"/>
          <w:szCs w:val="17"/>
          <w:color w:val="auto"/>
        </w:rPr>
        <w:t>”). WMG is a Massachusetts limited liability partnership, privately held by 182 partners (as of March 31, 2021). There are no external entities with any ownership interest in the firm. Individual percentages of ownership are confidential. However, no single partner owns or has the right to vote more than 5% of the Partnership’s capital. Additional information about WMC is available in Form ADV filed with the SEC. Additionally, WMC is under common control with Wellington Funds Distributors Inc. (“</w:t>
      </w:r>
      <w:r>
        <w:rPr>
          <w:rFonts w:ascii="Arial" w:cs="Arial" w:eastAsia="Arial" w:hAnsi="Arial"/>
          <w:sz w:val="17"/>
          <w:szCs w:val="17"/>
          <w:i w:val="1"/>
          <w:iCs w:val="1"/>
          <w:color w:val="auto"/>
        </w:rPr>
        <w:t>WFD</w:t>
      </w:r>
      <w:r>
        <w:rPr>
          <w:rFonts w:ascii="Arial" w:cs="Arial" w:eastAsia="Arial" w:hAnsi="Arial"/>
          <w:sz w:val="17"/>
          <w:szCs w:val="17"/>
          <w:color w:val="auto"/>
        </w:rPr>
        <w:t>”), a limited-scope broker-dealer registered with FINRA and organized under the laws of Delaware. WFD does not engage in retail brokerage, lending or securities underwriting. Certain funds listed above are advised by WMC and WMC has the power to vote and dispose the shares pursuant to WMC’s agreement with the fund. None of these funds are affiliated with a broker-dealer participating in retail brokerage, lending, or securities underwriting. SA Multi-Managed Mid Cap Growth Portfolio and SA Wellington Capital Appreciation Portfolio are affiliated with broker-dealers registered under Section 15 of the Exchange Act. The Hartford Growth Opportunities Fund (“</w:t>
      </w:r>
      <w:r>
        <w:rPr>
          <w:rFonts w:ascii="Arial" w:cs="Arial" w:eastAsia="Arial" w:hAnsi="Arial"/>
          <w:sz w:val="17"/>
          <w:szCs w:val="17"/>
          <w:i w:val="1"/>
          <w:iCs w:val="1"/>
          <w:color w:val="auto"/>
        </w:rPr>
        <w:t>HGOF</w:t>
      </w:r>
      <w:r>
        <w:rPr>
          <w:rFonts w:ascii="Arial" w:cs="Arial" w:eastAsia="Arial" w:hAnsi="Arial"/>
          <w:sz w:val="17"/>
          <w:szCs w:val="17"/>
          <w:color w:val="auto"/>
        </w:rPr>
        <w:t>”) are affiliated with Hartford Funds Distributor, LLC (“</w:t>
      </w:r>
      <w:r>
        <w:rPr>
          <w:rFonts w:ascii="Arial" w:cs="Arial" w:eastAsia="Arial" w:hAnsi="Arial"/>
          <w:sz w:val="17"/>
          <w:szCs w:val="17"/>
          <w:i w:val="1"/>
          <w:iCs w:val="1"/>
          <w:color w:val="auto"/>
        </w:rPr>
        <w:t>HFD</w:t>
      </w:r>
      <w:r>
        <w:rPr>
          <w:rFonts w:ascii="Arial" w:cs="Arial" w:eastAsia="Arial" w:hAnsi="Arial"/>
          <w:sz w:val="17"/>
          <w:szCs w:val="17"/>
          <w:color w:val="auto"/>
        </w:rPr>
        <w:t>”), a wholly owned subsidiary of Hartford Funds Management Group, Inc., the parent company of HGOF’s investment adviser, Hartford Funds Management Company, LLC. HFD is a limited-purpose broker-dealer that primarily serves as the principal underwriter and distributor of shares offered by registered open-end management investment companies (mutual funds) and qualified tuition (529) plans. HFD does not hold or maintain funds or securities or provide clearing services for other broker-dealers(s) and does not refer or introduce customers to other brokers-dealers. Based on information provided by the Selling Securityholder, the Selling Securityholder acquired the shares for investment purposes, and at the time of the acquisition of the shares, the Selling Securityholder did not have any agreements or understandings with any person to distribute such shares. The address of each of the entities named herein is c/o Wellington Management Company LLP, 280 Congress Street, Boston, MA 02210 ATTN: Private Investment Services.</w:t>
      </w:r>
    </w:p>
    <w:p>
      <w:pPr>
        <w:spacing w:after="0" w:line="42" w:lineRule="exact"/>
        <w:rPr>
          <w:rFonts w:ascii="Arial" w:cs="Arial" w:eastAsia="Arial" w:hAnsi="Arial"/>
          <w:sz w:val="17"/>
          <w:szCs w:val="17"/>
          <w:color w:val="auto"/>
        </w:rPr>
      </w:pPr>
    </w:p>
    <w:p>
      <w:pPr>
        <w:jc w:val="both"/>
        <w:ind w:left="1620" w:right="719" w:hanging="360"/>
        <w:spacing w:after="0" w:line="308" w:lineRule="auto"/>
        <w:tabs>
          <w:tab w:leader="none" w:pos="1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Includes 11,489,400 shares of Class A common stock held by Mainstay Winslow Large Cap Growth Fund, 1,257,234 shares of Class A common stock held by Mainstay VP Winslow Large Cap Growth</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79" w:lineRule="auto"/>
        <w:rPr>
          <w:sz w:val="20"/>
          <w:szCs w:val="20"/>
          <w:color w:val="auto"/>
        </w:rPr>
      </w:pPr>
      <w:r>
        <w:rPr>
          <w:rFonts w:ascii="Arial" w:cs="Arial" w:eastAsia="Arial" w:hAnsi="Arial"/>
          <w:sz w:val="17"/>
          <w:szCs w:val="17"/>
          <w:color w:val="auto"/>
        </w:rPr>
        <w:t>Portfolio and 586,700 shares of Class A common stock held by Nuveen Winslow Large Cap Growth ESG Fund. Winslow Capital Management LLC is the investment subadvisor with the power to vote and dispose of the shares held by MainStay Winslow Large Cap Growth Fund, MainStay VP Winslow Large Cap Growth Portfolio and the Nuveen Winslow Large-Cap Growth ESG Fund.</w:t>
      </w:r>
    </w:p>
    <w:p>
      <w:pPr>
        <w:spacing w:after="0" w:line="23" w:lineRule="exact"/>
        <w:rPr>
          <w:sz w:val="20"/>
          <w:szCs w:val="20"/>
          <w:color w:val="auto"/>
        </w:rPr>
      </w:pPr>
    </w:p>
    <w:p>
      <w:pPr>
        <w:ind w:left="1620" w:right="559" w:hanging="360"/>
        <w:spacing w:after="0" w:line="268" w:lineRule="auto"/>
        <w:tabs>
          <w:tab w:leader="none" w:pos="16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9,083 shares of Class A common stock held by Whale Rock Flagship (AI) Fund LP, 311,658 shares of Class A common stock held by Whale Rock Long Opportunities Master Fund, LP, 969,243 shares of Class A common stock held by Whale Rock Flagship Master Fund, LP and 43,349 shares of Class A common stock held by Whale Rock Long Opportunities Fund II LP. Whale Rock Capital Management LLC (“</w:t>
      </w:r>
      <w:r>
        <w:rPr>
          <w:rFonts w:ascii="Arial" w:cs="Arial" w:eastAsia="Arial" w:hAnsi="Arial"/>
          <w:sz w:val="17"/>
          <w:szCs w:val="17"/>
          <w:i w:val="1"/>
          <w:iCs w:val="1"/>
          <w:color w:val="auto"/>
        </w:rPr>
        <w:t>Whale Rock Capital</w:t>
      </w:r>
      <w:r>
        <w:rPr>
          <w:rFonts w:ascii="Arial" w:cs="Arial" w:eastAsia="Arial" w:hAnsi="Arial"/>
          <w:sz w:val="17"/>
          <w:szCs w:val="17"/>
          <w:color w:val="auto"/>
        </w:rPr>
        <w:t>”) is the investment manager of each of Whale Rock Flagship Master Fund, LP; Whale Rock Flagship (AI) Fund LP; Whale Rock Long Opportunities Master Fund, LP and Whale Rock Long Opportunities Fund II LP (collectively, the “</w:t>
      </w:r>
      <w:r>
        <w:rPr>
          <w:rFonts w:ascii="Arial" w:cs="Arial" w:eastAsia="Arial" w:hAnsi="Arial"/>
          <w:sz w:val="17"/>
          <w:szCs w:val="17"/>
          <w:i w:val="1"/>
          <w:iCs w:val="1"/>
          <w:color w:val="auto"/>
        </w:rPr>
        <w:t>Whale Rock Funds</w:t>
      </w:r>
      <w:r>
        <w:rPr>
          <w:rFonts w:ascii="Arial" w:cs="Arial" w:eastAsia="Arial" w:hAnsi="Arial"/>
          <w:sz w:val="17"/>
          <w:szCs w:val="17"/>
          <w:color w:val="auto"/>
        </w:rPr>
        <w:t>”). Alexander Sacerdote is the managing member of Whale Rock Capital. Accordingly, each of Whale Rock Capital and Mr. Sacerdote may be deemed to have beneficial ownership of the shares held by the Whale Rock Funds insofar as they have the power to direct the voting or the disposition of such shares. Each of Whale Rock Capital and Mr. Sacerdote disclaims beneficial interest of the shares held by the Whale Rock Funds except to the extent of their respective pecuniary interest therein.</w:t>
      </w:r>
    </w:p>
    <w:p>
      <w:pPr>
        <w:spacing w:after="0" w:line="37" w:lineRule="exact"/>
        <w:rPr>
          <w:rFonts w:ascii="Arial" w:cs="Arial" w:eastAsia="Arial" w:hAnsi="Arial"/>
          <w:sz w:val="17"/>
          <w:szCs w:val="17"/>
          <w:color w:val="auto"/>
        </w:rPr>
      </w:pPr>
    </w:p>
    <w:p>
      <w:pPr>
        <w:ind w:left="1620" w:right="499" w:hanging="360"/>
        <w:spacing w:after="0" w:line="291" w:lineRule="auto"/>
        <w:tabs>
          <w:tab w:leader="none" w:pos="16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ZP Master Utility Fund, Ltd. (the “</w:t>
      </w:r>
      <w:r>
        <w:rPr>
          <w:rFonts w:ascii="Arial" w:cs="Arial" w:eastAsia="Arial" w:hAnsi="Arial"/>
          <w:sz w:val="16"/>
          <w:szCs w:val="16"/>
          <w:i w:val="1"/>
          <w:iCs w:val="1"/>
          <w:color w:val="auto"/>
        </w:rPr>
        <w:t>Fund</w:t>
      </w:r>
      <w:r>
        <w:rPr>
          <w:rFonts w:ascii="Arial" w:cs="Arial" w:eastAsia="Arial" w:hAnsi="Arial"/>
          <w:sz w:val="16"/>
          <w:szCs w:val="16"/>
          <w:color w:val="auto"/>
        </w:rPr>
        <w:t>”) has delegated to Zimmer Partners, LP, as investment manager (the “</w:t>
      </w:r>
      <w:r>
        <w:rPr>
          <w:rFonts w:ascii="Arial" w:cs="Arial" w:eastAsia="Arial" w:hAnsi="Arial"/>
          <w:sz w:val="16"/>
          <w:szCs w:val="16"/>
          <w:i w:val="1"/>
          <w:iCs w:val="1"/>
          <w:color w:val="auto"/>
        </w:rPr>
        <w:t>Investment Manager</w:t>
      </w:r>
      <w:r>
        <w:rPr>
          <w:rFonts w:ascii="Arial" w:cs="Arial" w:eastAsia="Arial" w:hAnsi="Arial"/>
          <w:sz w:val="16"/>
          <w:szCs w:val="16"/>
          <w:color w:val="auto"/>
        </w:rPr>
        <w:t>”), sole voting and investment power over the shares held by the Fund pursuant to its investment management agreement with Zimmer Partners, LP. As a result, each of the Investment Manager, Zimmer Partners GP, LLC, as the general partner of the Investment Manager, Sequentis Financial LLC, as the sole member of Zimmer Partners GP, LLC, and Stuart J. Zimmer, as the managing member of Sequentis Financial LLC, may be deemed to exercise voting and investment power over the shares held by the Fund and thus may be deemed to beneficially own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i w:val="1"/>
          <w:iCs w:val="1"/>
          <w:color w:val="auto"/>
        </w:rPr>
        <w:t>The following summary of the material terms of our securities is not intended to be a complete summary of the rights and preferences of such securities and is qualified in its entirety by our current certificate of incorporation and our current bylaws. The full texts of our current certificate of incorporation and our current bylaws are filed as exhibits to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and Outstanding Stock</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current certificate of incorporation authorizes the issuance of shares of our capital stock, each with a par value of $0.0001, consisting of (a) 15,000,000,000 shares of common stock and (b) 10,000,000 shares of preferred stock. The outstanding shares of Class A common stock are duly authorized, validly issued, fully paid and non-assessable.</w:t>
      </w:r>
    </w:p>
    <w:p>
      <w:pPr>
        <w:spacing w:after="0" w:line="120" w:lineRule="exact"/>
        <w:rPr>
          <w:sz w:val="20"/>
          <w:szCs w:val="20"/>
          <w:color w:val="auto"/>
        </w:rPr>
      </w:pPr>
    </w:p>
    <w:p>
      <w:pPr>
        <w:ind w:left="1260" w:right="919" w:firstLine="360"/>
        <w:spacing w:after="0" w:line="258" w:lineRule="auto"/>
        <w:rPr>
          <w:sz w:val="20"/>
          <w:szCs w:val="20"/>
          <w:color w:val="auto"/>
        </w:rPr>
      </w:pPr>
      <w:r>
        <w:rPr>
          <w:rFonts w:ascii="Arial" w:cs="Arial" w:eastAsia="Arial" w:hAnsi="Arial"/>
          <w:sz w:val="17"/>
          <w:szCs w:val="17"/>
          <w:color w:val="auto"/>
        </w:rPr>
        <w:t>As of immediately following the consummation of the Transactions, there were (i) 1,618,621,534 shares of our Class A common stock outstanding, (ii) no shares of preferred stock outstanding,</w:t>
      </w:r>
    </w:p>
    <w:p>
      <w:pPr>
        <w:spacing w:after="0" w:line="1" w:lineRule="exact"/>
        <w:rPr>
          <w:sz w:val="20"/>
          <w:szCs w:val="20"/>
          <w:color w:val="auto"/>
        </w:rPr>
      </w:pPr>
    </w:p>
    <w:p>
      <w:pPr>
        <w:ind w:left="1260" w:right="579"/>
        <w:spacing w:after="0" w:line="239" w:lineRule="auto"/>
        <w:tabs>
          <w:tab w:leader="none" w:pos="15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44,350,000 shares of Class A common stock issuable upon the exercise of Private Placement Warrants (including the Working Capital Warrants) and (iv) 41,400,000 shares of Class A common stock issuable upon the exercise of Public Warrants.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Power</w:t>
      </w:r>
    </w:p>
    <w:p>
      <w:pPr>
        <w:spacing w:after="0" w:line="148"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Class A common stock will at all times vote together as one class on all matters submitted to a vote of the common stock under our current certificate of incorporation.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Subject to limitations contained in the DGCL and our current certificate of incorporation, under our current bylaws, the Board may declare and pay dividends upon the shares of our Class A common stock, which dividends may be paid either in cash, in property or in shares of our Class A common stock.</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our Class A common stock will be entitled to receive all the remaining assets of the Company available for distribution to stockholders, ratably in proportion to the number of shares of Class A common stock held by them, after the rights of creditors of the Company and the holders of any outstanding shares of preferred stock have been satisfied.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Preemptive or Other Rights</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The holders of our Class A common stock do not have preemptive or other subscription rights and there is no sinking fund or redemption provisions applicable to our Class A common stock.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Our current certificate of incorporation authorizes 10,000,000 shares of preferred stock and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approval could have the effect of delaying, deferring or preventing a change of control of us or the removal of existing management. Although we do not currently intend to issue any shares of preferred stock, we cannot assure you that we will not do so in the future.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44"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Each whole Public Warrant entitles the registered holder to purchase one share of our Class A common stock at a price of $11.50 per share, subject to adjustment as discussed below, at any time commencing on August 22, 2021. Pursuant to the Warrant Agreement, a warrant holder may exercise its warrants only for a whole number of shares of Class A common stock. This means only a whole Public Warrant may be exercised at a given time. The Public Warrants will expire July 23, 2026, at 5:00 p.m., New York City time, or earlier upon redemption or liquidation.</w:t>
      </w:r>
    </w:p>
    <w:p>
      <w:pPr>
        <w:spacing w:after="0" w:line="12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We are not obligated to deliver any shares of Class A common stock pursuant to the exercise of a Public Warrant and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Public Warrant will be exercisable for cash or on a cashless basis, and we are not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warrant will not be entitled to exercise such warrant and such warrant may have no value and expire worthless.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have agreed that as soon as practicable, but in no event later than fifteen (15) business days after July 23, 2021, we will use our reasonable best efforts to file with the SEC, and within sixty (60) business days following July 23, 2021 to have declared effective, a registration statement covering the issuance of the shares of our Class A common stock issuable upon exercise of the Public Warrants and to maintain a current prospectus relating to those shares of Class A common stock until the Public Warrants expire or are redeemed. Notwithstanding the above, if our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112" w:lineRule="exact"/>
        <w:rPr>
          <w:sz w:val="20"/>
          <w:szCs w:val="20"/>
          <w:color w:val="auto"/>
        </w:rPr>
      </w:pPr>
    </w:p>
    <w:p>
      <w:pPr>
        <w:ind w:left="1620"/>
        <w:spacing w:after="0"/>
        <w:tabs>
          <w:tab w:leader="none" w:pos="4180" w:val="left"/>
        </w:tabs>
        <w:rPr>
          <w:sz w:val="20"/>
          <w:szCs w:val="20"/>
          <w:color w:val="auto"/>
        </w:rPr>
      </w:pPr>
      <w:r>
        <w:rPr>
          <w:rFonts w:ascii="Arial" w:cs="Arial" w:eastAsia="Arial" w:hAnsi="Arial"/>
          <w:sz w:val="18"/>
          <w:szCs w:val="18"/>
          <w:b w:val="1"/>
          <w:bCs w:val="1"/>
          <w:i w:val="1"/>
          <w:iCs w:val="1"/>
          <w:color w:val="auto"/>
        </w:rPr>
        <w:t>Redemption of Warrants for Cash.</w:t>
      </w:r>
      <w:r>
        <w:rPr>
          <w:sz w:val="20"/>
          <w:szCs w:val="20"/>
          <w:color w:val="auto"/>
        </w:rPr>
        <w:tab/>
      </w:r>
      <w:r>
        <w:rPr>
          <w:rFonts w:ascii="Arial" w:cs="Arial" w:eastAsia="Arial" w:hAnsi="Arial"/>
          <w:sz w:val="16"/>
          <w:szCs w:val="16"/>
          <w:color w:val="auto"/>
        </w:rPr>
        <w:t>Once the Public Warrants become exercisable, we may call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Warrants for redemption:</w:t>
      </w:r>
    </w:p>
    <w:p>
      <w:pPr>
        <w:spacing w:after="0" w:line="88" w:lineRule="exact"/>
        <w:rPr>
          <w:sz w:val="20"/>
          <w:szCs w:val="20"/>
          <w:color w:val="auto"/>
        </w:rPr>
      </w:pPr>
    </w:p>
    <w:p>
      <w:pPr>
        <w:ind w:left="1800" w:hanging="180"/>
        <w:spacing w:after="0"/>
        <w:tabs>
          <w:tab w:leader="none" w:pos="1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03"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a minimum of thirty (30) days’ prior written notice of redemption, or the thirty (30)-day redemption period, to each warrant holder; and</w:t>
      </w:r>
    </w:p>
    <w:p>
      <w:pPr>
        <w:spacing w:after="0" w:line="62"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stock splits, stock dividends, reorganizations, recapitalizations and the like) for any twenty (20) trading days within a thirty (30)-trading day period ending on the third trading day prior to the date on which we send the notice of redemption to the warrant holders.</w:t>
      </w:r>
    </w:p>
    <w:p>
      <w:pPr>
        <w:spacing w:after="0" w:line="119"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9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b w:val="1"/>
          <w:bCs w:val="1"/>
          <w:i w:val="1"/>
          <w:iCs w:val="1"/>
          <w:color w:val="auto"/>
        </w:rPr>
        <w:t xml:space="preserve">Redemption Procedures and Cashless Exercise. </w:t>
      </w:r>
      <w:r>
        <w:rPr>
          <w:rFonts w:ascii="Arial" w:cs="Arial" w:eastAsia="Arial" w:hAnsi="Arial"/>
          <w:sz w:val="17"/>
          <w:szCs w:val="17"/>
          <w:color w:val="auto"/>
        </w:rPr>
        <w:t>If we call the Public Warrants for redemption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above, our management will have the option to require all holders that wish to exercise warrants to do so on a “cashless basis.” In determining whether to require all holders to exercise their Public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Public Warrants. In such event, each holder would pay the exercise price by surrendering the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per share of the warrants by (y) the fair market value. The “fair market value” shall mean the average closing price per share of our Class A common stock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our Class A common stock to be received upon exercise of the warrants, including the “fair market value” in such case. Requiring a cashless exercise in this manner will reduce the number of shares to be issued and thereby lessen the dilutive effect of a Public Warrant redemption. If we call our Public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2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our Class A common stock outstanding immediately after giving effect to such exercise.</w:t>
      </w:r>
    </w:p>
    <w:p>
      <w:pPr>
        <w:spacing w:after="0" w:line="106"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b w:val="1"/>
          <w:bCs w:val="1"/>
          <w:i w:val="1"/>
          <w:iCs w:val="1"/>
          <w:color w:val="auto"/>
        </w:rPr>
        <w:t xml:space="preserve">Anti-Dilution Adjustments. </w:t>
      </w:r>
      <w:r>
        <w:rPr>
          <w:rFonts w:ascii="Arial" w:cs="Arial" w:eastAsia="Arial" w:hAnsi="Arial"/>
          <w:sz w:val="17"/>
          <w:szCs w:val="17"/>
          <w:color w:val="auto"/>
        </w:rPr>
        <w:t>If the number of outstanding shares of our Class A common stock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a stock dividend payable in shares of our Class A common stock, or by a split-up of shares of our Class A common stock or other similar event, then, on the effective date of such stock dividend, split-up or similar event, the number of shares of our Class A common stock issuable on exercise of each warrant will be increased in proportion to such increase in the outstanding shares of our Class A common stock. A rights offering to holders of our Class A common stock entitling holders to purchase shares of our Class A common stock at a price less than the fair market value will be deemed a stock dividend of a number of shares of our Class A common stock equal to the product of (1) the number of shares of our Class A common stock actually sold in such rights offering (or issuable under any other equity securities sold in such rights offering that are convertible into or exercisable for our Class A common stock) multiplied by</w:t>
      </w:r>
    </w:p>
    <w:p>
      <w:pPr>
        <w:spacing w:after="0" w:line="8" w:lineRule="exact"/>
        <w:rPr>
          <w:sz w:val="20"/>
          <w:szCs w:val="20"/>
          <w:color w:val="auto"/>
        </w:rPr>
      </w:pPr>
    </w:p>
    <w:p>
      <w:pPr>
        <w:ind w:left="1520" w:hanging="260"/>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one minus the quotient of (x) the price per share of our Class A common stock paid in such rights</w:t>
      </w:r>
    </w:p>
    <w:p>
      <w:pPr>
        <w:spacing w:after="0" w:line="9" w:lineRule="exact"/>
        <w:rPr>
          <w:rFonts w:ascii="Arial" w:cs="Arial" w:eastAsia="Arial" w:hAnsi="Arial"/>
          <w:sz w:val="18"/>
          <w:szCs w:val="18"/>
          <w:color w:val="auto"/>
        </w:rPr>
      </w:pPr>
    </w:p>
    <w:p>
      <w:pPr>
        <w:ind w:left="1260" w:right="439"/>
        <w:spacing w:after="0" w:line="288" w:lineRule="auto"/>
        <w:rPr>
          <w:rFonts w:ascii="Arial" w:cs="Arial" w:eastAsia="Arial" w:hAnsi="Arial"/>
          <w:sz w:val="18"/>
          <w:szCs w:val="18"/>
          <w:color w:val="auto"/>
        </w:rPr>
      </w:pPr>
      <w:r>
        <w:rPr>
          <w:rFonts w:ascii="Arial" w:cs="Arial" w:eastAsia="Arial" w:hAnsi="Arial"/>
          <w:sz w:val="16"/>
          <w:szCs w:val="16"/>
          <w:color w:val="auto"/>
        </w:rPr>
        <w:t>offering divided by (y) the fair market value. For these purposes (1) if the rights offering is for securities convertible into or exercisable for our Class A common stock, in determining the price payable for our Class A common stock, there will be taken into account any consideration received for such rights, as well as any additional amount payable upon exercise or conversion and (2) fair market value means the volume weighted average price per share of our Class A common stock as reported during the ten trading day period ending on the trading day prior to the first date on which the shares of our Class A common stock trade on the applicable exchange or in the applicable market, regular way, without the right to receive such rights.</w:t>
      </w:r>
    </w:p>
    <w:p>
      <w:pPr>
        <w:spacing w:after="0" w:line="87"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In addition, if we, at any time while the Public Warrants are outstanding and unexpired, pay a dividend or make a distribution in cash, securities or other assets to the holders of our Class A common stock on account of such shares of Class A common stock (or other shares of our capital stock into which</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the warrants are convertible), other than (a) as described above and (b) certain ordinary cash dividends, then the Public Warrant exercise price will be decreased, effective immediately after the effective date of such event, by the amount of cash and/or the fair market value of any securities or other assets paid on each share of our Class A common stock in respect of such event.</w:t>
      </w:r>
    </w:p>
    <w:p>
      <w:pPr>
        <w:spacing w:after="0" w:line="107"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If the number of outstanding shares of our Class A common stock is decreased by a consolidation, combination, reverse stock split or reclassification of shares of our Class A common stock or other similar event, then, on the effective date of such consolidation, combination, reverse stock split, reclassification or similar event, the number of shares of our Class A common stock issuable on exercise of each Public Warrant will be decreased in proportion to such decrease in outstanding shares of our Class A common stock.</w:t>
      </w:r>
    </w:p>
    <w:p>
      <w:pPr>
        <w:spacing w:after="0" w:line="12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Whenever the number of shares of our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our Class A common stock purchasable upon the exercise of the warrants immediately prior to such adjustment, and (y) the denominator of which will be the number of shares of our Class A common stock so purchasable immediately thereafter.</w:t>
      </w:r>
    </w:p>
    <w:p>
      <w:pPr>
        <w:spacing w:after="0" w:line="122"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13d- 5(b)(1) under the Exchange Act) of which such maker is a part, and together with any affiliate or associate of such maker (within the meaning of Rule 12b -2 under the Exchange Act) and any members of any such group of which any such affiliate or associate is a part, own beneficially (within the meaning of Rule 13d-3 under the Exchange Act) more than 50% of the outstanding shares of our Class A common stock, the holder of a Public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Public Warrant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Public Warrants when an extraordinary transaction</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occurs during the exercise period of the warrants pursuant to which the holders of the warrants otherwise do not receive the full potential value of the warrants in order to determine and realize the option value component of the Public Warrant. This formula is to compensate the warrant holder for the loss of the option value portion of the Public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97"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Public Warrants were issued in registered form under the Warrant Agreement. If you hold warrants, you should review a copy of the Warrant Agreement, which is filed as an exhibit to the registration statement of which this prospectus is a part, for a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1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our Class A common stock. After the issuance of shares of our Class A common stock upon exercise of the Public Warrants, each holder will be entitled to one vote for each share held of record on all matters to be voted on by stockholders.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Placement Warrants and Working Capital Warrants</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are not transferable, assignable or salable until (i) with respect to 14,283,333 Private Placement Warrants and pursuant to the terms of the Investor Rights Agreement, January 23, 2023 and (ii) with respect to all other Private Placement Warrants, August 22, 2021 (except, among other limited exceptions, to our officers and directors and other persons or entities affiliated with the Sponsor) and they will not be redeemable by us so long as they are held by the Sponsor or its permitted transferees. The Sponsor, or its permitted transferees, has the option to exercise the Private Placement Warrants on a cashless basis and will be entitled to certain registration rights.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and exercisable by the holders on the same basis as the Public Warrants.</w:t>
      </w:r>
    </w:p>
    <w:p>
      <w:pPr>
        <w:spacing w:after="0" w:line="101"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our Class A common stock equal to the quotient obtained by dividing (x) the product of the number of shares of Class A common stock underlying the warrants, multiplied by the excess of the “fair market value” (defined below) over the exercise price per share of the warrants by (y) the fair market value. The “fair market value” shall mean the average closing price per share of our Class A common stock for the ten (10) trading days ending on the third trading day prior to the date on which the notice of redemption is sent to the holders of warrants.</w:t>
      </w:r>
    </w:p>
    <w:p>
      <w:pPr>
        <w:spacing w:after="0" w:line="11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order to finance transaction costs in connection with an intended initial business combination, the Sponsor loaned us $1,500,000 funds pursuant to the Note. The principal amount of such promissory note was converted into Working Capital Warrants by the Sponsor. The Working Capital Warrants are identical to the Private Placement Warrants issued to the Sponsor.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62"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99"/>
        <w:spacing w:after="0" w:line="282" w:lineRule="auto"/>
        <w:rPr>
          <w:sz w:val="20"/>
          <w:szCs w:val="20"/>
          <w:color w:val="auto"/>
        </w:rPr>
      </w:pPr>
      <w:r>
        <w:rPr>
          <w:rFonts w:ascii="Arial" w:cs="Arial" w:eastAsia="Arial" w:hAnsi="Arial"/>
          <w:sz w:val="18"/>
          <w:szCs w:val="18"/>
          <w:b w:val="1"/>
          <w:bCs w:val="1"/>
          <w:color w:val="auto"/>
        </w:rPr>
        <w:t>Effects of Our Current Certificate of Incorporation, Our Current Bylaws and Certain Provisions of Delaware Law</w:t>
      </w:r>
    </w:p>
    <w:p>
      <w:pPr>
        <w:spacing w:after="0" w:line="85"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Class A common stock held by stockholders.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5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Class A common stock remains listed on Nasdaq, require stockholder approval of certain issuances equal to or exceeding 20% of the then outstanding voting power or then outstanding number of shares of our Class A common stock. Additional shares that may be used in the future may be used for a variety of corporate purposes, including future public offerings, to raise additional capital or to facilitate acquisitions.</w:t>
      </w:r>
    </w:p>
    <w:p>
      <w:pPr>
        <w:spacing w:after="0" w:line="110"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800" w:right="1039" w:hanging="180"/>
        <w:spacing w:after="0" w:line="277" w:lineRule="auto"/>
        <w:tabs>
          <w:tab w:leader="none" w:pos="1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89"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03"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ind w:left="1260" w:right="859"/>
        <w:spacing w:after="0" w:line="255" w:lineRule="auto"/>
        <w:rPr>
          <w:sz w:val="20"/>
          <w:szCs w:val="20"/>
          <w:color w:val="auto"/>
        </w:rPr>
      </w:pPr>
      <w:r>
        <w:rPr>
          <w:rFonts w:ascii="Arial" w:cs="Arial" w:eastAsia="Arial" w:hAnsi="Arial"/>
          <w:sz w:val="18"/>
          <w:szCs w:val="18"/>
          <w:color w:val="auto"/>
        </w:rPr>
        <w:t>three years owned, 15% or more of the votes of our outstanding voting stock. For purposes of this provision,” voting stock” means any class or series of stock entitled to vote generally in the election of directors.</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4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Under the DGCL, unless otherwise provided in our current certificate of incorporation, directors serving on a board may be removed by the stockholders only for cause. Our current certificate of incorporation provides that no director may be removed from office by the stockholders except for cause with the affirmative vote of the holders of not less than two-thirds (66 2/3 %) of the total voting power of all of our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w:t>
      </w:r>
    </w:p>
    <w:p>
      <w:pPr>
        <w:spacing w:after="0" w:line="4" w:lineRule="exact"/>
        <w:rPr>
          <w:sz w:val="20"/>
          <w:szCs w:val="20"/>
          <w:color w:val="auto"/>
        </w:rPr>
      </w:pPr>
    </w:p>
    <w:p>
      <w:pPr>
        <w:ind w:left="1260" w:right="519"/>
        <w:spacing w:after="0" w:line="236" w:lineRule="auto"/>
        <w:tabs>
          <w:tab w:leader="none" w:pos="154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current certificate of incorporation provides that special meetings of the stockholders may be called only by the Board acting pursuant to a resolution adopted by a majority of the Board.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58"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23"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25"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03"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122"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10"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and expect to maintain standard policies of insurance that provide coverage</w:t>
      </w:r>
    </w:p>
    <w:p>
      <w:pPr>
        <w:spacing w:after="0" w:line="35" w:lineRule="exact"/>
        <w:rPr>
          <w:sz w:val="20"/>
          <w:szCs w:val="20"/>
          <w:color w:val="auto"/>
        </w:rPr>
      </w:pPr>
    </w:p>
    <w:p>
      <w:pPr>
        <w:ind w:left="1260" w:right="459"/>
        <w:spacing w:after="0" w:line="255" w:lineRule="auto"/>
        <w:tabs>
          <w:tab w:leader="none" w:pos="15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2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transfer agent for our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60" w:right="40"/>
        <w:spacing w:after="0" w:line="266" w:lineRule="auto"/>
        <w:rPr>
          <w:sz w:val="20"/>
          <w:szCs w:val="20"/>
          <w:color w:val="auto"/>
        </w:rPr>
      </w:pPr>
      <w:r>
        <w:rPr>
          <w:rFonts w:ascii="Arial" w:cs="Arial" w:eastAsia="Arial" w:hAnsi="Arial"/>
          <w:sz w:val="18"/>
          <w:szCs w:val="18"/>
          <w:b w:val="1"/>
          <w:bCs w:val="1"/>
          <w:color w:val="auto"/>
        </w:rPr>
        <w:t>MATERIAL UNITED STATES FEDERAL INCOME AND ESTATE TAX CONSEQUENCES TO NON-U.S. HOLDERS</w:t>
      </w:r>
    </w:p>
    <w:p>
      <w:pPr>
        <w:spacing w:after="0" w:line="85" w:lineRule="exact"/>
        <w:rPr>
          <w:sz w:val="20"/>
          <w:szCs w:val="20"/>
          <w:color w:val="auto"/>
        </w:rPr>
      </w:pPr>
    </w:p>
    <w:p>
      <w:pPr>
        <w:jc w:val="both"/>
        <w:ind w:left="1260" w:right="579" w:firstLine="360"/>
        <w:spacing w:after="0" w:line="243" w:lineRule="auto"/>
        <w:rPr>
          <w:sz w:val="20"/>
          <w:szCs w:val="20"/>
          <w:color w:val="auto"/>
        </w:rPr>
      </w:pPr>
      <w:r>
        <w:rPr>
          <w:rFonts w:ascii="Arial" w:cs="Arial" w:eastAsia="Arial" w:hAnsi="Arial"/>
          <w:sz w:val="18"/>
          <w:szCs w:val="18"/>
          <w:color w:val="auto"/>
        </w:rPr>
        <w:t>The following is a general discussion of the material U.S. federal income and estate tax consequences of the purchase, ownership and disposition of our Class A common stock by a “non-U.S. holder.” A “non-U.S. holder” is a beneficial owner of a share of our Class A common stock that is, for U.S. federal income tax purposes:</w:t>
      </w:r>
    </w:p>
    <w:p>
      <w:pPr>
        <w:spacing w:after="0" w:line="80" w:lineRule="exact"/>
        <w:rPr>
          <w:sz w:val="20"/>
          <w:szCs w:val="20"/>
          <w:color w:val="auto"/>
        </w:rPr>
      </w:pPr>
    </w:p>
    <w:p>
      <w:pPr>
        <w:ind w:left="1800" w:right="519" w:hanging="180"/>
        <w:spacing w:after="0" w:line="277"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U.S. subject to U.S. tax as an expatriate,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Class A common stock,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Class A common stock should consult their own tax advisors as to the particular U.S. federal income and estate tax consequences applicable to them.</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This discussion is based on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and administrative pronouncements, judicial decisions and final, temporary and proposed Treasury regulations, changes to any of which subsequent to the date of this prospectus may affect the tax consequences described herein (possibly with retroactive effect). This discussion does not address all aspects of U.S. federal income and estate taxation that may be relevant to non-U.S. holders in light of their particular circumstances and does not address any U.S. federal gift, alternative minimum tax or Medicare contribution tax considerations or any tax consequences arising under the laws of any state, local or foreign jurisdiction. Prospective holders are urged to consult their tax advisors with respect to the particular tax consequences to them of owning and disposing of our Class A common stock, including the consequences under the laws of any state, local or foreign jurisdiction.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 xml:space="preserve">To the extent that we make a distribution of cash or other property (other than certain pro rata distributions of our stock) in respect of our Class A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w:t>
      </w:r>
      <w:r>
        <w:rPr>
          <w:rFonts w:ascii="Arial" w:cs="Arial" w:eastAsia="Arial" w:hAnsi="Arial"/>
          <w:sz w:val="17"/>
          <w:szCs w:val="17"/>
          <w:i w:val="1"/>
          <w:iCs w:val="1"/>
          <w:color w:val="auto"/>
        </w:rPr>
        <w:t>Gain on Disposition of our Class A Common Stock</w:t>
      </w:r>
      <w:r>
        <w:rPr>
          <w:rFonts w:ascii="Arial" w:cs="Arial" w:eastAsia="Arial" w:hAnsi="Arial"/>
          <w:sz w:val="17"/>
          <w:szCs w:val="17"/>
          <w:color w:val="auto"/>
        </w:rPr>
        <w: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Dividends paid to a non-U.S. holder generally will be subject to U.S. federal withholding tax at a</w:t>
      </w:r>
    </w:p>
    <w:p>
      <w:pPr>
        <w:spacing w:after="0" w:line="23"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w:t>
      </w:r>
    </w:p>
    <w:p>
      <w:pPr>
        <w:spacing w:after="0" w:line="11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9" w:lineRule="auto"/>
        <w:rPr>
          <w:sz w:val="20"/>
          <w:szCs w:val="20"/>
          <w:color w:val="auto"/>
        </w:rPr>
      </w:pPr>
      <w:r>
        <w:rPr>
          <w:rFonts w:ascii="Arial" w:cs="Arial" w:eastAsia="Arial" w:hAnsi="Arial"/>
          <w:sz w:val="17"/>
          <w:szCs w:val="17"/>
          <w:color w:val="auto"/>
        </w:rPr>
        <w:t>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w:t>
      </w:r>
    </w:p>
    <w:p>
      <w:pPr>
        <w:spacing w:after="0" w:line="90"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A non-U.S. holder eligible for a reduced rate of U.S. federal withholding tax pursuant to an income tax treaty may obtain a refund of any excess amounts withheld by timely filing an appropriate claim for refund with the Internal Revenue Service (the “</w:t>
      </w:r>
      <w:r>
        <w:rPr>
          <w:rFonts w:ascii="Arial" w:cs="Arial" w:eastAsia="Arial" w:hAnsi="Arial"/>
          <w:sz w:val="18"/>
          <w:szCs w:val="18"/>
          <w:i w:val="1"/>
          <w:iCs w:val="1"/>
          <w:color w:val="auto"/>
        </w:rPr>
        <w:t>IRS</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62"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Subject to the discussions of backup withholding and FATCA withholding tax below, a non-U.S. holder generally will not be subject to U.S. federal income tax on gain realized on a sale or other disposition of our Class A common stock unless:</w:t>
      </w:r>
    </w:p>
    <w:p>
      <w:pPr>
        <w:spacing w:after="0" w:line="76" w:lineRule="exact"/>
        <w:rPr>
          <w:sz w:val="20"/>
          <w:szCs w:val="20"/>
          <w:color w:val="auto"/>
        </w:rPr>
      </w:pPr>
    </w:p>
    <w:p>
      <w:pPr>
        <w:ind w:left="1800" w:right="439" w:hanging="180"/>
        <w:spacing w:after="0" w:line="257"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93"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78"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(as described below) at any time within the five-year period preceding the disposition or the non-U.S. holder’s holding period, whichever period is shorter, and either (i) our Class A common stock is not treated as regularly traded on an established securities market when the sale or disposition occurs or (ii) the non-U.S. holder has owned or is deemed to have owned, at any time within the five-year period preceding the disposition or the non-U.S. holder’s holding period, whichever period is shorter, more than 5% of our Class A common stock.</w:t>
      </w:r>
    </w:p>
    <w:p>
      <w:pPr>
        <w:spacing w:after="0" w:line="12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4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19"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98"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Class A common stock made within the United States or conducted through certain U.S.-related financial intermediaries, unless the non-U.S. holder complies with 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and the amount of any backup withholding from a payment to a non-U.S. holder will be allowed as a credit against the non-U.S. holder’s U.S. federal income tax liability and may entitle the non-U.S. holder to a refund, provided that the required information is furnished to the IRS in a timely manner.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 Tax</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Under Sections 1471 through 1474 of the Code (commonly referred to as “</w:t>
      </w:r>
      <w:r>
        <w:rPr>
          <w:rFonts w:ascii="Arial" w:cs="Arial" w:eastAsia="Arial" w:hAnsi="Arial"/>
          <w:sz w:val="18"/>
          <w:szCs w:val="18"/>
          <w:i w:val="1"/>
          <w:iCs w:val="1"/>
          <w:color w:val="auto"/>
        </w:rPr>
        <w:t>FATCA</w:t>
      </w:r>
      <w:r>
        <w:rPr>
          <w:rFonts w:ascii="Arial" w:cs="Arial" w:eastAsia="Arial" w:hAnsi="Arial"/>
          <w:sz w:val="18"/>
          <w:szCs w:val="18"/>
          <w:color w:val="auto"/>
        </w:rPr>
        <w:t xml:space="preserve">”), payments of dividends on and the gross proceeds of dispositions of our Class A common stock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Class A common stock. An intergovernmental agreement between the United States and an applicable foreign country may modify these requirements. If a dividend payment is both subject to withholding under FATCA and subject to the withholding tax discussed above under “— </w:t>
      </w:r>
      <w:r>
        <w:rPr>
          <w:rFonts w:ascii="Arial" w:cs="Arial" w:eastAsia="Arial" w:hAnsi="Arial"/>
          <w:sz w:val="18"/>
          <w:szCs w:val="18"/>
          <w:i w:val="1"/>
          <w:iCs w:val="1"/>
          <w:color w:val="auto"/>
        </w:rPr>
        <w:t>Dividends</w:t>
      </w:r>
      <w:r>
        <w:rPr>
          <w:rFonts w:ascii="Arial" w:cs="Arial" w:eastAsia="Arial" w:hAnsi="Arial"/>
          <w:sz w:val="18"/>
          <w:szCs w:val="18"/>
          <w:color w:val="auto"/>
        </w:rPr>
        <w:t>,” the withholding under FATCA may be credited against, and therefore reduce, such other withholding tax. Non-U.S. holders should consult their tax advisors regarding the possible implications of this withholding tax on their investment in our Class A common stock.</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62"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Individual non-U.S. holders (as specifically defined for U.S. federal estate tax purposes)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our Class A common stock will be treated as U.S. situs property subject to U.S. federal estate tax, unless an applicable estate tax treaty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We are registering the issuance by us of an aggregate of up to 85,750,000 shares of our Class A common stock,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w:t>
      </w:r>
    </w:p>
    <w:p>
      <w:pPr>
        <w:spacing w:after="0" w:line="120" w:lineRule="exact"/>
        <w:rPr>
          <w:sz w:val="20"/>
          <w:szCs w:val="20"/>
          <w:color w:val="auto"/>
        </w:rPr>
      </w:pPr>
    </w:p>
    <w:p>
      <w:pPr>
        <w:ind w:left="1260" w:right="819" w:firstLine="360"/>
        <w:spacing w:after="0" w:line="274" w:lineRule="auto"/>
        <w:rPr>
          <w:sz w:val="20"/>
          <w:szCs w:val="20"/>
          <w:color w:val="auto"/>
        </w:rPr>
      </w:pPr>
      <w:r>
        <w:rPr>
          <w:rFonts w:ascii="Arial" w:cs="Arial" w:eastAsia="Arial" w:hAnsi="Arial"/>
          <w:sz w:val="17"/>
          <w:szCs w:val="17"/>
          <w:color w:val="auto"/>
        </w:rPr>
        <w:t>We are also registering the offer and sale from time to time by the Selling Securityholders, or their permitted transferees, of (a) up to 1,336,329,949 shares of Class A common stock, consisting of</w:t>
      </w:r>
    </w:p>
    <w:p>
      <w:pPr>
        <w:ind w:left="1260" w:right="439"/>
        <w:spacing w:after="0" w:line="253" w:lineRule="auto"/>
        <w:tabs>
          <w:tab w:leader="none" w:pos="148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2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06"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Global Select Market listing fees and fees and expenses of our counsel and our independent registered public accountants.</w:t>
      </w:r>
    </w:p>
    <w:p>
      <w:pPr>
        <w:spacing w:after="0" w:line="125"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6"/>
          <w:szCs w:val="16"/>
          <w:color w:val="auto"/>
        </w:rPr>
        <w:t>The securities beneficially owned by the Selling Securityholders covered by this prospectus may be offered and sold from time to time by the Selling Securityholders. The term “</w:t>
      </w:r>
      <w:r>
        <w:rPr>
          <w:rFonts w:ascii="Arial" w:cs="Arial" w:eastAsia="Arial" w:hAnsi="Arial"/>
          <w:sz w:val="16"/>
          <w:szCs w:val="16"/>
          <w:i w:val="1"/>
          <w:iCs w:val="1"/>
          <w:color w:val="auto"/>
        </w:rPr>
        <w:t>Selling Securityholders</w:t>
      </w:r>
      <w:r>
        <w:rPr>
          <w:rFonts w:ascii="Arial" w:cs="Arial" w:eastAsia="Arial" w:hAnsi="Arial"/>
          <w:sz w:val="16"/>
          <w:szCs w:val="16"/>
          <w:color w:val="auto"/>
        </w:rPr>
        <w:t>” includes their permitted transferees who later come to hold any of the Selling Securityholders’ interest in the Class A common stock or warrants in accordance with the terms of the agreement(s) governing the registration rights applicable to such Selling Securityholder’s shares of Class A common stock or warrants.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w:t>
      </w:r>
    </w:p>
    <w:p>
      <w:pPr>
        <w:spacing w:after="0" w:line="100"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securities may be offered to the public through underwriting syndicates represented by managing underwriters or by underwriters without a syndicate. The obligations of the underwriters to purchase the securities will be subject to certain conditions.</w:t>
      </w:r>
    </w:p>
    <w:p>
      <w:pPr>
        <w:spacing w:after="0" w:line="103"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800" w:right="979" w:hanging="180"/>
        <w:spacing w:after="0" w:line="27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03" w:lineRule="exact"/>
        <w:rPr>
          <w:rFonts w:ascii="Arial" w:cs="Arial" w:eastAsia="Arial" w:hAnsi="Arial"/>
          <w:sz w:val="18"/>
          <w:szCs w:val="18"/>
          <w:color w:val="auto"/>
        </w:rPr>
      </w:pPr>
    </w:p>
    <w:p>
      <w:pPr>
        <w:ind w:left="1800" w:right="779" w:hanging="180"/>
        <w:spacing w:after="0" w:line="259"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65"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03"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48"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48"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48" w:lineRule="exact"/>
        <w:rPr>
          <w:rFonts w:ascii="Arial" w:cs="Arial" w:eastAsia="Arial" w:hAnsi="Arial"/>
          <w:sz w:val="18"/>
          <w:szCs w:val="18"/>
          <w:color w:val="auto"/>
        </w:rPr>
      </w:pPr>
    </w:p>
    <w:p>
      <w:pPr>
        <w:ind w:left="1800" w:right="1619" w:hanging="180"/>
        <w:spacing w:after="0" w:line="277"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securityholders of the Selling Securityholders;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delayed delivery requirements;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Subject to the terms of the agreement(s) governing the registration rights applicable to a Selling Securityholder’s shares of Class A common stock or warrants, such Selling Securityholder may transfer shares of Class A common stock or warrants to one or more “permitted transferees” in accordance with such agreements and, if so transferred, such permitted transferee(s) will be the selling beneficial owner(s) for purposes of this prospectus. Upon being notified by a Selling Securityholder that a permitted transferee intends to sell our securities, we will, to the extent required, promptly file a supplement to this prospectus to name specifically such person as a Selling Securityholder.</w:t>
      </w:r>
    </w:p>
    <w:p>
      <w:pPr>
        <w:spacing w:after="0" w:line="112"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0" w:lineRule="exact"/>
        <w:rPr>
          <w:sz w:val="20"/>
          <w:szCs w:val="20"/>
          <w:color w:val="auto"/>
        </w:rPr>
      </w:pPr>
    </w:p>
    <w:p>
      <w:pPr>
        <w:ind w:left="1800" w:hanging="180"/>
        <w:spacing w:after="0"/>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03"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the Selling Securityholders.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7" w:name="page178"/>
    <w:bookmarkEnd w:id="1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9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1"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1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and warrants are currently listed on the Nasdaq Global Select Market under the symbols “LCID and “LCIDW,” respectively.</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2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83"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 xml:space="preserve">In compliance with the guidelines of the Financial Industry Regulatory Authority (“ </w:t>
      </w:r>
      <w:r>
        <w:rPr>
          <w:rFonts w:ascii="Arial" w:cs="Arial" w:eastAsia="Arial" w:hAnsi="Arial"/>
          <w:sz w:val="18"/>
          <w:szCs w:val="18"/>
          <w:i w:val="1"/>
          <w:iCs w:val="1"/>
          <w:color w:val="auto"/>
        </w:rPr>
        <w:t>FINRA</w:t>
      </w:r>
      <w:r>
        <w:rPr>
          <w:rFonts w:ascii="Arial" w:cs="Arial" w:eastAsia="Arial" w:hAnsi="Arial"/>
          <w:sz w:val="18"/>
          <w:szCs w:val="18"/>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20"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w:t>
      </w:r>
      <w:r>
        <w:rPr>
          <w:rFonts w:ascii="Arial" w:cs="Arial" w:eastAsia="Arial" w:hAnsi="Arial"/>
          <w:sz w:val="18"/>
          <w:szCs w:val="18"/>
          <w:i w:val="1"/>
          <w:iCs w:val="1"/>
          <w:color w:val="auto"/>
        </w:rPr>
        <w:t>Rule 5121</w:t>
      </w:r>
      <w:r>
        <w:rPr>
          <w:rFonts w:ascii="Arial" w:cs="Arial" w:eastAsia="Arial" w:hAnsi="Arial"/>
          <w:sz w:val="18"/>
          <w:szCs w:val="18"/>
          <w:color w:val="auto"/>
        </w:rPr>
        <w:t>”), that offering will be conducted in accordance with the relevant provisions of Rule 5121.</w:t>
      </w:r>
    </w:p>
    <w:p>
      <w:pPr>
        <w:spacing w:after="0" w:line="11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 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13"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20"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22"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01"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25"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06" w:lineRule="exact"/>
        <w:rPr>
          <w:sz w:val="20"/>
          <w:szCs w:val="20"/>
          <w:color w:val="auto"/>
        </w:rPr>
      </w:pPr>
    </w:p>
    <w:p>
      <w:pPr>
        <w:jc w:val="both"/>
        <w:ind w:left="1260" w:right="679" w:firstLine="360"/>
        <w:spacing w:after="0" w:line="275" w:lineRule="auto"/>
        <w:rPr>
          <w:sz w:val="20"/>
          <w:szCs w:val="20"/>
          <w:color w:val="auto"/>
        </w:rPr>
      </w:pPr>
      <w:r>
        <w:rPr>
          <w:rFonts w:ascii="Arial" w:cs="Arial" w:eastAsia="Arial" w:hAnsi="Arial"/>
          <w:sz w:val="17"/>
          <w:szCs w:val="17"/>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Private Placement Warrants and Working Capital Warrants (including Class A common stock issuable upon exercise of such warrants) are subject to restrictions on transfer, assignment and sale and, in certain circumstances, are subject to redemption. See “</w:t>
      </w:r>
      <w:r>
        <w:rPr>
          <w:rFonts w:ascii="Arial" w:cs="Arial" w:eastAsia="Arial" w:hAnsi="Arial"/>
          <w:sz w:val="18"/>
          <w:szCs w:val="18"/>
          <w:i w:val="1"/>
          <w:iCs w:val="1"/>
          <w:color w:val="auto"/>
        </w:rPr>
        <w:t>Description of Securities — Private 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 and Working Capital Warrants</w:t>
      </w:r>
      <w:r>
        <w:rPr>
          <w:rFonts w:ascii="Arial" w:cs="Arial" w:eastAsia="Arial" w:hAnsi="Arial"/>
          <w:sz w:val="18"/>
          <w:szCs w:val="18"/>
          <w:color w:val="auto"/>
        </w:rPr>
        <w:t>.”</w:t>
      </w:r>
    </w:p>
    <w:p>
      <w:pPr>
        <w:spacing w:after="0" w:line="11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Pursuant to the Investor Rights Agreement and our current bylaws and subject to certain exceptions, the holders of: (i) shares of Class A common stock issued as consideration pursuant to the Merger, (ii) any assumed Lucid Equity Awards; or (iii) shares of Class A common stock underlying such assumed Lucid Equity Awards, in each case, are restricted from selling or transferring any of the securities described in clauses (i), (ii) or (iii). Such holders include Ayar and certain other pre-Merger investors in Lucid. Such restrictions began at the Closing and will end at the date that is 180 days after the Closing. Pursuant to the Investor Rights Agreement, the Sponsor has agreed to similar restrictions for a period of 18 months with respect to Class A common stock and the Private Placement Warrants held by it.</w:t>
      </w:r>
    </w:p>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Pursuant to the PIPE Subscription Agreements, from February 22, 2021 until the later of</w:t>
      </w:r>
    </w:p>
    <w:p>
      <w:pPr>
        <w:spacing w:after="0" w:line="23" w:lineRule="exact"/>
        <w:rPr>
          <w:sz w:val="20"/>
          <w:szCs w:val="20"/>
          <w:color w:val="auto"/>
        </w:rPr>
      </w:pPr>
    </w:p>
    <w:p>
      <w:pPr>
        <w:ind w:left="1260" w:right="419"/>
        <w:spacing w:after="0" w:line="267" w:lineRule="auto"/>
        <w:tabs>
          <w:tab w:leader="none" w:pos="148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September 1, 2021 and (ii) the date the registration statement of which this prospectus forms a part is declared effective (the “</w:t>
      </w:r>
      <w:r>
        <w:rPr>
          <w:rFonts w:ascii="Arial" w:cs="Arial" w:eastAsia="Arial" w:hAnsi="Arial"/>
          <w:sz w:val="17"/>
          <w:szCs w:val="17"/>
          <w:i w:val="1"/>
          <w:iCs w:val="1"/>
          <w:color w:val="auto"/>
        </w:rPr>
        <w:t>PIPE Lock-up Period</w:t>
      </w:r>
      <w:r>
        <w:rPr>
          <w:rFonts w:ascii="Arial" w:cs="Arial" w:eastAsia="Arial" w:hAnsi="Arial"/>
          <w:sz w:val="17"/>
          <w:szCs w:val="17"/>
          <w:color w:val="auto"/>
        </w:rPr>
        <w:t>”) and subject to certain exceptions, none of the investors in the PIPE Investment (the “</w:t>
      </w:r>
      <w:r>
        <w:rPr>
          <w:rFonts w:ascii="Arial" w:cs="Arial" w:eastAsia="Arial" w:hAnsi="Arial"/>
          <w:sz w:val="17"/>
          <w:szCs w:val="17"/>
          <w:i w:val="1"/>
          <w:iCs w:val="1"/>
          <w:color w:val="auto"/>
        </w:rPr>
        <w:t>PIPE Investors</w:t>
      </w:r>
      <w:r>
        <w:rPr>
          <w:rFonts w:ascii="Arial" w:cs="Arial" w:eastAsia="Arial" w:hAnsi="Arial"/>
          <w:sz w:val="17"/>
          <w:szCs w:val="17"/>
          <w:color w:val="auto"/>
        </w:rPr>
        <w:t>”) are permitted to transfer the shares so purchased (the “</w:t>
      </w:r>
      <w:r>
        <w:rPr>
          <w:rFonts w:ascii="Arial" w:cs="Arial" w:eastAsia="Arial" w:hAnsi="Arial"/>
          <w:sz w:val="17"/>
          <w:szCs w:val="17"/>
          <w:i w:val="1"/>
          <w:iCs w:val="1"/>
          <w:color w:val="auto"/>
        </w:rPr>
        <w:t>Subscribed Shares</w:t>
      </w:r>
      <w:r>
        <w:rPr>
          <w:rFonts w:ascii="Arial" w:cs="Arial" w:eastAsia="Arial" w:hAnsi="Arial"/>
          <w:sz w:val="17"/>
          <w:szCs w:val="17"/>
          <w:color w:val="auto"/>
        </w:rPr>
        <w:t>”). The PIPE Investors further agreed that, subject to limited exceptions, during the PIPE Lock-Up Period, none of the PIPE Investors and their affiliates will engage in any short sales with respect to our securities. The foregoing restriction is expressly agreed to preclude the PIPE Investors from engaging in any hedging or other transactions (other than pledges in the ordinary course of business as part of prior brokerage arrangements) which are designed to or could reasonably be expected to lead to or result in a sale or disposition of the Subscribed Shares even if such shares would be disposed by someone other than the PIPE Investors. Such prohibited hedging or other transactions include any purchase, sale or grant of any right (including any put or call option) with respect to any of the Subscribed Shares of the PIPE Investors or with respect to any security that includes, relates to, or derives any significant part of its value from such Subscribed Shares.</w:t>
      </w:r>
    </w:p>
    <w:p>
      <w:pPr>
        <w:spacing w:after="0" w:line="115"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Additionally, following certain underwritten offerings of our equity securities, parties to the Investor Rights Agreement will also agree to a customary market stand-off period not to exceed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Davis Polk &amp; Wardwell LLP, Menlo Park,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financial statements of Atieva, Inc. as of December 31, 2020 and 2019 and for each of the two years in the period ended December 31, 2020 included in this prospectus and elsewhere in the registration statement of which this prospectus forms a part have been so included in reliance upon the report of Grant Thornton LLP, independent registered public accountants, upon the authority of said firm as experts in accounting and auditing.</w:t>
      </w:r>
    </w:p>
    <w:p>
      <w:pPr>
        <w:spacing w:after="0" w:line="120"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financial statements of Churchill Capital Corp IV as of December 31, 2020 and for the period April 30, 2020 (inception) through December 31, 2020, appearing in the registration statement of which this prospectus forms a part have been audited by Marcum LLP, an independent registered public accounting firm, as stated in their report thereon and included in this prospectus, in reliance upon such report and upon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CHANGE IN AUDITOR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Dismissal of Independent Registered Public Accounting Firm</w:t>
      </w:r>
    </w:p>
    <w:p>
      <w:pPr>
        <w:spacing w:after="0" w:line="148"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On July 23, 2021, the Board dismissed Marcum, Churchill’s independent registered public accounting firm prior to the Transactions, as the Company’s independent registered public accounting firm effective following completion of the Company’s review of the quarter ended June 30, 2021, which consists only of the accounts of the pre-business combination special purpose acquisition company, Churchill.</w:t>
      </w:r>
    </w:p>
    <w:p>
      <w:pPr>
        <w:spacing w:after="0" w:line="10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audit report of Marcum on Churchill’s, the Company’s legal predecessor, balance sheet as of December 31, 2020 and the statements of operations, changes in stockholders’ equity and cash flows for the period from April 30, 2020 (inception) to December 31, 2020, did not contain an adverse opinion or a disclaimer of opinion and was not qualified or modified as to uncertainties, audit scope or accounting principles.</w:t>
      </w:r>
    </w:p>
    <w:p>
      <w:pPr>
        <w:spacing w:after="0" w:line="120"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During the period from April 30, 2020 (inception) to December 31, 2020 and subsequent interim period through July 23, 2021, there were no disagreements between Churchill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Churchill’s financial statements for such period.</w:t>
      </w:r>
    </w:p>
    <w:p>
      <w:pPr>
        <w:spacing w:after="0" w:line="9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During the period from April 30, 2020 (inception) to December 31, 2020 and subsequent interim period through July 23, 2021, on May 14, 2021, following the issuance of the statement regarding the accounting and reporting considerations for warrants issued by special purpose acquisition companies entitled “Staff Statement on Accounting and Reporting Considerations for Warrants Issued by Special Purpose Acquisition Companies (“SPACs”)” by the SEC, Churchill’s management and the audit committee of Churchill’s board of directors, after consultation with management and a discussion with Marcum, concluded that Churchill’s financial statements for the period ended December 31, 2020, and the financial statements as of August 3, 2020 and as of and for the period ended September 30, 2020 (the “</w:t>
      </w:r>
      <w:r>
        <w:rPr>
          <w:rFonts w:ascii="Arial" w:cs="Arial" w:eastAsia="Arial" w:hAnsi="Arial"/>
          <w:sz w:val="18"/>
          <w:szCs w:val="18"/>
          <w:i w:val="1"/>
          <w:iCs w:val="1"/>
          <w:color w:val="auto"/>
        </w:rPr>
        <w:t>Original Financial Statements</w:t>
      </w:r>
      <w:r>
        <w:rPr>
          <w:rFonts w:ascii="Arial" w:cs="Arial" w:eastAsia="Arial" w:hAnsi="Arial"/>
          <w:sz w:val="18"/>
          <w:szCs w:val="18"/>
          <w:color w:val="auto"/>
        </w:rPr>
        <w:t>”) should no longer be relied upon and are to be restated in order to correct a classification error. The Original Financial Statements were restated in the financial statements accompanying Churchill’s Annual Report on Form 10-K/A filed with the SEC on May 14, 2021. As part of such process, Churchill identified a material weakness in its internal controls over financial reporting, solely related to Churchill’s accounting for warrants. There were no other “reportable events” (as defined in Item 304(a)(1)(v) of Regulation S-K under the Exchange Act).</w:t>
      </w:r>
    </w:p>
    <w:p>
      <w:pPr>
        <w:spacing w:after="0" w:line="130"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Company has provided Marcum with a copy of the foregoing disclosures and has requested that Marcum furnish the Company with a letter addressed to the SEC stating whether it agrees with the statements made by the Company set forth above. A copy of Marcum’s letter, dated July 30, 2021, is filed as Exhibit 16.1 to the registration statement of which this prospectus forms a part.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Disclosures Regarding the New Independent Auditor</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On July 23, 2021, the Board approved the engagement of Grant Thornton LLP (“</w:t>
      </w:r>
      <w:r>
        <w:rPr>
          <w:rFonts w:ascii="Arial" w:cs="Arial" w:eastAsia="Arial" w:hAnsi="Arial"/>
          <w:sz w:val="17"/>
          <w:szCs w:val="17"/>
          <w:i w:val="1"/>
          <w:iCs w:val="1"/>
          <w:color w:val="auto"/>
        </w:rPr>
        <w:t>GT</w:t>
      </w:r>
      <w:r>
        <w:rPr>
          <w:rFonts w:ascii="Arial" w:cs="Arial" w:eastAsia="Arial" w:hAnsi="Arial"/>
          <w:sz w:val="17"/>
          <w:szCs w:val="17"/>
          <w:color w:val="auto"/>
        </w:rPr>
        <w:t>”) as the Company’s independent registered public accounting firm to audit the Company’s consolidated financial statements for the year ended December 31, 2021. GT served as independent registered public accounting firm of Lucid prior to the Merger. During the years ended December 31, 2019 and December 31, 2020, and subsequent interim period through July 23, 2021, we did not consult with GT with respect to (i) the application of accounting principles to a specified transaction, either completed or proposed, the type of audit opinion that might be rendered on our financial statements, and neither a written report nor oral advice was provided to us that GT concluded was an important factor considered by us in reaching a decision as to any accounting, auditing or financial reporting issue, or (ii) any other matter that was the subject of a disagreement or a reportable event (each as defined above).</w:t>
      </w:r>
    </w:p>
    <w:p>
      <w:pPr>
        <w:spacing w:after="0" w:line="200" w:lineRule="exact"/>
        <w:rPr>
          <w:sz w:val="20"/>
          <w:szCs w:val="20"/>
          <w:color w:val="auto"/>
        </w:r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and warrants offered hereby. This prospectus does not contain all of the information set forth in the registration statement and the exhibits and schedules thereto. For further information with respect to the Company, its Class A common stock and warrants,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also maintain an Internet website at https://www.lucidmotors.com. Through our website, we make available, free of charge, the following documents of Lucid Group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 information contained on, or that may be accessed through, our website is not part of, and is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2"/>
        </w:trPr>
        <w:tc>
          <w:tcPr>
            <w:tcW w:w="126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20" w:type="dxa"/>
            <w:vAlign w:val="bottom"/>
            <w:gridSpan w:val="18"/>
            <w:shd w:val="clear" w:color="auto" w:fill="CCEEFF"/>
          </w:tcPr>
          <w:p>
            <w:pPr>
              <w:jc w:val="center"/>
              <w:ind w:right="3260"/>
              <w:spacing w:after="0"/>
              <w:rPr>
                <w:sz w:val="20"/>
                <w:szCs w:val="20"/>
                <w:color w:val="auto"/>
              </w:rPr>
            </w:pPr>
            <w:r>
              <w:rPr>
                <w:rFonts w:ascii="Arial" w:cs="Arial" w:eastAsia="Arial" w:hAnsi="Arial"/>
                <w:sz w:val="18"/>
                <w:szCs w:val="18"/>
                <w:color w:val="auto"/>
                <w:w w:val="98"/>
              </w:rPr>
              <w:t>Atieva, Inc.</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44"/>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80" w:type="dxa"/>
            <w:vAlign w:val="bottom"/>
            <w:gridSpan w:val="22"/>
            <w:shd w:val="clear" w:color="auto" w:fill="CCEEFF"/>
          </w:tcPr>
          <w:p>
            <w:pPr>
              <w:jc w:val="center"/>
              <w:ind w:right="1960"/>
              <w:spacing w:after="0"/>
              <w:rPr>
                <w:sz w:val="20"/>
                <w:szCs w:val="20"/>
                <w:color w:val="auto"/>
              </w:rPr>
            </w:pPr>
            <w:r>
              <w:rPr>
                <w:rFonts w:ascii="Arial" w:cs="Arial" w:eastAsia="Arial" w:hAnsi="Arial"/>
                <w:sz w:val="18"/>
                <w:szCs w:val="18"/>
                <w:color w:val="auto"/>
                <w:w w:val="95"/>
              </w:rPr>
              <w:t>Audited Consolidated Financial Statements</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7820" w:type="dxa"/>
            <w:vAlign w:val="bottom"/>
            <w:gridSpan w:val="30"/>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Report of Independent Registered Accounting Firm</w:t>
              </w:r>
            </w:hyperlink>
          </w:p>
        </w:tc>
        <w:tc>
          <w:tcPr>
            <w:tcW w:w="40" w:type="dxa"/>
            <w:vAlign w:val="bottom"/>
          </w:tcPr>
          <w:p>
            <w:pPr>
              <w:spacing w:after="0"/>
              <w:rPr>
                <w:sz w:val="18"/>
                <w:szCs w:val="18"/>
                <w:color w:val="auto"/>
              </w:rPr>
            </w:pPr>
          </w:p>
        </w:tc>
        <w:tc>
          <w:tcPr>
            <w:tcW w:w="340" w:type="dxa"/>
            <w:vAlign w:val="bottom"/>
            <w:gridSpan w:val="2"/>
          </w:tcPr>
          <w:p>
            <w:pPr>
              <w:jc w:val="right"/>
              <w:spacing w:after="0"/>
              <w:rPr>
                <w:rFonts w:ascii="Arial" w:cs="Arial" w:eastAsia="Arial" w:hAnsi="Arial"/>
                <w:sz w:val="18"/>
                <w:szCs w:val="18"/>
                <w:color w:val="0000EE"/>
              </w:rPr>
            </w:pPr>
            <w:hyperlink w:anchor="page185">
              <w:r>
                <w:rPr>
                  <w:rFonts w:ascii="Arial" w:cs="Arial" w:eastAsia="Arial" w:hAnsi="Arial"/>
                  <w:sz w:val="18"/>
                  <w:szCs w:val="18"/>
                  <w:color w:val="0000EE"/>
                </w:rPr>
                <w:t>F-2</w:t>
              </w:r>
            </w:hyperlink>
          </w:p>
        </w:tc>
        <w:tc>
          <w:tcPr>
            <w:tcW w:w="1260" w:type="dxa"/>
            <w:vAlign w:val="bottom"/>
          </w:tcPr>
          <w:p>
            <w:pPr>
              <w:spacing w:after="0"/>
              <w:rPr>
                <w:sz w:val="18"/>
                <w:szCs w:val="18"/>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86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2"/>
              </w:rPr>
            </w:pPr>
            <w:hyperlink w:anchor="page186">
              <w:r>
                <w:rPr>
                  <w:rFonts w:ascii="Arial" w:cs="Arial" w:eastAsia="Arial" w:hAnsi="Arial"/>
                  <w:sz w:val="18"/>
                  <w:szCs w:val="18"/>
                  <w:color w:val="0000EE"/>
                  <w:w w:val="92"/>
                </w:rPr>
                <w:t>Consolidated Balance Sheets as of December 31, 2020 and 2019</w:t>
              </w:r>
            </w:hyperlink>
          </w:p>
        </w:tc>
        <w:tc>
          <w:tcPr>
            <w:tcW w:w="2960" w:type="dxa"/>
            <w:vAlign w:val="bottom"/>
            <w:tcBorders>
              <w:bottom w:val="single" w:sz="8" w:color="CCEEFF"/>
            </w:tcBorders>
            <w:gridSpan w:val="14"/>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8"/>
              </w:rPr>
            </w:pPr>
            <w:hyperlink w:anchor="page186">
              <w:r>
                <w:rPr>
                  <w:rFonts w:ascii="Arial" w:cs="Arial" w:eastAsia="Arial" w:hAnsi="Arial"/>
                  <w:sz w:val="18"/>
                  <w:szCs w:val="18"/>
                  <w:color w:val="0000EE"/>
                  <w:w w:val="88"/>
                </w:rPr>
                <w:t>F-3</w:t>
              </w:r>
            </w:hyperlink>
          </w:p>
        </w:tc>
        <w:tc>
          <w:tcPr>
            <w:tcW w:w="126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758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87">
              <w:r>
                <w:rPr>
                  <w:rFonts w:ascii="Arial" w:cs="Arial" w:eastAsia="Arial" w:hAnsi="Arial"/>
                  <w:sz w:val="18"/>
                  <w:szCs w:val="18"/>
                  <w:color w:val="0000EE"/>
                  <w:w w:val="93"/>
                </w:rPr>
                <w:t>Consolidated Statements of Operations and Comprehensive Loss for the Years Ended December 31,</w:t>
              </w:r>
            </w:hyperlink>
          </w:p>
        </w:tc>
        <w:tc>
          <w:tcPr>
            <w:tcW w:w="24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2020 and 2019</w:t>
              </w:r>
            </w:hyperlink>
          </w:p>
        </w:tc>
        <w:tc>
          <w:tcPr>
            <w:tcW w:w="4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32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4"/>
              </w:rPr>
            </w:pPr>
            <w:hyperlink w:anchor="page188">
              <w:r>
                <w:rPr>
                  <w:rFonts w:ascii="Arial" w:cs="Arial" w:eastAsia="Arial" w:hAnsi="Arial"/>
                  <w:sz w:val="18"/>
                  <w:szCs w:val="18"/>
                  <w:color w:val="0000EE"/>
                  <w:w w:val="94"/>
                </w:rPr>
                <w:t>Consolidated Statements of Convertible Preferred Shares and Shareholders’ Deficit for the Years</w:t>
              </w:r>
            </w:hyperlink>
          </w:p>
        </w:tc>
        <w:tc>
          <w:tcPr>
            <w:tcW w:w="500" w:type="dxa"/>
            <w:vAlign w:val="bottom"/>
            <w:tcBorders>
              <w:bottom w:val="single" w:sz="8" w:color="CCEEFF"/>
            </w:tcBorders>
            <w:gridSpan w:val="6"/>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2"/>
              </w:rPr>
            </w:pPr>
            <w:hyperlink w:anchor="page188">
              <w:r>
                <w:rPr>
                  <w:rFonts w:ascii="Arial" w:cs="Arial" w:eastAsia="Arial" w:hAnsi="Arial"/>
                  <w:sz w:val="18"/>
                  <w:szCs w:val="18"/>
                  <w:color w:val="0000EE"/>
                  <w:w w:val="92"/>
                </w:rPr>
                <w:t>Ended December 31, 2020 and 2019</w:t>
              </w:r>
            </w:hyperlink>
          </w:p>
        </w:tc>
        <w:tc>
          <w:tcPr>
            <w:tcW w:w="4900" w:type="dxa"/>
            <w:vAlign w:val="bottom"/>
            <w:tcBorders>
              <w:bottom w:val="single" w:sz="8" w:color="CCEEFF"/>
            </w:tcBorders>
            <w:gridSpan w:val="21"/>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88"/>
              </w:rPr>
            </w:pPr>
            <w:hyperlink w:anchor="page188">
              <w:r>
                <w:rPr>
                  <w:rFonts w:ascii="Arial" w:cs="Arial" w:eastAsia="Arial" w:hAnsi="Arial"/>
                  <w:sz w:val="18"/>
                  <w:szCs w:val="18"/>
                  <w:color w:val="0000EE"/>
                  <w:w w:val="88"/>
                </w:rPr>
                <w:t>F-5</w:t>
              </w:r>
            </w:hyperlink>
          </w:p>
        </w:tc>
        <w:tc>
          <w:tcPr>
            <w:tcW w:w="1260" w:type="dxa"/>
            <w:vAlign w:val="bottom"/>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7820" w:type="dxa"/>
            <w:vAlign w:val="bottom"/>
            <w:gridSpan w:val="30"/>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Consolidated Statements of Cash Flows for the Years Ended December 31, 2020 and 2019</w:t>
              </w:r>
            </w:hyperlink>
          </w:p>
        </w:tc>
        <w:tc>
          <w:tcPr>
            <w:tcW w:w="40" w:type="dxa"/>
            <w:vAlign w:val="bottom"/>
          </w:tcPr>
          <w:p>
            <w:pPr>
              <w:spacing w:after="0"/>
              <w:rPr>
                <w:sz w:val="19"/>
                <w:szCs w:val="19"/>
                <w:color w:val="auto"/>
              </w:rPr>
            </w:pPr>
          </w:p>
        </w:tc>
        <w:tc>
          <w:tcPr>
            <w:tcW w:w="340" w:type="dxa"/>
            <w:vAlign w:val="bottom"/>
            <w:gridSpan w:val="2"/>
          </w:tcPr>
          <w:p>
            <w:pPr>
              <w:jc w:val="right"/>
              <w:spacing w:after="0"/>
              <w:rPr>
                <w:rFonts w:ascii="Arial" w:cs="Arial" w:eastAsia="Arial" w:hAnsi="Arial"/>
                <w:sz w:val="18"/>
                <w:szCs w:val="18"/>
                <w:color w:val="0000EE"/>
              </w:rPr>
            </w:pPr>
            <w:hyperlink w:anchor="page189">
              <w:r>
                <w:rPr>
                  <w:rFonts w:ascii="Arial" w:cs="Arial" w:eastAsia="Arial" w:hAnsi="Arial"/>
                  <w:sz w:val="18"/>
                  <w:szCs w:val="18"/>
                  <w:color w:val="0000EE"/>
                </w:rPr>
                <w:t>F-6</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820" w:type="dxa"/>
            <w:vAlign w:val="bottom"/>
            <w:gridSpan w:val="30"/>
            <w:shd w:val="clear" w:color="auto" w:fill="CCEEFF"/>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Notes to Consolidated Financial Statements</w:t>
              </w:r>
            </w:hyperlink>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rPr>
            </w:pPr>
            <w:hyperlink w:anchor="page190">
              <w:r>
                <w:rPr>
                  <w:rFonts w:ascii="Arial" w:cs="Arial" w:eastAsia="Arial" w:hAnsi="Arial"/>
                  <w:sz w:val="18"/>
                  <w:szCs w:val="18"/>
                  <w:color w:val="0000EE"/>
                </w:rPr>
                <w:t>F-7</w:t>
              </w:r>
            </w:hyperlink>
          </w:p>
        </w:tc>
        <w:tc>
          <w:tcPr>
            <w:tcW w:w="1260" w:type="dxa"/>
            <w:vAlign w:val="bottom"/>
          </w:tcPr>
          <w:p>
            <w:pPr>
              <w:spacing w:after="0"/>
              <w:rPr>
                <w:sz w:val="21"/>
                <w:szCs w:val="21"/>
                <w:color w:val="auto"/>
              </w:rPr>
            </w:pPr>
          </w:p>
        </w:tc>
      </w:tr>
      <w:tr>
        <w:trPr>
          <w:trHeight w:val="242"/>
        </w:trPr>
        <w:tc>
          <w:tcPr>
            <w:tcW w:w="12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20" w:type="dxa"/>
            <w:vAlign w:val="bottom"/>
            <w:tcBorders>
              <w:top w:val="single" w:sz="8" w:color="CCEEFF"/>
            </w:tcBorders>
            <w:gridSpan w:val="18"/>
          </w:tcPr>
          <w:p>
            <w:pPr>
              <w:jc w:val="center"/>
              <w:ind w:right="3260"/>
              <w:spacing w:after="0"/>
              <w:rPr>
                <w:sz w:val="20"/>
                <w:szCs w:val="20"/>
                <w:color w:val="auto"/>
              </w:rPr>
            </w:pPr>
            <w:r>
              <w:rPr>
                <w:rFonts w:ascii="Arial" w:cs="Arial" w:eastAsia="Arial" w:hAnsi="Arial"/>
                <w:sz w:val="18"/>
                <w:szCs w:val="18"/>
                <w:color w:val="auto"/>
                <w:w w:val="98"/>
              </w:rPr>
              <w:t>Atieva, Inc.</w:t>
            </w: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260" w:type="dxa"/>
            <w:vAlign w:val="bottom"/>
          </w:tcPr>
          <w:p>
            <w:pPr>
              <w:spacing w:after="0"/>
              <w:rPr>
                <w:sz w:val="21"/>
                <w:szCs w:val="2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00" w:type="dxa"/>
            <w:vAlign w:val="bottom"/>
            <w:gridSpan w:val="24"/>
          </w:tcPr>
          <w:p>
            <w:pPr>
              <w:jc w:val="center"/>
              <w:ind w:right="1140"/>
              <w:spacing w:after="0"/>
              <w:rPr>
                <w:sz w:val="20"/>
                <w:szCs w:val="20"/>
                <w:color w:val="auto"/>
              </w:rPr>
            </w:pPr>
            <w:r>
              <w:rPr>
                <w:rFonts w:ascii="Arial" w:cs="Arial" w:eastAsia="Arial" w:hAnsi="Arial"/>
                <w:sz w:val="18"/>
                <w:szCs w:val="18"/>
                <w:color w:val="auto"/>
                <w:w w:val="93"/>
              </w:rPr>
              <w:t>Unaudited Condensed Consolidated Financial Statements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3"/>
        </w:trPr>
        <w:tc>
          <w:tcPr>
            <w:tcW w:w="1260" w:type="dxa"/>
            <w:vAlign w:val="bottom"/>
          </w:tcPr>
          <w:p>
            <w:pPr>
              <w:spacing w:after="0"/>
              <w:rPr>
                <w:sz w:val="19"/>
                <w:szCs w:val="19"/>
                <w:color w:val="auto"/>
              </w:rPr>
            </w:pPr>
          </w:p>
        </w:tc>
        <w:tc>
          <w:tcPr>
            <w:tcW w:w="7820" w:type="dxa"/>
            <w:vAlign w:val="bottom"/>
            <w:gridSpan w:val="30"/>
            <w:shd w:val="clear" w:color="auto" w:fill="CCEEFF"/>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Condensed Consolidated Balance Sheets as of March 31, 2021 (Unaudited) and December 31,</w:t>
              </w:r>
            </w:hyperlink>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line="196" w:lineRule="exact"/>
              <w:rPr>
                <w:rFonts w:ascii="Arial" w:cs="Arial" w:eastAsia="Arial" w:hAnsi="Arial"/>
                <w:sz w:val="18"/>
                <w:szCs w:val="18"/>
                <w:color w:val="0000EE"/>
                <w:w w:val="89"/>
              </w:rPr>
            </w:pPr>
            <w:hyperlink w:anchor="page223">
              <w:r>
                <w:rPr>
                  <w:rFonts w:ascii="Arial" w:cs="Arial" w:eastAsia="Arial" w:hAnsi="Arial"/>
                  <w:sz w:val="18"/>
                  <w:szCs w:val="18"/>
                  <w:color w:val="0000EE"/>
                  <w:w w:val="89"/>
                </w:rPr>
                <w:t>2020</w:t>
              </w:r>
            </w:hyperlink>
          </w:p>
        </w:tc>
        <w:tc>
          <w:tcPr>
            <w:tcW w:w="5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6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w w:val="97"/>
              </w:rPr>
            </w:pPr>
            <w:hyperlink w:anchor="page223">
              <w:r>
                <w:rPr>
                  <w:rFonts w:ascii="Arial" w:cs="Arial" w:eastAsia="Arial" w:hAnsi="Arial"/>
                  <w:sz w:val="18"/>
                  <w:szCs w:val="18"/>
                  <w:color w:val="0000EE"/>
                  <w:w w:val="97"/>
                </w:rPr>
                <w:t>F-40</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48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224">
              <w:r>
                <w:rPr>
                  <w:rFonts w:ascii="Arial" w:cs="Arial" w:eastAsia="Arial" w:hAnsi="Arial"/>
                  <w:sz w:val="18"/>
                  <w:szCs w:val="18"/>
                  <w:color w:val="0000EE"/>
                  <w:w w:val="94"/>
                </w:rPr>
                <w:t>Condensed Consolidated Statements of Operations and Comprehensive Loss for the Three Months</w:t>
              </w:r>
            </w:hyperlink>
          </w:p>
        </w:tc>
        <w:tc>
          <w:tcPr>
            <w:tcW w:w="3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Ended March 31, 2021 and 2020 (Unaudited)</w:t>
              </w:r>
            </w:hyperlink>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24">
              <w:r>
                <w:rPr>
                  <w:rFonts w:ascii="Arial" w:cs="Arial" w:eastAsia="Arial" w:hAnsi="Arial"/>
                  <w:sz w:val="18"/>
                  <w:szCs w:val="18"/>
                  <w:color w:val="0000EE"/>
                  <w:w w:val="97"/>
                </w:rPr>
                <w:t>F-41</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820" w:type="dxa"/>
            <w:vAlign w:val="bottom"/>
            <w:gridSpan w:val="30"/>
            <w:shd w:val="clear" w:color="auto" w:fill="CCEEFF"/>
          </w:tcPr>
          <w:p>
            <w:pPr>
              <w:spacing w:after="0"/>
              <w:rPr>
                <w:rFonts w:ascii="Arial" w:cs="Arial" w:eastAsia="Arial" w:hAnsi="Arial"/>
                <w:sz w:val="18"/>
                <w:szCs w:val="18"/>
                <w:color w:val="0000EE"/>
                <w:w w:val="98"/>
              </w:rPr>
            </w:pPr>
            <w:hyperlink w:anchor="page225">
              <w:r>
                <w:rPr>
                  <w:rFonts w:ascii="Arial" w:cs="Arial" w:eastAsia="Arial" w:hAnsi="Arial"/>
                  <w:sz w:val="18"/>
                  <w:szCs w:val="18"/>
                  <w:color w:val="0000EE"/>
                  <w:w w:val="98"/>
                </w:rPr>
                <w:t>Condensed Consolidated Statements of Convertible Preferred Shares and Shareholders’ Deficit for</w:t>
              </w:r>
            </w:hyperlink>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26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the Three Months Ended March 31, 2021 and 2020 (Unaudited)</w:t>
              </w:r>
            </w:hyperlink>
          </w:p>
        </w:tc>
        <w:tc>
          <w:tcPr>
            <w:tcW w:w="380" w:type="dxa"/>
            <w:vAlign w:val="bottom"/>
            <w:tcBorders>
              <w:top w:val="single" w:sz="8" w:color="CCEEFF"/>
            </w:tcBorders>
            <w:gridSpan w:val="5"/>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w w:val="97"/>
              </w:rPr>
            </w:pPr>
            <w:hyperlink w:anchor="page225">
              <w:r>
                <w:rPr>
                  <w:rFonts w:ascii="Arial" w:cs="Arial" w:eastAsia="Arial" w:hAnsi="Arial"/>
                  <w:sz w:val="18"/>
                  <w:szCs w:val="18"/>
                  <w:color w:val="0000EE"/>
                  <w:w w:val="97"/>
                </w:rPr>
                <w:t>F-42</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820" w:type="dxa"/>
            <w:vAlign w:val="bottom"/>
            <w:gridSpan w:val="30"/>
          </w:tcPr>
          <w:p>
            <w:pPr>
              <w:spacing w:after="0"/>
              <w:rPr>
                <w:rFonts w:ascii="Arial" w:cs="Arial" w:eastAsia="Arial" w:hAnsi="Arial"/>
                <w:sz w:val="18"/>
                <w:szCs w:val="18"/>
                <w:color w:val="0000EE"/>
                <w:w w:val="96"/>
              </w:rPr>
            </w:pPr>
            <w:hyperlink w:anchor="page226">
              <w:r>
                <w:rPr>
                  <w:rFonts w:ascii="Arial" w:cs="Arial" w:eastAsia="Arial" w:hAnsi="Arial"/>
                  <w:sz w:val="18"/>
                  <w:szCs w:val="18"/>
                  <w:color w:val="0000EE"/>
                  <w:w w:val="96"/>
                </w:rPr>
                <w:t>Condensed Consolidated Statements of Cash Flows for the Three Months Ended March 31, 2021 and</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2020 (Unaudited)</w:t>
              </w:r>
            </w:hyperlink>
          </w:p>
        </w:tc>
        <w:tc>
          <w:tcPr>
            <w:tcW w:w="200" w:type="dxa"/>
            <w:vAlign w:val="bottom"/>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26">
              <w:r>
                <w:rPr>
                  <w:rFonts w:ascii="Arial" w:cs="Arial" w:eastAsia="Arial" w:hAnsi="Arial"/>
                  <w:sz w:val="18"/>
                  <w:szCs w:val="18"/>
                  <w:color w:val="0000EE"/>
                  <w:w w:val="97"/>
                </w:rPr>
                <w:t>F-43</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5140" w:type="dxa"/>
            <w:vAlign w:val="bottom"/>
            <w:gridSpan w:val="18"/>
            <w:shd w:val="clear" w:color="auto" w:fill="CCEEFF"/>
          </w:tcPr>
          <w:p>
            <w:pPr>
              <w:spacing w:after="0"/>
              <w:rPr>
                <w:rFonts w:ascii="Arial" w:cs="Arial" w:eastAsia="Arial" w:hAnsi="Arial"/>
                <w:sz w:val="18"/>
                <w:szCs w:val="18"/>
                <w:color w:val="0000EE"/>
                <w:w w:val="93"/>
              </w:rPr>
            </w:pPr>
            <w:hyperlink w:anchor="page227">
              <w:r>
                <w:rPr>
                  <w:rFonts w:ascii="Arial" w:cs="Arial" w:eastAsia="Arial" w:hAnsi="Arial"/>
                  <w:sz w:val="18"/>
                  <w:szCs w:val="18"/>
                  <w:color w:val="0000EE"/>
                  <w:w w:val="93"/>
                </w:rPr>
                <w:t>Notes to Condensed Consolidated Financial Statements (Unaudited)</w:t>
              </w:r>
            </w:hyperlink>
          </w:p>
        </w:tc>
        <w:tc>
          <w:tcPr>
            <w:tcW w:w="2680" w:type="dxa"/>
            <w:vAlign w:val="bottom"/>
            <w:gridSpan w:val="12"/>
            <w:shd w:val="clear" w:color="auto" w:fill="CCEEFF"/>
          </w:tcPr>
          <w:p>
            <w:pPr>
              <w:spacing w:after="0"/>
              <w:rPr>
                <w:sz w:val="21"/>
                <w:szCs w:val="21"/>
                <w:color w:val="auto"/>
              </w:rPr>
            </w:pPr>
          </w:p>
        </w:tc>
        <w:tc>
          <w:tcPr>
            <w:tcW w:w="380" w:type="dxa"/>
            <w:vAlign w:val="bottom"/>
            <w:gridSpan w:val="3"/>
            <w:shd w:val="clear" w:color="auto" w:fill="CCEEFF"/>
          </w:tcPr>
          <w:p>
            <w:pPr>
              <w:jc w:val="right"/>
              <w:spacing w:after="0"/>
              <w:rPr>
                <w:rFonts w:ascii="Arial" w:cs="Arial" w:eastAsia="Arial" w:hAnsi="Arial"/>
                <w:sz w:val="18"/>
                <w:szCs w:val="18"/>
                <w:color w:val="0000EE"/>
                <w:w w:val="97"/>
              </w:rPr>
            </w:pPr>
            <w:hyperlink w:anchor="page227">
              <w:r>
                <w:rPr>
                  <w:rFonts w:ascii="Arial" w:cs="Arial" w:eastAsia="Arial" w:hAnsi="Arial"/>
                  <w:sz w:val="18"/>
                  <w:szCs w:val="18"/>
                  <w:color w:val="0000EE"/>
                  <w:w w:val="97"/>
                </w:rPr>
                <w:t>F-44</w:t>
              </w:r>
            </w:hyperlink>
          </w:p>
        </w:tc>
        <w:tc>
          <w:tcPr>
            <w:tcW w:w="1260" w:type="dxa"/>
            <w:vAlign w:val="bottom"/>
          </w:tcPr>
          <w:p>
            <w:pPr>
              <w:spacing w:after="0"/>
              <w:rPr>
                <w:sz w:val="21"/>
                <w:szCs w:val="21"/>
                <w:color w:val="auto"/>
              </w:rPr>
            </w:pPr>
          </w:p>
        </w:tc>
      </w:tr>
      <w:tr>
        <w:trPr>
          <w:trHeight w:val="242"/>
        </w:trPr>
        <w:tc>
          <w:tcPr>
            <w:tcW w:w="12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220" w:type="dxa"/>
            <w:vAlign w:val="bottom"/>
            <w:tcBorders>
              <w:top w:val="single" w:sz="8" w:color="0000EE"/>
            </w:tcBorders>
            <w:gridSpan w:val="9"/>
          </w:tcPr>
          <w:p>
            <w:pPr>
              <w:jc w:val="center"/>
              <w:ind w:left="10"/>
              <w:spacing w:after="0"/>
              <w:rPr>
                <w:sz w:val="20"/>
                <w:szCs w:val="20"/>
                <w:color w:val="auto"/>
              </w:rPr>
            </w:pPr>
            <w:r>
              <w:rPr>
                <w:rFonts w:ascii="Arial" w:cs="Arial" w:eastAsia="Arial" w:hAnsi="Arial"/>
                <w:sz w:val="18"/>
                <w:szCs w:val="18"/>
                <w:color w:val="auto"/>
                <w:w w:val="99"/>
              </w:rPr>
              <w:t>Churchill Capital Corp IV</w:t>
            </w:r>
          </w:p>
        </w:tc>
        <w:tc>
          <w:tcPr>
            <w:tcW w:w="2680" w:type="dxa"/>
            <w:vAlign w:val="bottom"/>
            <w:tcBorders>
              <w:top w:val="single" w:sz="8" w:color="CCEEFF"/>
            </w:tcBorders>
            <w:gridSpan w:val="12"/>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260" w:type="dxa"/>
            <w:vAlign w:val="bottom"/>
          </w:tcPr>
          <w:p>
            <w:pPr>
              <w:spacing w:after="0"/>
              <w:rPr>
                <w:sz w:val="21"/>
                <w:szCs w:val="2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gridSpan w:val="21"/>
          </w:tcPr>
          <w:p>
            <w:pPr>
              <w:jc w:val="center"/>
              <w:ind w:right="2540"/>
              <w:spacing w:after="0"/>
              <w:rPr>
                <w:sz w:val="20"/>
                <w:szCs w:val="20"/>
                <w:color w:val="auto"/>
              </w:rPr>
            </w:pPr>
            <w:r>
              <w:rPr>
                <w:rFonts w:ascii="Arial" w:cs="Arial" w:eastAsia="Arial" w:hAnsi="Arial"/>
                <w:sz w:val="18"/>
                <w:szCs w:val="18"/>
                <w:color w:val="auto"/>
                <w:w w:val="95"/>
              </w:rPr>
              <w:t>Audited Financial Statements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1260" w:type="dxa"/>
            <w:vAlign w:val="bottom"/>
          </w:tcPr>
          <w:p>
            <w:pPr>
              <w:spacing w:after="0"/>
              <w:rPr>
                <w:sz w:val="20"/>
                <w:szCs w:val="20"/>
                <w:color w:val="auto"/>
              </w:rPr>
            </w:pPr>
          </w:p>
        </w:tc>
        <w:tc>
          <w:tcPr>
            <w:tcW w:w="4420" w:type="dxa"/>
            <w:vAlign w:val="bottom"/>
            <w:gridSpan w:val="15"/>
            <w:shd w:val="clear" w:color="auto" w:fill="CCEEFF"/>
          </w:tcPr>
          <w:p>
            <w:pPr>
              <w:spacing w:after="0"/>
              <w:rPr>
                <w:rFonts w:ascii="Arial" w:cs="Arial" w:eastAsia="Arial" w:hAnsi="Arial"/>
                <w:sz w:val="18"/>
                <w:szCs w:val="18"/>
                <w:color w:val="0000EE"/>
                <w:w w:val="95"/>
              </w:rPr>
            </w:pPr>
            <w:hyperlink w:anchor="page251">
              <w:r>
                <w:rPr>
                  <w:rFonts w:ascii="Arial" w:cs="Arial" w:eastAsia="Arial" w:hAnsi="Arial"/>
                  <w:sz w:val="18"/>
                  <w:szCs w:val="18"/>
                  <w:color w:val="0000EE"/>
                  <w:w w:val="95"/>
                </w:rPr>
                <w:t>Report of Independent Registered Public Accounting Firm</w:t>
              </w:r>
            </w:hyperlink>
          </w:p>
        </w:tc>
        <w:tc>
          <w:tcPr>
            <w:tcW w:w="3400" w:type="dxa"/>
            <w:vAlign w:val="bottom"/>
            <w:gridSpan w:val="15"/>
            <w:shd w:val="clear" w:color="auto" w:fill="CCEEFF"/>
          </w:tcPr>
          <w:p>
            <w:pPr>
              <w:spacing w:after="0"/>
              <w:rPr>
                <w:sz w:val="20"/>
                <w:szCs w:val="20"/>
                <w:color w:val="auto"/>
              </w:rPr>
            </w:pPr>
          </w:p>
        </w:tc>
        <w:tc>
          <w:tcPr>
            <w:tcW w:w="380" w:type="dxa"/>
            <w:vAlign w:val="bottom"/>
            <w:gridSpan w:val="3"/>
            <w:shd w:val="clear" w:color="auto" w:fill="CCEEFF"/>
          </w:tcPr>
          <w:p>
            <w:pPr>
              <w:jc w:val="right"/>
              <w:spacing w:after="0"/>
              <w:rPr>
                <w:rFonts w:ascii="Arial" w:cs="Arial" w:eastAsia="Arial" w:hAnsi="Arial"/>
                <w:sz w:val="18"/>
                <w:szCs w:val="18"/>
                <w:color w:val="0000EE"/>
                <w:w w:val="97"/>
              </w:rPr>
            </w:pPr>
            <w:hyperlink w:anchor="page251">
              <w:r>
                <w:rPr>
                  <w:rFonts w:ascii="Arial" w:cs="Arial" w:eastAsia="Arial" w:hAnsi="Arial"/>
                  <w:sz w:val="18"/>
                  <w:szCs w:val="18"/>
                  <w:color w:val="0000EE"/>
                  <w:w w:val="97"/>
                </w:rPr>
                <w:t>F-68</w:t>
              </w:r>
            </w:hyperlink>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4420" w:type="dxa"/>
            <w:vAlign w:val="bottom"/>
            <w:gridSpan w:val="15"/>
          </w:tcPr>
          <w:p>
            <w:pPr>
              <w:spacing w:after="0"/>
              <w:rPr>
                <w:rFonts w:ascii="Arial" w:cs="Arial" w:eastAsia="Arial" w:hAnsi="Arial"/>
                <w:sz w:val="18"/>
                <w:szCs w:val="18"/>
                <w:color w:val="0000EE"/>
              </w:rPr>
            </w:pPr>
            <w:hyperlink w:anchor="page252">
              <w:r>
                <w:rPr>
                  <w:rFonts w:ascii="Arial" w:cs="Arial" w:eastAsia="Arial" w:hAnsi="Arial"/>
                  <w:sz w:val="18"/>
                  <w:szCs w:val="18"/>
                  <w:color w:val="0000EE"/>
                </w:rPr>
                <w:t>Balance Sheet as of December 31, 2020 (As Restated)</w:t>
              </w:r>
            </w:hyperlink>
          </w:p>
        </w:tc>
        <w:tc>
          <w:tcPr>
            <w:tcW w:w="3400" w:type="dxa"/>
            <w:vAlign w:val="bottom"/>
            <w:gridSpan w:val="15"/>
          </w:tcPr>
          <w:p>
            <w:pPr>
              <w:spacing w:after="0"/>
              <w:rPr>
                <w:sz w:val="19"/>
                <w:szCs w:val="19"/>
                <w:color w:val="auto"/>
              </w:rPr>
            </w:pPr>
          </w:p>
        </w:tc>
        <w:tc>
          <w:tcPr>
            <w:tcW w:w="380" w:type="dxa"/>
            <w:vAlign w:val="bottom"/>
            <w:gridSpan w:val="3"/>
          </w:tcPr>
          <w:p>
            <w:pPr>
              <w:jc w:val="right"/>
              <w:spacing w:after="0"/>
              <w:rPr>
                <w:rFonts w:ascii="Arial" w:cs="Arial" w:eastAsia="Arial" w:hAnsi="Arial"/>
                <w:sz w:val="18"/>
                <w:szCs w:val="18"/>
                <w:color w:val="0000EE"/>
                <w:w w:val="97"/>
              </w:rPr>
            </w:pPr>
            <w:hyperlink w:anchor="page252">
              <w:r>
                <w:rPr>
                  <w:rFonts w:ascii="Arial" w:cs="Arial" w:eastAsia="Arial" w:hAnsi="Arial"/>
                  <w:sz w:val="18"/>
                  <w:szCs w:val="18"/>
                  <w:color w:val="0000EE"/>
                  <w:w w:val="97"/>
                </w:rPr>
                <w:t>F-69</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260" w:type="dxa"/>
            <w:vAlign w:val="bottom"/>
          </w:tcPr>
          <w:p>
            <w:pPr>
              <w:spacing w:after="0"/>
              <w:rPr>
                <w:sz w:val="18"/>
                <w:szCs w:val="18"/>
                <w:color w:val="auto"/>
              </w:rPr>
            </w:pPr>
          </w:p>
        </w:tc>
        <w:tc>
          <w:tcPr>
            <w:tcW w:w="7620" w:type="dxa"/>
            <w:vAlign w:val="bottom"/>
            <w:tcBorders>
              <w:bottom w:val="single" w:sz="8" w:color="0000EE"/>
            </w:tcBorders>
            <w:gridSpan w:val="29"/>
            <w:shd w:val="clear" w:color="auto" w:fill="CCEEFF"/>
          </w:tcPr>
          <w:p>
            <w:pPr>
              <w:spacing w:after="0"/>
              <w:rPr>
                <w:rFonts w:ascii="Arial" w:cs="Arial" w:eastAsia="Arial" w:hAnsi="Arial"/>
                <w:sz w:val="18"/>
                <w:szCs w:val="18"/>
                <w:color w:val="0000EE"/>
                <w:w w:val="96"/>
              </w:rPr>
            </w:pPr>
            <w:hyperlink w:anchor="page253">
              <w:r>
                <w:rPr>
                  <w:rFonts w:ascii="Arial" w:cs="Arial" w:eastAsia="Arial" w:hAnsi="Arial"/>
                  <w:sz w:val="18"/>
                  <w:szCs w:val="18"/>
                  <w:color w:val="0000EE"/>
                  <w:w w:val="96"/>
                </w:rPr>
                <w:t>Statement of Operations for the Period From April 30, 2020 (Inception) through December 31, 2020</w:t>
              </w:r>
            </w:hyperlink>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spacing w:after="0" w:line="196" w:lineRule="exact"/>
              <w:rPr>
                <w:rFonts w:ascii="Arial" w:cs="Arial" w:eastAsia="Arial" w:hAnsi="Arial"/>
                <w:sz w:val="18"/>
                <w:szCs w:val="18"/>
                <w:color w:val="0000EE"/>
                <w:w w:val="92"/>
              </w:rPr>
            </w:pPr>
            <w:hyperlink w:anchor="page253">
              <w:r>
                <w:rPr>
                  <w:rFonts w:ascii="Arial" w:cs="Arial" w:eastAsia="Arial" w:hAnsi="Arial"/>
                  <w:sz w:val="18"/>
                  <w:szCs w:val="18"/>
                  <w:color w:val="0000EE"/>
                  <w:w w:val="92"/>
                </w:rPr>
                <w:t>(As Restated)</w:t>
              </w:r>
            </w:hyperlink>
          </w:p>
        </w:tc>
        <w:tc>
          <w:tcPr>
            <w:tcW w:w="6600" w:type="dxa"/>
            <w:vAlign w:val="bottom"/>
            <w:gridSpan w:val="26"/>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line="196" w:lineRule="exact"/>
              <w:rPr>
                <w:rFonts w:ascii="Arial" w:cs="Arial" w:eastAsia="Arial" w:hAnsi="Arial"/>
                <w:sz w:val="18"/>
                <w:szCs w:val="18"/>
                <w:color w:val="0000EE"/>
                <w:w w:val="97"/>
              </w:rPr>
            </w:pPr>
            <w:hyperlink w:anchor="page253">
              <w:r>
                <w:rPr>
                  <w:rFonts w:ascii="Arial" w:cs="Arial" w:eastAsia="Arial" w:hAnsi="Arial"/>
                  <w:sz w:val="18"/>
                  <w:szCs w:val="18"/>
                  <w:color w:val="0000EE"/>
                  <w:w w:val="97"/>
                </w:rPr>
                <w:t>F-70</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08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254">
              <w:r>
                <w:rPr>
                  <w:rFonts w:ascii="Arial" w:cs="Arial" w:eastAsia="Arial" w:hAnsi="Arial"/>
                  <w:sz w:val="18"/>
                  <w:szCs w:val="18"/>
                  <w:color w:val="0000EE"/>
                  <w:w w:val="96"/>
                </w:rPr>
                <w:t>Statement of Changes in Stockholders’ Equity for the Period From April 30, 2020 (Inception)</w:t>
              </w:r>
            </w:hyperlink>
          </w:p>
        </w:tc>
        <w:tc>
          <w:tcPr>
            <w:tcW w:w="740" w:type="dxa"/>
            <w:vAlign w:val="bottom"/>
            <w:gridSpan w:val="10"/>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through December 31, 2020 (As Restated)</w:t>
              </w:r>
            </w:hyperlink>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54">
              <w:r>
                <w:rPr>
                  <w:rFonts w:ascii="Arial" w:cs="Arial" w:eastAsia="Arial" w:hAnsi="Arial"/>
                  <w:sz w:val="18"/>
                  <w:szCs w:val="18"/>
                  <w:color w:val="0000EE"/>
                  <w:w w:val="97"/>
                </w:rPr>
                <w:t>F-71</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820" w:type="dxa"/>
            <w:vAlign w:val="bottom"/>
            <w:gridSpan w:val="30"/>
            <w:shd w:val="clear" w:color="auto" w:fill="CCEEFF"/>
          </w:tcPr>
          <w:p>
            <w:pPr>
              <w:spacing w:after="0"/>
              <w:rPr>
                <w:rFonts w:ascii="Arial" w:cs="Arial" w:eastAsia="Arial" w:hAnsi="Arial"/>
                <w:sz w:val="18"/>
                <w:szCs w:val="18"/>
                <w:color w:val="0000EE"/>
                <w:w w:val="97"/>
              </w:rPr>
            </w:pPr>
            <w:hyperlink w:anchor="page255">
              <w:r>
                <w:rPr>
                  <w:rFonts w:ascii="Arial" w:cs="Arial" w:eastAsia="Arial" w:hAnsi="Arial"/>
                  <w:sz w:val="18"/>
                  <w:szCs w:val="18"/>
                  <w:color w:val="0000EE"/>
                  <w:w w:val="97"/>
                </w:rPr>
                <w:t>Statement of Cash Flows for the Period From April 30, 2020 (Inception) through December 31, 2020</w:t>
              </w:r>
            </w:hyperlink>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4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w:anchor="page255">
              <w:r>
                <w:rPr>
                  <w:rFonts w:ascii="Arial" w:cs="Arial" w:eastAsia="Arial" w:hAnsi="Arial"/>
                  <w:sz w:val="18"/>
                  <w:szCs w:val="18"/>
                  <w:color w:val="0000EE"/>
                  <w:w w:val="92"/>
                </w:rPr>
                <w:t>(As Restated)</w:t>
              </w:r>
            </w:hyperlink>
          </w:p>
        </w:tc>
        <w:tc>
          <w:tcPr>
            <w:tcW w:w="6400" w:type="dxa"/>
            <w:vAlign w:val="bottom"/>
            <w:tcBorders>
              <w:top w:val="single" w:sz="8" w:color="0000EE"/>
            </w:tcBorders>
            <w:gridSpan w:val="25"/>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w w:val="97"/>
              </w:rPr>
            </w:pPr>
            <w:hyperlink w:anchor="page255">
              <w:r>
                <w:rPr>
                  <w:rFonts w:ascii="Arial" w:cs="Arial" w:eastAsia="Arial" w:hAnsi="Arial"/>
                  <w:sz w:val="18"/>
                  <w:szCs w:val="18"/>
                  <w:color w:val="0000EE"/>
                  <w:w w:val="97"/>
                </w:rPr>
                <w:t>F-72</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1260" w:type="dxa"/>
            <w:vAlign w:val="bottom"/>
          </w:tcPr>
          <w:p>
            <w:pPr>
              <w:spacing w:after="0"/>
              <w:rPr>
                <w:sz w:val="19"/>
                <w:szCs w:val="19"/>
                <w:color w:val="auto"/>
              </w:rPr>
            </w:pPr>
          </w:p>
        </w:tc>
        <w:tc>
          <w:tcPr>
            <w:tcW w:w="7820" w:type="dxa"/>
            <w:vAlign w:val="bottom"/>
            <w:gridSpan w:val="30"/>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Notes to Financial Statements</w:t>
              </w:r>
            </w:hyperlink>
          </w:p>
        </w:tc>
        <w:tc>
          <w:tcPr>
            <w:tcW w:w="380" w:type="dxa"/>
            <w:vAlign w:val="bottom"/>
            <w:gridSpan w:val="3"/>
          </w:tcPr>
          <w:p>
            <w:pPr>
              <w:jc w:val="right"/>
              <w:spacing w:after="0"/>
              <w:rPr>
                <w:rFonts w:ascii="Arial" w:cs="Arial" w:eastAsia="Arial" w:hAnsi="Arial"/>
                <w:sz w:val="18"/>
                <w:szCs w:val="18"/>
                <w:color w:val="0000EE"/>
                <w:w w:val="97"/>
              </w:rPr>
            </w:pPr>
            <w:hyperlink w:anchor="page256">
              <w:r>
                <w:rPr>
                  <w:rFonts w:ascii="Arial" w:cs="Arial" w:eastAsia="Arial" w:hAnsi="Arial"/>
                  <w:sz w:val="18"/>
                  <w:szCs w:val="18"/>
                  <w:color w:val="0000EE"/>
                  <w:w w:val="97"/>
                </w:rPr>
                <w:t>F-73</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2"/>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900" w:type="dxa"/>
            <w:vAlign w:val="bottom"/>
            <w:gridSpan w:val="21"/>
            <w:shd w:val="clear" w:color="auto" w:fill="CCEEFF"/>
          </w:tcPr>
          <w:p>
            <w:pPr>
              <w:jc w:val="center"/>
              <w:ind w:right="2580"/>
              <w:spacing w:after="0"/>
              <w:rPr>
                <w:sz w:val="20"/>
                <w:szCs w:val="20"/>
                <w:color w:val="auto"/>
              </w:rPr>
            </w:pPr>
            <w:r>
              <w:rPr>
                <w:rFonts w:ascii="Arial" w:cs="Arial" w:eastAsia="Arial" w:hAnsi="Arial"/>
                <w:sz w:val="18"/>
                <w:szCs w:val="18"/>
                <w:color w:val="auto"/>
                <w:w w:val="99"/>
              </w:rPr>
              <w:t>Churchill Capital Corp IV</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44"/>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300" w:type="dxa"/>
            <w:vAlign w:val="bottom"/>
            <w:gridSpan w:val="24"/>
            <w:shd w:val="clear" w:color="auto" w:fill="CCEEFF"/>
          </w:tcPr>
          <w:p>
            <w:pPr>
              <w:jc w:val="center"/>
              <w:ind w:right="1140"/>
              <w:spacing w:after="0"/>
              <w:rPr>
                <w:sz w:val="20"/>
                <w:szCs w:val="20"/>
                <w:color w:val="auto"/>
              </w:rPr>
            </w:pPr>
            <w:r>
              <w:rPr>
                <w:rFonts w:ascii="Arial" w:cs="Arial" w:eastAsia="Arial" w:hAnsi="Arial"/>
                <w:sz w:val="18"/>
                <w:szCs w:val="18"/>
                <w:color w:val="auto"/>
                <w:w w:val="93"/>
              </w:rPr>
              <w:t>Unaudited Condensed Consolidated Financial Statements</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7820" w:type="dxa"/>
            <w:vAlign w:val="bottom"/>
            <w:gridSpan w:val="30"/>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Condensed Consolidated Balance Sheets as of March 31, 2021 (Unaudited) and December 31,</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56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9"/>
              </w:rPr>
            </w:pPr>
            <w:hyperlink w:anchor="page276">
              <w:r>
                <w:rPr>
                  <w:rFonts w:ascii="Arial" w:cs="Arial" w:eastAsia="Arial" w:hAnsi="Arial"/>
                  <w:sz w:val="18"/>
                  <w:szCs w:val="18"/>
                  <w:color w:val="0000EE"/>
                  <w:w w:val="89"/>
                </w:rPr>
                <w:t>2020</w:t>
              </w:r>
            </w:hyperlink>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76">
              <w:r>
                <w:rPr>
                  <w:rFonts w:ascii="Arial" w:cs="Arial" w:eastAsia="Arial" w:hAnsi="Arial"/>
                  <w:sz w:val="18"/>
                  <w:szCs w:val="18"/>
                  <w:color w:val="0000EE"/>
                  <w:w w:val="97"/>
                </w:rPr>
                <w:t>F-93</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180" w:type="dxa"/>
            <w:vAlign w:val="bottom"/>
            <w:tcBorders>
              <w:bottom w:val="single" w:sz="8" w:color="0000EE"/>
            </w:tcBorders>
            <w:gridSpan w:val="22"/>
            <w:shd w:val="clear" w:color="auto" w:fill="CCEEFF"/>
          </w:tcPr>
          <w:p>
            <w:pPr>
              <w:spacing w:after="0"/>
              <w:rPr>
                <w:rFonts w:ascii="Arial" w:cs="Arial" w:eastAsia="Arial" w:hAnsi="Arial"/>
                <w:sz w:val="18"/>
                <w:szCs w:val="18"/>
                <w:color w:val="0000EE"/>
                <w:w w:val="94"/>
              </w:rPr>
            </w:pPr>
            <w:hyperlink w:anchor="page277">
              <w:r>
                <w:rPr>
                  <w:rFonts w:ascii="Arial" w:cs="Arial" w:eastAsia="Arial" w:hAnsi="Arial"/>
                  <w:sz w:val="18"/>
                  <w:szCs w:val="18"/>
                  <w:color w:val="0000EE"/>
                  <w:w w:val="94"/>
                </w:rPr>
                <w:t>Condensed Consolidated Statement of Operations for the Three Months Ended March 31, 2021</w:t>
              </w:r>
            </w:hyperlink>
          </w:p>
        </w:tc>
        <w:tc>
          <w:tcPr>
            <w:tcW w:w="640" w:type="dxa"/>
            <w:vAlign w:val="bottom"/>
            <w:tcBorders>
              <w:bottom w:val="single" w:sz="8" w:color="CCEEFF"/>
            </w:tcBorders>
            <w:gridSpan w:val="8"/>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40" w:type="dxa"/>
            <w:vAlign w:val="bottom"/>
            <w:gridSpan w:val="29"/>
            <w:shd w:val="clear" w:color="auto" w:fill="CCEEFF"/>
          </w:tcPr>
          <w:p>
            <w:pPr>
              <w:spacing w:after="0" w:line="196" w:lineRule="exact"/>
              <w:rPr>
                <w:rFonts w:ascii="Arial" w:cs="Arial" w:eastAsia="Arial" w:hAnsi="Arial"/>
                <w:sz w:val="18"/>
                <w:szCs w:val="18"/>
                <w:color w:val="0000EE"/>
              </w:rPr>
            </w:pPr>
            <w:hyperlink w:anchor="page277">
              <w:r>
                <w:rPr>
                  <w:rFonts w:ascii="Arial" w:cs="Arial" w:eastAsia="Arial" w:hAnsi="Arial"/>
                  <w:sz w:val="18"/>
                  <w:szCs w:val="18"/>
                  <w:color w:val="0000EE"/>
                </w:rPr>
                <w:t>(Unaudited)</w:t>
              </w:r>
            </w:hyperlink>
          </w:p>
        </w:tc>
        <w:tc>
          <w:tcPr>
            <w:tcW w:w="380" w:type="dxa"/>
            <w:vAlign w:val="bottom"/>
            <w:gridSpan w:val="3"/>
            <w:shd w:val="clear" w:color="auto" w:fill="CCEEFF"/>
          </w:tcPr>
          <w:p>
            <w:pPr>
              <w:jc w:val="right"/>
              <w:spacing w:after="0" w:line="196" w:lineRule="exact"/>
              <w:rPr>
                <w:rFonts w:ascii="Arial" w:cs="Arial" w:eastAsia="Arial" w:hAnsi="Arial"/>
                <w:sz w:val="18"/>
                <w:szCs w:val="18"/>
                <w:color w:val="0000EE"/>
                <w:w w:val="97"/>
              </w:rPr>
            </w:pPr>
            <w:hyperlink w:anchor="page277">
              <w:r>
                <w:rPr>
                  <w:rFonts w:ascii="Arial" w:cs="Arial" w:eastAsia="Arial" w:hAnsi="Arial"/>
                  <w:sz w:val="18"/>
                  <w:szCs w:val="18"/>
                  <w:color w:val="0000EE"/>
                  <w:w w:val="97"/>
                </w:rPr>
                <w:t>F-94</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600" w:type="dxa"/>
            <w:vAlign w:val="bottom"/>
            <w:tcBorders>
              <w:bottom w:val="single" w:sz="8" w:color="0000EE"/>
            </w:tcBorders>
            <w:gridSpan w:val="28"/>
          </w:tcPr>
          <w:p>
            <w:pPr>
              <w:spacing w:after="0"/>
              <w:rPr>
                <w:rFonts w:ascii="Arial" w:cs="Arial" w:eastAsia="Arial" w:hAnsi="Arial"/>
                <w:sz w:val="18"/>
                <w:szCs w:val="18"/>
                <w:color w:val="0000EE"/>
                <w:w w:val="94"/>
              </w:rPr>
            </w:pPr>
            <w:hyperlink w:anchor="page278">
              <w:r>
                <w:rPr>
                  <w:rFonts w:ascii="Arial" w:cs="Arial" w:eastAsia="Arial" w:hAnsi="Arial"/>
                  <w:sz w:val="18"/>
                  <w:szCs w:val="18"/>
                  <w:color w:val="0000EE"/>
                  <w:w w:val="94"/>
                </w:rPr>
                <w:t>Condensed Consolidated Statement of Changes in Stockholders’ Equity for the Three Months Ended</w:t>
              </w:r>
            </w:hyperlink>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278">
              <w:r>
                <w:rPr>
                  <w:rFonts w:ascii="Arial" w:cs="Arial" w:eastAsia="Arial" w:hAnsi="Arial"/>
                  <w:sz w:val="18"/>
                  <w:szCs w:val="18"/>
                  <w:color w:val="0000EE"/>
                </w:rPr>
                <w:t>March 31, 2021 (Unaudited)</w:t>
              </w:r>
            </w:hyperlink>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78">
              <w:r>
                <w:rPr>
                  <w:rFonts w:ascii="Arial" w:cs="Arial" w:eastAsia="Arial" w:hAnsi="Arial"/>
                  <w:sz w:val="18"/>
                  <w:szCs w:val="18"/>
                  <w:color w:val="0000EE"/>
                  <w:w w:val="97"/>
                </w:rPr>
                <w:t>F-95</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240" w:type="dxa"/>
            <w:vAlign w:val="bottom"/>
            <w:tcBorders>
              <w:bottom w:val="single" w:sz="8" w:color="0000EE"/>
            </w:tcBorders>
            <w:gridSpan w:val="23"/>
            <w:shd w:val="clear" w:color="auto" w:fill="CCEEFF"/>
          </w:tcPr>
          <w:p>
            <w:pPr>
              <w:spacing w:after="0"/>
              <w:rPr>
                <w:rFonts w:ascii="Arial" w:cs="Arial" w:eastAsia="Arial" w:hAnsi="Arial"/>
                <w:sz w:val="18"/>
                <w:szCs w:val="18"/>
                <w:color w:val="0000EE"/>
                <w:w w:val="94"/>
              </w:rPr>
            </w:pPr>
            <w:hyperlink w:anchor="page279">
              <w:r>
                <w:rPr>
                  <w:rFonts w:ascii="Arial" w:cs="Arial" w:eastAsia="Arial" w:hAnsi="Arial"/>
                  <w:sz w:val="18"/>
                  <w:szCs w:val="18"/>
                  <w:color w:val="0000EE"/>
                  <w:w w:val="94"/>
                </w:rPr>
                <w:t>Condensed Consolidated Statement of Cash Flows for the Three Months Ended March 31, 2021</w:t>
              </w:r>
            </w:hyperlink>
          </w:p>
        </w:tc>
        <w:tc>
          <w:tcPr>
            <w:tcW w:w="580" w:type="dxa"/>
            <w:vAlign w:val="bottom"/>
            <w:tcBorders>
              <w:bottom w:val="single" w:sz="8" w:color="CCEEFF"/>
            </w:tcBorders>
            <w:gridSpan w:val="7"/>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40" w:type="dxa"/>
            <w:vAlign w:val="bottom"/>
            <w:gridSpan w:val="29"/>
            <w:shd w:val="clear" w:color="auto" w:fill="CCEEFF"/>
          </w:tcPr>
          <w:p>
            <w:pPr>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(Unaudited)</w:t>
              </w:r>
            </w:hyperlink>
          </w:p>
        </w:tc>
        <w:tc>
          <w:tcPr>
            <w:tcW w:w="380" w:type="dxa"/>
            <w:vAlign w:val="bottom"/>
            <w:gridSpan w:val="3"/>
            <w:shd w:val="clear" w:color="auto" w:fill="CCEEFF"/>
          </w:tcPr>
          <w:p>
            <w:pPr>
              <w:jc w:val="right"/>
              <w:spacing w:after="0" w:line="196" w:lineRule="exact"/>
              <w:rPr>
                <w:rFonts w:ascii="Arial" w:cs="Arial" w:eastAsia="Arial" w:hAnsi="Arial"/>
                <w:sz w:val="18"/>
                <w:szCs w:val="18"/>
                <w:color w:val="0000EE"/>
                <w:w w:val="97"/>
              </w:rPr>
            </w:pPr>
            <w:hyperlink w:anchor="page279">
              <w:r>
                <w:rPr>
                  <w:rFonts w:ascii="Arial" w:cs="Arial" w:eastAsia="Arial" w:hAnsi="Arial"/>
                  <w:sz w:val="18"/>
                  <w:szCs w:val="18"/>
                  <w:color w:val="0000EE"/>
                  <w:w w:val="97"/>
                </w:rPr>
                <w:t>F-96</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1260" w:type="dxa"/>
            <w:vAlign w:val="bottom"/>
          </w:tcPr>
          <w:p>
            <w:pPr>
              <w:spacing w:after="0"/>
              <w:rPr>
                <w:sz w:val="19"/>
                <w:szCs w:val="19"/>
                <w:color w:val="auto"/>
              </w:rPr>
            </w:pPr>
          </w:p>
        </w:tc>
        <w:tc>
          <w:tcPr>
            <w:tcW w:w="5140" w:type="dxa"/>
            <w:vAlign w:val="bottom"/>
            <w:gridSpan w:val="18"/>
          </w:tcPr>
          <w:p>
            <w:pPr>
              <w:spacing w:after="0"/>
              <w:rPr>
                <w:rFonts w:ascii="Arial" w:cs="Arial" w:eastAsia="Arial" w:hAnsi="Arial"/>
                <w:sz w:val="18"/>
                <w:szCs w:val="18"/>
                <w:color w:val="0000EE"/>
                <w:w w:val="93"/>
              </w:rPr>
            </w:pPr>
            <w:hyperlink w:anchor="page280">
              <w:r>
                <w:rPr>
                  <w:rFonts w:ascii="Arial" w:cs="Arial" w:eastAsia="Arial" w:hAnsi="Arial"/>
                  <w:sz w:val="18"/>
                  <w:szCs w:val="18"/>
                  <w:color w:val="0000EE"/>
                  <w:w w:val="93"/>
                </w:rPr>
                <w:t>Notes to Condensed Consolidated Financial Statements (Unaudited)</w:t>
              </w:r>
            </w:hyperlink>
          </w:p>
        </w:tc>
        <w:tc>
          <w:tcPr>
            <w:tcW w:w="2680" w:type="dxa"/>
            <w:vAlign w:val="bottom"/>
            <w:gridSpan w:val="12"/>
          </w:tcPr>
          <w:p>
            <w:pPr>
              <w:spacing w:after="0"/>
              <w:rPr>
                <w:sz w:val="19"/>
                <w:szCs w:val="19"/>
                <w:color w:val="auto"/>
              </w:rPr>
            </w:pPr>
          </w:p>
        </w:tc>
        <w:tc>
          <w:tcPr>
            <w:tcW w:w="380" w:type="dxa"/>
            <w:vAlign w:val="bottom"/>
            <w:gridSpan w:val="3"/>
          </w:tcPr>
          <w:p>
            <w:pPr>
              <w:jc w:val="right"/>
              <w:spacing w:after="0"/>
              <w:rPr>
                <w:rFonts w:ascii="Arial" w:cs="Arial" w:eastAsia="Arial" w:hAnsi="Arial"/>
                <w:sz w:val="18"/>
                <w:szCs w:val="18"/>
                <w:color w:val="0000EE"/>
                <w:w w:val="97"/>
              </w:rPr>
            </w:pPr>
            <w:hyperlink w:anchor="page280">
              <w:r>
                <w:rPr>
                  <w:rFonts w:ascii="Arial" w:cs="Arial" w:eastAsia="Arial" w:hAnsi="Arial"/>
                  <w:sz w:val="18"/>
                  <w:szCs w:val="18"/>
                  <w:color w:val="0000EE"/>
                  <w:w w:val="97"/>
                </w:rPr>
                <w:t>F-97</w:t>
              </w:r>
            </w:hyperlink>
          </w:p>
        </w:tc>
        <w:tc>
          <w:tcPr>
            <w:tcW w:w="1260" w:type="dxa"/>
            <w:vAlign w:val="bottom"/>
          </w:tcPr>
          <w:p>
            <w:pPr>
              <w:spacing w:after="0"/>
              <w:rPr>
                <w:sz w:val="19"/>
                <w:szCs w:val="19"/>
                <w:color w:val="auto"/>
              </w:rPr>
            </w:pPr>
          </w:p>
        </w:tc>
      </w:tr>
      <w:tr>
        <w:trPr>
          <w:trHeight w:val="614"/>
        </w:trPr>
        <w:tc>
          <w:tcPr>
            <w:tcW w:w="1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gridSpan w:val="5"/>
          </w:tcPr>
          <w:p>
            <w:pPr>
              <w:jc w:val="center"/>
              <w:ind w:right="860"/>
              <w:spacing w:after="0"/>
              <w:rPr>
                <w:sz w:val="20"/>
                <w:szCs w:val="20"/>
                <w:color w:val="auto"/>
              </w:rPr>
            </w:pPr>
            <w:r>
              <w:rPr>
                <w:rFonts w:ascii="Arial" w:cs="Arial" w:eastAsia="Arial" w:hAnsi="Arial"/>
                <w:sz w:val="18"/>
                <w:szCs w:val="18"/>
                <w:color w:val="auto"/>
                <w:w w:val="88"/>
              </w:rPr>
              <w:t>F-1</w:t>
            </w:r>
          </w:p>
        </w:tc>
        <w:tc>
          <w:tcPr>
            <w:tcW w:w="268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-7423150</wp:posOffset>
            </wp:positionV>
            <wp:extent cx="52120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5" w:name="page186"/>
    <w:bookmarkEnd w:id="18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Atieva, Inc.</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have audited the accompanying consolidated balance sheets of Atieva, Inc. (a Cayman Islands corporation) and subsidiaries (the “Company”) as of December 31, 2020 and 2019, the related consolidated statements of operations and comprehensive loss, statements of convertible preferred shares and shareholders’ deficit, and cash flows for each of the two years in the period ended December 31, 2020, and the related notes (collectively referred to as the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1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4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7"/>
          </w:tcPr>
          <w:p>
            <w:pPr>
              <w:ind w:lef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6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3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spacing w:after="0" w:line="202" w:lineRule="exact"/>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614,412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351,684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Restricted cash, current portion</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11,278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19,767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505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21,840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29,610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662,556</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423,236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713,274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142,813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spacing w:after="0" w:line="202" w:lineRule="exact"/>
              <w:rPr>
                <w:sz w:val="20"/>
                <w:szCs w:val="20"/>
                <w:color w:val="auto"/>
              </w:rPr>
            </w:pPr>
            <w:r>
              <w:rPr>
                <w:rFonts w:ascii="Arial" w:cs="Arial" w:eastAsia="Arial" w:hAnsi="Arial"/>
                <w:sz w:val="18"/>
                <w:szCs w:val="18"/>
                <w:color w:val="auto"/>
              </w:rPr>
              <w:t>Security deposits</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3,901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Restricted cash, less current portion</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14,728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8,222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1,402,681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579,602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spacing w:after="0" w:line="185" w:lineRule="exact"/>
              <w:rPr>
                <w:sz w:val="20"/>
                <w:szCs w:val="20"/>
                <w:color w:val="auto"/>
              </w:rPr>
            </w:pPr>
            <w:r>
              <w:rPr>
                <w:rFonts w:ascii="Arial" w:cs="Arial" w:eastAsia="Arial" w:hAnsi="Arial"/>
                <w:sz w:val="18"/>
                <w:szCs w:val="18"/>
                <w:b w:val="1"/>
                <w:bCs w:val="1"/>
                <w:color w:val="auto"/>
                <w:w w:val="99"/>
              </w:rPr>
              <w:t>LIABILITIES, CONVERTIBLE PREFERRED SHARES AND SHAREHOLDERS’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6400" w:type="dxa"/>
            <w:vAlign w:val="bottom"/>
            <w:gridSpan w:val="3"/>
          </w:tcPr>
          <w:p>
            <w:pPr>
              <w:ind w:left="1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17,333</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12,656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16,197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146,083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46,079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5,670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185,283</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65,858</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Contingent forward contract liability</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spacing w:after="0" w:line="202" w:lineRule="exact"/>
              <w:rPr>
                <w:sz w:val="20"/>
                <w:szCs w:val="20"/>
                <w:color w:val="auto"/>
              </w:rPr>
            </w:pPr>
            <w:r>
              <w:rPr>
                <w:rFonts w:ascii="Arial" w:cs="Arial" w:eastAsia="Arial" w:hAnsi="Arial"/>
                <w:sz w:val="18"/>
                <w:szCs w:val="18"/>
                <w:color w:val="auto"/>
              </w:rPr>
              <w:t>Convertible preferred share warrant liability</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2,960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1,755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38,905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Income tax liabilities</w:t>
            </w:r>
          </w:p>
        </w:tc>
        <w:tc>
          <w:tcPr>
            <w:tcW w:w="8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CONVERTIBLE PREFERRED SHARES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3"/>
          </w:tcPr>
          <w:p>
            <w:pPr>
              <w:spacing w:after="0" w:line="201" w:lineRule="exact"/>
              <w:rPr>
                <w:sz w:val="20"/>
                <w:szCs w:val="20"/>
                <w:color w:val="auto"/>
              </w:rPr>
            </w:pPr>
            <w:r>
              <w:rPr>
                <w:rFonts w:ascii="Arial" w:cs="Arial" w:eastAsia="Arial" w:hAnsi="Arial"/>
                <w:sz w:val="18"/>
                <w:szCs w:val="18"/>
                <w:color w:val="auto"/>
              </w:rPr>
              <w:t>Convertible preferred shares, $0.0001 par value; 400,510,507 and 286,632,918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w w:val="96"/>
              </w:rPr>
              <w:t>shares authorized as of December 31, 2020 and 2019, respectively; 362,011,991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w w:val="98"/>
              </w:rPr>
              <w:t>and 190,084,166 shares issued and outstanding as of December 31, 2020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w w:val="99"/>
              </w:rPr>
              <w:t>2019, respectively; liquidation preference of $3,497,913, and $1,084,191 as of</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December 31, 2020 and 2019, respectively</w:t>
            </w:r>
          </w:p>
        </w:tc>
        <w:tc>
          <w:tcPr>
            <w:tcW w:w="8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w w:val="94"/>
              </w:rPr>
              <w:t>2,494,076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1,074,010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DEFICIT:</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3"/>
          </w:tcPr>
          <w:p>
            <w:pPr>
              <w:spacing w:after="0" w:line="201" w:lineRule="exact"/>
              <w:rPr>
                <w:sz w:val="20"/>
                <w:szCs w:val="20"/>
                <w:color w:val="auto"/>
              </w:rPr>
            </w:pPr>
            <w:r>
              <w:rPr>
                <w:rFonts w:ascii="Arial" w:cs="Arial" w:eastAsia="Arial" w:hAnsi="Arial"/>
                <w:sz w:val="18"/>
                <w:szCs w:val="18"/>
                <w:color w:val="auto"/>
              </w:rPr>
              <w:t>Common shares, par value $0.0001; 450,000,098 and 335,130,459 shares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authorized as of December 31, 2020 and 2019, respectively; 10,889,451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8,051,722 shares issued and outstanding as of December 2020 and 2019,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38,115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9"/>
              </w:rPr>
              <w:t>(1,356,893)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(637,513)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deficit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(1,318,777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(621,080)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260" w:type="dxa"/>
            <w:vAlign w:val="bottom"/>
          </w:tcPr>
          <w:p>
            <w:pPr>
              <w:spacing w:after="0" w:line="191" w:lineRule="exact"/>
              <w:rPr>
                <w:sz w:val="20"/>
                <w:szCs w:val="20"/>
                <w:color w:val="auto"/>
              </w:rPr>
            </w:pPr>
            <w:r>
              <w:rPr>
                <w:rFonts w:ascii="Arial" w:cs="Arial" w:eastAsia="Arial" w:hAnsi="Arial"/>
                <w:sz w:val="18"/>
                <w:szCs w:val="18"/>
                <w:b w:val="1"/>
                <w:bCs w:val="1"/>
                <w:color w:val="auto"/>
              </w:rPr>
              <w:t>TOTAL LIABILITIES, CONVERTIBLE PREFERRED SHARES AND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vMerge w:val="restart"/>
          </w:tcPr>
          <w:p>
            <w:pPr>
              <w:jc w:val="right"/>
              <w:ind w:right="41"/>
              <w:spacing w:after="0"/>
              <w:rPr>
                <w:sz w:val="20"/>
                <w:szCs w:val="20"/>
                <w:color w:val="auto"/>
              </w:rPr>
            </w:pPr>
            <w:r>
              <w:rPr>
                <w:rFonts w:ascii="Arial" w:cs="Arial" w:eastAsia="Arial" w:hAnsi="Arial"/>
                <w:sz w:val="18"/>
                <w:szCs w:val="18"/>
                <w:b w:val="1"/>
                <w:bCs w:val="1"/>
                <w:color w:val="auto"/>
                <w:w w:val="94"/>
              </w:rPr>
              <w:t>1,402,681</w:t>
            </w:r>
          </w:p>
        </w:tc>
        <w:tc>
          <w:tcPr>
            <w:tcW w:w="2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579,602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gridSpan w:val="3"/>
          </w:tcPr>
          <w:p>
            <w:pPr>
              <w:ind w:left="180"/>
              <w:spacing w:after="0"/>
              <w:rPr>
                <w:sz w:val="20"/>
                <w:szCs w:val="20"/>
                <w:color w:val="auto"/>
              </w:rPr>
            </w:pPr>
            <w:r>
              <w:rPr>
                <w:rFonts w:ascii="Arial" w:cs="Arial" w:eastAsia="Arial" w:hAnsi="Arial"/>
                <w:sz w:val="18"/>
                <w:szCs w:val="18"/>
                <w:b w:val="1"/>
                <w:bCs w:val="1"/>
                <w:color w:val="auto"/>
              </w:rPr>
              <w:t>SHAREHOLDERS’ DEFICIT</w:t>
            </w:r>
          </w:p>
        </w:tc>
        <w:tc>
          <w:tcPr>
            <w:tcW w:w="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-453390</wp:posOffset>
            </wp:positionV>
            <wp:extent cx="46888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46888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-2502535</wp:posOffset>
            </wp:positionV>
            <wp:extent cx="46888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-3034030</wp:posOffset>
            </wp:positionV>
            <wp:extent cx="46888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-4268470</wp:posOffset>
            </wp:positionV>
            <wp:extent cx="468884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-4799965</wp:posOffset>
            </wp:positionV>
            <wp:extent cx="46888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-6111240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-6111240</wp:posOffset>
            </wp:positionV>
            <wp:extent cx="342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57"/>
        </w:trPr>
        <w:tc>
          <w:tcPr>
            <w:tcW w:w="6340" w:type="dxa"/>
            <w:vAlign w:val="bottom"/>
            <w:tcBorders>
              <w:top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511,110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89,023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38,375</w:t>
            </w:r>
          </w:p>
        </w:tc>
        <w:tc>
          <w:tcPr>
            <w:tcW w:w="0" w:type="dxa"/>
            <w:vAlign w:val="bottom"/>
          </w:tcPr>
          <w:p>
            <w:pPr>
              <w:spacing w:after="0"/>
              <w:rPr>
                <w:sz w:val="1"/>
                <w:szCs w:val="1"/>
                <w:color w:val="auto"/>
              </w:rPr>
            </w:pPr>
          </w:p>
        </w:tc>
      </w:tr>
      <w:tr>
        <w:trPr>
          <w:trHeight w:val="263"/>
        </w:trPr>
        <w:tc>
          <w:tcPr>
            <w:tcW w:w="6340" w:type="dxa"/>
            <w:vAlign w:val="bottom"/>
            <w:tcBorders>
              <w:top w:val="single" w:sz="8" w:color="CCEEFF"/>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600,133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(599,227)</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(257,934)</w:t>
            </w:r>
          </w:p>
        </w:tc>
        <w:tc>
          <w:tcPr>
            <w:tcW w:w="0" w:type="dxa"/>
            <w:vAlign w:val="bottom"/>
          </w:tcPr>
          <w:p>
            <w:pPr>
              <w:spacing w:after="0"/>
              <w:rPr>
                <w:sz w:val="1"/>
                <w:szCs w:val="1"/>
                <w:color w:val="auto"/>
              </w:rPr>
            </w:pPr>
          </w:p>
        </w:tc>
      </w:tr>
      <w:tr>
        <w:trPr>
          <w:trHeight w:val="25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(118,382)</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preferred share warrant liability</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63"/>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34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(120,341)</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(benefit) for income taxes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(719,568)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(277,334)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40" w:type="dxa"/>
            <w:vAlign w:val="bottom"/>
          </w:tcPr>
          <w:p>
            <w:pPr>
              <w:ind w:left="18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(719,380)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(277,357)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180"/>
              <w:spacing w:after="0"/>
              <w:rPr>
                <w:sz w:val="20"/>
                <w:szCs w:val="20"/>
                <w:color w:val="auto"/>
              </w:rPr>
            </w:pPr>
            <w:r>
              <w:rPr>
                <w:rFonts w:ascii="Arial" w:cs="Arial" w:eastAsia="Arial" w:hAnsi="Arial"/>
                <w:sz w:val="18"/>
                <w:szCs w:val="18"/>
                <w:color w:val="auto"/>
              </w:rPr>
              <w:t>Deemed contribution related to repurchase of Series B convertible preferred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Pr>
          <w:p>
            <w:pPr>
              <w:ind w:left="36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Deemed contribution related to repurchase of Series C convertible preferred</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4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(705,596)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(269,422)</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shares used in computing net loss per share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common shareholders – basic and diluted</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9,389,540</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7,789,421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-1508125</wp:posOffset>
            </wp:positionV>
            <wp:extent cx="468884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-1859915</wp:posOffset>
            </wp:positionV>
            <wp:extent cx="46888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-3213735</wp:posOffset>
            </wp:positionV>
            <wp:extent cx="46888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-3882390</wp:posOffset>
            </wp:positionV>
            <wp:extent cx="468884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-4225290</wp:posOffset>
            </wp:positionV>
            <wp:extent cx="137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-4225290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CONSOLIDATED STATEMENTS OF CONVERTIBLE PREFERRED SHARES AND SHAREHOLDERS’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3"/>
        </w:trPr>
        <w:tc>
          <w:tcPr>
            <w:tcW w:w="3000" w:type="dxa"/>
            <w:vAlign w:val="bottom"/>
          </w:tcPr>
          <w:p>
            <w:pPr>
              <w:spacing w:after="0" w:line="20" w:lineRule="exact"/>
              <w:rPr>
                <w:sz w:val="1"/>
                <w:szCs w:val="1"/>
                <w:color w:val="auto"/>
              </w:rPr>
            </w:pPr>
          </w:p>
        </w:tc>
        <w:tc>
          <w:tcPr>
            <w:tcW w:w="202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9"/>
        </w:trPr>
        <w:tc>
          <w:tcPr>
            <w:tcW w:w="300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202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Preferred Shares</w:t>
            </w:r>
          </w:p>
        </w:tc>
        <w:tc>
          <w:tcPr>
            <w:tcW w:w="20" w:type="dxa"/>
            <w:vAlign w:val="bottom"/>
            <w:shd w:val="clear" w:color="auto" w:fill="000000"/>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rPr>
              <w:t>Common Shares</w:t>
            </w:r>
          </w:p>
        </w:tc>
        <w:tc>
          <w:tcPr>
            <w:tcW w:w="8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7"/>
            <w:vMerge w:val="continue"/>
          </w:tcPr>
          <w:p>
            <w:pPr>
              <w:spacing w:after="0"/>
              <w:rPr>
                <w:sz w:val="9"/>
                <w:szCs w:val="9"/>
                <w:color w:val="auto"/>
              </w:rPr>
            </w:pPr>
          </w:p>
        </w:tc>
        <w:tc>
          <w:tcPr>
            <w:tcW w:w="880" w:type="dxa"/>
            <w:vAlign w:val="bottom"/>
            <w:gridSpan w:val="3"/>
            <w:vMerge w:val="restart"/>
          </w:tcPr>
          <w:p>
            <w:pPr>
              <w:jc w:val="center"/>
              <w:ind w:right="280"/>
              <w:spacing w:after="0" w:line="125"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
        </w:trPr>
        <w:tc>
          <w:tcPr>
            <w:tcW w:w="30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51,909,271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259,960</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7,626,961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(360,156)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(359,860)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(277,357)</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(277,357)</w:t>
            </w:r>
          </w:p>
        </w:tc>
        <w:tc>
          <w:tcPr>
            <w:tcW w:w="0" w:type="dxa"/>
            <w:vAlign w:val="bottom"/>
          </w:tcPr>
          <w:p>
            <w:pPr>
              <w:spacing w:after="0"/>
              <w:rPr>
                <w:sz w:val="1"/>
                <w:szCs w:val="1"/>
                <w:color w:val="auto"/>
              </w:rPr>
            </w:pPr>
          </w:p>
        </w:tc>
      </w:tr>
      <w:tr>
        <w:trPr>
          <w:trHeight w:val="229"/>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Series C</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convertible preferred shares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(3,571,429)</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(47,531)</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(2,469)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Extinguishment of Series C</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convertible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(10,404)</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10,404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235"/>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D convertible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141,746,324</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871,985</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180"/>
              <w:spacing w:after="0"/>
              <w:rPr>
                <w:sz w:val="20"/>
                <w:szCs w:val="20"/>
                <w:color w:val="auto"/>
              </w:rPr>
            </w:pPr>
            <w:r>
              <w:rPr>
                <w:rFonts w:ascii="Arial" w:cs="Arial" w:eastAsia="Arial" w:hAnsi="Arial"/>
                <w:sz w:val="18"/>
                <w:szCs w:val="18"/>
                <w:color w:val="auto"/>
              </w:rPr>
              <w:t>Exercise of share options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424,761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63"/>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190,084,166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1,074,010</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8,051,722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16,432</w:t>
            </w:r>
          </w:p>
        </w:tc>
        <w:tc>
          <w:tcPr>
            <w:tcW w:w="2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(637,513)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(621,080)</w:t>
            </w:r>
          </w:p>
        </w:tc>
        <w:tc>
          <w:tcPr>
            <w:tcW w:w="0" w:type="dxa"/>
            <w:vAlign w:val="bottom"/>
          </w:tcPr>
          <w:p>
            <w:pPr>
              <w:spacing w:after="0"/>
              <w:rPr>
                <w:sz w:val="1"/>
                <w:szCs w:val="1"/>
                <w:color w:val="auto"/>
              </w:rPr>
            </w:pPr>
          </w:p>
        </w:tc>
      </w:tr>
      <w:tr>
        <w:trPr>
          <w:trHeight w:val="257"/>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(719,380)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(719,380)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Extinguishment and</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reclassification of Series B</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360"/>
              <w:spacing w:after="0"/>
              <w:rPr>
                <w:sz w:val="20"/>
                <w:szCs w:val="20"/>
                <w:color w:val="auto"/>
              </w:rPr>
            </w:pPr>
            <w:r>
              <w:rPr>
                <w:rFonts w:ascii="Arial" w:cs="Arial" w:eastAsia="Arial" w:hAnsi="Arial"/>
                <w:sz w:val="18"/>
                <w:szCs w:val="18"/>
                <w:color w:val="auto"/>
              </w:rPr>
              <w:t>convertible 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5"/>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Series C</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convertible preferred shares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(4,352,265)</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(24,885)</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12,784</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Issuance of Series D convertible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62,402,501</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Series D contingent</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forward contract liability</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39,563</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180"/>
              <w:spacing w:after="0"/>
              <w:rPr>
                <w:sz w:val="20"/>
                <w:szCs w:val="20"/>
                <w:color w:val="auto"/>
              </w:rPr>
            </w:pPr>
            <w:r>
              <w:rPr>
                <w:rFonts w:ascii="Arial" w:cs="Arial" w:eastAsia="Arial" w:hAnsi="Arial"/>
                <w:sz w:val="18"/>
                <w:szCs w:val="18"/>
                <w:color w:val="auto"/>
              </w:rPr>
              <w:t>Issuance of Series E convertible</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113,877,589</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898,932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Series E contingent</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forward contract liability</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110,456</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rPr>
              <w:t>Exercise of share options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2,837,729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3,285</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77"/>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280" w:type="dxa"/>
            <w:vAlign w:val="bottom"/>
            <w:tcBorders>
              <w:left w:val="single" w:sz="8" w:color="CCEEFF"/>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362,011,991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2,494,076</w:t>
            </w:r>
          </w:p>
        </w:tc>
        <w:tc>
          <w:tcPr>
            <w:tcW w:w="20" w:type="dxa"/>
            <w:vAlign w:val="bottom"/>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10,889,451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38,115</w:t>
            </w:r>
          </w:p>
        </w:tc>
        <w:tc>
          <w:tcPr>
            <w:tcW w:w="2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(1,356,893)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(1,318,777)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-4577080</wp:posOffset>
            </wp:positionV>
            <wp:extent cx="12001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-4577080</wp:posOffset>
            </wp:positionV>
            <wp:extent cx="1111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-4577080</wp:posOffset>
            </wp:positionV>
            <wp:extent cx="56146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614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2" w:right="1039" w:bottom="1440" w:gutter="0" w:footer="0" w:header="0"/>
        </w:sectPr>
      </w:pPr>
    </w:p>
    <w:bookmarkStart w:id="189" w:name="page190"/>
    <w:bookmarkEnd w:id="18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6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(719,380)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(277,357)</w:t>
            </w:r>
          </w:p>
        </w:tc>
        <w:tc>
          <w:tcPr>
            <w:tcW w:w="0" w:type="dxa"/>
            <w:vAlign w:val="bottom"/>
          </w:tcPr>
          <w:p>
            <w:pPr>
              <w:spacing w:after="0"/>
              <w:rPr>
                <w:sz w:val="1"/>
                <w:szCs w:val="1"/>
                <w:color w:val="auto"/>
              </w:rPr>
            </w:pPr>
          </w:p>
        </w:tc>
      </w:tr>
      <w:tr>
        <w:trPr>
          <w:trHeight w:val="175"/>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4,614</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7,719</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140"/>
              <w:spacing w:after="0"/>
              <w:rPr>
                <w:sz w:val="20"/>
                <w:szCs w:val="20"/>
                <w:color w:val="auto"/>
              </w:rPr>
            </w:pPr>
            <w:r>
              <w:rPr>
                <w:rFonts w:ascii="Arial" w:cs="Arial" w:eastAsia="Arial" w:hAnsi="Arial"/>
                <w:sz w:val="14"/>
                <w:szCs w:val="14"/>
                <w:color w:val="auto"/>
              </w:rPr>
              <w:t>Loss on disposal of property and equipment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discount</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Change in fair value of contingent forward contracts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118,382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15,053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of warrants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7,770</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(5,010)</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 and security deposit</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(69,861)</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13,249</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Other current liabilities and accrued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53,454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28,658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(570,196)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(235,299)</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equipment, and software</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(459,582)</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(104,290)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(459,582)</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(104,290)</w:t>
            </w:r>
          </w:p>
        </w:tc>
        <w:tc>
          <w:tcPr>
            <w:tcW w:w="0" w:type="dxa"/>
            <w:vAlign w:val="bottom"/>
          </w:tcPr>
          <w:p>
            <w:pPr>
              <w:spacing w:after="0"/>
              <w:rPr>
                <w:sz w:val="1"/>
                <w:szCs w:val="1"/>
                <w:color w:val="auto"/>
              </w:rPr>
            </w:pPr>
          </w:p>
        </w:tc>
      </w:tr>
      <w:tr>
        <w:trPr>
          <w:trHeight w:val="183"/>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Proceeds from issuance of convertible note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70,949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for Capital leases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Repurchase of Series C convertible preferred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(12,101)</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Series D convertible preferred shares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600,000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Proceeds from issuance of Series E convertible preferred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899,725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share options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3,285</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1,290,545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621,432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cash equivalents, and restricted cash</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260,767</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281,843</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Beginning cash, cash equivalents, and restricted cash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379,651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97,808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Ending cash, cash equivalents, and restricted cash</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640,418</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379,651</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614,412</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351,684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26,006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27,967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restricted cash, end of period</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640,418</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379,651</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included in accounts payable and accrued expense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117,946</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Property and equipment acquired through capital leases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3,289</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Issuance of contingent forward contracts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Extinguishment of Series B convertible preferred shares included in additional paid-in capital</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Extinguishment of Series B convertible preferred shares included in accrued liabilities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Settlement of Series D convertible preferred shares contingent forward contract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39,563</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Settlement of Series E convertible preferred shares contingent forward contract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110,456</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Convertible Notes converted into Series D convertible preferred shares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Unamortized Convertible Notes debt issuance cost and debt discount converted into Series D convertible</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(36,797)</w:t>
            </w: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shares</w:t>
            </w:r>
          </w:p>
        </w:tc>
        <w:tc>
          <w:tcPr>
            <w:tcW w:w="240" w:type="dxa"/>
            <w:vAlign w:val="bottom"/>
            <w:gridSpan w:val="2"/>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Accrued interest of Convertible Notes converted to Series D convertible preferred shares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8,747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Deferred financing cost reclassed to convertible preferred shares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-1927860</wp:posOffset>
            </wp:positionV>
            <wp:extent cx="52120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-2451100</wp:posOffset>
            </wp:positionV>
            <wp:extent cx="52120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-2699385</wp:posOffset>
            </wp:positionV>
            <wp:extent cx="52120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-2828290</wp:posOffset>
            </wp:positionV>
            <wp:extent cx="254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-3676650</wp:posOffset>
            </wp:positionV>
            <wp:extent cx="52120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-3805555</wp:posOffset>
            </wp:positionV>
            <wp:extent cx="254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-4053840</wp:posOffset>
            </wp:positionV>
            <wp:extent cx="254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-4182745</wp:posOffset>
            </wp:positionV>
            <wp:extent cx="52120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-6299835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-6299835</wp:posOffset>
            </wp:positionV>
            <wp:extent cx="342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precursor of Atieva, Inc. (DBA Lucid Motors) was originally incorporated in the state of Delaware in December 2007 (“Atieva Delaware”). Atieva Delaware designed, developed, and built energy storage systems for electric vehicles and supplied automakers with the battery pack system needed to power hybrid, plug-in, and electric vehicles. In December 2009, Atieva Delaware and a newly incorporated Cayman Islands company (“Atieva Cayman”) entered into a share exchange agreement (the “Share Exchange Agreement”). Under the Share Exchange Agreement, (a) each holder of Atieva Delaware common shares exchanged such shares for shares of Atieva Cayman’s par value $0.0001 common shares (the “Common Shares”) on a one -for-one basis, and (b) each holder of Atieva Delaware Series A shares exchanged such shares for Atieva Cayman Series A shares on a one-for-one basis. Upon completion of the share exchange, Atieva Delaware was renamed as Atieva USA, Inc. with Atieva Cayman retaining the name of Atieva, Inc.</w:t>
      </w:r>
    </w:p>
    <w:p>
      <w:pPr>
        <w:spacing w:after="0" w:line="11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Subsequent to the share exchange transaction, Atieva Delaware distributed 100% of its wholly owned subsidiaries in Hong Kong and Shanghai, China (“Atieva Hong Kong” and “Atieva Shanghai,” respectively) to Atieva Cayman in December 2010. In addition, Atieva Delaware registered a branch office in Taiwan in May 2008. In 2014, Atieva Cayman and its subsidiaries (the “Company” or “our”) changed its business model to focus on the design and development of high-performance fully electric vehicles and advanced electric vehicle powertrain components.</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As part of the build- out of the Company’s retail stores and service centers for distribution of vehicles to customers, the Company changed Atieva Delaware’s legal name to Lucid USA, Inc., and incorporated new subsidiaries in the U.S. and Canada, including Lucid Group USA, Inc., a Delaware corporation in</w:t>
      </w:r>
    </w:p>
    <w:p>
      <w:pPr>
        <w:ind w:left="1260" w:right="959"/>
        <w:spacing w:after="0" w:line="239" w:lineRule="auto"/>
        <w:rPr>
          <w:sz w:val="20"/>
          <w:szCs w:val="20"/>
          <w:color w:val="auto"/>
        </w:rPr>
      </w:pPr>
      <w:r>
        <w:rPr>
          <w:rFonts w:ascii="Arial" w:cs="Arial" w:eastAsia="Arial" w:hAnsi="Arial"/>
          <w:sz w:val="18"/>
          <w:szCs w:val="18"/>
          <w:color w:val="auto"/>
        </w:rPr>
        <w:t>August 2020, and Lucid Motors Canada ULC, a British Columbia unlimited liability company and an indirect, wholly-owned subsidiary of Lucid Group USA, Inc. in December 2020. The Company is headquartered in Newark, California and has various other global office locations.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Going Concern</w:t>
      </w:r>
    </w:p>
    <w:p>
      <w:pPr>
        <w:spacing w:after="0" w:line="148"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03"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From inception through December 31, 2020, the Company has incurred operating losses and negative cash flows from operating activities. For the years ended December 31, 2020 and 2019, the Company has incurred operating losses, including net losses of $719.4 million and $277.4 million, respectively. The Company has an accumulated deficit of $1.4 billion as of December 31, 2020.</w:t>
      </w:r>
    </w:p>
    <w:p>
      <w:pPr>
        <w:spacing w:after="0" w:line="12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As of the end of 2020, the Company was finalizing construction of its newly built manufacturing plant in Casa Grande, Arizona (the “Arizona plant”). The Company plans to begin selling its first vehicle, the Lucid Air, in the second half of 2021, along with the continued expansion of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were not identified and confirmed.</w:t>
      </w:r>
    </w:p>
    <w:p>
      <w:pPr>
        <w:spacing w:after="0" w:line="11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Company’s existing sources of liquidity include cash and cash equivalents. Historically, the Company has been able to obtain debt and equity financing as disclosed in these consolidated financial statements. The Company has funded operations primarily with issuances of convertible preferred shares, convertible notes, long-term debt and net proceeds from revenues. As discussed in Note 15 — Subsequent Events, on February 22, 2021, Churchill Capital Corp IV (“CCIV”) (NYSE: CCIV), a special purpose acquisition company or SPAC, announced that it had entered into a definitive agreement with the Company for a merger that would result in the Company becoming a wholly owned subsidiary of CCIV. If such merger is ultimately completed, the Company would effectively comprise all of CCIV’s material operations. Upon completion</w:t>
      </w:r>
    </w:p>
    <w:p>
      <w:pPr>
        <w:sectPr>
          <w:pgSz w:w="11900" w:h="16838" w:orient="portrait"/>
          <w:cols w:equalWidth="0" w:num="1">
            <w:col w:w="9879"/>
          </w:cols>
          <w:pgMar w:left="580" w:top="132" w:right="1440" w:bottom="1440" w:gutter="0" w:footer="0" w:header="0"/>
        </w:sectPr>
      </w:pPr>
    </w:p>
    <w:p>
      <w:pPr>
        <w:spacing w:after="0" w:line="38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1" w:name="page192"/>
    <w:bookmarkEnd w:id="19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color w:val="auto"/>
        </w:rPr>
        <w:t>of the merger, the Company expects to receive a minimum of $2.8 billion of incremental cash from a combination of cash at CCIV and a “Private Investor in Public Entity” (PIPE) investment.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14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113"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The Company participates in a dynamic high 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10"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48"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The accompanying consolidated financial statements have been prepared pursuant to generally accepted accounting principles generally accepted in the United States of America (“U.S. GAAP”) as determined by the Financial Accounting Standards Board (“FASB”) Accounting Standards Codification (“ASC”) and pursuant to the regulations of the U.S. Securities and Exchange Commission (“SEC”).The consolidated financial statements as of and for the years ended December 31, 2020 and 2019 include the accounts of Atieva Cayman and its wholly owned subsidiaries. All significant intercompany balances accounts and transactions have been eliminated in the consolidated financial statements.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Segment Reporting</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103"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The Company has restricted cash in current assets of $11.3 million and $19.8 million as of December 31, 2020 and 2019, respectively, consisting of customer reservation payments for electric vehicles of $0.5 million and $0.3 million and the escrow deposit for building of the Arizona plant of $</w:t>
      </w:r>
    </w:p>
    <w:p>
      <w:pPr>
        <w:ind w:left="1260" w:right="459"/>
        <w:spacing w:after="0" w:line="252" w:lineRule="auto"/>
        <w:rPr>
          <w:sz w:val="20"/>
          <w:szCs w:val="20"/>
          <w:color w:val="auto"/>
        </w:rPr>
      </w:pPr>
      <w:r>
        <w:rPr>
          <w:rFonts w:ascii="Arial" w:cs="Arial" w:eastAsia="Arial" w:hAnsi="Arial"/>
          <w:sz w:val="18"/>
          <w:szCs w:val="18"/>
          <w:color w:val="auto"/>
        </w:rPr>
        <w:t>10.8 million and $19.5 million as of December 31, 2020 and 2019, respectively. As of December 31, 2020 and 2019, the Company has $14.7 million and $8.2 million, respectively, held in long-term restricted cash consisting of $5.0 million and $5.0 million, respectively, for the letter of credit required by the landlord for the headquarter facility in Newark, California, $8.0 million and $1.5 million, respectively, in letter of credit required by the landlord for the retail locations, and $1.7 million and $1.7 million, respectively, in escrow deposit required under the escrow agreement for the lease with Pinal county, Arizona, related to the Arizona plant.</w:t>
      </w:r>
    </w:p>
    <w:p>
      <w:pPr>
        <w:spacing w:after="0" w:line="111"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r>
      <w:tr>
        <w:trPr>
          <w:trHeight w:val="25"/>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$614,412</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$351,684</w:t>
            </w: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Restricted cash, current portion</w:t>
            </w:r>
          </w:p>
        </w:tc>
        <w:tc>
          <w:tcPr>
            <w:tcW w:w="680" w:type="dxa"/>
            <w:vAlign w:val="bottom"/>
          </w:tcPr>
          <w:p>
            <w:pPr>
              <w:jc w:val="right"/>
              <w:spacing w:after="0"/>
              <w:rPr>
                <w:sz w:val="20"/>
                <w:szCs w:val="20"/>
                <w:color w:val="auto"/>
              </w:rPr>
            </w:pPr>
            <w:r>
              <w:rPr>
                <w:rFonts w:ascii="Arial" w:cs="Arial" w:eastAsia="Arial" w:hAnsi="Arial"/>
                <w:sz w:val="18"/>
                <w:szCs w:val="18"/>
                <w:color w:val="auto"/>
              </w:rPr>
              <w:t>11,278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19,767</w:t>
            </w:r>
          </w:p>
        </w:tc>
      </w:tr>
      <w:tr>
        <w:trPr>
          <w:trHeight w:val="26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less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70"/>
        </w:trPr>
        <w:tc>
          <w:tcPr>
            <w:tcW w:w="5880" w:type="dxa"/>
            <w:vAlign w:val="bottom"/>
            <w:gridSpan w:val="2"/>
          </w:tcPr>
          <w:p>
            <w:pPr>
              <w:spacing w:after="0"/>
              <w:rPr>
                <w:sz w:val="20"/>
                <w:szCs w:val="20"/>
                <w:color w:val="auto"/>
              </w:rPr>
            </w:pPr>
            <w:r>
              <w:rPr>
                <w:rFonts w:ascii="Arial" w:cs="Arial" w:eastAsia="Arial" w:hAnsi="Arial"/>
                <w:sz w:val="18"/>
                <w:szCs w:val="18"/>
                <w:color w:val="auto"/>
              </w:rPr>
              <w:t>Total cash and restricted cash</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$640,418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$379,651</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-719455</wp:posOffset>
            </wp:positionV>
            <wp:extent cx="137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-719455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Accounts receivable consist of current trade receivables from a single customer. The Company records accounts receivable at their net realizable value. Management’s estimate for expected credit losses for outstanding accounts receivable are based on historical write-off experience, an analysis of the aging of outstanding receivables, customer payment patterns, and the establishment of specific reserves for customers in an adverse financial condition. Adjustments are made based upon the Company’s expectations of changes in macroeconomic conditions that may impact the collectability of outstanding receivables. The Company also considers current market conditions and reasonable and supportable forecasts of future economic conditions to inform adjustments to historical loss data. The Company reassesses the adequacy of estimated credit losses each reporting period. At December 31, 2020 and 2019, the Company did not record an allowance for doubtful accounts.</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Short-Term Investments</w:t>
      </w:r>
    </w:p>
    <w:p>
      <w:pPr>
        <w:spacing w:after="0" w:line="148"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Investments with original or remaining maturities of more than three months at the time of purchase are generally classified as short-term investments and consist of time deposits. The Company’s short-term investments consist of certificates of deposit totaling $0.5 million as of December 31, 2020 and 2019.</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consists of current trade receivables from a single customer as of December 31, 2020 and 2019, and all of the Company’s revenue is from the same customer for the years ended December 31, 2020 and 2019.</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and amortization for leasehold improvements. Depreciation is recorded using the straight-line method over the estimated useful lives of the related assets. The Company generally uses the following estimated useful lives for each asset category:</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0"/>
              </w:rPr>
              <w:t>Life (years)</w:t>
            </w:r>
          </w:p>
        </w:tc>
      </w:tr>
      <w:tr>
        <w:trPr>
          <w:trHeight w:val="26"/>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0"/>
        </w:trPr>
        <w:tc>
          <w:tcPr>
            <w:tcW w:w="3020" w:type="dxa"/>
            <w:vAlign w:val="bottom"/>
            <w:gridSpan w:val="2"/>
          </w:tcPr>
          <w:p>
            <w:pPr>
              <w:spacing w:after="0"/>
              <w:rPr>
                <w:sz w:val="20"/>
                <w:szCs w:val="20"/>
                <w:color w:val="auto"/>
              </w:rPr>
            </w:pPr>
            <w:r>
              <w:rPr>
                <w:rFonts w:ascii="Arial" w:cs="Arial" w:eastAsia="Arial" w:hAnsi="Arial"/>
                <w:sz w:val="18"/>
                <w:szCs w:val="18"/>
                <w:color w:val="auto"/>
              </w:rPr>
              <w:t>Machinery</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56"/>
        </w:trPr>
        <w:tc>
          <w:tcPr>
            <w:tcW w:w="302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57"/>
        </w:trPr>
        <w:tc>
          <w:tcPr>
            <w:tcW w:w="3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57"/>
        </w:trPr>
        <w:tc>
          <w:tcPr>
            <w:tcW w:w="30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80" w:type="dxa"/>
            <w:vAlign w:val="bottom"/>
          </w:tcPr>
          <w:p>
            <w:pPr>
              <w:jc w:val="center"/>
              <w:spacing w:after="0"/>
              <w:rPr>
                <w:sz w:val="20"/>
                <w:szCs w:val="20"/>
                <w:color w:val="auto"/>
              </w:rPr>
            </w:pPr>
            <w:r>
              <w:rPr>
                <w:rFonts w:ascii="Arial" w:cs="Arial" w:eastAsia="Arial" w:hAnsi="Arial"/>
                <w:sz w:val="18"/>
                <w:szCs w:val="18"/>
                <w:color w:val="auto"/>
                <w:w w:val="93"/>
              </w:rPr>
              <w:t>Shorter of the lease term and the estimated useful lives of the assets</w:t>
            </w:r>
          </w:p>
        </w:tc>
      </w:tr>
    </w:tbl>
    <w:p>
      <w:pPr>
        <w:spacing w:after="0" w:line="161"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Company recorded a disposition loss on fixed assets of $0.1 million for the year ended December 31, 2020 and an immaterial loss for the year ended December 31, 2019.</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Inventory, consisting of raw materials, work in progress and finished goods is stated at the lower of cost or net realizable value. Costs are computed under the standard cost method, which approximates actual costs determined on a first-in, first-out basis. Net realizable value is determined as estimated selling prices in the ordinary course of business, less reasonably predictable costs of disposal and transportation. The cost basis of the Company’s inventory is reduced for any products that are considered to be held in excess of demand or obsolete based upon assumptions about future demand and market conditions.</w:t>
      </w:r>
    </w:p>
    <w:p>
      <w:pPr>
        <w:spacing w:after="0" w:line="110" w:lineRule="exact"/>
        <w:rPr>
          <w:sz w:val="20"/>
          <w:szCs w:val="20"/>
          <w:color w:val="auto"/>
        </w:rPr>
      </w:pPr>
    </w:p>
    <w:p>
      <w:pPr>
        <w:jc w:val="both"/>
        <w:ind w:left="1260" w:right="439" w:firstLine="360"/>
        <w:spacing w:after="0" w:line="286" w:lineRule="auto"/>
        <w:rPr>
          <w:sz w:val="20"/>
          <w:szCs w:val="20"/>
          <w:color w:val="auto"/>
        </w:rPr>
      </w:pPr>
      <w:r>
        <w:rPr>
          <w:rFonts w:ascii="Arial" w:cs="Arial" w:eastAsia="Arial" w:hAnsi="Arial"/>
          <w:sz w:val="17"/>
          <w:szCs w:val="17"/>
          <w:color w:val="auto"/>
        </w:rPr>
        <w:t>The Company also reviews the status of the inventory periodically to determine whether a lower of cost or net realizable value analysis needs to be performed based on market pricing. The Company’s inventory is associated with battery pack system projects with its customer and consists of the following (in thousands):</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r>
      <w:tr>
        <w:trPr>
          <w:trHeight w:val="26"/>
        </w:trPr>
        <w:tc>
          <w:tcPr>
            <w:tcW w:w="6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7"/>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r>
      <w:tr>
        <w:trPr>
          <w:trHeight w:val="26"/>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w:t>
            </w:r>
          </w:p>
        </w:tc>
      </w:tr>
      <w:tr>
        <w:trPr>
          <w:trHeight w:val="257"/>
        </w:trPr>
        <w:tc>
          <w:tcPr>
            <w:tcW w:w="6380" w:type="dxa"/>
            <w:vAlign w:val="bottom"/>
          </w:tcPr>
          <w:p>
            <w:pPr>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70"/>
        </w:trPr>
        <w:tc>
          <w:tcPr>
            <w:tcW w:w="6380" w:type="dxa"/>
            <w:vAlign w:val="bottom"/>
          </w:tcPr>
          <w:p>
            <w:pPr>
              <w:spacing w:after="0"/>
              <w:rPr>
                <w:sz w:val="20"/>
                <w:szCs w:val="20"/>
                <w:color w:val="auto"/>
              </w:rPr>
            </w:pPr>
            <w:r>
              <w:rPr>
                <w:rFonts w:ascii="Arial" w:cs="Arial" w:eastAsia="Arial" w:hAnsi="Arial"/>
                <w:sz w:val="18"/>
                <w:szCs w:val="18"/>
                <w:color w:val="auto"/>
              </w:rPr>
              <w:t>Total inventory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1,043</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$684</w:t>
            </w:r>
          </w:p>
        </w:tc>
      </w:tr>
      <w:tr>
        <w:trPr>
          <w:trHeight w:val="21"/>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-719455</wp:posOffset>
            </wp:positionV>
            <wp:extent cx="137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-719455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did not adjust the cost basis of its inventory as of December 31, 2020 and 2019.</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ind w:left="1260" w:right="419" w:firstLine="360"/>
        <w:spacing w:after="0" w:line="274" w:lineRule="auto"/>
        <w:rPr>
          <w:sz w:val="20"/>
          <w:szCs w:val="20"/>
          <w:color w:val="auto"/>
        </w:rPr>
      </w:pPr>
      <w:r>
        <w:rPr>
          <w:rFonts w:ascii="Arial" w:cs="Arial" w:eastAsia="Arial" w:hAnsi="Arial"/>
          <w:sz w:val="16"/>
          <w:szCs w:val="16"/>
          <w:color w:val="auto"/>
        </w:rPr>
        <w:t>Long- lived assets, such as property, plant and equipment are reviewed for impairment whenever events or changes in circumstances indicate that the carrying amount of an asset may not be recoverable. If circumstances require a long -lived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No impairment loss was recognized for the years ended December 31, 2020 and 2019.</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US dollar is the functional currency of the Company’s consolidated subsidiaries operating outside of the US. Monetary assets and liabilities of these subsidiaries are remeasured into US dollars from the local currency at rates in effect at period-end and nonmonetary assets and liabilities are remeasured at historical rates. Expenses incurred in currencies other than the US dollar (the functional currency) are remeasured at average exchange rates in effect during each period. Foreign currency gains and losses from remeasurement are included within other income (expense) — net in the Company’s consolidated statements of operations, and the Company recorded a foreign currency loss of $2.5 million for the year ended December 31, 2020 mainly due to the currency fluctuations of Euro, Japanese yen, and South Korean won, and an immaterial loss for the year ended December 31, 2019.</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48" w:lineRule="exact"/>
        <w:rPr>
          <w:sz w:val="20"/>
          <w:szCs w:val="20"/>
          <w:color w:val="auto"/>
        </w:rPr>
      </w:pPr>
    </w:p>
    <w:p>
      <w:pPr>
        <w:jc w:val="both"/>
        <w:ind w:left="1260" w:right="439" w:firstLine="360"/>
        <w:spacing w:after="0" w:line="291" w:lineRule="auto"/>
        <w:rPr>
          <w:sz w:val="20"/>
          <w:szCs w:val="20"/>
          <w:color w:val="auto"/>
        </w:rPr>
      </w:pPr>
      <w:r>
        <w:rPr>
          <w:rFonts w:ascii="Arial" w:cs="Arial" w:eastAsia="Arial" w:hAnsi="Arial"/>
          <w:sz w:val="17"/>
          <w:szCs w:val="17"/>
          <w:color w:val="auto"/>
        </w:rPr>
        <w:t>On January 1, 2019 the Company adopted ASU No. 2014 -09, Revenue from Contracts with Customers (“Topic 606”) using the modified retrospective method which did not result in an adjustment upon adoption.</w:t>
      </w:r>
    </w:p>
    <w:p>
      <w:pPr>
        <w:spacing w:after="0" w:line="79" w:lineRule="exact"/>
        <w:rPr>
          <w:sz w:val="20"/>
          <w:szCs w:val="20"/>
          <w:color w:val="auto"/>
        </w:rPr>
      </w:pPr>
    </w:p>
    <w:p>
      <w:pPr>
        <w:jc w:val="both"/>
        <w:ind w:left="1260" w:right="439" w:firstLine="360"/>
        <w:spacing w:after="0" w:line="243" w:lineRule="auto"/>
        <w:rPr>
          <w:sz w:val="20"/>
          <w:szCs w:val="20"/>
          <w:color w:val="auto"/>
        </w:rPr>
      </w:pPr>
      <w:r>
        <w:rPr>
          <w:rFonts w:ascii="Arial" w:cs="Arial" w:eastAsia="Arial" w:hAnsi="Arial"/>
          <w:sz w:val="18"/>
          <w:szCs w:val="18"/>
          <w:color w:val="auto"/>
        </w:rPr>
        <w:t>The Company follows a five-step process in which the Company identifies the contract, identifies the related performance obligations, determines the transaction price, allocates the contract transaction price to the identified performance obligations, and recognizes revenue when (or as) the performance obligations are transferred to the customer.</w:t>
      </w:r>
    </w:p>
    <w:p>
      <w:pPr>
        <w:spacing w:after="0" w:line="12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Company’s revenue consists of the sales of battery pack systems, supplies and related services for vehicles. The Company identifies the sale of battery pack systems and the related supplies as a performance obligation to be recognized at the point in time when control is transferred to the customer. Control transfers to the customer when the product is delivered to the customer as the customer can then direct the use and obtain substantially all of the remaining benefits from the asset at that point in time. Shipping and handling provided by Company is considered a fulfillment activity.</w:t>
      </w:r>
    </w:p>
    <w:p>
      <w:pPr>
        <w:spacing w:after="0" w:line="10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While customers generally have the right to return defective or non -conforming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contracts do not contain significant financing components.</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5" w:name="page196"/>
    <w:bookmarkEnd w:id="19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Customer contracts generally do not include more than one performance obligation. If a contract were to contain more than one performance obligation, the Company shall allocate the contract’s transaction price to each performance obligation based on its relative standalone selling price. The standalone selling price for each distinct good is generally determined by directly observable data.</w:t>
      </w:r>
    </w:p>
    <w:p>
      <w:pPr>
        <w:spacing w:after="0" w:line="107"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The Company does not have any remaining performance obligations or contract assets and liabilities as of December 31, 2020 and 2019.</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Cost of Revenue</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Cost of revenue includes direct parts, material and labor costs, manufacturing overhead, including amortized tooling costs, shipping and logistic costs, and reserves for estimated warranty expenses related to its battery packs. Cost of revenue also includes adjustments to warranty expense and charges to write down the carrying value of inventory when it exceeds its estimated net realizable value or to provide for obsolete and on-hand inventory in excess of forecasted demand.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Warranties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Company provides a manufacturer’s warranty on all battery packs it sells and accrues a warranty reserve for such battery packs, as applicable. These estimates are based on actual claims incurred to date and an estimate of the nature, frequency and costs of future claims. Current estimates of the warranty reserve are immaterial, but changes to the Company’s historical or projected warranty experience may cause material changes to the warranty reserve in the future. The portion of the warranty reserve expected to be incurred within the next 12 months is included within accrued liabilities and other, while the remaining balance is included within other long-term liabilities in the consolidated balance sheets. The Company recorded warranty expense of zero and $0.1 million as a component of cost of revenue in the consolidated statements of operations for the years ended December 31, 2020 and 2019,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Company accounts for income taxes in accordance with FASB Accounting Standards Codification (ASC) 740, Accounting for Income Taxes, which requires an asset and liability approach. The Company utilizes the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2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0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The Company records uncertain tax positions in accordance with ASC 740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93"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The Company’s policy is to recognize interest related to unrecognized tax benefits in other income (expense) — net and to recognize penalties in general and administrative expenses in the consolidated statements of operations. Accrued interest and penalties are included within income tax liabilities in the consolidated balance sheets.</w:t>
      </w: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Share-based compensation expense related to share-based awards granted to employees is measured and recognized in the Company’s consolidated financial statements based on fair value. Share-based compensation expense, net of estimated forfeitures, is recognized on a straight-line basis over the requisite service period for each employee share option expected to vest. The fair value of each share option granted to employees and nonemployees is estimated on the grant date using the Black-Scholes option-pricing model. For nonemployee share options, the fair value is remeasured as the share options vest, and the resulting change in fair value, if any, is recognized in the consolidated statements of operations during the period the related services are rendered.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Comprehensive Income (Loss)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Comprehensive loss is composed of two components: net loss and other comprehensive income (loss). Other comprehensive income (loss) refers to revenue, expenses, gains, and losses that under US GAAP are recorded as an element of shareholders’ equity (deficit) but are excluded from net loss. For the years ended December 31, 2020 and 2019, as there are no activities that impacted comprehensive income (loss), there are no differences between comprehensive loss and net loss reported in the Company’s consolidated statements of operations.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Research and development expenses consist primarily of personnel-related expenses, contractor fees, engineering design and testing expenses, and allocated facilities cost. Substantially all of the Company’s research and development expenses are related to developing new products and services and improving existing products and services. Research and development expenses have been expensed as incurred and included in the consolidated statements of operations.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General, and Administrative</w:t>
      </w:r>
    </w:p>
    <w:p>
      <w:pPr>
        <w:spacing w:after="0" w:line="148" w:lineRule="exact"/>
        <w:rPr>
          <w:sz w:val="20"/>
          <w:szCs w:val="20"/>
          <w:color w:val="auto"/>
        </w:rPr>
      </w:pPr>
    </w:p>
    <w:p>
      <w:pPr>
        <w:ind w:left="1260" w:right="1199" w:firstLine="360"/>
        <w:spacing w:after="0" w:line="308" w:lineRule="auto"/>
        <w:rPr>
          <w:sz w:val="20"/>
          <w:szCs w:val="20"/>
          <w:color w:val="auto"/>
        </w:rPr>
      </w:pPr>
      <w:r>
        <w:rPr>
          <w:rFonts w:ascii="Arial" w:cs="Arial" w:eastAsia="Arial" w:hAnsi="Arial"/>
          <w:sz w:val="17"/>
          <w:szCs w:val="17"/>
          <w:color w:val="auto"/>
        </w:rPr>
        <w:t>Selling, general and administrative expense consist of personnel and facilities costs related to marketing, sales, finance, human resources, information technology, and legal departments.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Advertising</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Advertising is expensed as incurred and is included in sales and marketing expenses in the consolidated statements of operations. These costs were immaterial for the years ended December 31, 2020 and 2019,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An arrangement is or contains a lease if there are specified assets and the right to control the use of a specified asset is conveyed for a period in exchange for consideration. Upon lease inception, the Company classifies leases as either operating or capital leases. Leases are classified as capital leases when the terms of the lease transfers substantially all of the risks and rewards of ownership to the lessee. All other leases are classified as operating leases.</w:t>
      </w:r>
    </w:p>
    <w:p>
      <w:pPr>
        <w:spacing w:after="0" w:line="107"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6"/>
          <w:szCs w:val="16"/>
          <w:color w:val="auto"/>
        </w:rPr>
        <w:t>Operating leases are not recognized on the consolidated balance sheets. For capital leases, the Company recognizes capital lease assets and corresponding lease liabilities within the consolidated balance sheets at lease commencement at the present value of the rental payments. The Company recognizes rent expense on a straight-line basis in the statements of operations for operating leases. For capital leases, the Company recognizes interest expense associated with the capital lease liability and depreciation expense associated with the capital lease asset. For capital lease assets and leasehold improvements, the estimated useful lives are limited to the shorter of the useful life of the asset or the term of the lease.</w:t>
      </w:r>
    </w:p>
    <w:p>
      <w:pPr>
        <w:sectPr>
          <w:pgSz w:w="11900" w:h="16838" w:orient="portrait"/>
          <w:cols w:equalWidth="0" w:num="1">
            <w:col w:w="9879"/>
          </w:cols>
          <w:pgMar w:left="580" w:top="132"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The Company enters into operating and capital leases associated with its office space, manufacturing and retail facilities, and equipment. On certain of its operating lease agreements, the Company may receive rent holidays and other incentives, which are recognized over the lease term through rent expense. The difference between rent expense and the cash paid under the lease agreement is recorded as deferred rent. Lease incentives, including tenant improvement allowances, are also recorded as deferred rent and amortized on a straight-line basis over the lease term. The Company recorded deferred rent under other short-term and long-term liabilities in the consolidated balance sheets as of December 31, 2020 and 2019.</w:t>
      </w:r>
    </w:p>
    <w:p>
      <w:pPr>
        <w:spacing w:after="0" w:line="99"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If the term of the lease does not exceed 12 months, the Company elects to record the rental expense in the period it is incurred, and no deferred rent will be recorded.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Loss Per Share</w:t>
      </w:r>
    </w:p>
    <w:p>
      <w:pPr>
        <w:spacing w:after="0" w:line="162"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Basic and diluted net loss per share attributable to common shareholders is computed in conformity with the two-class method required for participating securities. The Company considers all series of its convertible preferred shares to be participating securities as the holders of such shares have the right to receive nonforfeitable dividends on a pari passu basis in the event that a dividend is paid on common shares. Under the two-class method, the net loss attributable to common shareholders is not allocated to the convertible preferred shares as the preferred shareholders do not have a contractual obligation to share in the Company’s losses.</w:t>
      </w:r>
    </w:p>
    <w:p>
      <w:pPr>
        <w:spacing w:after="0" w:line="110"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Basic net loss per share is computed by dividing net loss attributable to common shareholders by the weighted-average number of shares of common shares outstanding during the period. Diluted net loss per share is computed by giving effect to all potentially dilutive common share equivalents to the extent they are dilutive. For purposes of this calculation, convertible preferred shares, share options, convertible and convertible preferred share warrants are considered to be common share equivalents but have been excluded from the calculation of diluted net loss per share attributable to common shareholders as their effect is anti-dilutive for all periods presented.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 Credit Losses (Topic 326): Measurement of Credit Losses on Financial Instruments, to update the methodology used to measure current expected credit losses (“CECL”). This ASU applies to financial assets measured at amortized cost, including loans, net investments in leases, and trade accounts receivable as well as certain off-balance sheet credit exposures, such as loan commitments and guarantees. The Company adopted this ASU starting on January 1, 2020 using the modified retrospective transition method through a cumulative-effect adjustment to retained earnings in the period of adoption. The adoption of this ASU did not have impact to the consolidated financial statements and related disclosures.</w:t>
      </w:r>
    </w:p>
    <w:p>
      <w:pPr>
        <w:spacing w:after="0" w:line="124" w:lineRule="exact"/>
        <w:rPr>
          <w:sz w:val="20"/>
          <w:szCs w:val="20"/>
          <w:color w:val="auto"/>
        </w:rPr>
      </w:pPr>
    </w:p>
    <w:p>
      <w:pPr>
        <w:ind w:left="1260" w:right="579" w:firstLine="360"/>
        <w:spacing w:after="0" w:line="239" w:lineRule="auto"/>
        <w:rPr>
          <w:sz w:val="20"/>
          <w:szCs w:val="20"/>
          <w:color w:val="auto"/>
        </w:rPr>
      </w:pPr>
      <w:r>
        <w:rPr>
          <w:rFonts w:ascii="Arial" w:cs="Arial" w:eastAsia="Arial" w:hAnsi="Arial"/>
          <w:sz w:val="18"/>
          <w:szCs w:val="18"/>
          <w:color w:val="auto"/>
        </w:rPr>
        <w:t>In June 2018, the FASB issued ASU No. 2018-07, Compensation Stock Compensation (Topic 718): Improvements to Non- employee Share-Based Payment Accounting, which expands the scope of Topic 718 to include share-based payment transactions for acquiring goods and services from nonemployees, with certain exceptions. For nonpublic entities, the amendments are effective for fiscal years beginning after December 15, 2019, and interim periods within fiscal years beginning after December 15, 2020. Early adoption is permitted if financial statements have not yet been issued (for public business entities) or have not yet been</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8" w:name="page199"/>
    <w:bookmarkEnd w:id="19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made available for issuance (for all other entities). The Company adopted this ASU starting on January 1, 2020. The adoption of this ASU did not have a material impact to the consolidated financial statements and related disclosures.</w:t>
      </w:r>
    </w:p>
    <w:p>
      <w:pPr>
        <w:spacing w:after="0" w:line="103"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In August 2018, FASB issued ASU No. 2018-13, Fair Value Measurement (Topic 820): Disclosure Framework-Changes to the Disclosure Requirements for Fair Value Measurement. ASU No. 2018-13 modifies the disclosure requirements for fair value measurements. The new guidance is effective for fiscal years, and interim periods within those fiscal years, beginning after December 15, 2019, and early adoption is permitted. ASU No. 2018-13 requires that certain of the amendments be applied prospectively, while other amendments should be applied retrospectively to all periods presented. ASU No. 2018-13 is effective for the Company in its fiscal year 2021. The Company adopted this ASU starting on January 1, 2020. The adoption of this ASU did not have a material impact to the consolidated financial statements and related disclosures.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In February 2016, the FASB issued ASU No. 2016-02, Leases (Topic 842). The guidance outlines a comprehensive model for entities to use in accounting for leases and supersedes most current lease accounting guidance, including industry-specific guidance. The core principle of the new lease accounting model is that lessees are required, among other things, to recognize lease assets and lease liabilities in the consolidated balance sheets for those leases classified as operating leases under previous authoritative guidance. The guidance also introduces new disclosure requirements for leasing arrangements. In July 2018, the FASB issued ASU No. 2018-10, Leases (Topic 842), Codification Improvements to Topic 842, Leases, and ASU No. 2018-11, Leases (Topic 842), Targeted Improvements. ASU No. 2018-11 provides a new transition method in which an entity can initially apply the new lease standards at the adoption date and recognize a cumulative effect adjustment to the opening balance of retained earnings in the period of adoption. These standards will be effective for the Company for fiscal years beginning after December 15, 2021, and interim periods within fiscal years beginning after December 15, 2022 and early adoption is permitted. The Company will apply the new transition method prescribed by ASU No. 2018-11 at the adoption date. The Company is currently evaluating the impact of this standard on its consolidated financial statements and related disclosures.</w:t>
      </w:r>
    </w:p>
    <w:p>
      <w:pPr>
        <w:spacing w:after="0" w:line="128" w:lineRule="exact"/>
        <w:rPr>
          <w:sz w:val="20"/>
          <w:szCs w:val="20"/>
          <w:color w:val="auto"/>
        </w:rPr>
      </w:pPr>
    </w:p>
    <w:p>
      <w:pPr>
        <w:ind w:left="1260" w:right="579" w:firstLine="360"/>
        <w:spacing w:after="0" w:line="271"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removes certain exceptions for recognizing deferred taxes for investments, performing intra period allocation, and calculating income taxes in interim periods. The ASU also adds guidance to reduce complexity in certain areas, including recognizing deferred taxes for tax goodwill and allocating taxes to members of a consolidated group. The guidance is effective for the Company beginning in the first quarter of fiscal year 2022, with early adoption permitted. The Company expects the new guidance will have an immaterial impact on its consolidated financial statements and intends to adopt the guidance when it becomes effective in the first quarter of fiscal year 2022.</w:t>
      </w:r>
    </w:p>
    <w:p>
      <w:pPr>
        <w:spacing w:after="0" w:line="9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amends existing earnings-per-share, or EPS, guidance by requiring that an entity use the if-converted method when calculating diluted EPS for convertible instruments. ASU 2020-06 is effective for fiscal years beginning after December 15, 2021, including interim periods within those fiscal years, with early adoption permitted for fiscal years beginning after December 15, 2020, including interim periods within those fiscal years. We plan to adopt ASU 2020-06 effective January 1, 2022 and are currently evaluating the effect ASU 2020-06 will have on our consolidated financial statements and related disclosures.</w:t>
      </w: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BALANCE SHEETS COMPONENTS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Prepaid Expenses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Prepaid expenses as of December 31, 2020 and 2019 were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2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r>
      <w:tr>
        <w:trPr>
          <w:trHeight w:val="26"/>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testing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$14,871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Software subscriptions</w:t>
            </w:r>
          </w:p>
        </w:tc>
        <w:tc>
          <w:tcPr>
            <w:tcW w:w="600" w:type="dxa"/>
            <w:vAlign w:val="bottom"/>
          </w:tcPr>
          <w:p>
            <w:pPr>
              <w:jc w:val="right"/>
              <w:spacing w:after="0"/>
              <w:rPr>
                <w:sz w:val="20"/>
                <w:szCs w:val="20"/>
                <w:color w:val="auto"/>
              </w:rPr>
            </w:pPr>
            <w:r>
              <w:rPr>
                <w:rFonts w:ascii="Arial" w:cs="Arial" w:eastAsia="Arial" w:hAnsi="Arial"/>
                <w:sz w:val="18"/>
                <w:szCs w:val="18"/>
                <w:color w:val="auto"/>
              </w:rPr>
              <w:t>4,531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5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Prepayments for Arizona manufacturing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13,895</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Vehicle engineering</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4,855</w:t>
            </w:r>
          </w:p>
        </w:tc>
      </w:tr>
      <w:tr>
        <w:trPr>
          <w:trHeight w:val="26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63"/>
        </w:trPr>
        <w:tc>
          <w:tcPr>
            <w:tcW w:w="6060" w:type="dxa"/>
            <w:vAlign w:val="bottom"/>
          </w:tcPr>
          <w:p>
            <w:pPr>
              <w:spacing w:after="0"/>
              <w:rPr>
                <w:sz w:val="20"/>
                <w:szCs w:val="20"/>
                <w:color w:val="auto"/>
              </w:rPr>
            </w:pPr>
            <w:r>
              <w:rPr>
                <w:rFonts w:ascii="Arial" w:cs="Arial" w:eastAsia="Arial" w:hAnsi="Arial"/>
                <w:sz w:val="18"/>
                <w:szCs w:val="18"/>
                <w:color w:val="auto"/>
              </w:rPr>
              <w:t>Total prepaid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$21,840</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-1019175</wp:posOffset>
            </wp:positionV>
            <wp:extent cx="436308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Current Assets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current assets as of December 31, 2020 and 2019 were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2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2019</w:t>
            </w:r>
          </w:p>
        </w:tc>
      </w:tr>
      <w:tr>
        <w:trPr>
          <w:trHeight w:val="26"/>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Tenant allowance receivable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$12,905</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$20,463</w:t>
            </w:r>
          </w:p>
        </w:tc>
      </w:tr>
      <w:tr>
        <w:trPr>
          <w:trHeight w:val="263"/>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95"/>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$13,218</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$20,578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-556260</wp:posOffset>
            </wp:positionV>
            <wp:extent cx="436308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Accrued and Long-term Liabilities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accrued liabilities as of December 31, 2020 and 2019 were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5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r>
      <w:tr>
        <w:trPr>
          <w:trHeight w:val="25"/>
        </w:trPr>
        <w:tc>
          <w:tcPr>
            <w:tcW w:w="5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of Arizona plant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43,115</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$27,906</w:t>
            </w:r>
          </w:p>
        </w:tc>
      </w:tr>
      <w:tr>
        <w:trPr>
          <w:trHeight w:val="257"/>
        </w:trPr>
        <w:tc>
          <w:tcPr>
            <w:tcW w:w="5980" w:type="dxa"/>
            <w:vAlign w:val="bottom"/>
            <w:gridSpan w:val="2"/>
          </w:tcPr>
          <w:p>
            <w:pPr>
              <w:spacing w:after="0"/>
              <w:rPr>
                <w:sz w:val="20"/>
                <w:szCs w:val="20"/>
                <w:color w:val="auto"/>
              </w:rPr>
            </w:pPr>
            <w:r>
              <w:rPr>
                <w:rFonts w:ascii="Arial" w:cs="Arial" w:eastAsia="Arial" w:hAnsi="Arial"/>
                <w:sz w:val="18"/>
                <w:szCs w:val="18"/>
                <w:color w:val="auto"/>
              </w:rPr>
              <w:t>Engineering, design, and testing</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42,518</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11,179</w:t>
            </w:r>
          </w:p>
        </w:tc>
      </w:tr>
      <w:tr>
        <w:trPr>
          <w:trHeight w:val="25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Tooling</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57"/>
        </w:trPr>
        <w:tc>
          <w:tcPr>
            <w:tcW w:w="59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9,083</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5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preferred shares repurchase liability</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r>
      <w:tr>
        <w:trPr>
          <w:trHeight w:val="295"/>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accrued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146,083</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$46,079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36308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9" w:lineRule="exact"/>
        <w:rPr>
          <w:sz w:val="20"/>
          <w:szCs w:val="20"/>
          <w:color w:val="auto"/>
        </w:rPr>
      </w:pPr>
    </w:p>
    <w:p>
      <w:pPr>
        <w:jc w:val="right"/>
        <w:ind w:right="1199"/>
        <w:spacing w:after="0"/>
        <w:rPr>
          <w:sz w:val="20"/>
          <w:szCs w:val="20"/>
          <w:color w:val="auto"/>
        </w:rPr>
      </w:pPr>
      <w:r>
        <w:rPr>
          <w:rFonts w:ascii="Arial" w:cs="Arial" w:eastAsia="Arial" w:hAnsi="Arial"/>
          <w:sz w:val="18"/>
          <w:szCs w:val="18"/>
          <w:color w:val="auto"/>
        </w:rPr>
        <w:t>Other long-term liabilities as of December 31, 2020 and 2019 were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2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r>
      <w:tr>
        <w:trPr>
          <w:trHeight w:val="25"/>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$28,881</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$26,175</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Customer deposits</w:t>
            </w:r>
          </w:p>
        </w:tc>
        <w:tc>
          <w:tcPr>
            <w:tcW w:w="600" w:type="dxa"/>
            <w:vAlign w:val="bottom"/>
          </w:tcPr>
          <w:p>
            <w:pPr>
              <w:jc w:val="right"/>
              <w:spacing w:after="0"/>
              <w:rPr>
                <w:sz w:val="20"/>
                <w:szCs w:val="20"/>
                <w:color w:val="auto"/>
              </w:rPr>
            </w:pPr>
            <w:r>
              <w:rPr>
                <w:rFonts w:ascii="Arial" w:cs="Arial" w:eastAsia="Arial" w:hAnsi="Arial"/>
                <w:sz w:val="18"/>
                <w:szCs w:val="18"/>
                <w:color w:val="auto"/>
              </w:rPr>
              <w:t>8,028</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6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Total other long-term liabilities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$38,905</w:t>
            </w:r>
          </w:p>
        </w:tc>
        <w:tc>
          <w:tcPr>
            <w:tcW w:w="220" w:type="dxa"/>
            <w:vAlign w:val="bottom"/>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$27,793</w:t>
            </w:r>
          </w:p>
        </w:tc>
      </w:tr>
      <w:tr>
        <w:trPr>
          <w:trHeight w:val="21"/>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-685165</wp:posOffset>
            </wp:positionV>
            <wp:extent cx="436308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 net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Property, plant, and equipment as of December 31, 2020 and 2019 were as follows (in thousands):</w:t>
      </w:r>
    </w:p>
    <w:p>
      <w:pPr>
        <w:spacing w:after="0" w:line="18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Machinery</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28,830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13,127</w:t>
            </w:r>
          </w:p>
        </w:tc>
        <w:tc>
          <w:tcPr>
            <w:tcW w:w="60" w:type="dxa"/>
            <w:vAlign w:val="bottom"/>
          </w:tcPr>
          <w:p>
            <w:pPr>
              <w:spacing w:after="0"/>
              <w:rPr>
                <w:sz w:val="22"/>
                <w:szCs w:val="22"/>
                <w:color w:val="auto"/>
              </w:rPr>
            </w:pP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60" w:type="dxa"/>
            <w:vAlign w:val="bottom"/>
          </w:tcPr>
          <w:p>
            <w:pPr>
              <w:spacing w:after="0"/>
              <w:rPr>
                <w:sz w:val="22"/>
                <w:szCs w:val="22"/>
                <w:color w:val="auto"/>
              </w:rPr>
            </w:pP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10,441</w:t>
            </w:r>
          </w:p>
        </w:tc>
        <w:tc>
          <w:tcPr>
            <w:tcW w:w="60" w:type="dxa"/>
            <w:vAlign w:val="bottom"/>
          </w:tcPr>
          <w:p>
            <w:pPr>
              <w:spacing w:after="0"/>
              <w:rPr>
                <w:sz w:val="22"/>
                <w:szCs w:val="22"/>
                <w:color w:val="auto"/>
              </w:rPr>
            </w:pP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22"/>
                <w:szCs w:val="22"/>
                <w:color w:val="auto"/>
              </w:rPr>
            </w:pP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22"/>
                <w:szCs w:val="22"/>
                <w:color w:val="auto"/>
              </w:rPr>
            </w:pPr>
          </w:p>
        </w:tc>
      </w:tr>
      <w:tr>
        <w:trPr>
          <w:trHeight w:val="26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636,851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119,739</w:t>
            </w:r>
          </w:p>
        </w:tc>
        <w:tc>
          <w:tcPr>
            <w:tcW w:w="60" w:type="dxa"/>
            <w:vAlign w:val="bottom"/>
          </w:tcPr>
          <w:p>
            <w:pPr>
              <w:spacing w:after="0"/>
              <w:rPr>
                <w:sz w:val="22"/>
                <w:szCs w:val="22"/>
                <w:color w:val="auto"/>
              </w:rPr>
            </w:pP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738,039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157,367</w:t>
            </w:r>
          </w:p>
        </w:tc>
        <w:tc>
          <w:tcPr>
            <w:tcW w:w="60" w:type="dxa"/>
            <w:vAlign w:val="bottom"/>
          </w:tcPr>
          <w:p>
            <w:pPr>
              <w:spacing w:after="0"/>
              <w:rPr>
                <w:sz w:val="22"/>
                <w:szCs w:val="22"/>
                <w:color w:val="auto"/>
              </w:rPr>
            </w:pP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(24,771)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(14,554)</w:t>
            </w:r>
          </w:p>
        </w:tc>
        <w:tc>
          <w:tcPr>
            <w:tcW w:w="60" w:type="dxa"/>
            <w:vAlign w:val="bottom"/>
          </w:tcPr>
          <w:p>
            <w:pPr>
              <w:spacing w:after="0"/>
              <w:rPr>
                <w:sz w:val="22"/>
                <w:szCs w:val="22"/>
                <w:color w:val="auto"/>
              </w:rPr>
            </w:pPr>
          </w:p>
        </w:tc>
      </w:tr>
      <w:tr>
        <w:trPr>
          <w:trHeight w:val="270"/>
        </w:trPr>
        <w:tc>
          <w:tcPr>
            <w:tcW w:w="5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713,274</w:t>
            </w: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142,813</w:t>
            </w:r>
          </w:p>
        </w:tc>
        <w:tc>
          <w:tcPr>
            <w:tcW w:w="60" w:type="dxa"/>
            <w:vAlign w:val="bottom"/>
          </w:tcPr>
          <w:p>
            <w:pPr>
              <w:spacing w:after="0"/>
              <w:rPr>
                <w:sz w:val="23"/>
                <w:szCs w:val="23"/>
                <w:color w:val="auto"/>
              </w:rPr>
            </w:pPr>
          </w:p>
        </w:tc>
      </w:tr>
      <w:tr>
        <w:trPr>
          <w:trHeight w:val="21"/>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-1713865</wp:posOffset>
            </wp:positionV>
            <wp:extent cx="430339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5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8"/>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r>
      <w:tr>
        <w:trPr>
          <w:trHeight w:val="25"/>
        </w:trPr>
        <w:tc>
          <w:tcPr>
            <w:tcW w:w="5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Tooling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$203,241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w:t>
            </w:r>
          </w:p>
        </w:tc>
      </w:tr>
      <w:tr>
        <w:trPr>
          <w:trHeight w:val="257"/>
        </w:trPr>
        <w:tc>
          <w:tcPr>
            <w:tcW w:w="5900" w:type="dxa"/>
            <w:vAlign w:val="bottom"/>
            <w:gridSpan w:val="2"/>
          </w:tcPr>
          <w:p>
            <w:pPr>
              <w:spacing w:after="0"/>
              <w:rPr>
                <w:sz w:val="20"/>
                <w:szCs w:val="20"/>
                <w:color w:val="auto"/>
              </w:rPr>
            </w:pPr>
            <w:r>
              <w:rPr>
                <w:rFonts w:ascii="Arial" w:cs="Arial" w:eastAsia="Arial" w:hAnsi="Arial"/>
                <w:sz w:val="18"/>
                <w:szCs w:val="18"/>
                <w:color w:val="auto"/>
              </w:rPr>
              <w:t>Construction of Arizona plant</w:t>
            </w:r>
          </w:p>
        </w:tc>
        <w:tc>
          <w:tcPr>
            <w:tcW w:w="680" w:type="dxa"/>
            <w:vAlign w:val="bottom"/>
          </w:tcPr>
          <w:p>
            <w:pPr>
              <w:jc w:val="right"/>
              <w:spacing w:after="0"/>
              <w:rPr>
                <w:sz w:val="20"/>
                <w:szCs w:val="20"/>
                <w:color w:val="auto"/>
              </w:rPr>
            </w:pPr>
            <w:r>
              <w:rPr>
                <w:rFonts w:ascii="Arial" w:cs="Arial" w:eastAsia="Arial" w:hAnsi="Arial"/>
                <w:sz w:val="18"/>
                <w:szCs w:val="18"/>
                <w:color w:val="auto"/>
              </w:rPr>
              <w:t>171,532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59,842</w:t>
            </w:r>
          </w:p>
        </w:tc>
      </w:tr>
      <w:tr>
        <w:trPr>
          <w:trHeight w:val="25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22,667</w:t>
            </w:r>
          </w:p>
        </w:tc>
      </w:tr>
      <w:tr>
        <w:trPr>
          <w:trHeight w:val="264"/>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211,288</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r>
      <w:tr>
        <w:trPr>
          <w:trHeight w:val="295"/>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construction in progress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$636,851</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119,739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2054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32054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31165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pacing w:after="0" w:line="195"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Depreciation and amortization expense for the years ended December 31, 2020 and 2019, was approximately $10.2 million and $3.8 million, respectively, including capital lease depreciation expense of approximately $0.5 million and $0.2 million,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OF FINANCIAL INSTRUMENTS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9" w:lineRule="exact"/>
        <w:rPr>
          <w:sz w:val="20"/>
          <w:szCs w:val="20"/>
          <w:color w:val="auto"/>
        </w:rPr>
      </w:pPr>
    </w:p>
    <w:p>
      <w:pPr>
        <w:ind w:left="1800" w:right="559" w:hanging="180"/>
        <w:spacing w:after="0" w:line="277" w:lineRule="auto"/>
        <w:tabs>
          <w:tab w:leader="none" w:pos="1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that are accessible at the measurement date for identical assets or liabilities.</w:t>
      </w:r>
    </w:p>
    <w:p>
      <w:pPr>
        <w:spacing w:after="0" w:line="89"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92" w:lineRule="exact"/>
        <w:rPr>
          <w:rFonts w:ascii="Arial" w:cs="Arial" w:eastAsia="Arial" w:hAnsi="Arial"/>
          <w:sz w:val="18"/>
          <w:szCs w:val="18"/>
          <w:color w:val="auto"/>
        </w:rPr>
      </w:pPr>
    </w:p>
    <w:p>
      <w:pPr>
        <w:ind w:left="1800" w:right="679" w:hanging="180"/>
        <w:spacing w:after="0" w:line="257" w:lineRule="auto"/>
        <w:tabs>
          <w:tab w:leader="none" w:pos="1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3 — 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and contingent forward contract liability, in which the fair value was measured upon issuance and is remeasured at each reporting date. The valuation methodology and underlying assumptions are discussed further in Note 6 “Contingent Forward Contracts” and Note 7 “Convertible Preferred Share Warrant Liability”.</w:t>
      </w:r>
    </w:p>
    <w:p>
      <w:pPr>
        <w:spacing w:after="0" w:line="111"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2020 (in thousands):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r>
      <w:tr>
        <w:trPr>
          <w:trHeight w:val="25"/>
        </w:trPr>
        <w:tc>
          <w:tcPr>
            <w:tcW w:w="5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color w:val="auto"/>
              </w:rPr>
              <w:t>Short-term investment–</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5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57"/>
        </w:trPr>
        <w:tc>
          <w:tcPr>
            <w:tcW w:w="5400" w:type="dxa"/>
            <w:vAlign w:val="bottom"/>
          </w:tcPr>
          <w:p>
            <w:pPr>
              <w:ind w:left="180"/>
              <w:spacing w:after="0"/>
              <w:rPr>
                <w:sz w:val="20"/>
                <w:szCs w:val="20"/>
                <w:color w:val="auto"/>
              </w:rPr>
            </w:pPr>
            <w:r>
              <w:rPr>
                <w:rFonts w:ascii="Arial" w:cs="Arial" w:eastAsia="Arial" w:hAnsi="Arial"/>
                <w:sz w:val="18"/>
                <w:szCs w:val="18"/>
                <w:color w:val="auto"/>
              </w:rPr>
              <w:t>Restricted cash – short term</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11,278</w:t>
            </w:r>
          </w:p>
        </w:tc>
        <w:tc>
          <w:tcPr>
            <w:tcW w:w="8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11,278</w:t>
            </w:r>
          </w:p>
        </w:tc>
      </w:tr>
      <w:tr>
        <w:trPr>
          <w:trHeight w:val="263"/>
        </w:trPr>
        <w:tc>
          <w:tcPr>
            <w:tcW w:w="5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long term</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14,728</w:t>
            </w:r>
          </w:p>
        </w:tc>
        <w:tc>
          <w:tcPr>
            <w:tcW w:w="2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14,728</w:t>
            </w:r>
          </w:p>
        </w:tc>
      </w:tr>
      <w:tr>
        <w:trPr>
          <w:trHeight w:val="20"/>
        </w:trPr>
        <w:tc>
          <w:tcPr>
            <w:tcW w:w="5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26,006</w:t>
            </w:r>
          </w:p>
        </w:tc>
        <w:tc>
          <w:tcPr>
            <w:tcW w:w="2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505</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26,511</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63"/>
        </w:trPr>
        <w:tc>
          <w:tcPr>
            <w:tcW w:w="5400" w:type="dxa"/>
            <w:vAlign w:val="bottom"/>
          </w:tcPr>
          <w:p>
            <w:pPr>
              <w:ind w:left="180"/>
              <w:spacing w:after="0"/>
              <w:rPr>
                <w:sz w:val="20"/>
                <w:szCs w:val="20"/>
                <w:color w:val="auto"/>
              </w:rPr>
            </w:pPr>
            <w:r>
              <w:rPr>
                <w:rFonts w:ascii="Arial" w:cs="Arial" w:eastAsia="Arial" w:hAnsi="Arial"/>
                <w:sz w:val="18"/>
                <w:szCs w:val="18"/>
                <w:color w:val="auto"/>
              </w:rPr>
              <w:t>Convertible preferred share warrant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2,960</w:t>
            </w:r>
          </w:p>
        </w:tc>
      </w:tr>
      <w:tr>
        <w:trPr>
          <w:trHeight w:val="20"/>
        </w:trPr>
        <w:tc>
          <w:tcPr>
            <w:tcW w:w="5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9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-213995</wp:posOffset>
            </wp:positionV>
            <wp:extent cx="14605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3719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-1567815</wp:posOffset>
            </wp:positionV>
            <wp:extent cx="13716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-1567815</wp:posOffset>
            </wp:positionV>
            <wp:extent cx="43630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222"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2019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Total</w:t>
            </w:r>
          </w:p>
        </w:tc>
      </w:tr>
      <w:tr>
        <w:trPr>
          <w:trHeight w:val="26"/>
        </w:trPr>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Short-term investment-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 of deposit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505</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57"/>
        </w:trPr>
        <w:tc>
          <w:tcPr>
            <w:tcW w:w="5320" w:type="dxa"/>
            <w:vAlign w:val="bottom"/>
          </w:tcPr>
          <w:p>
            <w:pPr>
              <w:ind w:left="180"/>
              <w:spacing w:after="0"/>
              <w:rPr>
                <w:sz w:val="20"/>
                <w:szCs w:val="20"/>
                <w:color w:val="auto"/>
              </w:rPr>
            </w:pPr>
            <w:r>
              <w:rPr>
                <w:rFonts w:ascii="Arial" w:cs="Arial" w:eastAsia="Arial" w:hAnsi="Arial"/>
                <w:sz w:val="18"/>
                <w:szCs w:val="18"/>
                <w:color w:val="auto"/>
              </w:rPr>
              <w:t>Restricted cash – short term</w:t>
            </w:r>
          </w:p>
        </w:tc>
        <w:tc>
          <w:tcPr>
            <w:tcW w:w="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19,767</w:t>
            </w:r>
          </w:p>
        </w:tc>
        <w:tc>
          <w:tcPr>
            <w:tcW w:w="100" w:type="dxa"/>
            <w:vAlign w:val="bottom"/>
          </w:tcPr>
          <w:p>
            <w:pPr>
              <w:spacing w:after="0"/>
              <w:rPr>
                <w:sz w:val="22"/>
                <w:szCs w:val="22"/>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19,767</w:t>
            </w:r>
          </w:p>
        </w:tc>
      </w:tr>
      <w:tr>
        <w:trPr>
          <w:trHeight w:val="263"/>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long term</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27,967</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505</w:t>
            </w:r>
          </w:p>
        </w:tc>
        <w:tc>
          <w:tcPr>
            <w:tcW w:w="2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28,472</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57"/>
        </w:trPr>
        <w:tc>
          <w:tcPr>
            <w:tcW w:w="5320" w:type="dxa"/>
            <w:vAlign w:val="bottom"/>
          </w:tcPr>
          <w:p>
            <w:pPr>
              <w:ind w:left="180"/>
              <w:spacing w:after="0"/>
              <w:rPr>
                <w:sz w:val="20"/>
                <w:szCs w:val="20"/>
                <w:color w:val="auto"/>
              </w:rPr>
            </w:pPr>
            <w:r>
              <w:rPr>
                <w:rFonts w:ascii="Arial" w:cs="Arial" w:eastAsia="Arial" w:hAnsi="Arial"/>
                <w:sz w:val="18"/>
                <w:szCs w:val="18"/>
                <w:color w:val="auto"/>
              </w:rPr>
              <w:t>Convertible preferred share warrant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63"/>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forward contracts liability</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30,844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30,844</w:t>
            </w: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32,599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32,599</w:t>
            </w:r>
          </w:p>
        </w:tc>
      </w:tr>
      <w:tr>
        <w:trPr>
          <w:trHeight w:val="21"/>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-1731010</wp:posOffset>
            </wp:positionV>
            <wp:extent cx="137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-1731010</wp:posOffset>
            </wp:positionV>
            <wp:extent cx="430339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95"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A reconciliation of the contingent forward contract liability measured and recorded at fair value on a recurring basis is as follows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c>
          <w:tcPr>
            <w:tcW w:w="60" w:type="dxa"/>
            <w:vAlign w:val="bottom"/>
          </w:tcPr>
          <w:p>
            <w:pPr>
              <w:spacing w:after="0"/>
              <w:rPr>
                <w:sz w:val="17"/>
                <w:szCs w:val="17"/>
                <w:color w:val="auto"/>
              </w:rPr>
            </w:pPr>
          </w:p>
        </w:tc>
      </w:tr>
      <w:tr>
        <w:trPr>
          <w:trHeight w:val="26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15,053</w:t>
            </w:r>
          </w:p>
        </w:tc>
        <w:tc>
          <w:tcPr>
            <w:tcW w:w="60" w:type="dxa"/>
            <w:vAlign w:val="bottom"/>
          </w:tcPr>
          <w:p>
            <w:pPr>
              <w:spacing w:after="0"/>
              <w:rPr>
                <w:sz w:val="22"/>
                <w:szCs w:val="22"/>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30,844</w:t>
            </w:r>
          </w:p>
        </w:tc>
        <w:tc>
          <w:tcPr>
            <w:tcW w:w="60" w:type="dxa"/>
            <w:vAlign w:val="bottom"/>
          </w:tcPr>
          <w:p>
            <w:pPr>
              <w:spacing w:after="0"/>
              <w:rPr>
                <w:sz w:val="22"/>
                <w:szCs w:val="22"/>
                <w:color w:val="auto"/>
              </w:rPr>
            </w:pPr>
          </w:p>
        </w:tc>
      </w:tr>
      <w:tr>
        <w:trPr>
          <w:trHeight w:val="256"/>
        </w:trPr>
        <w:tc>
          <w:tcPr>
            <w:tcW w:w="6740" w:type="dxa"/>
            <w:vAlign w:val="bottom"/>
          </w:tcPr>
          <w:p>
            <w:pPr>
              <w:spacing w:after="0"/>
              <w:rPr>
                <w:sz w:val="20"/>
                <w:szCs w:val="20"/>
                <w:color w:val="auto"/>
              </w:rPr>
            </w:pPr>
            <w:r>
              <w:rPr>
                <w:rFonts w:ascii="Arial" w:cs="Arial" w:eastAsia="Arial" w:hAnsi="Arial"/>
                <w:sz w:val="18"/>
                <w:szCs w:val="18"/>
                <w:color w:val="auto"/>
              </w:rPr>
              <w:t>Change in fair value of Series D contingent forward contract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22"/>
                <w:szCs w:val="22"/>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Series D contingent forward contract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(39,563)</w:t>
            </w:r>
          </w:p>
        </w:tc>
        <w:tc>
          <w:tcPr>
            <w:tcW w:w="60" w:type="dxa"/>
            <w:vAlign w:val="bottom"/>
          </w:tcPr>
          <w:p>
            <w:pPr>
              <w:spacing w:after="0"/>
              <w:rPr>
                <w:sz w:val="22"/>
                <w:szCs w:val="22"/>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Issuance of Series E contingent forward contract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793</w:t>
            </w:r>
          </w:p>
        </w:tc>
        <w:tc>
          <w:tcPr>
            <w:tcW w:w="60" w:type="dxa"/>
            <w:vAlign w:val="bottom"/>
          </w:tcPr>
          <w:p>
            <w:pPr>
              <w:spacing w:after="0"/>
              <w:rPr>
                <w:sz w:val="22"/>
                <w:szCs w:val="22"/>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Series E contingent forward contract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109,662</w:t>
            </w:r>
          </w:p>
        </w:tc>
        <w:tc>
          <w:tcPr>
            <w:tcW w:w="60" w:type="dxa"/>
            <w:vAlign w:val="bottom"/>
          </w:tcPr>
          <w:p>
            <w:pPr>
              <w:spacing w:after="0"/>
              <w:rPr>
                <w:sz w:val="22"/>
                <w:szCs w:val="22"/>
                <w:color w:val="auto"/>
              </w:rPr>
            </w:pPr>
          </w:p>
        </w:tc>
      </w:tr>
      <w:tr>
        <w:trPr>
          <w:trHeight w:val="263"/>
        </w:trPr>
        <w:tc>
          <w:tcPr>
            <w:tcW w:w="6740" w:type="dxa"/>
            <w:vAlign w:val="bottom"/>
          </w:tcPr>
          <w:p>
            <w:pPr>
              <w:spacing w:after="0"/>
              <w:rPr>
                <w:sz w:val="20"/>
                <w:szCs w:val="20"/>
                <w:color w:val="auto"/>
              </w:rPr>
            </w:pPr>
            <w:r>
              <w:rPr>
                <w:rFonts w:ascii="Arial" w:cs="Arial" w:eastAsia="Arial" w:hAnsi="Arial"/>
                <w:sz w:val="18"/>
                <w:szCs w:val="18"/>
                <w:color w:val="auto"/>
              </w:rPr>
              <w:t>Settlement of Series E contingent forward contract</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(110,456)</w:t>
            </w:r>
          </w:p>
        </w:tc>
      </w:tr>
      <w:tr>
        <w:trPr>
          <w:trHeight w:val="295"/>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-213360</wp:posOffset>
            </wp:positionV>
            <wp:extent cx="42773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2773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95"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A reconciliation of the convertible preferred share warrant liabilities measured and recorded at fair value on a recurring basis is as follows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$1,349</w:t>
            </w:r>
          </w:p>
        </w:tc>
      </w:tr>
      <w:tr>
        <w:trPr>
          <w:trHeight w:val="26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5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6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95"/>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value-December 31, 2020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316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4316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CONVERTIBLE NOTES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In September 2018, the Company entered into a securities purchase agreement (the “Security Purchase Agreement”) of $1.3 billion with the Public Investment Fund (“PIF”) of Saudi Arabia. Among the</w:t>
      </w:r>
    </w:p>
    <w:p>
      <w:pPr>
        <w:spacing w:after="0" w:line="1"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$1.3 billion investment, $ 300.0 million of the Security Purchase Agreement was funded by Convertible Notes, and the remaining $1.0 billion will be funded by Series D convertible preferred shares (“Series D”). The initial investment from the investor was in the form of convertible notes (the “Convertible Notes”), representing a total investment amount of $300.0 million, as follows: (i) initial Convertible Notes issued in September 2018 of $119.0 million ($120.0 million net of $1.0 million payment to third parties on behalf of PIF) and (ii) follow-on installment Convertible Notes of $30.0 million per month from October 2018 to March 2019. Interest rates for the Convertible Notes is 8% per annum. Convertible Notes outstanding at December 31, 2018 was $209.0 million. The additional follow-on installments came in as scheduled through March 2019 for a total of additional $90.0 million of Convertible Notes. Upon approval by the Committee on Foreign</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3" w:name="page204"/>
    <w:bookmarkEnd w:id="20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 in the United States (CFIUS) of the Series D convertible preferred share financing in</w:t>
      </w:r>
    </w:p>
    <w:p>
      <w:pPr>
        <w:spacing w:after="0" w:line="12"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March 2019, in April 2019, the Company received the first tranche of Series D convertible preferred shares of $200.0 million, and all the principal and accrued interest of the Convertible Notes converted into Series D convertible preferred shares. Refer to Note 8 “Convertible Preferred Shares and Shareholders’ Deficit” for Series D convertible preferred share issuance details.</w:t>
      </w:r>
    </w:p>
    <w:p>
      <w:pPr>
        <w:spacing w:after="0" w:line="10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7"/>
          <w:szCs w:val="17"/>
          <w:color w:val="auto"/>
        </w:rPr>
        <w:t>Along with the Convertible Notes issuance, the Company granted PIF contingent forward contracts to participate in the future Series D convertible preferred share financing. The contingent forward contracts were determined to be accounted for similar to a derivative and the initial fair value was recorded as a debt discount and contingent forward contracts liability on the Convertible Notes issuance date. The initial contingent forward contract liability fair value of $18.6 million was determined utilizing the market approach, including both the back-solve method and the guideline public company method, and was subsequently remeasured to fair value each reporting period with the changes recorded in the consolidated statements of operations. Refer to Note 6 “Contingent Forward Contracts” for detail.</w:t>
      </w:r>
    </w:p>
    <w:p>
      <w:pPr>
        <w:spacing w:after="0" w:line="86"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Per the Security Purchase Agreement, the Company was required to pay an advisory fee to the advisor who helped the Company secure the transaction with the investor no later than September 2019. The Company incurred approximately $13.7 million in transaction costs in connection with the issuance of the Convertible Notes. In accordance with accounting for debt with conversions and other options, transaction costs were allocated pro rata based on the liability and equity components of $300.0 million and</w:t>
      </w:r>
    </w:p>
    <w:p>
      <w:pPr>
        <w:spacing w:after="0" w:line="2" w:lineRule="exact"/>
        <w:rPr>
          <w:sz w:val="20"/>
          <w:szCs w:val="20"/>
          <w:color w:val="auto"/>
        </w:rPr>
      </w:pPr>
    </w:p>
    <w:p>
      <w:pPr>
        <w:jc w:val="both"/>
        <w:ind w:left="1260" w:right="559"/>
        <w:spacing w:after="0" w:line="239" w:lineRule="auto"/>
        <w:rPr>
          <w:sz w:val="20"/>
          <w:szCs w:val="20"/>
          <w:color w:val="auto"/>
        </w:rPr>
      </w:pPr>
      <w:r>
        <w:rPr>
          <w:rFonts w:ascii="Arial" w:cs="Arial" w:eastAsia="Arial" w:hAnsi="Arial"/>
          <w:sz w:val="18"/>
          <w:szCs w:val="18"/>
          <w:color w:val="auto"/>
        </w:rPr>
        <w:t>$1.0 billion, respectively. As such, $3.2 million of the transaction cost was allocated to debt issuance costs for the Convertible Notes, and $0.3 million of the transaction cost was allocated to share issuance costs for Series D convertible preferred shares in 2019.</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amortized the total debt issuance cost of the Convertible Notes in the amount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$21.8 million, consisting of the $18.6 debt discount and the $3.2 million allocated transaction cost over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Convertible Notes term of 18 months starting in September 2018 under the effective interest method.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effective interest rate of the Convertible Notes is 2.47% per annum. The amortization of the debt issuance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costs was $3.4 million for the year ended December 31, 2019. The following table sets forth interest</w:t>
      </w:r>
    </w:p>
    <w:p>
      <w:pPr>
        <w:ind w:left="1260"/>
        <w:spacing w:after="0"/>
        <w:rPr>
          <w:sz w:val="20"/>
          <w:szCs w:val="20"/>
          <w:color w:val="auto"/>
        </w:rPr>
      </w:pPr>
      <w:r>
        <w:rPr>
          <w:rFonts w:ascii="Arial" w:cs="Arial" w:eastAsia="Arial" w:hAnsi="Arial"/>
          <w:sz w:val="17"/>
          <w:szCs w:val="17"/>
          <w:color w:val="auto"/>
        </w:rPr>
        <w:t>expense information related to the Convertible Notes for the year ended December 31, 2019 (in thousands):</w:t>
      </w:r>
    </w:p>
    <w:p>
      <w:pPr>
        <w:spacing w:after="0" w:line="17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r>
      <w:tr>
        <w:trPr>
          <w:trHeight w:val="186"/>
        </w:trPr>
        <w:tc>
          <w:tcPr>
            <w:tcW w:w="634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31, 2019</w:t>
            </w:r>
          </w:p>
        </w:tc>
      </w:tr>
      <w:tr>
        <w:trPr>
          <w:trHeight w:val="25"/>
        </w:trPr>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issuance costs allocated to Convertible Notes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CEEFF"/>
          </w:tcPr>
          <w:p>
            <w:pPr>
              <w:spacing w:after="0"/>
              <w:rPr>
                <w:sz w:val="21"/>
                <w:szCs w:val="21"/>
                <w:color w:val="auto"/>
              </w:rPr>
            </w:pPr>
          </w:p>
        </w:tc>
      </w:tr>
      <w:tr>
        <w:trPr>
          <w:trHeight w:val="263"/>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debt discount from contingent forward contracts (Note 6)</w:t>
            </w: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2,900</w:t>
            </w:r>
          </w:p>
        </w:tc>
        <w:tc>
          <w:tcPr>
            <w:tcW w:w="320" w:type="dxa"/>
            <w:vAlign w:val="bottom"/>
            <w:tcBorders>
              <w:bottom w:val="single" w:sz="8" w:color="CCEEFF"/>
            </w:tcBorders>
          </w:tcPr>
          <w:p>
            <w:pPr>
              <w:spacing w:after="0"/>
              <w:rPr>
                <w:sz w:val="22"/>
                <w:szCs w:val="22"/>
                <w:color w:val="auto"/>
              </w:rPr>
            </w:pPr>
          </w:p>
        </w:tc>
      </w:tr>
      <w:tr>
        <w:trPr>
          <w:trHeight w:val="29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3,394</w:t>
            </w:r>
          </w:p>
        </w:tc>
        <w:tc>
          <w:tcPr>
            <w:tcW w:w="320" w:type="dxa"/>
            <w:vAlign w:val="bottom"/>
            <w:shd w:val="clear" w:color="auto" w:fill="CCEEFF"/>
          </w:tcPr>
          <w:p>
            <w:pPr>
              <w:spacing w:after="0"/>
              <w:rPr>
                <w:sz w:val="24"/>
                <w:szCs w:val="24"/>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02018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41"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After CFIUS granted approval of the investment in March 2019, the Company converted all outstanding Convertible Notes into Series D convertible preferred shares in April 2019. The conversion consists of the $263.2 million Convertible Notes net of debt issuance costs and accrued interest of $8.8 million. See below for the conversion details:</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issued in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$210,000</w:t>
            </w:r>
          </w:p>
        </w:tc>
        <w:tc>
          <w:tcPr>
            <w:tcW w:w="60" w:type="dxa"/>
            <w:vAlign w:val="bottom"/>
          </w:tcPr>
          <w:p>
            <w:pPr>
              <w:spacing w:after="0"/>
              <w:rPr>
                <w:sz w:val="18"/>
                <w:szCs w:val="18"/>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Debt discount and debt issuance cost incurred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(22,763)</w:t>
            </w: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discount and issuance cost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24"/>
                <w:szCs w:val="24"/>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Convertible Notes balance as of December 31, 2018</w:t>
            </w:r>
          </w:p>
        </w:tc>
        <w:tc>
          <w:tcPr>
            <w:tcW w:w="680" w:type="dxa"/>
            <w:vAlign w:val="bottom"/>
          </w:tcPr>
          <w:p>
            <w:pPr>
              <w:jc w:val="right"/>
              <w:spacing w:after="0"/>
              <w:rPr>
                <w:sz w:val="20"/>
                <w:szCs w:val="20"/>
                <w:color w:val="auto"/>
              </w:rPr>
            </w:pPr>
            <w:r>
              <w:rPr>
                <w:rFonts w:ascii="Arial" w:cs="Arial" w:eastAsia="Arial" w:hAnsi="Arial"/>
                <w:sz w:val="18"/>
                <w:szCs w:val="18"/>
                <w:color w:val="auto"/>
              </w:rPr>
              <w:t>188,860</w:t>
            </w:r>
          </w:p>
        </w:tc>
        <w:tc>
          <w:tcPr>
            <w:tcW w:w="60" w:type="dxa"/>
            <w:vAlign w:val="bottom"/>
          </w:tcPr>
          <w:p>
            <w:pPr>
              <w:spacing w:after="0"/>
              <w:rPr>
                <w:sz w:val="21"/>
                <w:szCs w:val="21"/>
                <w:color w:val="auto"/>
              </w:rPr>
            </w:pPr>
          </w:p>
        </w:tc>
      </w:tr>
      <w:tr>
        <w:trPr>
          <w:trHeight w:val="243"/>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issued in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21"/>
                <w:szCs w:val="2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Debt discount and debt issuance cost incurred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(19,051)</w:t>
            </w: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discount and issuance cost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60" w:type="dxa"/>
            <w:vAlign w:val="bottom"/>
          </w:tcPr>
          <w:p>
            <w:pPr>
              <w:spacing w:after="0"/>
              <w:rPr>
                <w:sz w:val="24"/>
                <w:szCs w:val="24"/>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Convertible Notes balance as of April 2, 2019</w:t>
            </w:r>
          </w:p>
        </w:tc>
        <w:tc>
          <w:tcPr>
            <w:tcW w:w="680" w:type="dxa"/>
            <w:vAlign w:val="bottom"/>
          </w:tcPr>
          <w:p>
            <w:pPr>
              <w:jc w:val="right"/>
              <w:spacing w:after="0"/>
              <w:rPr>
                <w:sz w:val="20"/>
                <w:szCs w:val="20"/>
                <w:color w:val="auto"/>
              </w:rPr>
            </w:pPr>
            <w:r>
              <w:rPr>
                <w:rFonts w:ascii="Arial" w:cs="Arial" w:eastAsia="Arial" w:hAnsi="Arial"/>
                <w:sz w:val="18"/>
                <w:szCs w:val="18"/>
                <w:color w:val="auto"/>
              </w:rPr>
              <w:t>263,202</w:t>
            </w:r>
          </w:p>
        </w:tc>
        <w:tc>
          <w:tcPr>
            <w:tcW w:w="60" w:type="dxa"/>
            <w:vAlign w:val="bottom"/>
          </w:tcPr>
          <w:p>
            <w:pPr>
              <w:spacing w:after="0"/>
              <w:rPr>
                <w:sz w:val="21"/>
                <w:szCs w:val="21"/>
                <w:color w:val="auto"/>
              </w:rPr>
            </w:pP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of Convertible Notes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60" w:type="dxa"/>
            <w:vAlign w:val="bottom"/>
          </w:tcPr>
          <w:p>
            <w:pPr>
              <w:spacing w:after="0"/>
              <w:rPr>
                <w:sz w:val="24"/>
                <w:szCs w:val="24"/>
                <w:color w:val="auto"/>
              </w:rPr>
            </w:pPr>
          </w:p>
        </w:tc>
      </w:tr>
      <w:tr>
        <w:trPr>
          <w:trHeight w:val="284"/>
        </w:trPr>
        <w:tc>
          <w:tcPr>
            <w:tcW w:w="6800" w:type="dxa"/>
            <w:vAlign w:val="bottom"/>
          </w:tcPr>
          <w:p>
            <w:pPr>
              <w:spacing w:after="0"/>
              <w:rPr>
                <w:sz w:val="20"/>
                <w:szCs w:val="20"/>
                <w:color w:val="auto"/>
              </w:rPr>
            </w:pPr>
            <w:r>
              <w:rPr>
                <w:rFonts w:ascii="Arial" w:cs="Arial" w:eastAsia="Arial" w:hAnsi="Arial"/>
                <w:sz w:val="18"/>
                <w:szCs w:val="18"/>
                <w:color w:val="auto"/>
              </w:rPr>
              <w:t>Convertible Notes converted to Series D convertible preferred shares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$271,984</w:t>
            </w:r>
          </w:p>
        </w:tc>
        <w:tc>
          <w:tcPr>
            <w:tcW w:w="60" w:type="dxa"/>
            <w:vAlign w:val="bottom"/>
          </w:tcPr>
          <w:p>
            <w:pPr>
              <w:spacing w:after="0"/>
              <w:rPr>
                <w:sz w:val="24"/>
                <w:szCs w:val="24"/>
                <w:color w:val="auto"/>
              </w:rPr>
            </w:pPr>
          </w:p>
        </w:tc>
      </w:tr>
      <w:tr>
        <w:trPr>
          <w:trHeight w:val="20"/>
        </w:trPr>
        <w:tc>
          <w:tcPr>
            <w:tcW w:w="6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4" w:name="page205"/>
    <w:bookmarkEnd w:id="20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1300" w:firstLine="360"/>
        <w:spacing w:after="0" w:line="263" w:lineRule="auto"/>
        <w:rPr>
          <w:sz w:val="20"/>
          <w:szCs w:val="20"/>
          <w:color w:val="auto"/>
        </w:rPr>
      </w:pPr>
      <w:r>
        <w:rPr>
          <w:rFonts w:ascii="Arial" w:cs="Arial" w:eastAsia="Arial" w:hAnsi="Arial"/>
          <w:sz w:val="18"/>
          <w:szCs w:val="18"/>
          <w:color w:val="auto"/>
        </w:rPr>
        <w:t>The Security Purchase Agreement also required the repurchase, redemption, and cancellation of certain amounts of Series C convertible preferred shares. For the detail of the repurchase of Series C convertible preferred shares, refer to Note 8 “Convertible Preferred Shares and Shareholders’ Deficit.”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CONTINGENT FORWARD CONTRACTS</w:t>
      </w:r>
    </w:p>
    <w:p>
      <w:pPr>
        <w:spacing w:after="0" w:line="148" w:lineRule="exact"/>
        <w:rPr>
          <w:sz w:val="20"/>
          <w:szCs w:val="20"/>
          <w:color w:val="auto"/>
        </w:rPr>
      </w:pPr>
    </w:p>
    <w:p>
      <w:pPr>
        <w:ind w:left="1260" w:right="1300" w:firstLine="360"/>
        <w:spacing w:after="0" w:line="254" w:lineRule="auto"/>
        <w:rPr>
          <w:sz w:val="20"/>
          <w:szCs w:val="20"/>
          <w:color w:val="auto"/>
        </w:rPr>
      </w:pPr>
      <w:r>
        <w:rPr>
          <w:rFonts w:ascii="Arial" w:cs="Arial" w:eastAsia="Arial" w:hAnsi="Arial"/>
          <w:sz w:val="18"/>
          <w:szCs w:val="18"/>
          <w:color w:val="auto"/>
        </w:rPr>
        <w:t>As discussed in Note 5 “Convertible Notes,” in September 2018, the Company entered into a Securities Purchase Agreement with PIF. Along with the execution of the Securities Purchase Agreement, the Company granted PIF the right to purchase the 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 For the detail of the Convertible Notes and interest expense reconciliation, refer to Note 5 “Convertible Notes.”</w:t>
      </w:r>
    </w:p>
    <w:p>
      <w:pPr>
        <w:spacing w:after="0" w:line="124" w:lineRule="exact"/>
        <w:rPr>
          <w:sz w:val="20"/>
          <w:szCs w:val="20"/>
          <w:color w:val="auto"/>
        </w:rPr>
      </w:pPr>
    </w:p>
    <w:p>
      <w:pPr>
        <w:ind w:left="1260" w:right="1280" w:firstLine="360"/>
        <w:spacing w:after="0" w:line="269" w:lineRule="auto"/>
        <w:rPr>
          <w:sz w:val="20"/>
          <w:szCs w:val="20"/>
          <w:color w:val="auto"/>
        </w:rPr>
      </w:pPr>
      <w:r>
        <w:rPr>
          <w:rFonts w:ascii="Arial" w:cs="Arial" w:eastAsia="Arial" w:hAnsi="Arial"/>
          <w:sz w:val="17"/>
          <w:szCs w:val="17"/>
          <w:color w:val="auto"/>
        </w:rPr>
        <w:t>In March 2020, the Company received $200.0 million in exchange for 31,201,245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contracts liability into Series D convertible preferred shares. In June 2020, upon satisfaction of the second set of milestones (refer to Note 8 “Convertible Preferred Shares and Shareholders’ Deficit”), the Company received the remaining $200.0 million in exchange for 31,201,245 shares of Series D as final settlement of the Series D contingent forward contract liability and revalued the contingent forward contracts liability to the then fair value of $21.4 million and reclassified the liability into Series D convertible preferred shares. The Series D contingent forward contract liability incurred a total fair value loss of $8.7 million during the year ended December 31, 2020.</w:t>
      </w:r>
    </w:p>
    <w:p>
      <w:pPr>
        <w:spacing w:after="0" w:line="118"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As discussed in Note 8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into contingent forward contract liabilities.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December 2020, Ayar waived the Company’s remaining outstanding obligations, and the Company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received $400.0 million as the final issuance of Series E convertible preferred shares. Upon the final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settlement, the Company revalued the Series E contingent forward contracts to the then fair value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$110.5 million and reclassified the contingent forward contract liability into Series E convertible preferred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The Company recorded a loss of $109.7 million related to fair value remeasurements of the Series 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contingent forward contracts during the year ended December 31, 2020.</w:t>
      </w:r>
    </w:p>
    <w:p>
      <w:pPr>
        <w:spacing w:after="0" w:line="143" w:lineRule="exact"/>
        <w:rPr>
          <w:sz w:val="20"/>
          <w:szCs w:val="20"/>
          <w:color w:val="auto"/>
        </w:rPr>
      </w:pPr>
    </w:p>
    <w:p>
      <w:pPr>
        <w:ind w:left="1260" w:right="1760" w:firstLine="360"/>
        <w:spacing w:after="0" w:line="277" w:lineRule="auto"/>
        <w:rPr>
          <w:sz w:val="20"/>
          <w:szCs w:val="20"/>
          <w:color w:val="auto"/>
        </w:rPr>
      </w:pPr>
      <w:r>
        <w:rPr>
          <w:rFonts w:ascii="Arial" w:cs="Arial" w:eastAsia="Arial" w:hAnsi="Arial"/>
          <w:sz w:val="18"/>
          <w:szCs w:val="18"/>
          <w:color w:val="auto"/>
        </w:rPr>
        <w:t>The Company’s inputs used in determining the fair value of Series D contingent forward contract liability on the issuance date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472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4"/>
              </w:rPr>
              <w:t>9/20/2018</w:t>
            </w:r>
          </w:p>
        </w:tc>
        <w:tc>
          <w:tcPr>
            <w:tcW w:w="1620" w:type="dxa"/>
            <w:vAlign w:val="bottom"/>
          </w:tcPr>
          <w:p>
            <w:pPr>
              <w:spacing w:after="0"/>
              <w:rPr>
                <w:sz w:val="18"/>
                <w:szCs w:val="18"/>
                <w:color w:val="auto"/>
              </w:rPr>
            </w:pPr>
          </w:p>
        </w:tc>
      </w:tr>
      <w:tr>
        <w:trPr>
          <w:trHeight w:val="256"/>
        </w:trPr>
        <w:tc>
          <w:tcPr>
            <w:tcW w:w="4380" w:type="dxa"/>
            <w:vAlign w:val="bottom"/>
            <w:gridSpan w:val="2"/>
          </w:tcPr>
          <w:p>
            <w:pPr>
              <w:ind w:left="1620"/>
              <w:spacing w:after="0"/>
              <w:rPr>
                <w:sz w:val="20"/>
                <w:szCs w:val="20"/>
                <w:color w:val="auto"/>
              </w:rPr>
            </w:pPr>
            <w:r>
              <w:rPr>
                <w:rFonts w:ascii="Arial" w:cs="Arial" w:eastAsia="Arial" w:hAnsi="Arial"/>
                <w:sz w:val="18"/>
                <w:szCs w:val="18"/>
                <w:color w:val="auto"/>
              </w:rPr>
              <w:t>Coupon payment dates</w:t>
            </w:r>
          </w:p>
        </w:tc>
        <w:tc>
          <w:tcPr>
            <w:tcW w:w="4720" w:type="dxa"/>
            <w:vAlign w:val="bottom"/>
          </w:tcPr>
          <w:p>
            <w:pPr>
              <w:jc w:val="center"/>
              <w:ind w:left="3630"/>
              <w:spacing w:after="0"/>
              <w:rPr>
                <w:sz w:val="20"/>
                <w:szCs w:val="20"/>
                <w:color w:val="auto"/>
              </w:rPr>
            </w:pPr>
            <w:r>
              <w:rPr>
                <w:rFonts w:ascii="Arial" w:cs="Arial" w:eastAsia="Arial" w:hAnsi="Arial"/>
                <w:sz w:val="18"/>
                <w:szCs w:val="18"/>
                <w:color w:val="auto"/>
                <w:w w:val="97"/>
              </w:rPr>
              <w:t>Semi-Annual</w:t>
            </w:r>
          </w:p>
        </w:tc>
        <w:tc>
          <w:tcPr>
            <w:tcW w:w="1620" w:type="dxa"/>
            <w:vAlign w:val="bottom"/>
          </w:tcPr>
          <w:p>
            <w:pPr>
              <w:spacing w:after="0"/>
              <w:rPr>
                <w:sz w:val="22"/>
                <w:szCs w:val="22"/>
                <w:color w:val="auto"/>
              </w:rPr>
            </w:pPr>
          </w:p>
        </w:tc>
      </w:tr>
      <w:tr>
        <w:trPr>
          <w:trHeight w:val="257"/>
        </w:trPr>
        <w:tc>
          <w:tcPr>
            <w:tcW w:w="1620" w:type="dxa"/>
            <w:vAlign w:val="bottom"/>
          </w:tcPr>
          <w:p>
            <w:pPr>
              <w:spacing w:after="0"/>
              <w:rPr>
                <w:sz w:val="22"/>
                <w:szCs w:val="2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472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3"/>
              </w:rPr>
              <w:t>03/20/2020</w:t>
            </w:r>
          </w:p>
        </w:tc>
        <w:tc>
          <w:tcPr>
            <w:tcW w:w="1620" w:type="dxa"/>
            <w:vAlign w:val="bottom"/>
          </w:tcPr>
          <w:p>
            <w:pPr>
              <w:spacing w:after="0"/>
              <w:rPr>
                <w:sz w:val="22"/>
                <w:szCs w:val="22"/>
                <w:color w:val="auto"/>
              </w:rPr>
            </w:pPr>
          </w:p>
        </w:tc>
      </w:tr>
      <w:tr>
        <w:trPr>
          <w:trHeight w:val="270"/>
        </w:trPr>
        <w:tc>
          <w:tcPr>
            <w:tcW w:w="4380" w:type="dxa"/>
            <w:vAlign w:val="bottom"/>
            <w:gridSpan w:val="2"/>
          </w:tcPr>
          <w:p>
            <w:pPr>
              <w:ind w:left="1620"/>
              <w:spacing w:after="0"/>
              <w:rPr>
                <w:sz w:val="20"/>
                <w:szCs w:val="20"/>
                <w:color w:val="auto"/>
              </w:rPr>
            </w:pPr>
            <w:r>
              <w:rPr>
                <w:rFonts w:ascii="Arial" w:cs="Arial" w:eastAsia="Arial" w:hAnsi="Arial"/>
                <w:sz w:val="18"/>
                <w:szCs w:val="18"/>
                <w:color w:val="auto"/>
              </w:rPr>
              <w:t>Initial term</w:t>
            </w:r>
          </w:p>
        </w:tc>
        <w:tc>
          <w:tcPr>
            <w:tcW w:w="4720" w:type="dxa"/>
            <w:vAlign w:val="bottom"/>
          </w:tcPr>
          <w:p>
            <w:pPr>
              <w:jc w:val="center"/>
              <w:ind w:left="3610"/>
              <w:spacing w:after="0"/>
              <w:rPr>
                <w:sz w:val="20"/>
                <w:szCs w:val="20"/>
                <w:color w:val="auto"/>
              </w:rPr>
            </w:pPr>
            <w:r>
              <w:rPr>
                <w:rFonts w:ascii="Arial" w:cs="Arial" w:eastAsia="Arial" w:hAnsi="Arial"/>
                <w:sz w:val="18"/>
                <w:szCs w:val="18"/>
                <w:color w:val="auto"/>
                <w:w w:val="90"/>
              </w:rPr>
              <w:t>1.5 Years</w:t>
            </w:r>
          </w:p>
        </w:tc>
        <w:tc>
          <w:tcPr>
            <w:tcW w:w="162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(coupon rate)</w:t>
            </w:r>
          </w:p>
        </w:tc>
        <w:tc>
          <w:tcPr>
            <w:tcW w:w="472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3"/>
              </w:rPr>
              <w:t>8.00%</w:t>
            </w:r>
          </w:p>
        </w:tc>
        <w:tc>
          <w:tcPr>
            <w:tcW w:w="1620" w:type="dxa"/>
            <w:vAlign w:val="bottom"/>
          </w:tcPr>
          <w:p>
            <w:pPr>
              <w:spacing w:after="0"/>
              <w:rPr>
                <w:sz w:val="23"/>
                <w:szCs w:val="23"/>
                <w:color w:val="auto"/>
              </w:rPr>
            </w:pPr>
          </w:p>
        </w:tc>
      </w:tr>
      <w:tr>
        <w:trPr>
          <w:trHeight w:val="270"/>
        </w:trPr>
        <w:tc>
          <w:tcPr>
            <w:tcW w:w="4380" w:type="dxa"/>
            <w:vAlign w:val="bottom"/>
            <w:gridSpan w:val="2"/>
          </w:tcPr>
          <w:p>
            <w:pPr>
              <w:ind w:left="1620"/>
              <w:spacing w:after="0"/>
              <w:rPr>
                <w:sz w:val="20"/>
                <w:szCs w:val="20"/>
                <w:color w:val="auto"/>
              </w:rPr>
            </w:pPr>
            <w:r>
              <w:rPr>
                <w:rFonts w:ascii="Arial" w:cs="Arial" w:eastAsia="Arial" w:hAnsi="Arial"/>
                <w:sz w:val="18"/>
                <w:szCs w:val="18"/>
                <w:color w:val="auto"/>
              </w:rPr>
              <w:t>Yield (market rate)</w:t>
            </w:r>
          </w:p>
        </w:tc>
        <w:tc>
          <w:tcPr>
            <w:tcW w:w="4720" w:type="dxa"/>
            <w:vAlign w:val="bottom"/>
          </w:tcPr>
          <w:p>
            <w:pPr>
              <w:jc w:val="center"/>
              <w:ind w:left="3630"/>
              <w:spacing w:after="0"/>
              <w:rPr>
                <w:sz w:val="20"/>
                <w:szCs w:val="20"/>
                <w:color w:val="auto"/>
              </w:rPr>
            </w:pPr>
            <w:r>
              <w:rPr>
                <w:rFonts w:ascii="Arial" w:cs="Arial" w:eastAsia="Arial" w:hAnsi="Arial"/>
                <w:sz w:val="18"/>
                <w:szCs w:val="18"/>
                <w:color w:val="auto"/>
                <w:w w:val="93"/>
              </w:rPr>
              <w:t>8.00%</w:t>
            </w:r>
          </w:p>
        </w:tc>
        <w:tc>
          <w:tcPr>
            <w:tcW w:w="162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Effective interest rate</w:t>
            </w:r>
          </w:p>
        </w:tc>
        <w:tc>
          <w:tcPr>
            <w:tcW w:w="472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3"/>
              </w:rPr>
              <w:t>2.47%</w:t>
            </w:r>
          </w:p>
        </w:tc>
        <w:tc>
          <w:tcPr>
            <w:tcW w:w="1620" w:type="dxa"/>
            <w:vAlign w:val="bottom"/>
          </w:tcPr>
          <w:p>
            <w:pPr>
              <w:spacing w:after="0"/>
              <w:rPr>
                <w:sz w:val="23"/>
                <w:szCs w:val="23"/>
                <w:color w:val="auto"/>
              </w:rPr>
            </w:pPr>
          </w:p>
        </w:tc>
      </w:tr>
      <w:tr>
        <w:trPr>
          <w:trHeight w:val="621"/>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20" w:type="dxa"/>
            <w:vAlign w:val="bottom"/>
          </w:tcPr>
          <w:p>
            <w:pPr>
              <w:ind w:left="780"/>
              <w:spacing w:after="0"/>
              <w:rPr>
                <w:sz w:val="20"/>
                <w:szCs w:val="20"/>
                <w:color w:val="auto"/>
              </w:rPr>
            </w:pPr>
            <w:r>
              <w:rPr>
                <w:rFonts w:ascii="Arial" w:cs="Arial" w:eastAsia="Arial" w:hAnsi="Arial"/>
                <w:sz w:val="18"/>
                <w:szCs w:val="18"/>
                <w:color w:val="auto"/>
              </w:rPr>
              <w:t>F-21</w:t>
            </w: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5" w:name="page206"/>
    <w:bookmarkEnd w:id="20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The Company’s inputs used in determining the fair value of Series D convertible preferred share contingent forward contract liability on the settlement date, were as follows: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Settlement date</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3/31/2020</w:t>
            </w:r>
          </w:p>
        </w:tc>
        <w:tc>
          <w:tcPr>
            <w:tcW w:w="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6/30/2020</w:t>
            </w:r>
          </w:p>
        </w:tc>
      </w:tr>
      <w:tr>
        <w:trPr>
          <w:trHeight w:val="256"/>
        </w:trPr>
        <w:tc>
          <w:tcPr>
            <w:tcW w:w="5520" w:type="dxa"/>
            <w:vAlign w:val="bottom"/>
          </w:tcPr>
          <w:p>
            <w:pPr>
              <w:spacing w:after="0"/>
              <w:rPr>
                <w:sz w:val="20"/>
                <w:szCs w:val="20"/>
                <w:color w:val="auto"/>
              </w:rPr>
            </w:pPr>
            <w:r>
              <w:rPr>
                <w:rFonts w:ascii="Arial" w:cs="Arial" w:eastAsia="Arial" w:hAnsi="Arial"/>
                <w:sz w:val="18"/>
                <w:szCs w:val="18"/>
                <w:color w:val="auto"/>
              </w:rPr>
              <w:t>Expected term</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r>
      <w:tr>
        <w:trPr>
          <w:trHeight w:val="27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Contingent Series D convertible preferred shares fair value (per share)</w:t>
            </w:r>
          </w:p>
        </w:tc>
        <w:tc>
          <w:tcPr>
            <w:tcW w:w="10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$6.99</w:t>
            </w: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$7.10</w:t>
            </w:r>
          </w:p>
        </w:tc>
      </w:tr>
      <w:tr>
        <w:trPr>
          <w:trHeight w:val="270"/>
        </w:trPr>
        <w:tc>
          <w:tcPr>
            <w:tcW w:w="5520" w:type="dxa"/>
            <w:vAlign w:val="bottom"/>
          </w:tcPr>
          <w:p>
            <w:pPr>
              <w:spacing w:after="0"/>
              <w:rPr>
                <w:sz w:val="20"/>
                <w:szCs w:val="20"/>
                <w:color w:val="auto"/>
              </w:rPr>
            </w:pPr>
            <w:r>
              <w:rPr>
                <w:rFonts w:ascii="Arial" w:cs="Arial" w:eastAsia="Arial" w:hAnsi="Arial"/>
                <w:sz w:val="18"/>
                <w:szCs w:val="18"/>
                <w:color w:val="auto"/>
              </w:rPr>
              <w:t>Present value factor</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4"/>
              </w:rPr>
              <w:t>1.0000</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1.0000</w:t>
            </w:r>
          </w:p>
        </w:tc>
      </w:tr>
      <w:tr>
        <w:trPr>
          <w:trHeight w:val="27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Estimated probability of satisfying milestones</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100%</w:t>
            </w: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r>
    </w:tbl>
    <w:p>
      <w:pPr>
        <w:spacing w:after="0" w:line="121" w:lineRule="exact"/>
        <w:rPr>
          <w:sz w:val="20"/>
          <w:szCs w:val="20"/>
          <w:color w:val="auto"/>
        </w:rPr>
      </w:pPr>
    </w:p>
    <w:p>
      <w:pPr>
        <w:ind w:left="1260" w:right="999" w:firstLine="360"/>
        <w:spacing w:after="0" w:line="291" w:lineRule="auto"/>
        <w:rPr>
          <w:sz w:val="20"/>
          <w:szCs w:val="20"/>
          <w:color w:val="auto"/>
        </w:rPr>
      </w:pPr>
      <w:r>
        <w:rPr>
          <w:rFonts w:ascii="Arial" w:cs="Arial" w:eastAsia="Arial" w:hAnsi="Arial"/>
          <w:sz w:val="17"/>
          <w:szCs w:val="17"/>
          <w:color w:val="auto"/>
        </w:rPr>
        <w:t>The Company’s inputs used in determining the fair value of Series E convertible preferred share contingent forward contract liability on the issuance date and settlement date, were as follows:</w:t>
      </w:r>
    </w:p>
    <w:p>
      <w:pPr>
        <w:spacing w:after="0" w:line="10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14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4"/>
              </w:rPr>
              <w:t>9/22/2020</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12/31/2020</w:t>
            </w:r>
          </w:p>
        </w:tc>
      </w:tr>
      <w:tr>
        <w:trPr>
          <w:trHeight w:val="257"/>
        </w:trPr>
        <w:tc>
          <w:tcPr>
            <w:tcW w:w="5020" w:type="dxa"/>
            <w:vAlign w:val="bottom"/>
          </w:tcPr>
          <w:p>
            <w:pPr>
              <w:spacing w:after="0"/>
              <w:rPr>
                <w:sz w:val="20"/>
                <w:szCs w:val="20"/>
                <w:color w:val="auto"/>
              </w:rPr>
            </w:pPr>
            <w:r>
              <w:rPr>
                <w:rFonts w:ascii="Arial" w:cs="Arial" w:eastAsia="Arial" w:hAnsi="Arial"/>
                <w:sz w:val="18"/>
                <w:szCs w:val="18"/>
                <w:color w:val="auto"/>
              </w:rPr>
              <w:t>Expected term</w:t>
            </w:r>
          </w:p>
        </w:tc>
        <w:tc>
          <w:tcPr>
            <w:tcW w:w="1480" w:type="dxa"/>
            <w:vAlign w:val="bottom"/>
          </w:tcPr>
          <w:p>
            <w:pPr>
              <w:ind w:left="580"/>
              <w:spacing w:after="0"/>
              <w:rPr>
                <w:sz w:val="20"/>
                <w:szCs w:val="20"/>
                <w:color w:val="auto"/>
              </w:rPr>
            </w:pPr>
            <w:r>
              <w:rPr>
                <w:rFonts w:ascii="Arial" w:cs="Arial" w:eastAsia="Arial" w:hAnsi="Arial"/>
                <w:sz w:val="18"/>
                <w:szCs w:val="18"/>
                <w:color w:val="auto"/>
              </w:rPr>
              <w:t>0.25 Years</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r>
      <w:tr>
        <w:trPr>
          <w:trHeight w:val="242"/>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Contingent Series E convertible preferred shares fair value</w:t>
            </w:r>
          </w:p>
        </w:tc>
        <w:tc>
          <w:tcPr>
            <w:tcW w:w="1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4"/>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3"/>
              </w:rPr>
              <w:t>$7.92</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$10.09</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Present value factor</w:t>
            </w:r>
          </w:p>
        </w:tc>
        <w:tc>
          <w:tcPr>
            <w:tcW w:w="1480" w:type="dxa"/>
            <w:vAlign w:val="bottom"/>
          </w:tcPr>
          <w:p>
            <w:pPr>
              <w:jc w:val="center"/>
              <w:ind w:left="370"/>
              <w:spacing w:after="0"/>
              <w:rPr>
                <w:sz w:val="20"/>
                <w:szCs w:val="20"/>
                <w:color w:val="auto"/>
              </w:rPr>
            </w:pPr>
            <w:r>
              <w:rPr>
                <w:rFonts w:ascii="Arial" w:cs="Arial" w:eastAsia="Arial" w:hAnsi="Arial"/>
                <w:sz w:val="18"/>
                <w:szCs w:val="18"/>
                <w:color w:val="auto"/>
                <w:w w:val="90"/>
              </w:rPr>
              <w:t>0.9999</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4"/>
              </w:rPr>
              <w:t>1.0000</w:t>
            </w:r>
          </w:p>
        </w:tc>
      </w:tr>
      <w:tr>
        <w:trPr>
          <w:trHeight w:val="27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Estimated probability of satisfying milestones</w:t>
            </w:r>
          </w:p>
        </w:tc>
        <w:tc>
          <w:tcPr>
            <w:tcW w:w="1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4"/>
              </w:rPr>
              <w:t>95%</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100%</w:t>
            </w:r>
          </w:p>
        </w:tc>
      </w:tr>
    </w:tbl>
    <w:p>
      <w:pPr>
        <w:spacing w:after="0" w:line="107"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Fair value of the Series D and Series E contingent forward contracts on the issuance date are valued by a third party valuation firm using Probability-Weighted Expected Return Method (“PWERM”) framework, and the Option Pricing Method (“OPM”) to allocate the equity value in the scenarios where the Series D and Series E convertible preferred share additional tranche issuance milestones are satisfied.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CONVERTIBLE PREFERRED SHARE WARRANT LIABILITY</w:t>
      </w:r>
    </w:p>
    <w:p>
      <w:pPr>
        <w:spacing w:after="0" w:line="148" w:lineRule="exact"/>
        <w:rPr>
          <w:sz w:val="20"/>
          <w:szCs w:val="20"/>
          <w:color w:val="auto"/>
        </w:rPr>
      </w:pPr>
    </w:p>
    <w:p>
      <w:pPr>
        <w:jc w:val="both"/>
        <w:ind w:left="1260" w:right="519" w:firstLine="360"/>
        <w:spacing w:after="0" w:line="255" w:lineRule="auto"/>
        <w:rPr>
          <w:sz w:val="20"/>
          <w:szCs w:val="20"/>
          <w:color w:val="auto"/>
        </w:rPr>
      </w:pPr>
      <w:r>
        <w:rPr>
          <w:rFonts w:ascii="Arial" w:cs="Arial" w:eastAsia="Arial" w:hAnsi="Arial"/>
          <w:sz w:val="17"/>
          <w:szCs w:val="17"/>
          <w:color w:val="auto"/>
        </w:rPr>
        <w:t>In March and September 2017, in connection with the Long-Term Debt to Trinity, the Company issued two convertible preferred share warrants (the “Warrants”) to purchase a total of 585,023 shares of Series D convertible preferred shares, with an exercise price of $5.128 per share. The Warrants are exercisable for</w:t>
      </w:r>
    </w:p>
    <w:p>
      <w:pPr>
        <w:ind w:left="1260" w:right="539"/>
        <w:spacing w:after="0" w:line="256" w:lineRule="auto"/>
        <w:rPr>
          <w:sz w:val="20"/>
          <w:szCs w:val="20"/>
          <w:color w:val="auto"/>
        </w:rPr>
      </w:pPr>
      <w:r>
        <w:rPr>
          <w:rFonts w:ascii="Arial" w:cs="Arial" w:eastAsia="Arial" w:hAnsi="Arial"/>
          <w:sz w:val="17"/>
          <w:szCs w:val="17"/>
          <w:color w:val="auto"/>
        </w:rPr>
        <w:t>10 years from the date of issuance and expire in 2027 or earlier upon the consummation of an initial public offering (“IPO”). The Company determined that these Warrants met the requirements for liability classification under ASC 480, Distinguishing Liabilities from Equity, due to the Warrants holders having a put-right and the Company having an obligation to settle the Warrants by transferring cash.</w:t>
      </w:r>
    </w:p>
    <w:p>
      <w:pPr>
        <w:spacing w:after="0" w:line="10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and 2019, 585,023 shares of the Warrants were outstanding with a fair value of $10.17 and $3.00 per share, and aggregate fair value of $3.0 million and $1.8 million, respectively. The Company recorded $1.2 million and $0.4 million as loss related to fair value remeasurements of the warrants in the consolidated statements of operations for the years ended December 31, 2020 and 2019, respectively.</w:t>
      </w:r>
    </w:p>
    <w:p>
      <w:pPr>
        <w:spacing w:after="0" w:line="110"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Company’s assumptions used in determining the fair value of convertible preferred share warrants at December 31, 2020, and 2019 are as follows: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As of December 31,</w:t>
            </w:r>
          </w:p>
        </w:tc>
      </w:tr>
      <w:tr>
        <w:trPr>
          <w:trHeight w:val="25"/>
        </w:trPr>
        <w:tc>
          <w:tcPr>
            <w:tcW w:w="6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6040" w:type="dxa"/>
            <w:vAlign w:val="bottom"/>
          </w:tcPr>
          <w:p>
            <w:pPr>
              <w:spacing w:after="0"/>
              <w:rPr>
                <w:sz w:val="17"/>
                <w:szCs w:val="17"/>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7"/>
                <w:szCs w:val="17"/>
                <w:color w:val="auto"/>
              </w:rPr>
            </w:pPr>
          </w:p>
        </w:tc>
      </w:tr>
      <w:tr>
        <w:trPr>
          <w:trHeight w:val="25"/>
        </w:trPr>
        <w:tc>
          <w:tcPr>
            <w:tcW w:w="6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040" w:type="dxa"/>
            <w:vAlign w:val="bottom"/>
          </w:tcPr>
          <w:p>
            <w:pPr>
              <w:spacing w:after="0"/>
              <w:rPr>
                <w:sz w:val="20"/>
                <w:szCs w:val="20"/>
                <w:color w:val="auto"/>
              </w:rPr>
            </w:pPr>
            <w:r>
              <w:rPr>
                <w:rFonts w:ascii="Arial" w:cs="Arial" w:eastAsia="Arial" w:hAnsi="Arial"/>
                <w:sz w:val="18"/>
                <w:szCs w:val="18"/>
                <w:color w:val="auto"/>
              </w:rPr>
              <w:t>Volatility</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55.0%</w:t>
            </w:r>
          </w:p>
        </w:tc>
      </w:tr>
      <w:tr>
        <w:trPr>
          <w:trHeight w:val="256"/>
        </w:trPr>
        <w:tc>
          <w:tcPr>
            <w:tcW w:w="60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0.5 – 1.5</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2"/>
                <w:szCs w:val="22"/>
                <w:color w:val="auto"/>
              </w:rPr>
            </w:pPr>
          </w:p>
        </w:tc>
      </w:tr>
      <w:tr>
        <w:trPr>
          <w:trHeight w:val="256"/>
        </w:trPr>
        <w:tc>
          <w:tcPr>
            <w:tcW w:w="6040" w:type="dxa"/>
            <w:vAlign w:val="bottom"/>
          </w:tcPr>
          <w:p>
            <w:pPr>
              <w:spacing w:after="0"/>
              <w:rPr>
                <w:sz w:val="20"/>
                <w:szCs w:val="20"/>
                <w:color w:val="auto"/>
              </w:rPr>
            </w:pPr>
            <w:r>
              <w:rPr>
                <w:rFonts w:ascii="Arial" w:cs="Arial" w:eastAsia="Arial" w:hAnsi="Arial"/>
                <w:sz w:val="18"/>
                <w:szCs w:val="18"/>
                <w:color w:val="auto"/>
              </w:rPr>
              <w:t>Risk-free rate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0.09 – 0.12%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1.59%</w:t>
            </w:r>
          </w:p>
        </w:tc>
      </w:tr>
      <w:tr>
        <w:trPr>
          <w:trHeight w:val="297"/>
        </w:trPr>
        <w:tc>
          <w:tcPr>
            <w:tcW w:w="60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-350520</wp:posOffset>
            </wp:positionV>
            <wp:extent cx="4749165" cy="162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-685165</wp:posOffset>
            </wp:positionV>
            <wp:extent cx="4749165" cy="1714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6" w:name="page207"/>
    <w:bookmarkEnd w:id="20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CONVERTIBLE PREFERRED SHARES AND SHAREHOLDERS’ DEFICIT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Convertible Preferred Shares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Convertible preferred shares are carried at its issuance price, net of issuance costs.</w:t>
      </w:r>
    </w:p>
    <w:p>
      <w:pPr>
        <w:spacing w:after="0" w:line="15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In 2014 through 2020, the Company issued Series A, Series B, Series C, and Series D and Series E convertible preferred shares (“Series A,” “Series B,” “Series C,” “Series D,” “Series E,” respectively) (collectively, the “Convertible Preferred Shares”).</w:t>
      </w:r>
    </w:p>
    <w:p>
      <w:pPr>
        <w:spacing w:after="0" w:line="116"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as follows: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First Company Repurchase</w:t>
      </w:r>
    </w:p>
    <w:p>
      <w:pPr>
        <w:spacing w:after="0" w:line="14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Concurrent with the execution of the Security Purchase Agreement with PIF, $10.0 million of the proceeds from the issuance of the Convertible Notes were utilized to repurchase from the Sellers 714,286 shares of Series C at $14.00 per share. As the carrying amount of each share of Series C was $6.41 with an aggregate carrying amount of Series C repurchased at $4.6 million, the Company recognized $5.4 million as a reduction of additional paid-in capital under shareholders’ equity in the consolidated balance sheet as of December 31, 2018, related to the excess fair value paid over carrying amount.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Second Company Repurchase</w:t>
      </w:r>
    </w:p>
    <w:p>
      <w:pPr>
        <w:spacing w:after="0" w:line="16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Company agreed to repurchase 4,642,857 shares of Series C from the Sellers at a price equal to $14.00 per share, aggregating to $65.0 million on a date that is no later than 6 months from April 2019 (subject to contingencies defined within the Security Purchase Agreement with PIF) of the Series D Preferred Financing. The Repurchase Agreement substantially modified the terms of the Series C shares subject to repurchase and constitutes an extinguishment.</w:t>
      </w:r>
    </w:p>
    <w:p>
      <w:pPr>
        <w:spacing w:after="0" w:line="12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Company used the put option pricing model to compute the fair value of the contingent ‘Second Company Repurchase’ feature (“contingent repurchase feature”) and applied a 95% probability of successfully achieving the contingencies. Fair value of the contingent repurchase feature was $10.03 per share.</w:t>
      </w:r>
    </w:p>
    <w:p>
      <w:pPr>
        <w:spacing w:after="0" w:line="106"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key inputs used in determining the fair value of the contingent repurchase feature as of the extinguishment date in September 2018, are as follows:</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3560" w:type="dxa"/>
            <w:vAlign w:val="bottom"/>
            <w:shd w:val="clear" w:color="auto" w:fill="CCEEFF"/>
          </w:tcPr>
          <w:p>
            <w:pPr>
              <w:jc w:val="center"/>
              <w:ind w:left="2710"/>
              <w:spacing w:after="0"/>
              <w:rPr>
                <w:sz w:val="20"/>
                <w:szCs w:val="20"/>
                <w:color w:val="auto"/>
              </w:rPr>
            </w:pPr>
            <w:r>
              <w:rPr>
                <w:rFonts w:ascii="Arial" w:cs="Arial" w:eastAsia="Arial" w:hAnsi="Arial"/>
                <w:sz w:val="18"/>
                <w:szCs w:val="18"/>
                <w:color w:val="auto"/>
                <w:w w:val="94"/>
              </w:rPr>
              <w:t>9/30/2018</w:t>
            </w:r>
          </w:p>
        </w:tc>
      </w:tr>
      <w:tr>
        <w:trPr>
          <w:trHeight w:val="256"/>
        </w:trPr>
        <w:tc>
          <w:tcPr>
            <w:tcW w:w="3920" w:type="dxa"/>
            <w:vAlign w:val="bottom"/>
          </w:tcPr>
          <w:p>
            <w:pPr>
              <w:spacing w:after="0"/>
              <w:rPr>
                <w:sz w:val="20"/>
                <w:szCs w:val="20"/>
                <w:color w:val="auto"/>
              </w:rPr>
            </w:pPr>
            <w:r>
              <w:rPr>
                <w:rFonts w:ascii="Arial" w:cs="Arial" w:eastAsia="Arial" w:hAnsi="Arial"/>
                <w:sz w:val="18"/>
                <w:szCs w:val="18"/>
                <w:color w:val="auto"/>
              </w:rPr>
              <w:t>Current price</w:t>
            </w:r>
          </w:p>
        </w:tc>
        <w:tc>
          <w:tcPr>
            <w:tcW w:w="3560" w:type="dxa"/>
            <w:vAlign w:val="bottom"/>
          </w:tcPr>
          <w:p>
            <w:pPr>
              <w:jc w:val="center"/>
              <w:ind w:left="2690"/>
              <w:spacing w:after="0"/>
              <w:rPr>
                <w:sz w:val="20"/>
                <w:szCs w:val="20"/>
                <w:color w:val="auto"/>
              </w:rPr>
            </w:pPr>
            <w:r>
              <w:rPr>
                <w:rFonts w:ascii="Arial" w:cs="Arial" w:eastAsia="Arial" w:hAnsi="Arial"/>
                <w:sz w:val="18"/>
                <w:szCs w:val="18"/>
                <w:color w:val="auto"/>
                <w:w w:val="93"/>
              </w:rPr>
              <w:t>$3.28</w:t>
            </w: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560" w:type="dxa"/>
            <w:vAlign w:val="bottom"/>
            <w:shd w:val="clear" w:color="auto" w:fill="CCEEFF"/>
          </w:tcPr>
          <w:p>
            <w:pPr>
              <w:jc w:val="center"/>
              <w:ind w:left="2690"/>
              <w:spacing w:after="0"/>
              <w:rPr>
                <w:sz w:val="20"/>
                <w:szCs w:val="20"/>
                <w:color w:val="auto"/>
              </w:rPr>
            </w:pPr>
            <w:r>
              <w:rPr>
                <w:rFonts w:ascii="Arial" w:cs="Arial" w:eastAsia="Arial" w:hAnsi="Arial"/>
                <w:sz w:val="18"/>
                <w:szCs w:val="18"/>
                <w:color w:val="auto"/>
                <w:w w:val="93"/>
              </w:rPr>
              <w:t>$14.0</w:t>
            </w: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Initial term</w:t>
            </w:r>
          </w:p>
        </w:tc>
        <w:tc>
          <w:tcPr>
            <w:tcW w:w="3560" w:type="dxa"/>
            <w:vAlign w:val="bottom"/>
          </w:tcPr>
          <w:p>
            <w:pPr>
              <w:ind w:left="2820"/>
              <w:spacing w:after="0"/>
              <w:rPr>
                <w:sz w:val="20"/>
                <w:szCs w:val="20"/>
                <w:color w:val="auto"/>
              </w:rPr>
            </w:pPr>
            <w:r>
              <w:rPr>
                <w:rFonts w:ascii="Arial" w:cs="Arial" w:eastAsia="Arial" w:hAnsi="Arial"/>
                <w:sz w:val="18"/>
                <w:szCs w:val="18"/>
                <w:color w:val="auto"/>
                <w:w w:val="93"/>
              </w:rPr>
              <w:t>0.5 Years</w:t>
            </w: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60" w:type="dxa"/>
            <w:vAlign w:val="bottom"/>
            <w:shd w:val="clear" w:color="auto" w:fill="CCEEFF"/>
          </w:tcPr>
          <w:p>
            <w:pPr>
              <w:jc w:val="center"/>
              <w:ind w:left="2690"/>
              <w:spacing w:after="0"/>
              <w:rPr>
                <w:sz w:val="20"/>
                <w:szCs w:val="20"/>
                <w:color w:val="auto"/>
              </w:rPr>
            </w:pPr>
            <w:r>
              <w:rPr>
                <w:rFonts w:ascii="Arial" w:cs="Arial" w:eastAsia="Arial" w:hAnsi="Arial"/>
                <w:sz w:val="18"/>
                <w:szCs w:val="18"/>
                <w:color w:val="auto"/>
                <w:w w:val="94"/>
              </w:rPr>
              <w:t>55.00%</w:t>
            </w: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Risk free rate</w:t>
            </w:r>
          </w:p>
        </w:tc>
        <w:tc>
          <w:tcPr>
            <w:tcW w:w="3560" w:type="dxa"/>
            <w:vAlign w:val="bottom"/>
          </w:tcPr>
          <w:p>
            <w:pPr>
              <w:jc w:val="center"/>
              <w:ind w:left="2710"/>
              <w:spacing w:after="0"/>
              <w:rPr>
                <w:sz w:val="20"/>
                <w:szCs w:val="20"/>
                <w:color w:val="auto"/>
              </w:rPr>
            </w:pPr>
            <w:r>
              <w:rPr>
                <w:rFonts w:ascii="Arial" w:cs="Arial" w:eastAsia="Arial" w:hAnsi="Arial"/>
                <w:sz w:val="18"/>
                <w:szCs w:val="18"/>
                <w:color w:val="auto"/>
                <w:w w:val="93"/>
              </w:rPr>
              <w:t>2.36%</w:t>
            </w: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60" w:type="dxa"/>
            <w:vAlign w:val="bottom"/>
            <w:shd w:val="clear" w:color="auto" w:fill="CCEEFF"/>
          </w:tcPr>
          <w:p>
            <w:pPr>
              <w:jc w:val="center"/>
              <w:ind w:left="2710"/>
              <w:spacing w:after="0"/>
              <w:rPr>
                <w:sz w:val="20"/>
                <w:szCs w:val="20"/>
                <w:color w:val="auto"/>
              </w:rPr>
            </w:pPr>
            <w:r>
              <w:rPr>
                <w:rFonts w:ascii="Arial" w:cs="Arial" w:eastAsia="Arial" w:hAnsi="Arial"/>
                <w:sz w:val="18"/>
                <w:szCs w:val="18"/>
                <w:color w:val="auto"/>
                <w:w w:val="93"/>
              </w:rPr>
              <w:t>0.00%</w:t>
            </w:r>
          </w:p>
        </w:tc>
      </w:tr>
    </w:tbl>
    <w:p>
      <w:pPr>
        <w:spacing w:after="0" w:line="148"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The fair value of the Series C preferred shares prior to extinguishment was $3.28 per share and was computed based on the Probability-Weighted Expected Return Method (PWERM) framework, using the Option Pricing Method (OPM) to allocate the equity value in the scenarios where CFIUS approval is received. The range of inputs for the various scenarios used in determining the fair value of the Series C convertible preferred shares using OPM as of the extinguishment date in September 2018, is as follows:</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7" w:name="page208"/>
    <w:bookmarkEnd w:id="20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6"/>
              </w:rPr>
              <w:t>ATIEVA, INC. AND SUBSIDIARIES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Price per share</w:t>
            </w:r>
          </w:p>
        </w:tc>
        <w:tc>
          <w:tcPr>
            <w:tcW w:w="6180" w:type="dxa"/>
            <w:vAlign w:val="bottom"/>
            <w:shd w:val="clear" w:color="auto" w:fill="CCEEFF"/>
          </w:tcPr>
          <w:p>
            <w:pPr>
              <w:jc w:val="center"/>
              <w:ind w:left="4930"/>
              <w:spacing w:after="0" w:line="189" w:lineRule="exact"/>
              <w:rPr>
                <w:sz w:val="20"/>
                <w:szCs w:val="20"/>
                <w:color w:val="auto"/>
              </w:rPr>
            </w:pPr>
            <w:r>
              <w:rPr>
                <w:rFonts w:ascii="Arial" w:cs="Arial" w:eastAsia="Arial" w:hAnsi="Arial"/>
                <w:sz w:val="18"/>
                <w:szCs w:val="18"/>
                <w:color w:val="auto"/>
                <w:w w:val="91"/>
              </w:rPr>
              <w:t>$5.45 – 6.41</w:t>
            </w:r>
          </w:p>
        </w:tc>
        <w:tc>
          <w:tcPr>
            <w:tcW w:w="0" w:type="dxa"/>
            <w:vAlign w:val="bottom"/>
          </w:tcPr>
          <w:p>
            <w:pPr>
              <w:spacing w:after="0"/>
              <w:rPr>
                <w:sz w:val="1"/>
                <w:szCs w:val="1"/>
                <w:color w:val="auto"/>
              </w:rPr>
            </w:pPr>
          </w:p>
        </w:tc>
      </w:tr>
      <w:tr>
        <w:trPr>
          <w:trHeight w:val="257"/>
        </w:trPr>
        <w:tc>
          <w:tcPr>
            <w:tcW w:w="1300" w:type="dxa"/>
            <w:vAlign w:val="bottom"/>
            <w:gridSpan w:val="2"/>
          </w:tcPr>
          <w:p>
            <w:pPr>
              <w:spacing w:after="0"/>
              <w:rPr>
                <w:sz w:val="20"/>
                <w:szCs w:val="20"/>
                <w:color w:val="auto"/>
              </w:rPr>
            </w:pPr>
            <w:r>
              <w:rPr>
                <w:rFonts w:ascii="Arial" w:cs="Arial" w:eastAsia="Arial" w:hAnsi="Arial"/>
                <w:sz w:val="18"/>
                <w:szCs w:val="18"/>
                <w:color w:val="auto"/>
              </w:rPr>
              <w:t>Term</w:t>
            </w:r>
          </w:p>
        </w:tc>
        <w:tc>
          <w:tcPr>
            <w:tcW w:w="6180" w:type="dxa"/>
            <w:vAlign w:val="bottom"/>
          </w:tcPr>
          <w:p>
            <w:pPr>
              <w:ind w:left="5040"/>
              <w:spacing w:after="0"/>
              <w:rPr>
                <w:sz w:val="20"/>
                <w:szCs w:val="20"/>
                <w:color w:val="auto"/>
              </w:rPr>
            </w:pPr>
            <w:r>
              <w:rPr>
                <w:rFonts w:ascii="Arial" w:cs="Arial" w:eastAsia="Arial" w:hAnsi="Arial"/>
                <w:sz w:val="18"/>
                <w:szCs w:val="18"/>
                <w:color w:val="auto"/>
                <w:w w:val="91"/>
              </w:rPr>
              <w:t>1.7 – 2.4 Years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180" w:type="dxa"/>
            <w:vAlign w:val="bottom"/>
            <w:shd w:val="clear" w:color="auto" w:fill="CCEEFF"/>
          </w:tcPr>
          <w:p>
            <w:pPr>
              <w:jc w:val="center"/>
              <w:ind w:left="4950"/>
              <w:spacing w:after="0"/>
              <w:rPr>
                <w:sz w:val="20"/>
                <w:szCs w:val="20"/>
                <w:color w:val="auto"/>
              </w:rPr>
            </w:pPr>
            <w:r>
              <w:rPr>
                <w:rFonts w:ascii="Arial" w:cs="Arial" w:eastAsia="Arial" w:hAnsi="Arial"/>
                <w:sz w:val="18"/>
                <w:szCs w:val="18"/>
                <w:color w:val="auto"/>
                <w:w w:val="94"/>
              </w:rPr>
              <w:t>55.00%</w:t>
            </w:r>
          </w:p>
        </w:tc>
        <w:tc>
          <w:tcPr>
            <w:tcW w:w="0" w:type="dxa"/>
            <w:vAlign w:val="bottom"/>
          </w:tcPr>
          <w:p>
            <w:pPr>
              <w:spacing w:after="0"/>
              <w:rPr>
                <w:sz w:val="1"/>
                <w:szCs w:val="1"/>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6180" w:type="dxa"/>
            <w:vAlign w:val="bottom"/>
          </w:tcPr>
          <w:p>
            <w:pPr>
              <w:jc w:val="center"/>
              <w:ind w:left="4950"/>
              <w:spacing w:after="0"/>
              <w:rPr>
                <w:sz w:val="20"/>
                <w:szCs w:val="20"/>
                <w:color w:val="auto"/>
              </w:rPr>
            </w:pPr>
            <w:r>
              <w:rPr>
                <w:rFonts w:ascii="Arial" w:cs="Arial" w:eastAsia="Arial" w:hAnsi="Arial"/>
                <w:sz w:val="18"/>
                <w:szCs w:val="18"/>
                <w:color w:val="auto"/>
                <w:w w:val="93"/>
              </w:rPr>
              <w:t>2.71% – 2.81%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The fair value of the Series C preferred shares after the extinguishment was determined as $13.31 per share and was computed as the sum of the fair value of Series C of $3.28 per share as of the extinguishment date and the fair value of the contingent repurchase feature of $10.03 per share.</w:t>
      </w:r>
    </w:p>
    <w:p>
      <w:pPr>
        <w:spacing w:after="0" w:line="11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As the carrying amount of each share of Series C was $6.41 in September 2018 with an aggregate carrying amount of Series C shares extinguished at $32.0 million, the Company recognized $9.4 million as a reduction of additional paid-in capital and the remaining $22.6 million as an increase to accumulated deficit under shareholders’ equity in the consolidated balance sheet as of December 31, 2018 as the Company did not have sufficient additional paid-in capital as of the extinguishment date to offset the excess of the fair value over the carrying amount.</w:t>
      </w:r>
    </w:p>
    <w:p>
      <w:pPr>
        <w:spacing w:after="0" w:line="12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7"/>
          <w:szCs w:val="17"/>
          <w:color w:val="auto"/>
        </w:rPr>
        <w:t>In June 2019, the Company and the Sellers amended and restated the September 2018 Repurchase Agreement related to the Second Company Repurchase. Pursuant to the terms, the Company repurchased 3,571,429 shares of Series C at $14.00 per share and the remaining 1,071,428 shares subject to the Second Company Repurchase were extinguished and the Company was released of any and all obligation to purchase any shares in excess of the 3,571,429 subject to redemption.</w:t>
      </w:r>
    </w:p>
    <w:p>
      <w:pPr>
        <w:spacing w:after="0" w:line="9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As the carrying amount of each share of Series C was $13.31 in June 2019 and the total carrying amount of Series C repurchased was $47.5 million, the Company recognized $2.5 million as additional paid-in capital under shareholders’ equity in the consolidated balance sheet as of December 31, 2019, related to the excess of fair value paid over carrying amount. The carrying amount of 1,071,428 shares extinguished in June 2019 was $ 14.3 million and the fair value was $3.60 per share, the Company recognized $10.4 million as an increase to additional paid in capital under shareholders’ equity in the consolidated balance sheet as of December 31, 2019, related to the difference between fair value after extinguishment and carrying amount.</w:t>
      </w:r>
    </w:p>
    <w:p>
      <w:pPr>
        <w:spacing w:after="0" w:line="112"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The fair value of the Series C preferred shares after extinguishment in June 2019 was $3.60 per share and was computed based on the PWERM framework, using the OPM to allocate the equity value in the scenarios where CFIUS approval is received and the Current Value Method or CVM to allocate the equity value in the scenario where CFIUS approval is not received.</w:t>
      </w:r>
    </w:p>
    <w:p>
      <w:pPr>
        <w:spacing w:after="0" w:line="107" w:lineRule="exact"/>
        <w:rPr>
          <w:sz w:val="20"/>
          <w:szCs w:val="20"/>
          <w:color w:val="auto"/>
        </w:rPr>
      </w:pPr>
    </w:p>
    <w:p>
      <w:pPr>
        <w:ind w:left="1260" w:right="1019" w:firstLine="360"/>
        <w:spacing w:after="0" w:line="291" w:lineRule="auto"/>
        <w:rPr>
          <w:sz w:val="20"/>
          <w:szCs w:val="20"/>
          <w:color w:val="auto"/>
        </w:rPr>
      </w:pPr>
      <w:r>
        <w:rPr>
          <w:rFonts w:ascii="Arial" w:cs="Arial" w:eastAsia="Arial" w:hAnsi="Arial"/>
          <w:sz w:val="17"/>
          <w:szCs w:val="17"/>
          <w:color w:val="auto"/>
        </w:rPr>
        <w:t>The range of inputs for the various scenarios used in determining the fair value of the Series C convertible preferred shares using OPM as of the extinguishment date, in June 2019, was as follows: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w:t>
            </w:r>
          </w:p>
        </w:tc>
        <w:tc>
          <w:tcPr>
            <w:tcW w:w="37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3"/>
              </w:rPr>
              <w:t>$6.41</w:t>
            </w: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Term</w:t>
            </w:r>
          </w:p>
        </w:tc>
        <w:tc>
          <w:tcPr>
            <w:tcW w:w="3760" w:type="dxa"/>
            <w:vAlign w:val="bottom"/>
          </w:tcPr>
          <w:p>
            <w:pPr>
              <w:ind w:left="2620"/>
              <w:spacing w:after="0"/>
              <w:rPr>
                <w:sz w:val="20"/>
                <w:szCs w:val="20"/>
                <w:color w:val="auto"/>
              </w:rPr>
            </w:pPr>
            <w:r>
              <w:rPr>
                <w:rFonts w:ascii="Arial" w:cs="Arial" w:eastAsia="Arial" w:hAnsi="Arial"/>
                <w:sz w:val="18"/>
                <w:szCs w:val="18"/>
                <w:color w:val="auto"/>
                <w:w w:val="91"/>
              </w:rPr>
              <w:t>1.7 – 2.3 Years</w:t>
            </w:r>
          </w:p>
        </w:tc>
      </w:tr>
      <w:tr>
        <w:trPr>
          <w:trHeight w:val="27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4"/>
              </w:rPr>
              <w:t>55.00%</w:t>
            </w: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Risk free rate</w:t>
            </w:r>
          </w:p>
        </w:tc>
        <w:tc>
          <w:tcPr>
            <w:tcW w:w="3760" w:type="dxa"/>
            <w:vAlign w:val="bottom"/>
          </w:tcPr>
          <w:p>
            <w:pPr>
              <w:jc w:val="center"/>
              <w:ind w:left="2530"/>
              <w:spacing w:after="0"/>
              <w:rPr>
                <w:sz w:val="20"/>
                <w:szCs w:val="20"/>
                <w:color w:val="auto"/>
              </w:rPr>
            </w:pPr>
            <w:r>
              <w:rPr>
                <w:rFonts w:ascii="Arial" w:cs="Arial" w:eastAsia="Arial" w:hAnsi="Arial"/>
                <w:sz w:val="18"/>
                <w:szCs w:val="18"/>
                <w:color w:val="auto"/>
                <w:w w:val="93"/>
              </w:rPr>
              <w:t>1.59% – 2.71%</w:t>
            </w:r>
          </w:p>
        </w:tc>
      </w:tr>
    </w:tbl>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Third Company Repurchase (Series C — August 2020)</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August 2020, the Company entered into a Share Repurchase Agreement with the Sellers. Pursuant to the Share Repurchase Agreement, the Company agreed to repurchase 3,652,265 shares of Series C convertible preferred shares owned by the Sellers in August 2020 at a price of $2.70 per share for total of $9.9 million. The carrying value of the repurchased Series C convertible preferred shares is $20.4 million. As such, the Company recognized $10.5 million in additional paid-in capital under shareholder’s equity in the consolidated balance sheet as of December 31, 2020 related to the difference in fair value and carrying value of the Series C shares repurchased.</w:t>
      </w: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Fourth Company Repurchase (Series C — December 2020)</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In December 2020, the Company entered into a Share Repurchase Agreement with Blitz Technology Hong Kong Co. Limited (“Blitz”).</w:t>
      </w:r>
    </w:p>
    <w:p>
      <w:pPr>
        <w:spacing w:after="0" w:line="103" w:lineRule="exact"/>
        <w:rPr>
          <w:sz w:val="20"/>
          <w:szCs w:val="20"/>
          <w:color w:val="auto"/>
        </w:rPr>
      </w:pPr>
    </w:p>
    <w:p>
      <w:pPr>
        <w:jc w:val="both"/>
        <w:ind w:left="1260" w:right="499" w:firstLine="360"/>
        <w:spacing w:after="0" w:line="275" w:lineRule="auto"/>
        <w:rPr>
          <w:sz w:val="20"/>
          <w:szCs w:val="20"/>
          <w:color w:val="auto"/>
        </w:rPr>
      </w:pPr>
      <w:r>
        <w:rPr>
          <w:rFonts w:ascii="Arial" w:cs="Arial" w:eastAsia="Arial" w:hAnsi="Arial"/>
          <w:sz w:val="17"/>
          <w:szCs w:val="17"/>
          <w:color w:val="auto"/>
        </w:rPr>
        <w:t>The Company agreed to repurchase 700,000 Series C convertible preferred shares from Blitz at a price of $3.20 per share, aggregating to $2.2 million. As the carrying amount of each share of Series C was $6.41 aggregating to $4.5 million in September 2020, the Company recognized $2.2 million as additional paid-in capital under shareholders’ equity in the consolidated balance sheet as of December 31, 2020, related to the difference in fair value and carrying value of the Series C shares repurchased.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Fifth Company Repurchase (Series B — December 2020)</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On December 22, 2020, the Company entered into an agreement with JAFCO Asia Technology Fund V (“JAFCO”) whereby the Company agreed to repurchase 1,333,333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 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D Preferred Share Issuance</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2018, the Security Purchase Agreement with PIF granted PIF rights to purchase the Company’s Series D convertible shares at various tranches. The first tranche of $200.0 million is issuable upon the approval of the PIF’s equity investment into the Company by CFIUS (refer to Note 5 — Convertible Notes). The second and third tranches of $400.0 million each are issuable upon the Company’s satisfaction of certain milestones related to further development and enhancement in marketing, product, and administrative activities.</w:t>
      </w:r>
    </w:p>
    <w:p>
      <w:pPr>
        <w:spacing w:after="0" w:line="125"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141,746,324 shares of Series D at a price of $6.15 per share, for net proceeds of approximately $872.0 million during the year ended December 31, 2019. The Company recorded $10.2 million of share issuance costs for Series D as noncurrent assets in the consolidated balance sheet as of December 31, 2018 and subsequently reclassified this amount to contra convertible preferred shares when Series D was funded in 2019. An additional $0.3 million of Series D share issuance cost was incurred in 2019 and was recorded as an issuance cost in additional paid in capital to offset the proceeds from Series D.</w:t>
      </w:r>
    </w:p>
    <w:p>
      <w:pPr>
        <w:spacing w:after="0" w:line="118" w:lineRule="exact"/>
        <w:rPr>
          <w:sz w:val="20"/>
          <w:szCs w:val="20"/>
          <w:color w:val="auto"/>
        </w:rPr>
      </w:pPr>
    </w:p>
    <w:p>
      <w:pPr>
        <w:ind w:left="1260" w:right="419" w:firstLine="360"/>
        <w:spacing w:after="0" w:line="296" w:lineRule="auto"/>
        <w:rPr>
          <w:sz w:val="20"/>
          <w:szCs w:val="20"/>
          <w:color w:val="auto"/>
        </w:rPr>
      </w:pPr>
      <w:r>
        <w:rPr>
          <w:rFonts w:ascii="Arial" w:cs="Arial" w:eastAsia="Arial" w:hAnsi="Arial"/>
          <w:sz w:val="16"/>
          <w:szCs w:val="16"/>
          <w:color w:val="auto"/>
        </w:rPr>
        <w:t>In March 2020, the Company received $200.0 million of the remaining $400.0 million in proceeds from PIF and issued 31,201,245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31,201,245 shares of Series D.</w:t>
      </w:r>
    </w:p>
    <w:p>
      <w:pPr>
        <w:spacing w:after="0" w:line="8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See activities related to the PIF Convertible Notes and Series D convertible preferred share funding as below (in thousands):</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(Note 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271,985</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Series D received in April 2019</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5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Series D received in October 2019</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Series D received in March 2020</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Series received in June 2020</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64"/>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forward contract liability reclassified to Series D</w:t>
            </w: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39,563</w:t>
            </w:r>
          </w:p>
        </w:tc>
      </w:tr>
      <w:tr>
        <w:trPr>
          <w:trHeight w:val="295"/>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proceeds of Series 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1,311,548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3481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E convertible preferred share Issuance</w:t>
      </w:r>
    </w:p>
    <w:p>
      <w:pPr>
        <w:spacing w:after="0" w:line="162" w:lineRule="exact"/>
        <w:rPr>
          <w:sz w:val="20"/>
          <w:szCs w:val="20"/>
          <w:color w:val="auto"/>
        </w:rPr>
      </w:pPr>
    </w:p>
    <w:p>
      <w:pPr>
        <w:ind w:left="1260" w:right="1380" w:firstLine="360"/>
        <w:spacing w:after="0" w:line="253" w:lineRule="auto"/>
        <w:rPr>
          <w:sz w:val="20"/>
          <w:szCs w:val="20"/>
          <w:color w:val="auto"/>
        </w:rPr>
      </w:pPr>
      <w:r>
        <w:rPr>
          <w:rFonts w:ascii="Arial" w:cs="Arial" w:eastAsia="Arial" w:hAnsi="Arial"/>
          <w:sz w:val="18"/>
          <w:szCs w:val="18"/>
          <w:color w:val="auto"/>
        </w:rPr>
        <w:t>On September 21,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$7.90 per share of Series E convertible preferred. The Company needed to satisfy two sets of milestone conditions relating to further development and enhancement in marketing, product, and administrative activities for Ayar to provide funding under the SPAE.</w:t>
      </w:r>
    </w:p>
    <w:p>
      <w:pPr>
        <w:spacing w:after="0" w:line="111" w:lineRule="exact"/>
        <w:rPr>
          <w:sz w:val="20"/>
          <w:szCs w:val="20"/>
          <w:color w:val="auto"/>
        </w:rPr>
      </w:pPr>
    </w:p>
    <w:p>
      <w:pPr>
        <w:ind w:left="1260" w:right="1260" w:firstLine="360"/>
        <w:spacing w:after="0" w:line="269" w:lineRule="auto"/>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63,265,327 Series E convertible preferred shares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50,612,262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14" w:lineRule="exact"/>
        <w:rPr>
          <w:sz w:val="20"/>
          <w:szCs w:val="20"/>
          <w:color w:val="auto"/>
        </w:rPr>
      </w:pPr>
    </w:p>
    <w:p>
      <w:pPr>
        <w:ind w:left="1260" w:right="1320" w:firstLine="360"/>
        <w:spacing w:after="0" w:line="342" w:lineRule="auto"/>
        <w:rPr>
          <w:sz w:val="20"/>
          <w:szCs w:val="20"/>
          <w:color w:val="auto"/>
        </w:rPr>
      </w:pPr>
      <w:r>
        <w:rPr>
          <w:rFonts w:ascii="Arial" w:cs="Arial" w:eastAsia="Arial" w:hAnsi="Arial"/>
          <w:sz w:val="16"/>
          <w:szCs w:val="16"/>
          <w:color w:val="auto"/>
        </w:rPr>
        <w:t>As of December 31, 2020, and 2019, the Company had the following convertible preferred shares, par value of $0.0001 per share, authorized, and outstanding (in thousands, except share and per share amounts):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Conversion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Price Per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 to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Liquidation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208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w w:val="95"/>
              </w:rPr>
              <w:t>Liquidation</w:t>
            </w:r>
          </w:p>
        </w:tc>
      </w:tr>
      <w:tr>
        <w:trPr>
          <w:trHeight w:val="186"/>
        </w:trPr>
        <w:tc>
          <w:tcPr>
            <w:tcW w:w="126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98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Amount</w:t>
            </w:r>
          </w:p>
        </w:tc>
      </w:tr>
      <w:tr>
        <w:trPr>
          <w:trHeight w:val="25"/>
        </w:trPr>
        <w:tc>
          <w:tcPr>
            <w:tcW w:w="12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260" w:type="dxa"/>
            <w:vAlign w:val="bottom"/>
          </w:tcPr>
          <w:p>
            <w:pPr>
              <w:spacing w:after="0"/>
              <w:rPr>
                <w:sz w:val="19"/>
                <w:szCs w:val="19"/>
                <w:color w:val="auto"/>
              </w:rPr>
            </w:pPr>
          </w:p>
        </w:tc>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11,925</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23,740</w:t>
            </w:r>
          </w:p>
        </w:tc>
        <w:tc>
          <w:tcPr>
            <w:tcW w:w="720" w:type="dxa"/>
            <w:vAlign w:val="bottom"/>
          </w:tcPr>
          <w:p>
            <w:pPr>
              <w:jc w:val="right"/>
              <w:ind w:right="79"/>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28,000</w:t>
            </w:r>
          </w:p>
        </w:tc>
      </w:tr>
      <w:tr>
        <w:trPr>
          <w:trHeight w:val="243"/>
        </w:trPr>
        <w:tc>
          <w:tcPr>
            <w:tcW w:w="1260" w:type="dxa"/>
            <w:vAlign w:val="bottom"/>
          </w:tcPr>
          <w:p>
            <w:pPr>
              <w:spacing w:after="0"/>
              <w:rPr>
                <w:sz w:val="21"/>
                <w:szCs w:val="21"/>
                <w:color w:val="auto"/>
              </w:rPr>
            </w:pPr>
          </w:p>
        </w:tc>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31,170,225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22,532,244</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137,475</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234,009,360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204,148,825</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1,311,548</w:t>
            </w:r>
          </w:p>
        </w:tc>
        <w:tc>
          <w:tcPr>
            <w:tcW w:w="720" w:type="dxa"/>
            <w:vAlign w:val="bottom"/>
          </w:tcPr>
          <w:p>
            <w:pPr>
              <w:jc w:val="right"/>
              <w:ind w:right="79"/>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w w:val="87"/>
              </w:rPr>
              <w:t>1,963,912</w:t>
            </w:r>
          </w:p>
        </w:tc>
      </w:tr>
      <w:tr>
        <w:trPr>
          <w:trHeight w:val="277"/>
        </w:trPr>
        <w:tc>
          <w:tcPr>
            <w:tcW w:w="126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200" w:type="dxa"/>
            <w:vAlign w:val="bottom"/>
            <w:tcBorders>
              <w:right w:val="single" w:sz="8" w:color="CCEEFF"/>
            </w:tcBorders>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113,877,589</w:t>
            </w:r>
          </w:p>
        </w:tc>
        <w:tc>
          <w:tcPr>
            <w:tcW w:w="200" w:type="dxa"/>
            <w:vAlign w:val="bottom"/>
            <w:tcBorders>
              <w:right w:val="single" w:sz="8" w:color="CCEEFF"/>
            </w:tcBorders>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113,877,589</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1,009,388</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1,349,449</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400,510,507</w:t>
            </w:r>
          </w:p>
        </w:tc>
        <w:tc>
          <w:tcPr>
            <w:tcW w:w="2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362,011,991</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2,494,076</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w w:val="87"/>
              </w:rPr>
              <w:t>3,497,913</w:t>
            </w:r>
          </w:p>
        </w:tc>
      </w:tr>
      <w:tr>
        <w:trPr>
          <w:trHeight w:val="20"/>
        </w:trPr>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14"/>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-1679575</wp:posOffset>
            </wp:positionV>
            <wp:extent cx="1371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-1679575</wp:posOffset>
            </wp:positionV>
            <wp:extent cx="13716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-1679575</wp:posOffset>
            </wp:positionV>
            <wp:extent cx="12001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-1679575</wp:posOffset>
            </wp:positionV>
            <wp:extent cx="12001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-1679575</wp:posOffset>
            </wp:positionV>
            <wp:extent cx="12001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-1679575</wp:posOffset>
            </wp:positionV>
            <wp:extent cx="12001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0" w:name="page211"/>
    <w:bookmarkEnd w:id="21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620" w:right="699" w:hanging="360"/>
        <w:spacing w:after="0" w:line="263"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of December 31, 2020, 1,333,333 Series B convertible preferred shares at aggregate fair value of $3.0 million were extinguished and reclassified to other accrued liabilities, with cash settlement occurring in January 2021.</w:t>
      </w:r>
    </w:p>
    <w:p>
      <w:pPr>
        <w:spacing w:after="0" w:line="135"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Conversion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 Share to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Liquidation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Liquidation</w:t>
            </w:r>
          </w:p>
        </w:tc>
      </w:tr>
      <w:tr>
        <w:trPr>
          <w:trHeight w:val="186"/>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rPr>
              <w:t>Amount</w:t>
            </w:r>
          </w:p>
        </w:tc>
      </w:tr>
      <w:tr>
        <w:trPr>
          <w:trHeight w:val="26"/>
        </w:trPr>
        <w:tc>
          <w:tcPr>
            <w:tcW w:w="1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r>
      <w:tr>
        <w:trPr>
          <w:trHeight w:val="257"/>
        </w:trPr>
        <w:tc>
          <w:tcPr>
            <w:tcW w:w="21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27,740</w:t>
            </w:r>
          </w:p>
        </w:tc>
        <w:tc>
          <w:tcPr>
            <w:tcW w:w="780" w:type="dxa"/>
            <w:vAlign w:val="bottom"/>
          </w:tcPr>
          <w:p>
            <w:pPr>
              <w:jc w:val="right"/>
              <w:ind w:right="99"/>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56"/>
        </w:trPr>
        <w:tc>
          <w:tcPr>
            <w:tcW w:w="2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31,170,225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26,884,509</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162,360</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172,331</w:t>
            </w:r>
          </w:p>
        </w:tc>
      </w:tr>
      <w:tr>
        <w:trPr>
          <w:trHeight w:val="263"/>
        </w:trPr>
        <w:tc>
          <w:tcPr>
            <w:tcW w:w="21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234,009,360</w:t>
            </w: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141,746,324</w:t>
            </w: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871,985</w:t>
            </w:r>
          </w:p>
        </w:tc>
        <w:tc>
          <w:tcPr>
            <w:tcW w:w="780" w:type="dxa"/>
            <w:vAlign w:val="bottom"/>
          </w:tcPr>
          <w:p>
            <w:pPr>
              <w:jc w:val="right"/>
              <w:ind w:right="99"/>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2"/>
                <w:szCs w:val="22"/>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1,362,891</w:t>
            </w:r>
          </w:p>
        </w:tc>
      </w:tr>
      <w:tr>
        <w:trPr>
          <w:trHeight w:val="20"/>
        </w:trPr>
        <w:tc>
          <w:tcPr>
            <w:tcW w:w="1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90"/>
        </w:trPr>
        <w:tc>
          <w:tcPr>
            <w:tcW w:w="2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286,632,918</w:t>
            </w:r>
          </w:p>
        </w:tc>
        <w:tc>
          <w:tcPr>
            <w:tcW w:w="200" w:type="dxa"/>
            <w:vAlign w:val="bottom"/>
            <w:tcBorders>
              <w:right w:val="single" w:sz="8" w:color="CCEEFF"/>
            </w:tcBorders>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190,084,166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1,074,010</w:t>
            </w: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1,575,342</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6888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-882015</wp:posOffset>
            </wp:positionV>
            <wp:extent cx="137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-882015</wp:posOffset>
            </wp:positionV>
            <wp:extent cx="137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-882015</wp:posOffset>
            </wp:positionV>
            <wp:extent cx="1371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-882015</wp:posOffset>
            </wp:positionV>
            <wp:extent cx="1200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-882015</wp:posOffset>
            </wp:positionV>
            <wp:extent cx="1200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-882015</wp:posOffset>
            </wp:positionV>
            <wp:extent cx="12001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significant rights and preferences of the outstanding convertible preferred shares are as follows:</w:t>
      </w:r>
    </w:p>
    <w:p>
      <w:pPr>
        <w:spacing w:after="0" w:line="169"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Dividends — </w:t>
      </w:r>
      <w:r>
        <w:rPr>
          <w:rFonts w:ascii="Arial" w:cs="Arial" w:eastAsia="Arial" w:hAnsi="Arial"/>
          <w:sz w:val="18"/>
          <w:szCs w:val="18"/>
          <w:color w:val="auto"/>
        </w:rPr>
        <w:t>Holders of Series A, Series B, and Series C are entitled to receive noncumulative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at an annual rate of $0.08, $0.24, $0.5128 per share, respectively. Holders 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December 31, 2020, and 2019, no dividends have been declared.</w:t>
      </w:r>
    </w:p>
    <w:p>
      <w:pPr>
        <w:spacing w:after="0" w:line="12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 </w:t>
      </w:r>
      <w:r>
        <w:rPr>
          <w:rFonts w:ascii="Arial" w:cs="Arial" w:eastAsia="Arial" w:hAnsi="Arial"/>
          <w:sz w:val="17"/>
          <w:szCs w:val="17"/>
          <w:color w:val="auto"/>
        </w:rPr>
        <w:t>In the event of any liquidation, dissolution, or winding-up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voluntary or involuntary (a Liquidation Event), before any distribution or payment shall be made to holders of common shares, each holder of convertible preferred shares then outstanding shall be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D, Series C, Series B, and Series A original issue price per share (as adjusted for Share Split Changes), plus all declared and unpaid distributions thereon. If, upon the occurrence of such event, the assets and funds to be distributed among the holders of the convertible preferred shares shall be insufficient to permit the payment to such holders of the full aforesaid preferential amounts, the holders of the convertible preferred shares shall receive a pro rata distribution of assets, on a pari passu basis, according to the amounts which would be payable in respect of the Series E and Series D convertible preferred shares held by them upon such distribution if all amounts payable on or with respect to said shares were paid in full.</w:t>
      </w:r>
    </w:p>
    <w:p>
      <w:pPr>
        <w:spacing w:after="0" w:line="103"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b w:val="1"/>
          <w:bCs w:val="1"/>
          <w:i w:val="1"/>
          <w:iCs w:val="1"/>
          <w:color w:val="auto"/>
        </w:rPr>
        <w:t xml:space="preserve">Voting Rights — </w:t>
      </w:r>
      <w:r>
        <w:rPr>
          <w:rFonts w:ascii="Arial" w:cs="Arial" w:eastAsia="Arial" w:hAnsi="Arial"/>
          <w:sz w:val="18"/>
          <w:szCs w:val="18"/>
          <w:color w:val="auto"/>
        </w:rPr>
        <w:t>The holders of Series A, Series B, Series C, Series D and Series 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entitled to the number of votes equal to the number of Common 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b w:val="1"/>
          <w:bCs w:val="1"/>
          <w:i w:val="1"/>
          <w:iCs w:val="1"/>
          <w:color w:val="auto"/>
        </w:rPr>
        <w:t xml:space="preserve">Conversion — </w:t>
      </w:r>
      <w:r>
        <w:rPr>
          <w:rFonts w:ascii="Arial" w:cs="Arial" w:eastAsia="Arial" w:hAnsi="Arial"/>
          <w:sz w:val="18"/>
          <w:szCs w:val="18"/>
          <w:color w:val="auto"/>
        </w:rPr>
        <w:t>Each Series A, Series B, Series C, Series D and Series E convertible preferred share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at the option of the holder, into one fully paid nonassessable common shares. The conversion formula is adjusted for such events as dilutive issuances, share splits, or business combinations. Each share of Series A, Series B, Series C, Series D and Series E convertible preferred shares shall automatically convert into one share of common shares at the applicable conversion price upon the earlier of (1) vote or written consent of the holders of at least 66.67% of the outstanding Series A, Series B, Series C, Series D or 50% for Series E convertible preferred shares, as applicable (each calculated on an as-converted basis), voting as a class, or (2) immediately before the closing of the Company’s sale of its common shares in a firm commitment underwritten public offering on a U.S. national securities exchange or other internationally recognized securities exchange, which reflects a pre-offering market capitalization in excess of $2.5 billion and which results in gross proceeds to the Company of at least $200.0 million (before payment of underwriters’ discounts, commissions and offering expenses) (such transaction, a “Qualified IPO”).</w:t>
      </w:r>
    </w:p>
    <w:p>
      <w:pPr>
        <w:spacing w:after="0" w:line="11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Antidilution Adjustment — </w:t>
      </w:r>
      <w:r>
        <w:rPr>
          <w:rFonts w:ascii="Arial" w:cs="Arial" w:eastAsia="Arial" w:hAnsi="Arial"/>
          <w:sz w:val="17"/>
          <w:szCs w:val="17"/>
          <w:color w:val="auto"/>
        </w:rPr>
        <w:t>Subject to certain exceptions, if the Company issues additional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without consideration or for a consideration per share, less than the conversion price with respect to 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w:t>
      </w:r>
    </w:p>
    <w:p>
      <w:pPr>
        <w:spacing w:after="0" w:line="162"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No dividends other than those payable solely in common shares shall be paid on any common share, unless and until (i) 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 Reserved for Issuance</w:t>
      </w:r>
    </w:p>
    <w:p>
      <w:pPr>
        <w:spacing w:after="0" w:line="162"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The Company’s common shares reserved for future issuances as of December 31, 2020 and 2019, are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5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r>
      <w:tr>
        <w:trPr>
          <w:trHeight w:val="25"/>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362,011,991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190,084,166</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26,730,453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26,212,498</w:t>
            </w: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 warrant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585,023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585,023</w:t>
            </w:r>
          </w:p>
        </w:tc>
      </w:tr>
      <w:tr>
        <w:trPr>
          <w:trHeight w:val="26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available for future grants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3,981,178</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7,336,862</w:t>
            </w:r>
          </w:p>
        </w:tc>
      </w:tr>
      <w:tr>
        <w:trPr>
          <w:trHeight w:val="295"/>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common shares reserved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393,308,645</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224,218,549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1744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-882015</wp:posOffset>
            </wp:positionV>
            <wp:extent cx="137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-882015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SHARES-BASED AWARDS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Incentive Plans and Share Option Grants to Employees and Directors</w:t>
      </w:r>
    </w:p>
    <w:p>
      <w:pPr>
        <w:spacing w:after="0" w:line="14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In 2009, the Company adopted the 2009 Share Plan (the “2009 Plan”). In 2014, in connection with the Series C convertible preferred share financing, the Company adopted the 2014 Share Plan (the “2014 Plan”).</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2" w:name="page213"/>
    <w:bookmarkEnd w:id="21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Both the 2009 Plan and the 2014 Plan provide for the granting of incentive and non-statutory share options to directors, officers, employees, and consultants. Under the 2009 Plan and the 2014 Plan, the Company may grant options to purchase up to 5,000,000 and 31,884,190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96"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As of December 31, 2020, nil and 3,981,178 shares were remaining under the 2009 Plan and the 2014 Plan, respectively, for future grant. As of December 31, 2019, nil and 7,336,862 shares were remaining under the 2009 Plan and the 2014 Plan, respectively, for future grant.</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summary of share option activity under the 2009 Plan and the 2014 Plan is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10"/>
          </w:tcPr>
          <w:p>
            <w:pPr>
              <w:ind w:left="660"/>
              <w:spacing w:after="0"/>
              <w:rPr>
                <w:sz w:val="20"/>
                <w:szCs w:val="20"/>
                <w:color w:val="auto"/>
              </w:rPr>
            </w:pPr>
            <w:r>
              <w:rPr>
                <w:rFonts w:ascii="Arial" w:cs="Arial" w:eastAsia="Arial" w:hAnsi="Arial"/>
                <w:sz w:val="14"/>
                <w:szCs w:val="14"/>
                <w:b w:val="1"/>
                <w:bCs w:val="1"/>
                <w:color w:val="auto"/>
              </w:rPr>
              <w:t>Outstanding Options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Average</w:t>
            </w: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Remaining</w:t>
            </w:r>
          </w:p>
        </w:tc>
        <w:tc>
          <w:tcPr>
            <w:tcW w:w="80" w:type="dxa"/>
            <w:vAlign w:val="bottom"/>
          </w:tcPr>
          <w:p>
            <w:pPr>
              <w:spacing w:after="0"/>
              <w:rPr>
                <w:sz w:val="14"/>
                <w:szCs w:val="14"/>
                <w:color w:val="auto"/>
              </w:rPr>
            </w:pPr>
          </w:p>
        </w:tc>
        <w:tc>
          <w:tcPr>
            <w:tcW w:w="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Available</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Number of</w:t>
            </w: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Contractual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Grant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7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Term</w:t>
            </w:r>
          </w:p>
        </w:tc>
        <w:tc>
          <w:tcPr>
            <w:tcW w:w="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6"/>
        </w:trPr>
        <w:tc>
          <w:tcPr>
            <w:tcW w:w="3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19,257,865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14,716,256</w:t>
            </w:r>
          </w:p>
        </w:tc>
        <w:tc>
          <w:tcPr>
            <w:tcW w:w="22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1.06</w:t>
            </w:r>
          </w:p>
        </w:tc>
        <w:tc>
          <w:tcPr>
            <w:tcW w:w="2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6.37</w:t>
            </w:r>
          </w:p>
        </w:tc>
        <w:tc>
          <w:tcPr>
            <w:tcW w:w="2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(12,943,015)</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12,943,015</w:t>
            </w:r>
          </w:p>
        </w:tc>
        <w:tc>
          <w:tcPr>
            <w:tcW w:w="220" w:type="dxa"/>
            <w:vAlign w:val="bottom"/>
          </w:tcPr>
          <w:p>
            <w:pPr>
              <w:spacing w:after="0"/>
              <w:rPr>
                <w:sz w:val="22"/>
                <w:szCs w:val="22"/>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1"/>
              </w:rPr>
              <w:t>2.19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(424,761)</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1.22</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40" w:type="dxa"/>
            <w:vAlign w:val="bottom"/>
          </w:tcPr>
          <w:p>
            <w:pPr>
              <w:ind w:left="180"/>
              <w:spacing w:after="0"/>
              <w:rPr>
                <w:sz w:val="20"/>
                <w:szCs w:val="20"/>
                <w:color w:val="auto"/>
              </w:rPr>
            </w:pPr>
            <w:r>
              <w:rPr>
                <w:rFonts w:ascii="Arial" w:cs="Arial" w:eastAsia="Arial" w:hAnsi="Arial"/>
                <w:sz w:val="18"/>
                <w:szCs w:val="18"/>
                <w:color w:val="auto"/>
              </w:rPr>
              <w:t>Options canceled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1,022,012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(1,022,012)</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1"/>
              </w:rPr>
              <w:t>1.92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7,336,862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26,212,498</w:t>
            </w:r>
          </w:p>
        </w:tc>
        <w:tc>
          <w:tcPr>
            <w:tcW w:w="2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1.58</w:t>
            </w: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6.27</w:t>
            </w:r>
          </w:p>
        </w:tc>
        <w:tc>
          <w:tcPr>
            <w:tcW w:w="2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4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(9,009,210)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9,009,210</w:t>
            </w:r>
          </w:p>
        </w:tc>
        <w:tc>
          <w:tcPr>
            <w:tcW w:w="220" w:type="dxa"/>
            <w:vAlign w:val="bottom"/>
          </w:tcPr>
          <w:p>
            <w:pPr>
              <w:spacing w:after="0"/>
              <w:rPr>
                <w:sz w:val="22"/>
                <w:szCs w:val="22"/>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1"/>
              </w:rPr>
              <w:t>3.06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(2,837,729)</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40" w:type="dxa"/>
            <w:vAlign w:val="bottom"/>
          </w:tcPr>
          <w:p>
            <w:pPr>
              <w:ind w:left="180"/>
              <w:spacing w:after="0"/>
              <w:rPr>
                <w:sz w:val="20"/>
                <w:szCs w:val="20"/>
                <w:color w:val="auto"/>
              </w:rPr>
            </w:pPr>
            <w:r>
              <w:rPr>
                <w:rFonts w:ascii="Arial" w:cs="Arial" w:eastAsia="Arial" w:hAnsi="Arial"/>
                <w:sz w:val="18"/>
                <w:szCs w:val="18"/>
                <w:color w:val="auto"/>
              </w:rPr>
              <w:t>Options canceled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5,653,526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(5,653,526)</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1"/>
              </w:rPr>
              <w:t>1.17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3,981,178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26,730,453</w:t>
            </w:r>
          </w:p>
        </w:tc>
        <w:tc>
          <w:tcPr>
            <w:tcW w:w="22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2.21</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7.79</w:t>
            </w:r>
          </w:p>
        </w:tc>
        <w:tc>
          <w:tcPr>
            <w:tcW w:w="2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118,155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180"/>
              <w:spacing w:after="0" w:line="202" w:lineRule="exact"/>
              <w:rPr>
                <w:sz w:val="20"/>
                <w:szCs w:val="20"/>
                <w:color w:val="auto"/>
              </w:rPr>
            </w:pPr>
            <w:r>
              <w:rPr>
                <w:rFonts w:ascii="Arial" w:cs="Arial" w:eastAsia="Arial" w:hAnsi="Arial"/>
                <w:sz w:val="18"/>
                <w:szCs w:val="18"/>
                <w:color w:val="auto"/>
              </w:rPr>
              <w:t>Options vested and exercisable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8"/>
              </w:rPr>
              <w:t>26,111,472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4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1"/>
              </w:rPr>
              <w:t>1.75</w:t>
            </w:r>
          </w:p>
        </w:tc>
        <w:tc>
          <w:tcPr>
            <w:tcW w:w="220" w:type="dxa"/>
            <w:vAlign w:val="bottom"/>
          </w:tcPr>
          <w:p>
            <w:pPr>
              <w:spacing w:after="0"/>
              <w:rPr>
                <w:sz w:val="21"/>
                <w:szCs w:val="21"/>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1"/>
              </w:rPr>
              <w:t>6.75</w:t>
            </w:r>
          </w:p>
        </w:tc>
        <w:tc>
          <w:tcPr>
            <w:tcW w:w="2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75,944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-521970</wp:posOffset>
            </wp:positionV>
            <wp:extent cx="514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47320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-1207770</wp:posOffset>
            </wp:positionV>
            <wp:extent cx="514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47320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32020"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-1876425</wp:posOffset>
            </wp:positionV>
            <wp:extent cx="137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-1876425</wp:posOffset>
            </wp:positionV>
            <wp:extent cx="137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-1876425</wp:posOffset>
            </wp:positionV>
            <wp:extent cx="1371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-1876425</wp:posOffset>
            </wp:positionV>
            <wp:extent cx="28803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common shares. The aggregate intrinsic value of options exercised was approximately $8.3 million and $0.4 million in 2020 and 2019, respectively.</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total fair value of share options granted during the years ended December 31, 2020 and 2019, was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approximately $14.8 million and $13.9 million, respectively, which is being recognized over the respective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vesting periods. The total fair value of share options vested during the years ended December 31, 2020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 was approximately $3.9 million and $6.9 million, respectively. The unamortized share-based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compensation for the years ended December 31, 2020 and 2019, was approximately $14.9 million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$6.6 million, and weighted average remaining amortization period as of December 31, 2020 and 2019 was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3.0 years and 2.7 years, respectively.</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Black-Scholes Model used to value share options incorporates the following assumptions:</w:t>
      </w:r>
    </w:p>
    <w:p>
      <w:pPr>
        <w:spacing w:after="0" w:line="15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b w:val="1"/>
          <w:bCs w:val="1"/>
          <w:i w:val="1"/>
          <w:iCs w:val="1"/>
          <w:color w:val="auto"/>
        </w:rPr>
        <w:t xml:space="preserve">Volatility — </w:t>
      </w:r>
      <w:r>
        <w:rPr>
          <w:rFonts w:ascii="Arial" w:cs="Arial" w:eastAsia="Arial" w:hAnsi="Arial"/>
          <w:sz w:val="18"/>
          <w:szCs w:val="18"/>
          <w:color w:val="auto"/>
        </w:rPr>
        <w:t>The expected share price volatilities are estimated based on the historical and implied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volatilities of comparable publicly traded companies as the Company does not have sufficient history of trading its common shares.</w:t>
      </w:r>
    </w:p>
    <w:p>
      <w:pPr>
        <w:spacing w:after="0" w:line="116"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rates are based on U.S. Treasury yields in effect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date for notes over the expected option term.</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3" w:name="page214"/>
    <w:bookmarkEnd w:id="21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b w:val="1"/>
          <w:bCs w:val="1"/>
          <w:i w:val="1"/>
          <w:iCs w:val="1"/>
          <w:color w:val="auto"/>
        </w:rPr>
        <w:t xml:space="preserve">Expected Life — </w:t>
      </w:r>
      <w:r>
        <w:rPr>
          <w:rFonts w:ascii="Arial" w:cs="Arial" w:eastAsia="Arial" w:hAnsi="Arial"/>
          <w:sz w:val="18"/>
          <w:szCs w:val="18"/>
          <w:color w:val="auto"/>
        </w:rPr>
        <w:t>The expected term of options granted to employees represents the period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share-based awards are expected to be outstanding. The Company utilizes historical data when establishing the expected term assumptions. For options granted with an extended exercise term, refer to the below section for details.</w:t>
      </w:r>
    </w:p>
    <w:p>
      <w:pPr>
        <w:spacing w:after="0" w:line="107" w:lineRule="exact"/>
        <w:rPr>
          <w:sz w:val="20"/>
          <w:szCs w:val="20"/>
          <w:color w:val="auto"/>
        </w:rPr>
      </w:pPr>
    </w:p>
    <w:p>
      <w:pPr>
        <w:jc w:val="both"/>
        <w:ind w:left="1260" w:right="539" w:firstLine="360"/>
        <w:spacing w:after="0" w:line="311" w:lineRule="auto"/>
        <w:rPr>
          <w:sz w:val="20"/>
          <w:szCs w:val="20"/>
          <w:color w:val="auto"/>
        </w:rPr>
      </w:pPr>
      <w:r>
        <w:rPr>
          <w:rFonts w:ascii="Arial" w:cs="Arial" w:eastAsia="Arial" w:hAnsi="Arial"/>
          <w:sz w:val="16"/>
          <w:szCs w:val="16"/>
          <w:b w:val="1"/>
          <w:bCs w:val="1"/>
          <w:i w:val="1"/>
          <w:iCs w:val="1"/>
          <w:color w:val="auto"/>
        </w:rPr>
        <w:t xml:space="preserve">Dividend Yield — </w:t>
      </w:r>
      <w:r>
        <w:rPr>
          <w:rFonts w:ascii="Arial" w:cs="Arial" w:eastAsia="Arial" w:hAnsi="Arial"/>
          <w:sz w:val="16"/>
          <w:szCs w:val="16"/>
          <w:color w:val="auto"/>
        </w:rPr>
        <w:t>The expected dividend yield assumption of zero is based on our current expectations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about our anticipated dividend policy over the expected option term, and an estimate of expected forfeiture rates. Over the course of the Company’s history, it has not declared or paid any dividends to shareholders.</w:t>
      </w:r>
    </w:p>
    <w:p>
      <w:pPr>
        <w:spacing w:after="0" w:line="81"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Company estimates the fair value of the options utilizing the Black-Scholes option pricing model, which is dependent upon several variables, such as the expected option term, expected volatility of the Company’s share price over the expected term, expected risk-free interest rate over the expected option term, expected dividend yield rate over the expected option term, and an estimate of expected forfeiture rates. The Company believes this valuation methodology is appropriate for estimating the fair value of share options granted to employees and directors that are subject to ASC 718, Compensation — Stock Compensation, requirements. These amounts are estimates and, thus, may not be reflective of actual future results, nor amounts ultimately realized by recipients of these grants.</w:t>
      </w:r>
    </w:p>
    <w:p>
      <w:pPr>
        <w:spacing w:after="0" w:line="111"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A summary of the assumptions the Company utilized to record compensation expense for share options granted during the years ended December 31, 2020 and 2019, is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r>
      <w:tr>
        <w:trPr>
          <w:trHeight w:val="26"/>
        </w:trPr>
        <w:tc>
          <w:tcPr>
            <w:tcW w:w="59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5920" w:type="dxa"/>
            <w:vAlign w:val="bottom"/>
          </w:tcPr>
          <w:p>
            <w:pPr>
              <w:spacing w:after="0"/>
              <w:rPr>
                <w:sz w:val="17"/>
                <w:szCs w:val="17"/>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r>
      <w:tr>
        <w:trPr>
          <w:trHeight w:val="26"/>
        </w:trPr>
        <w:tc>
          <w:tcPr>
            <w:tcW w:w="59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20" w:type="dxa"/>
            <w:vAlign w:val="bottom"/>
          </w:tcPr>
          <w:p>
            <w:pPr>
              <w:spacing w:after="0"/>
              <w:rPr>
                <w:sz w:val="21"/>
                <w:szCs w:val="21"/>
                <w:color w:val="auto"/>
              </w:rPr>
            </w:pPr>
          </w:p>
        </w:tc>
      </w:tr>
      <w:tr>
        <w:trPr>
          <w:trHeight w:val="257"/>
        </w:trPr>
        <w:tc>
          <w:tcPr>
            <w:tcW w:w="5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2"/>
                <w:szCs w:val="22"/>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r>
      <w:tr>
        <w:trPr>
          <w:trHeight w:val="25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2"/>
                <w:szCs w:val="22"/>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8"/>
                <w:szCs w:val="18"/>
                <w:color w:val="auto"/>
              </w:rPr>
              <w:t>Expected dividends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-668020</wp:posOffset>
            </wp:positionV>
            <wp:extent cx="137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-668020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Company recognizes compensation on a straight-line basis over the requisite vesting period for each award.</w:t>
      </w:r>
    </w:p>
    <w:p>
      <w:pPr>
        <w:spacing w:after="0" w:line="8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During the year ended December 31, 2019, the Company granted 6.7 million options to senior management with an extended post-termination exercise term. The extended option exercise period for those options is the earliest of option expiration date, the first anniversary of a qualified IPO, or closing of a change of control. The Company also used the Black-Scholes option-pricing model to value the options with extended exercise term resulting in grant date fair value of $2.7 million in 2019, which were also expensed over the requisite vesting period for each award. In accordance with ASC 718-10-20, the change of control and IPO events are considered performance conditions and are not deemed probable until they occur, therefore the Company determined the expected life of the awards was 10 years, or equal to the contractual life, for use in the Black Scholes model. No such options were granted in 2020.</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are the assumptions used in the valuation of these options: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Year Ended</w:t>
            </w:r>
          </w:p>
        </w:tc>
      </w:tr>
      <w:tr>
        <w:trPr>
          <w:trHeight w:val="186"/>
        </w:trPr>
        <w:tc>
          <w:tcPr>
            <w:tcW w:w="4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 2019</w:t>
            </w:r>
          </w:p>
        </w:tc>
      </w:tr>
      <w:tr>
        <w:trPr>
          <w:trHeight w:val="25"/>
        </w:trPr>
        <w:tc>
          <w:tcPr>
            <w:tcW w:w="41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47.5%</w:t>
            </w:r>
          </w:p>
        </w:tc>
      </w:tr>
      <w:tr>
        <w:trPr>
          <w:trHeight w:val="256"/>
        </w:trPr>
        <w:tc>
          <w:tcPr>
            <w:tcW w:w="41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380" w:type="dxa"/>
            <w:vAlign w:val="bottom"/>
            <w:gridSpan w:val="2"/>
          </w:tcPr>
          <w:p>
            <w:pPr>
              <w:jc w:val="right"/>
              <w:ind w:right="359"/>
              <w:spacing w:after="0"/>
              <w:rPr>
                <w:sz w:val="20"/>
                <w:szCs w:val="20"/>
                <w:color w:val="auto"/>
              </w:rPr>
            </w:pPr>
            <w:r>
              <w:rPr>
                <w:rFonts w:ascii="Arial" w:cs="Arial" w:eastAsia="Arial" w:hAnsi="Arial"/>
                <w:sz w:val="18"/>
                <w:szCs w:val="18"/>
                <w:color w:val="auto"/>
              </w:rPr>
              <w:t>10</w:t>
            </w:r>
          </w:p>
        </w:tc>
      </w:tr>
      <w:tr>
        <w:trPr>
          <w:trHeight w:val="25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2.59%</w:t>
            </w:r>
          </w:p>
        </w:tc>
      </w:tr>
      <w:tr>
        <w:trPr>
          <w:trHeight w:val="256"/>
        </w:trPr>
        <w:tc>
          <w:tcPr>
            <w:tcW w:w="4100" w:type="dxa"/>
            <w:vAlign w:val="bottom"/>
          </w:tcPr>
          <w:p>
            <w:pPr>
              <w:spacing w:after="0"/>
              <w:rPr>
                <w:sz w:val="20"/>
                <w:szCs w:val="20"/>
                <w:color w:val="auto"/>
              </w:rPr>
            </w:pPr>
            <w:r>
              <w:rPr>
                <w:rFonts w:ascii="Arial" w:cs="Arial" w:eastAsia="Arial" w:hAnsi="Arial"/>
                <w:sz w:val="18"/>
                <w:szCs w:val="18"/>
                <w:color w:val="auto"/>
              </w:rPr>
              <w:t>Expected dividends</w:t>
            </w:r>
          </w:p>
        </w:tc>
        <w:tc>
          <w:tcPr>
            <w:tcW w:w="2180" w:type="dxa"/>
            <w:vAlign w:val="bottom"/>
          </w:tcPr>
          <w:p>
            <w:pPr>
              <w:spacing w:after="0"/>
              <w:rPr>
                <w:sz w:val="22"/>
                <w:szCs w:val="22"/>
                <w:color w:val="auto"/>
              </w:rPr>
            </w:pPr>
          </w:p>
        </w:tc>
        <w:tc>
          <w:tcPr>
            <w:tcW w:w="1200" w:type="dxa"/>
            <w:vAlign w:val="bottom"/>
          </w:tcPr>
          <w:p>
            <w:pPr>
              <w:jc w:val="right"/>
              <w:ind w:right="35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-659130</wp:posOffset>
            </wp:positionV>
            <wp:extent cx="398589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14"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Total employee and nonemployee share-based compensation expense, including that related to the extended exercise terms for senior management and consultants for the years ended December 31, 2020 and 2019, is classified in the consolidated statements of operations as follows (in thousands):</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4" w:name="page215"/>
    <w:bookmarkEnd w:id="21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9"/>
          </w:tcPr>
          <w:p>
            <w:pPr>
              <w:ind w:left="20"/>
              <w:spacing w:after="0"/>
              <w:rPr>
                <w:sz w:val="20"/>
                <w:szCs w:val="20"/>
                <w:color w:val="auto"/>
              </w:rPr>
            </w:pPr>
            <w:r>
              <w:rPr>
                <w:rFonts w:ascii="Arial" w:cs="Arial" w:eastAsia="Arial" w:hAnsi="Arial"/>
                <w:sz w:val="14"/>
                <w:szCs w:val="14"/>
                <w:b w:val="1"/>
                <w:bCs w:val="1"/>
                <w:color w:val="auto"/>
                <w:w w:val="89"/>
              </w:rPr>
              <w:t>Year Ended December 31,</w:t>
            </w:r>
          </w:p>
        </w:tc>
      </w:tr>
      <w:tr>
        <w:trPr>
          <w:trHeight w:val="26"/>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8"/>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r>
      <w:tr>
        <w:trPr>
          <w:trHeight w:val="26"/>
        </w:trPr>
        <w:tc>
          <w:tcPr>
            <w:tcW w:w="5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1"/>
                <w:szCs w:val="21"/>
                <w:color w:val="auto"/>
              </w:rPr>
            </w:pPr>
          </w:p>
        </w:tc>
      </w:tr>
      <w:tr>
        <w:trPr>
          <w:trHeight w:val="257"/>
        </w:trPr>
        <w:tc>
          <w:tcPr>
            <w:tcW w:w="5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4,770</w:t>
            </w:r>
          </w:p>
        </w:tc>
        <w:tc>
          <w:tcPr>
            <w:tcW w:w="100" w:type="dxa"/>
            <w:vAlign w:val="bottom"/>
          </w:tcPr>
          <w:p>
            <w:pPr>
              <w:spacing w:after="0"/>
              <w:rPr>
                <w:sz w:val="22"/>
                <w:szCs w:val="22"/>
                <w:color w:val="auto"/>
              </w:rPr>
            </w:pPr>
          </w:p>
        </w:tc>
      </w:tr>
      <w:tr>
        <w:trPr>
          <w:trHeight w:val="26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7,719</w:t>
            </w:r>
          </w:p>
        </w:tc>
        <w:tc>
          <w:tcPr>
            <w:tcW w:w="100" w:type="dxa"/>
            <w:vAlign w:val="bottom"/>
          </w:tcPr>
          <w:p>
            <w:pPr>
              <w:spacing w:after="0"/>
              <w:rPr>
                <w:sz w:val="23"/>
                <w:szCs w:val="23"/>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-719455</wp:posOffset>
            </wp:positionV>
            <wp:extent cx="137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-719455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Leases and Other Contractual Obligations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Company has various non-cancelable operating leases for its office space, laboratory, and manufacturing and retail facilities. These leases expire at various times through 2030. Certain lease agreements contain renewal options, rent abatement, and escalation clauses. The Company recognizes rent expense on a straight-line basis over the lease term, commencing when the Company takes possession of the property. Certain of the Company’s office leases entitle the Company to receive a tenant allowance from the landlord. The Company records tenant allowance as a deferred rent credit, which the Company amortizes on a straight-line basis, as a reduction of rent expense, over the term of the underlying lease. In 2020 and in 2019, the Company invoked the right for additional tenant improvements of $4.7 million and $8.6 million, respectively, allowed in the original contracts or amended agreements for the corporate headquarters in Newark, California.</w:t>
      </w:r>
    </w:p>
    <w:p>
      <w:pPr>
        <w:spacing w:after="0" w:line="113"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As of December 31, 2020, and 2019, the Company had $406.1 million and $162.0 million in commitments related to the Arizona manufacturing plant and equipment. This represents future expected payments on open purchase orders entered as of December 31, 2020, and 2019.</w:t>
      </w:r>
    </w:p>
    <w:p>
      <w:pPr>
        <w:spacing w:after="0" w:line="116"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In September 2017, the Company entered into an over 10-year lease on an approximately 127,000 square-foot headquarters building, and the lease will expire on September 30, 2030 after the amendment being signed. The Company has committed to pay approximately $0.3 million per month for the building, with 3% annual increases.</w:t>
      </w:r>
    </w:p>
    <w:p>
      <w:pPr>
        <w:spacing w:after="0" w:line="119"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In September 2018, the Company amended that lease to also include an approximately 300,000 square-foot additional building within the same campus location and extend the term to 12 years, and the lease will expire on September 30, 2030. Under the lease agreement, the Company has committed to pay approximately $0.6 million per month for the additional building, with 3% annual increases on the lease.</w:t>
      </w:r>
    </w:p>
    <w:p>
      <w:pPr>
        <w:spacing w:after="0" w:line="9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As of December 31, 2020, and 2019, the landlord provided a tenant improvement allowance for approximately $29.0 million and $24.3 million, respectively, for leasehold improvements in connection with the cost of construction of the initial alterations within the premises.</w:t>
      </w:r>
    </w:p>
    <w:p>
      <w:pPr>
        <w:spacing w:after="0" w:line="116"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In December 2018, the Company entered into a four-year lease for approximately 500 acres of land in Arizona, on which the Company intends to construct an Arizona plant. Under the lease agreement, the Company is committed to pay $1.8 million per year during the lease term. This rent is paid in arrears. Pursuant to the terms of the lease agreement , the Company has the exclusive option to purchase the Premises (land together with any structures or improvements presently situated thereon or to be constructed thereon) at any time prior to expiration of the lease term for the purchase price to be computed in accordance with the terms and conditions as set forth in the lease agreement.</w:t>
      </w:r>
    </w:p>
    <w:p>
      <w:pPr>
        <w:spacing w:after="0" w:line="12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June 2019, the Company entered into a new lease agreement for a retail location in Beverly Hills, California. The lease commenced on September 1, 2019 and will expire on August 31, 2029. Under the lease agreement, the Company will pay base rent of $0.1 million per month. Base rent is subject to a 3% annual escalation clause during the lease term.</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5" w:name="page216"/>
    <w:bookmarkEnd w:id="21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From January 2020 to September 2020, the Company entered into nine lease agreements for retail 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Future minimum payments as of December 31, 2020, are approximately as follows (in thousands):</w:t>
      </w:r>
    </w:p>
    <w:p>
      <w:pPr>
        <w:spacing w:after="0" w:line="20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25,490</w:t>
            </w:r>
          </w:p>
        </w:tc>
      </w:tr>
      <w:tr>
        <w:trPr>
          <w:trHeight w:val="25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27,633</w:t>
            </w:r>
          </w:p>
        </w:tc>
      </w:tr>
      <w:tr>
        <w:trPr>
          <w:trHeight w:val="25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28,207</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27,474</w:t>
            </w:r>
          </w:p>
        </w:tc>
      </w:tr>
      <w:tr>
        <w:trPr>
          <w:trHeight w:val="263"/>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116,155</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253,796</w:t>
            </w:r>
          </w:p>
        </w:tc>
      </w:tr>
      <w:tr>
        <w:trPr>
          <w:trHeight w:val="21"/>
        </w:trPr>
        <w:tc>
          <w:tcPr>
            <w:tcW w:w="6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Rent expense incurred under operating leases was approximately $19.6 million and $18.3 million, for the years ended December 31, 2020 and 2019, respectively.</w:t>
      </w:r>
    </w:p>
    <w:p>
      <w:pPr>
        <w:spacing w:after="0" w:line="103"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During the year ended 2020, the Company entered into a non-cancellable purchase commitment with a large battery cell supplier to purchase battery cells over the next three years. Battery cell costs can fluctuate from time to time based on, among other things, supply and demand, costs of raw materials, and purchase volumes. The estimated purchase commitment as of December 31, 2020 is set as follows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Minimum</w:t>
            </w:r>
          </w:p>
        </w:tc>
      </w:tr>
      <w:tr>
        <w:trPr>
          <w:trHeight w:val="186"/>
        </w:trPr>
        <w:tc>
          <w:tcPr>
            <w:tcW w:w="6100" w:type="dxa"/>
            <w:vAlign w:val="bottom"/>
          </w:tcPr>
          <w:p>
            <w:pPr>
              <w:spacing w:after="0"/>
              <w:rPr>
                <w:sz w:val="16"/>
                <w:szCs w:val="16"/>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Purchase Commitment</w:t>
            </w:r>
          </w:p>
        </w:tc>
      </w:tr>
      <w:tr>
        <w:trPr>
          <w:trHeight w:val="25"/>
        </w:trPr>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2021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$101,200</w:t>
            </w:r>
          </w:p>
        </w:tc>
        <w:tc>
          <w:tcPr>
            <w:tcW w:w="340" w:type="dxa"/>
            <w:vAlign w:val="bottom"/>
          </w:tcPr>
          <w:p>
            <w:pPr>
              <w:spacing w:after="0"/>
              <w:rPr>
                <w:sz w:val="22"/>
                <w:szCs w:val="22"/>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202,400</w:t>
            </w:r>
          </w:p>
        </w:tc>
        <w:tc>
          <w:tcPr>
            <w:tcW w:w="340" w:type="dxa"/>
            <w:vAlign w:val="bottom"/>
            <w:shd w:val="clear" w:color="auto" w:fill="CCEEFF"/>
          </w:tcPr>
          <w:p>
            <w:pPr>
              <w:spacing w:after="0"/>
              <w:rPr>
                <w:sz w:val="22"/>
                <w:szCs w:val="22"/>
                <w:color w:val="auto"/>
              </w:rPr>
            </w:pPr>
          </w:p>
        </w:tc>
      </w:tr>
      <w:tr>
        <w:trPr>
          <w:trHeight w:val="264"/>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202,400</w:t>
            </w:r>
          </w:p>
        </w:tc>
        <w:tc>
          <w:tcPr>
            <w:tcW w:w="340" w:type="dxa"/>
            <w:vAlign w:val="bottom"/>
            <w:tcBorders>
              <w:bottom w:val="single" w:sz="8" w:color="CCEEFF"/>
            </w:tcBorders>
          </w:tcPr>
          <w:p>
            <w:pPr>
              <w:spacing w:after="0"/>
              <w:rPr>
                <w:sz w:val="22"/>
                <w:szCs w:val="22"/>
                <w:color w:val="auto"/>
              </w:rPr>
            </w:pPr>
          </w:p>
        </w:tc>
      </w:tr>
      <w:tr>
        <w:trPr>
          <w:trHeight w:val="29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$506,000</w:t>
            </w:r>
          </w:p>
        </w:tc>
        <w:tc>
          <w:tcPr>
            <w:tcW w:w="340" w:type="dxa"/>
            <w:vAlign w:val="bottom"/>
            <w:shd w:val="clear" w:color="auto" w:fill="CCEEFF"/>
          </w:tcPr>
          <w:p>
            <w:pPr>
              <w:spacing w:after="0"/>
              <w:rPr>
                <w:sz w:val="24"/>
                <w:szCs w:val="24"/>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38658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Capital Lease</w:t>
      </w:r>
    </w:p>
    <w:p>
      <w:pPr>
        <w:spacing w:after="0" w:line="14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During the years ended December 31, 2019 and 2020, the Company acquired equipment under capital lease agreements with an initial term of 36 months.</w:t>
      </w:r>
    </w:p>
    <w:p>
      <w:pPr>
        <w:spacing w:after="0" w:line="103"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Future minimum payments for the capital lease as of December 31, 2020, are approximately as follows (in thousands):</w:t>
      </w:r>
    </w:p>
    <w:p>
      <w:pPr>
        <w:spacing w:after="0" w:line="11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$ 1,729</w:t>
            </w:r>
          </w:p>
        </w:tc>
        <w:tc>
          <w:tcPr>
            <w:tcW w:w="6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60" w:type="dxa"/>
            <w:vAlign w:val="bottom"/>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21"/>
                <w:szCs w:val="21"/>
                <w:color w:val="auto"/>
              </w:rPr>
            </w:pPr>
          </w:p>
        </w:tc>
      </w:tr>
      <w:tr>
        <w:trPr>
          <w:trHeight w:val="277"/>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560" w:type="dxa"/>
            <w:vAlign w:val="bottom"/>
          </w:tcPr>
          <w:p>
            <w:pPr>
              <w:jc w:val="right"/>
              <w:spacing w:after="0"/>
              <w:rPr>
                <w:sz w:val="20"/>
                <w:szCs w:val="20"/>
                <w:color w:val="auto"/>
              </w:rPr>
            </w:pPr>
            <w:r>
              <w:rPr>
                <w:rFonts w:ascii="Arial" w:cs="Arial" w:eastAsia="Arial" w:hAnsi="Arial"/>
                <w:sz w:val="18"/>
                <w:szCs w:val="18"/>
                <w:color w:val="auto"/>
              </w:rPr>
              <w:t>4,459</w:t>
            </w:r>
          </w:p>
        </w:tc>
        <w:tc>
          <w:tcPr>
            <w:tcW w:w="60" w:type="dxa"/>
            <w:vAlign w:val="bottom"/>
          </w:tcPr>
          <w:p>
            <w:pPr>
              <w:spacing w:after="0"/>
              <w:rPr>
                <w:sz w:val="21"/>
                <w:szCs w:val="21"/>
                <w:color w:val="auto"/>
              </w:rPr>
            </w:pPr>
          </w:p>
        </w:tc>
      </w:tr>
      <w:tr>
        <w:trPr>
          <w:trHeight w:val="277"/>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(1,202)</w:t>
            </w:r>
          </w:p>
        </w:tc>
        <w:tc>
          <w:tcPr>
            <w:tcW w:w="60" w:type="dxa"/>
            <w:vAlign w:val="bottom"/>
          </w:tcPr>
          <w:p>
            <w:pPr>
              <w:spacing w:after="0"/>
              <w:rPr>
                <w:sz w:val="24"/>
                <w:szCs w:val="24"/>
                <w:color w:val="auto"/>
              </w:rPr>
            </w:pPr>
          </w:p>
        </w:tc>
      </w:tr>
      <w:tr>
        <w:trPr>
          <w:trHeight w:val="283"/>
        </w:trPr>
        <w:tc>
          <w:tcPr>
            <w:tcW w:w="6920" w:type="dxa"/>
            <w:vAlign w:val="bottom"/>
          </w:tcPr>
          <w:p>
            <w:pPr>
              <w:spacing w:after="0"/>
              <w:rPr>
                <w:sz w:val="20"/>
                <w:szCs w:val="20"/>
                <w:color w:val="auto"/>
              </w:rPr>
            </w:pPr>
            <w:r>
              <w:rPr>
                <w:rFonts w:ascii="Arial" w:cs="Arial" w:eastAsia="Arial" w:hAnsi="Arial"/>
                <w:sz w:val="18"/>
                <w:szCs w:val="18"/>
                <w:color w:val="auto"/>
              </w:rPr>
              <w:t>Capital lease obligations, net of interest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$ 3,257</w:t>
            </w:r>
          </w:p>
        </w:tc>
        <w:tc>
          <w:tcPr>
            <w:tcW w:w="60" w:type="dxa"/>
            <w:vAlign w:val="bottom"/>
          </w:tcPr>
          <w:p>
            <w:pPr>
              <w:spacing w:after="0"/>
              <w:rPr>
                <w:sz w:val="24"/>
                <w:szCs w:val="24"/>
                <w:color w:val="auto"/>
              </w:rPr>
            </w:pPr>
          </w:p>
        </w:tc>
      </w:tr>
      <w:tr>
        <w:trPr>
          <w:trHeight w:val="21"/>
        </w:trPr>
        <w:tc>
          <w:tcPr>
            <w:tcW w:w="6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6" w:name="page217"/>
    <w:bookmarkEnd w:id="21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surety bond primarily used as security against facility leases and utilities infrastructure in the amount of $5.0 million as of December 31, 2020, for which no liabilities are recorded on the consolidated balance sheets. No such obligation was noted at December 31, 2019.</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INCOME TAXES</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Income taxes have been provided in accordance with ASC 740. The components of loss before income taxes for the years ended December 31, 2020 and 2019, are as follows (in thousands):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5"/>
        </w:trPr>
        <w:tc>
          <w:tcPr>
            <w:tcW w:w="57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subject to domestic income taxes</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$(719,636)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$(277,244)</w:t>
            </w:r>
          </w:p>
        </w:tc>
        <w:tc>
          <w:tcPr>
            <w:tcW w:w="60" w:type="dxa"/>
            <w:vAlign w:val="bottom"/>
          </w:tcPr>
          <w:p>
            <w:pPr>
              <w:spacing w:after="0"/>
              <w:rPr>
                <w:sz w:val="21"/>
                <w:szCs w:val="21"/>
                <w:color w:val="auto"/>
              </w:rPr>
            </w:pPr>
          </w:p>
        </w:tc>
      </w:tr>
      <w:tr>
        <w:trPr>
          <w:trHeight w:val="263"/>
        </w:trPr>
        <w:tc>
          <w:tcPr>
            <w:tcW w:w="5760" w:type="dxa"/>
            <w:vAlign w:val="bottom"/>
          </w:tcPr>
          <w:p>
            <w:pPr>
              <w:spacing w:after="0"/>
              <w:rPr>
                <w:sz w:val="20"/>
                <w:szCs w:val="20"/>
                <w:color w:val="auto"/>
              </w:rPr>
            </w:pPr>
            <w:r>
              <w:rPr>
                <w:rFonts w:ascii="Arial" w:cs="Arial" w:eastAsia="Arial" w:hAnsi="Arial"/>
                <w:sz w:val="18"/>
                <w:szCs w:val="18"/>
                <w:color w:val="auto"/>
              </w:rPr>
              <w:t>Loss subject to foreign income taxes</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57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76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$(719,568)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$(277,334)</w:t>
            </w:r>
          </w:p>
        </w:tc>
        <w:tc>
          <w:tcPr>
            <w:tcW w:w="60" w:type="dxa"/>
            <w:vAlign w:val="bottom"/>
          </w:tcPr>
          <w:p>
            <w:pPr>
              <w:spacing w:after="0"/>
              <w:rPr>
                <w:sz w:val="24"/>
                <w:szCs w:val="24"/>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7736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26910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95"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The Company recorded an income tax provision/(benefit) of $(0.19) million and $0.03 million in connection with its domestic state and foreign subsidiaries for the years ended December 31, 2020 and 2019, respectively, as follows (in thousands):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s$—</w:t>
            </w:r>
          </w:p>
        </w:tc>
        <w:tc>
          <w:tcPr>
            <w:tcW w:w="0" w:type="dxa"/>
            <w:vAlign w:val="bottom"/>
          </w:tcPr>
          <w:p>
            <w:pPr>
              <w:spacing w:after="0"/>
              <w:rPr>
                <w:sz w:val="1"/>
                <w:szCs w:val="1"/>
                <w:color w:val="auto"/>
              </w:rPr>
            </w:pPr>
          </w:p>
        </w:tc>
      </w:tr>
      <w:tr>
        <w:trPr>
          <w:trHeight w:val="24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(193)</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tax expense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(188)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Deferred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60" w:type="dxa"/>
            <w:vAlign w:val="bottom"/>
          </w:tcPr>
          <w:p>
            <w:pPr>
              <w:spacing w:after="0"/>
              <w:rPr>
                <w:sz w:val="20"/>
                <w:szCs w:val="20"/>
                <w:color w:val="auto"/>
              </w:rPr>
            </w:pPr>
            <w:r>
              <w:rPr>
                <w:rFonts w:ascii="Arial" w:cs="Arial" w:eastAsia="Arial" w:hAnsi="Arial"/>
                <w:sz w:val="18"/>
                <w:szCs w:val="18"/>
                <w:color w:val="auto"/>
              </w:rPr>
              <w:t>Total deferred tax expense (benefit)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(188)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-410845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-1250950</wp:posOffset>
            </wp:positionV>
            <wp:extent cx="474916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-1902460</wp:posOffset>
            </wp:positionV>
            <wp:extent cx="45091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7" w:name="page218"/>
    <w:bookmarkEnd w:id="21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The amount of income tax expense (benefit) differs from the expected benefit due to the state income taxes, foreign income taxes, and the impact of the valuation allowance.</w:t>
      </w:r>
    </w:p>
    <w:p>
      <w:pPr>
        <w:spacing w:after="0" w:line="90" w:lineRule="exact"/>
        <w:rPr>
          <w:sz w:val="20"/>
          <w:szCs w:val="20"/>
          <w:color w:val="auto"/>
        </w:rPr>
      </w:pPr>
    </w:p>
    <w:p>
      <w:pPr>
        <w:jc w:val="both"/>
        <w:ind w:left="1260" w:right="539" w:firstLine="360"/>
        <w:spacing w:after="0" w:line="255"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w:t>
      </w:r>
    </w:p>
    <w:p>
      <w:pPr>
        <w:jc w:val="both"/>
        <w:ind w:left="1260" w:right="519"/>
        <w:spacing w:after="0" w:line="248" w:lineRule="auto"/>
        <w:tabs>
          <w:tab w:leader="none" w:pos="152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eliminating the corporate alternative minimum tax (AMT) and changing how existing AMT credits can be realized; (3) creating a new limitation on deductible interest expense; (4) changing rules related to uses and limitations of net operating loss carryforwards created in tax years beginning after December 31, 2017;</w:t>
      </w:r>
    </w:p>
    <w:p>
      <w:pPr>
        <w:spacing w:after="0" w:line="1" w:lineRule="exact"/>
        <w:rPr>
          <w:rFonts w:ascii="Arial" w:cs="Arial" w:eastAsia="Arial" w:hAnsi="Arial"/>
          <w:sz w:val="17"/>
          <w:szCs w:val="17"/>
          <w:color w:val="auto"/>
        </w:rPr>
      </w:pPr>
    </w:p>
    <w:p>
      <w:pPr>
        <w:jc w:val="both"/>
        <w:ind w:left="1260" w:right="419"/>
        <w:spacing w:after="0" w:line="248" w:lineRule="auto"/>
        <w:tabs>
          <w:tab w:leader="none" w:pos="152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bonus depreciation that will allow for full expensing of qualified property; (6) establishes new rules with respect to the taxation of certain international transactions, including the income of foreign subsidiaries; and</w:t>
      </w:r>
    </w:p>
    <w:p>
      <w:pPr>
        <w:spacing w:after="0" w:line="1" w:lineRule="exact"/>
        <w:rPr>
          <w:rFonts w:ascii="Arial" w:cs="Arial" w:eastAsia="Arial" w:hAnsi="Arial"/>
          <w:sz w:val="17"/>
          <w:szCs w:val="17"/>
          <w:color w:val="auto"/>
        </w:rPr>
      </w:pPr>
    </w:p>
    <w:p>
      <w:pPr>
        <w:ind w:left="1520" w:hanging="260"/>
        <w:spacing w:after="0"/>
        <w:tabs>
          <w:tab w:leader="none" w:pos="1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limitations on the deductibility of certain executive compensation.</w:t>
      </w:r>
    </w:p>
    <w:p>
      <w:pPr>
        <w:spacing w:after="0" w:line="12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Tax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The Company has elected to recognize the tax on GILTI as a period expense in the period the tax is incurred. The Company’s foreign income is in a net loss position and is immaterial to the provision for income taxes, thus no GILTI has been accrued for either 2019 or 2020.</w:t>
      </w:r>
    </w:p>
    <w:p>
      <w:pPr>
        <w:spacing w:after="0" w:line="12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2020 and 2019, are as follows (in thousands):</w:t>
      </w:r>
    </w:p>
    <w:p>
      <w:pPr>
        <w:spacing w:after="0" w:line="125"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5"/>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7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265,799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139,899</w:t>
            </w:r>
          </w:p>
        </w:tc>
        <w:tc>
          <w:tcPr>
            <w:tcW w:w="60" w:type="dxa"/>
            <w:vAlign w:val="bottom"/>
          </w:tcPr>
          <w:p>
            <w:pPr>
              <w:spacing w:after="0"/>
              <w:rPr>
                <w:sz w:val="22"/>
                <w:szCs w:val="22"/>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60" w:type="dxa"/>
            <w:vAlign w:val="bottom"/>
          </w:tcPr>
          <w:p>
            <w:pPr>
              <w:spacing w:after="0"/>
              <w:rPr>
                <w:sz w:val="22"/>
                <w:szCs w:val="22"/>
                <w:color w:val="auto"/>
              </w:rPr>
            </w:pPr>
          </w:p>
        </w:tc>
      </w:tr>
      <w:tr>
        <w:trPr>
          <w:trHeight w:val="256"/>
        </w:trPr>
        <w:tc>
          <w:tcPr>
            <w:tcW w:w="57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4,191</w:t>
            </w:r>
          </w:p>
        </w:tc>
        <w:tc>
          <w:tcPr>
            <w:tcW w:w="60" w:type="dxa"/>
            <w:vAlign w:val="bottom"/>
          </w:tcPr>
          <w:p>
            <w:pPr>
              <w:spacing w:after="0"/>
              <w:rPr>
                <w:sz w:val="22"/>
                <w:szCs w:val="22"/>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2"/>
                <w:szCs w:val="22"/>
                <w:color w:val="auto"/>
              </w:rPr>
            </w:pP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Accrued compensation and vacation</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22"/>
                <w:szCs w:val="22"/>
                <w:color w:val="auto"/>
              </w:rPr>
            </w:pPr>
          </w:p>
        </w:tc>
      </w:tr>
      <w:tr>
        <w:trPr>
          <w:trHeight w:val="25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22"/>
                <w:szCs w:val="22"/>
                <w:color w:val="auto"/>
              </w:rPr>
            </w:pP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Tenant improvement allowance</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8,777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7,757</w:t>
            </w:r>
          </w:p>
        </w:tc>
        <w:tc>
          <w:tcPr>
            <w:tcW w:w="60" w:type="dxa"/>
            <w:vAlign w:val="bottom"/>
          </w:tcPr>
          <w:p>
            <w:pPr>
              <w:spacing w:after="0"/>
              <w:rPr>
                <w:sz w:val="22"/>
                <w:szCs w:val="22"/>
                <w:color w:val="auto"/>
              </w:rPr>
            </w:pPr>
          </w:p>
        </w:tc>
      </w:tr>
      <w:tr>
        <w:trPr>
          <w:trHeight w:val="25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60" w:type="dxa"/>
            <w:vAlign w:val="bottom"/>
          </w:tcPr>
          <w:p>
            <w:pPr>
              <w:spacing w:after="0"/>
              <w:rPr>
                <w:sz w:val="22"/>
                <w:szCs w:val="22"/>
                <w:color w:val="auto"/>
              </w:rPr>
            </w:pPr>
          </w:p>
        </w:tc>
      </w:tr>
      <w:tr>
        <w:trPr>
          <w:trHeight w:val="264"/>
        </w:trPr>
        <w:tc>
          <w:tcPr>
            <w:tcW w:w="576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5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360,573</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174,818</w:t>
            </w:r>
          </w:p>
        </w:tc>
        <w:tc>
          <w:tcPr>
            <w:tcW w:w="60" w:type="dxa"/>
            <w:vAlign w:val="bottom"/>
          </w:tcPr>
          <w:p>
            <w:pPr>
              <w:spacing w:after="0"/>
              <w:rPr>
                <w:sz w:val="22"/>
                <w:szCs w:val="22"/>
                <w:color w:val="auto"/>
              </w:rPr>
            </w:pPr>
          </w:p>
        </w:tc>
      </w:tr>
      <w:tr>
        <w:trPr>
          <w:trHeight w:val="263"/>
        </w:trPr>
        <w:tc>
          <w:tcPr>
            <w:tcW w:w="57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(360,573)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(174,818)</w:t>
            </w:r>
          </w:p>
        </w:tc>
      </w:tr>
      <w:tr>
        <w:trPr>
          <w:trHeight w:val="277"/>
        </w:trPr>
        <w:tc>
          <w:tcPr>
            <w:tcW w:w="5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gridSpan w:val="2"/>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83"/>
        </w:trPr>
        <w:tc>
          <w:tcPr>
            <w:tcW w:w="57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-410845</wp:posOffset>
            </wp:positionV>
            <wp:extent cx="42773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-753745</wp:posOffset>
            </wp:positionV>
            <wp:extent cx="42773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-2399665</wp:posOffset>
            </wp:positionV>
            <wp:extent cx="426910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82"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As of December 31, 2020, and 2019, the Company has no undistributed earnings from its foreign subsidiaries. Accordingly, no deferred tax liability has been established.</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Based on the weight of the available evidence, which includes the Company’s historical operating losses, lack of taxable income, and the accumulated deficit, as of December 31, 2020 and 2019, the Company provided a full valuation allowance against its US and state deferred tax assets. The valuation allowance for deferred tax assets was $360.6 million and $174.8 million, as of December 31, 2020 and 2019, respectively. The valuation allowance on our net deferred taxes increased by $185.8 million and increased by $80.7 million during the years ended December 31, 2020 and 2019, respectively.</w:t>
      </w:r>
    </w:p>
    <w:p>
      <w:pPr>
        <w:spacing w:after="0" w:line="9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Company had federal and state net operating loss carryforwards of approximately $960.7 million and $716.1 million, respectively, as of December 31, 2020, which will begin to expire at various dates beginning in 2028, if not utilized. The Company also had federal and state tax research and development tax credit carryforwards of approximately $44.8 million and $36.1 million, respectively. The federal research and development tax credit carryforwards will expire at various dates beginning in 2034, if not utilized. The state research and development tax credit carryforwards do not expire.</w:t>
      </w:r>
    </w:p>
    <w:p>
      <w:pPr>
        <w:spacing w:after="0" w:line="125"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reconciliation of taxes at the federal statutory rate to our provision for income taxes for the years ended December 31, 2020 and 2019 was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5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r>
      <w:tr>
        <w:trPr>
          <w:trHeight w:val="26"/>
        </w:trPr>
        <w:tc>
          <w:tcPr>
            <w:tcW w:w="592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7"/>
        </w:trPr>
        <w:tc>
          <w:tcPr>
            <w:tcW w:w="59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r>
      <w:tr>
        <w:trPr>
          <w:trHeight w:val="26"/>
        </w:trPr>
        <w:tc>
          <w:tcPr>
            <w:tcW w:w="5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57"/>
        </w:trPr>
        <w:tc>
          <w:tcPr>
            <w:tcW w:w="59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r>
      <w:tr>
        <w:trPr>
          <w:trHeight w:val="256"/>
        </w:trPr>
        <w:tc>
          <w:tcPr>
            <w:tcW w:w="59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2"/>
                <w:szCs w:val="22"/>
                <w:color w:val="auto"/>
              </w:rPr>
            </w:pPr>
          </w:p>
        </w:tc>
      </w:tr>
      <w:tr>
        <w:trPr>
          <w:trHeight w:val="263"/>
        </w:trPr>
        <w:tc>
          <w:tcPr>
            <w:tcW w:w="59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(20.1)</w:t>
            </w:r>
          </w:p>
        </w:tc>
        <w:tc>
          <w:tcPr>
            <w:tcW w:w="20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(20.8)</w:t>
            </w:r>
          </w:p>
        </w:tc>
      </w:tr>
      <w:tr>
        <w:trPr>
          <w:trHeight w:val="20"/>
        </w:trPr>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9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-1208405</wp:posOffset>
            </wp:positionV>
            <wp:extent cx="1371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-1208405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w:t>
      </w:r>
    </w:p>
    <w:p>
      <w:pPr>
        <w:spacing w:after="0" w:line="9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w:t>
      </w:r>
    </w:p>
    <w:p>
      <w:pPr>
        <w:spacing w:after="0" w:line="125"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Uncertain Tax Positions</w:t>
      </w:r>
    </w:p>
    <w:p>
      <w:pPr>
        <w:spacing w:after="0" w:line="148"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As of December 31, 2020, and 2019, the total amount of unrecognized tax benefits was approximately $42.9 million and $20.6 million, respectively. The Company does not anticipate a significant change in the total amount of unrecognized tax benefits within the next 12 months.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summarizes the activity related to unrecognized tax benefits for the years ended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and 2019 (in thousands):</w:t>
      </w: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$20,635</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$11,647</w:t>
            </w:r>
          </w:p>
        </w:tc>
        <w:tc>
          <w:tcPr>
            <w:tcW w:w="60" w:type="dxa"/>
            <w:vAlign w:val="bottom"/>
          </w:tcPr>
          <w:p>
            <w:pPr>
              <w:spacing w:after="0"/>
              <w:rPr>
                <w:sz w:val="21"/>
                <w:szCs w:val="21"/>
                <w:color w:val="auto"/>
              </w:rPr>
            </w:pP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Gross increases – prior-period tax positions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r>
      <w:tr>
        <w:trPr>
          <w:trHeight w:val="25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prior-period tax positions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56"/>
        </w:trPr>
        <w:tc>
          <w:tcPr>
            <w:tcW w:w="6060" w:type="dxa"/>
            <w:vAlign w:val="bottom"/>
          </w:tcPr>
          <w:p>
            <w:pPr>
              <w:spacing w:after="0"/>
              <w:rPr>
                <w:sz w:val="20"/>
                <w:szCs w:val="20"/>
                <w:color w:val="auto"/>
              </w:rPr>
            </w:pPr>
            <w:r>
              <w:rPr>
                <w:rFonts w:ascii="Arial" w:cs="Arial" w:eastAsia="Arial" w:hAnsi="Arial"/>
                <w:sz w:val="18"/>
                <w:szCs w:val="18"/>
                <w:color w:val="auto"/>
              </w:rPr>
              <w:t>Gross increases – current-period tax positions</w:t>
            </w:r>
          </w:p>
        </w:tc>
        <w:tc>
          <w:tcPr>
            <w:tcW w:w="600" w:type="dxa"/>
            <w:vAlign w:val="bottom"/>
          </w:tcPr>
          <w:p>
            <w:pPr>
              <w:jc w:val="right"/>
              <w:spacing w:after="0"/>
              <w:rPr>
                <w:sz w:val="20"/>
                <w:szCs w:val="20"/>
                <w:color w:val="auto"/>
              </w:rPr>
            </w:pPr>
            <w:r>
              <w:rPr>
                <w:rFonts w:ascii="Arial" w:cs="Arial" w:eastAsia="Arial" w:hAnsi="Arial"/>
                <w:sz w:val="18"/>
                <w:szCs w:val="18"/>
                <w:color w:val="auto"/>
              </w:rPr>
              <w:t>22,382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8,995</w:t>
            </w:r>
          </w:p>
        </w:tc>
        <w:tc>
          <w:tcPr>
            <w:tcW w:w="60" w:type="dxa"/>
            <w:vAlign w:val="bottom"/>
          </w:tcPr>
          <w:p>
            <w:pPr>
              <w:spacing w:after="0"/>
              <w:rPr>
                <w:sz w:val="22"/>
                <w:szCs w:val="22"/>
                <w:color w:val="auto"/>
              </w:rPr>
            </w:pPr>
          </w:p>
        </w:tc>
      </w:tr>
      <w:tr>
        <w:trPr>
          <w:trHeight w:val="25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decrease – current-period tax positions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2"/>
                <w:szCs w:val="22"/>
                <w:color w:val="auto"/>
              </w:rPr>
            </w:pPr>
          </w:p>
        </w:tc>
      </w:tr>
      <w:tr>
        <w:trPr>
          <w:trHeight w:val="263"/>
        </w:trPr>
        <w:tc>
          <w:tcPr>
            <w:tcW w:w="6060" w:type="dxa"/>
            <w:vAlign w:val="bottom"/>
          </w:tcPr>
          <w:p>
            <w:pPr>
              <w:spacing w:after="0"/>
              <w:rPr>
                <w:sz w:val="20"/>
                <w:szCs w:val="20"/>
                <w:color w:val="auto"/>
              </w:rPr>
            </w:pPr>
            <w:r>
              <w:rPr>
                <w:rFonts w:ascii="Arial" w:cs="Arial" w:eastAsia="Arial" w:hAnsi="Arial"/>
                <w:sz w:val="18"/>
                <w:szCs w:val="18"/>
                <w:color w:val="auto"/>
              </w:rPr>
              <w:t>Statute lapse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benefit – end of period</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$42,894</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$20,635</w:t>
            </w:r>
          </w:p>
        </w:tc>
        <w:tc>
          <w:tcPr>
            <w:tcW w:w="60" w:type="dxa"/>
            <w:vAlign w:val="bottom"/>
          </w:tcPr>
          <w:p>
            <w:pPr>
              <w:spacing w:after="0"/>
              <w:rPr>
                <w:sz w:val="24"/>
                <w:szCs w:val="24"/>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-1207770</wp:posOffset>
            </wp:positionV>
            <wp:extent cx="137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-1207770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Related to the unrecognized tax benefits above, the Company recognized interest expense and penalty expense as part of income tax expenses in the consolidated statements of operations according to the following table (in thousands):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Year Ended December 31,</w:t>
            </w:r>
          </w:p>
        </w:tc>
      </w:tr>
      <w:tr>
        <w:trPr>
          <w:trHeight w:val="26"/>
        </w:trPr>
        <w:tc>
          <w:tcPr>
            <w:tcW w:w="5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8"/>
        </w:trPr>
        <w:tc>
          <w:tcPr>
            <w:tcW w:w="5900" w:type="dxa"/>
            <w:vAlign w:val="bottom"/>
          </w:tcPr>
          <w:p>
            <w:pPr>
              <w:spacing w:after="0"/>
              <w:rPr>
                <w:sz w:val="17"/>
                <w:szCs w:val="17"/>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2019</w:t>
            </w:r>
          </w:p>
        </w:tc>
      </w:tr>
      <w:tr>
        <w:trPr>
          <w:trHeight w:val="26"/>
        </w:trPr>
        <w:tc>
          <w:tcPr>
            <w:tcW w:w="5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$16</w:t>
            </w: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Penalty expense</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-334010</wp:posOffset>
            </wp:positionV>
            <wp:extent cx="1371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-334010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As of December 31, 2020, the Company has recognized a liability for interest expense and penalties of $60 thousand and $9 thousand, respectively, which is included within income tax liabilities in the consolidated balance sheet.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NET LOSS PER SHARE</w:t>
      </w:r>
    </w:p>
    <w:p>
      <w:pPr>
        <w:spacing w:after="0" w:line="148"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Basic and diluted net loss per share are calculated as follows (in thousands, except per share amounts):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Year Ended December 31,</w:t>
            </w:r>
          </w:p>
        </w:tc>
      </w:tr>
      <w:tr>
        <w:trPr>
          <w:trHeight w:val="25"/>
        </w:trPr>
        <w:tc>
          <w:tcPr>
            <w:tcW w:w="56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5620" w:type="dxa"/>
            <w:vAlign w:val="bottom"/>
          </w:tcPr>
          <w:p>
            <w:pPr>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(719,380)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(277,357)</w:t>
            </w:r>
          </w:p>
        </w:tc>
        <w:tc>
          <w:tcPr>
            <w:tcW w:w="60" w:type="dxa"/>
            <w:vAlign w:val="bottom"/>
          </w:tcPr>
          <w:p>
            <w:pPr>
              <w:spacing w:after="0"/>
              <w:rPr>
                <w:sz w:val="22"/>
                <w:szCs w:val="22"/>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Deemed contribution related to repurchase of Series B convertible</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5"/>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contribution related to repurchase of Series C convertible</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6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shares</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60" w:type="dxa"/>
            <w:vAlign w:val="bottom"/>
          </w:tcPr>
          <w:p>
            <w:pPr>
              <w:spacing w:after="0"/>
              <w:rPr>
                <w:sz w:val="20"/>
                <w:szCs w:val="20"/>
                <w:color w:val="auto"/>
              </w:rPr>
            </w:pPr>
          </w:p>
        </w:tc>
      </w:tr>
      <w:tr>
        <w:trPr>
          <w:trHeight w:val="20"/>
        </w:trPr>
        <w:tc>
          <w:tcPr>
            <w:tcW w:w="5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6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(705,596)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(269,422)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Weighted-average shares outstanding – basic</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9,389,540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7,789,421</w:t>
            </w:r>
          </w:p>
        </w:tc>
        <w:tc>
          <w:tcPr>
            <w:tcW w:w="60" w:type="dxa"/>
            <w:vAlign w:val="bottom"/>
          </w:tcPr>
          <w:p>
            <w:pPr>
              <w:spacing w:after="0"/>
              <w:rPr>
                <w:sz w:val="22"/>
                <w:szCs w:val="22"/>
                <w:color w:val="auto"/>
              </w:rPr>
            </w:pPr>
          </w:p>
        </w:tc>
      </w:tr>
      <w:tr>
        <w:trPr>
          <w:trHeight w:val="229"/>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potential common shares from share options, share</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56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and employee share purchase plan</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4"/>
        </w:trPr>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Weighted-average shares outstanding – diluted</w:t>
            </w:r>
          </w:p>
        </w:tc>
        <w:tc>
          <w:tcPr>
            <w:tcW w:w="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9,389,540</w:t>
            </w: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7,789,421</w:t>
            </w:r>
          </w:p>
        </w:tc>
        <w:tc>
          <w:tcPr>
            <w:tcW w:w="60" w:type="dxa"/>
            <w:vAlign w:val="bottom"/>
          </w:tcPr>
          <w:p>
            <w:pPr>
              <w:spacing w:after="0"/>
              <w:rPr>
                <w:sz w:val="22"/>
                <w:szCs w:val="22"/>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83"/>
        </w:trPr>
        <w:tc>
          <w:tcPr>
            <w:tcW w:w="562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(34.59)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60" w:type="dxa"/>
            <w:vAlign w:val="bottom"/>
          </w:tcPr>
          <w:p>
            <w:pPr>
              <w:spacing w:after="0"/>
              <w:rPr>
                <w:sz w:val="24"/>
                <w:szCs w:val="24"/>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-2699385</wp:posOffset>
            </wp:positionV>
            <wp:extent cx="13716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-2699385</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The following table sets forth the potential common shares as of the end of each period presented that are not included in the calculation of diluted net loss per share because to do so would be anti-dilutive: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0" w:name="page221"/>
    <w:bookmarkEnd w:id="22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As of December 31,</w:t>
            </w:r>
          </w:p>
        </w:tc>
      </w:tr>
      <w:tr>
        <w:trPr>
          <w:trHeight w:val="26"/>
        </w:trPr>
        <w:tc>
          <w:tcPr>
            <w:tcW w:w="5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r>
      <w:tr>
        <w:trPr>
          <w:trHeight w:val="26"/>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362,011,991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190,084,166</w:t>
            </w:r>
          </w:p>
        </w:tc>
      </w:tr>
      <w:tr>
        <w:trPr>
          <w:trHeight w:val="257"/>
        </w:trPr>
        <w:tc>
          <w:tcPr>
            <w:tcW w:w="544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26,730,453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26,212,498</w:t>
            </w: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share warrant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585,023</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585,023</w:t>
            </w: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Total potential convertible securities to common shares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389,327,467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216,881,686</w:t>
            </w:r>
          </w:p>
        </w:tc>
      </w:tr>
      <w:tr>
        <w:trPr>
          <w:trHeight w:val="21"/>
        </w:trPr>
        <w:tc>
          <w:tcPr>
            <w:tcW w:w="5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-719455</wp:posOffset>
            </wp:positionV>
            <wp:extent cx="1371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-719455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EMPLOYEE BENEFIT PLAN</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in 2020 and 2019.</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SEGMENT REPORTING</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 SUBSEQUENT EVENTS</w:t>
      </w:r>
    </w:p>
    <w:p>
      <w:pPr>
        <w:spacing w:after="0" w:line="162"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In connection with the preparation of the financial statements for the year ended December 31, 2020, the Company has evaluated subsequent events through March 19, 2021, the date the financial statements were available to be issued, for both conditions existing and not existing at December 31, 2020, and concluded there were no subsequent events to recognize in the financial statements.</w:t>
      </w:r>
    </w:p>
    <w:p>
      <w:pPr>
        <w:spacing w:after="0" w:line="9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January 2021, the Company’s board of directors approved the 2021 Stock Incentive Plan (the “2021 Plan”). The 2021 Plan will replace the 2009 Plan and 2014 Plan. 3,981,178 shares reserved for future issuance under 2009 Plan and 2014 Plan will be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 Company’s employees and any parent and subsidiary corporations’ employees, and for the grant of nonstatutory share options, restricted shares. Restricted Stock Units (RSUs), share appreciation rights, performance based awards and cash based awards to the Company’s employees, directors, and consultants and its parent and subsidiary corporations’ employees and consultants. The 2021 Plan became effective in January 2021. 32,076,334 shares were authorized to issue under the 2021 Plan.</w:t>
      </w:r>
    </w:p>
    <w:p>
      <w:pPr>
        <w:spacing w:after="0" w:line="117"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6"/>
          <w:szCs w:val="16"/>
          <w:color w:val="auto"/>
        </w:rPr>
        <w:t>In February 2021, the Company entered into new lease agreements for retail locations in Manhasset, New York and in Chicago, Illinois. The leases commenced in February 2021 and will expire on or before January 31, 2031. Under the lease agreements, the Company will pay base rent from $0.5 million to $0.8 million annually. Base rent is subject to a 2.5% annual escalation clause during the lease term.</w:t>
      </w:r>
    </w:p>
    <w:p>
      <w:pPr>
        <w:spacing w:after="0" w:line="90"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Share Purchase Agreement (“Amendment No. 1”) entered into September 2020 (refer to Note 7). Under the Amendment No. 1, Ayar and the Company agreed to enter into the third closing of additional 50,612,262 Series E convertible preferred shares at $7.90 per share, aggregating to $400.0 million. Upon</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1" w:name="page222"/>
    <w:bookmarkEnd w:id="22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the signing of the Amendment No. 1, the Company received the issuance proceeds of $400.0 million from Ayar in February 2021.</w:t>
      </w:r>
    </w:p>
    <w:p>
      <w:pPr>
        <w:spacing w:after="0" w:line="9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Amendment No. 1 also allowed the Company to provide an opportunity to all current convertible preferred shareholders other than Ayar (“Eligible Holders”) to purchase up to 8,977,769 Series E convertible preferred shares on a pro rata basis at $ 7.90 per share, aggregating to $71.0 million. The Company will issue the Offer Notice to all Eligible Holders two business days following the third closing, and all Eligible Holders have 14 calendar days (the “Exercise Period”) to notice the Company on the number of Series E convertible preferred shares they intend to purchase.</w:t>
      </w:r>
    </w:p>
    <w:p>
      <w:pPr>
        <w:spacing w:after="0" w:line="122"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Along with the execution of the Amendment No. 1, the Company also increased the authorized number of common shares and convertible preferred shares to 498,017,734 and 437,182,072 shares, respectively.</w:t>
      </w:r>
    </w:p>
    <w:p>
      <w:pPr>
        <w:spacing w:after="0" w:line="79"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7"/>
          <w:szCs w:val="17"/>
          <w:color w:val="auto"/>
        </w:rPr>
        <w:t>On February 22, 2021, Churchill Capital Corp IV (“CCIV”) (NYSE:CCIV), a special purpose acquisition company or SPAC, announced that it had entered into a definitive agreement for a merger that would result in the Company becoming a wholly owned subsidiary of CCIV. If such merger is ultimately completed, the Company would effectively comprise all of CCIV’s material operations.</w:t>
      </w:r>
    </w:p>
    <w:p>
      <w:pPr>
        <w:spacing w:after="0" w:line="9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February 2021, the Company’s board of directors granted a total of 1,035,000 RSUs under the 2021 Plan in connection with the proposed merger with CCIV. The aggregate grant date fair value of the RSUs is estimated to be between $38.8 million and $ 44.0 million based on the estimated fair value of our underlying common shares using preliminary valuation techniques with the most reliable information currently available. Actual fair value may differ from these estimates and such differences may be material. The RSUs are subject to a performance condition and a service condition. The performance condition will be satisfied upon the closing of the proposed merger with CCIV. The service condition for 25% of the RSUs will be satisfied 375 days after the closing of the proposed merger with CCIV and will be satisfied for the remaining RSUs in equal quarterly installments thereafter, subject to continuous employment through each vesting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Subsequent to the Original Issuance of Consolidated Financial Statements (Unaudited)</w:t>
      </w:r>
    </w:p>
    <w:p>
      <w:pPr>
        <w:spacing w:after="0" w:line="1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March 2021, the Company’s board of directors granted a total of 1,066,631 RSUs under the 2021 Plan in connection with the proposed merger with CCIV. The aggregate grant date fair value of the RSUs is estimated to be between $53.6 million and $ 60.7 million based on the estimated fair value of our underlying common shares using preliminary valuation techniques with the most reliable information currently available. Actual fair value may differ from these estimates and such differences may be material. The RSUs are subject to a performance condition and a service condition. The performance condition will be satisfied upon the closing of the proposed merger with CCIV. The service condition for 25% of the RSUs will be satisfied 375 days after the closing of the proposed merger with CCIV and will be satisfied for the remaining RSUs in equal quarterly installments thereafter, subject to continuous employment through each vesting date.</w:t>
      </w:r>
    </w:p>
    <w:p>
      <w:pPr>
        <w:spacing w:after="0" w:line="121"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In March 2021, the Company’s board of directors granted a total of 11,293,177 RSUs to its CEO under the 2021 Plan in connection with the proposed merger with CCIV. The CEO RSU Award will be comprised of 5,232,507 RSUs subject to performance and service conditions (the “CEO Time-Based RSUs”) and 6,060,670 RSUs subject to performance and market conditions (the “CEO Performance RSUs”). The aggregate grant date fair value of the CEO RSU Award is estimated to be $556.1 million based on the estimated fair value of our underlying common shares using preliminary valuation techniques, including a Monte Carlo simulation method for awards with market conditions, with the most reliable information currently available. Actual fair value may differ from these estimates and such differences may be material. The performance condition of the CEO Time- Based RSUs and CEO Performance RSUs will be satisfied upon the closing of the proposed merger with CCIV. The service condition for the CEO Time- Based RSUs will be satisfied in 16 equal quarterly installments beginning after the closing of the proposed merger with CCIV, subject to continuous employment through each vesting date. The market conditions for the CEO Performance</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RSUs will be satisfied based upon the achievement of certain market capitalization goals of the combined company during the five-year period beginning after the closing of the proposed merger with CCIV, subject to continuous employment through each vesting date.</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In April 2021, the Company issued 25,306,130 Series E Preferred Shares at a purchase price of approximately $7.90 per share for an aggregate purchase price of $200.0 million. The total number of shares issued include 202,449 shares issued to the CEO.</w:t>
      </w:r>
    </w:p>
    <w:p>
      <w:pPr>
        <w:spacing w:after="0" w:line="116" w:lineRule="exact"/>
        <w:rPr>
          <w:sz w:val="20"/>
          <w:szCs w:val="20"/>
          <w:color w:val="auto"/>
        </w:rPr>
      </w:pPr>
    </w:p>
    <w:p>
      <w:pPr>
        <w:jc w:val="both"/>
        <w:ind w:left="1260" w:right="479" w:firstLine="360"/>
        <w:spacing w:after="0" w:line="271" w:lineRule="auto"/>
        <w:rPr>
          <w:sz w:val="20"/>
          <w:szCs w:val="20"/>
          <w:color w:val="auto"/>
        </w:rPr>
      </w:pPr>
      <w:r>
        <w:rPr>
          <w:rFonts w:ascii="Arial" w:cs="Arial" w:eastAsia="Arial" w:hAnsi="Arial"/>
          <w:sz w:val="17"/>
          <w:szCs w:val="17"/>
          <w:color w:val="auto"/>
        </w:rPr>
        <w:t>In May 2021, the Company completed its evaluation related to the exercise of the convertible preferred share warrant liability that was settled in its entirety in February 2021. Upon final settlement, the Company converted the warrants into $12.9 million of Series D convertible preferred shares and recorded a</w:t>
      </w:r>
    </w:p>
    <w:p>
      <w:pPr>
        <w:ind w:left="1260" w:right="919"/>
        <w:spacing w:after="0" w:line="260" w:lineRule="auto"/>
        <w:rPr>
          <w:sz w:val="20"/>
          <w:szCs w:val="20"/>
          <w:color w:val="auto"/>
        </w:rPr>
      </w:pPr>
      <w:r>
        <w:rPr>
          <w:rFonts w:ascii="Arial" w:cs="Arial" w:eastAsia="Arial" w:hAnsi="Arial"/>
          <w:sz w:val="18"/>
          <w:szCs w:val="18"/>
          <w:color w:val="auto"/>
        </w:rPr>
        <w:t>$7.0 million loss related to fair value remeasurement of the warrants in the consolidated statements of operations.</w:t>
      </w:r>
    </w:p>
    <w:p>
      <w:pPr>
        <w:spacing w:after="0" w:line="118" w:lineRule="exact"/>
        <w:rPr>
          <w:sz w:val="20"/>
          <w:szCs w:val="20"/>
          <w:color w:val="auto"/>
        </w:rPr>
      </w:pPr>
    </w:p>
    <w:p>
      <w:pPr>
        <w:ind w:left="1260" w:right="999" w:firstLine="360"/>
        <w:spacing w:after="0" w:line="274" w:lineRule="auto"/>
        <w:rPr>
          <w:sz w:val="20"/>
          <w:szCs w:val="20"/>
          <w:color w:val="auto"/>
        </w:rPr>
      </w:pPr>
      <w:r>
        <w:rPr>
          <w:rFonts w:ascii="Arial" w:cs="Arial" w:eastAsia="Arial" w:hAnsi="Arial"/>
          <w:sz w:val="17"/>
          <w:szCs w:val="17"/>
          <w:color w:val="auto"/>
        </w:rPr>
        <w:t>From March 2021 through May 2021, the Company entered into new lease agreements for retail locations in various locations. The leases commenced in April 2021 and will expire on or before</w:t>
      </w:r>
    </w:p>
    <w:p>
      <w:pPr>
        <w:ind w:left="1260" w:right="499"/>
        <w:spacing w:after="0" w:line="260" w:lineRule="auto"/>
        <w:rPr>
          <w:sz w:val="20"/>
          <w:szCs w:val="20"/>
          <w:color w:val="auto"/>
        </w:rPr>
      </w:pPr>
      <w:r>
        <w:rPr>
          <w:rFonts w:ascii="Arial" w:cs="Arial" w:eastAsia="Arial" w:hAnsi="Arial"/>
          <w:sz w:val="18"/>
          <w:szCs w:val="18"/>
          <w:color w:val="auto"/>
        </w:rPr>
        <w:t>March 2032. Under the lease agreements, the Company will pay base rent from $0.2 million to $1.2 million annually.</w:t>
      </w:r>
    </w:p>
    <w:p>
      <w:pPr>
        <w:spacing w:after="0" w:line="10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5"/>
        </w:trPr>
        <w:tc>
          <w:tcPr>
            <w:tcW w:w="6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809,978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6,310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25,623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25,551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790,794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713,274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31,266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26,851</w:t>
            </w:r>
          </w:p>
        </w:tc>
        <w:tc>
          <w:tcPr>
            <w:tcW w:w="0" w:type="dxa"/>
            <w:vAlign w:val="bottom"/>
          </w:tcPr>
          <w:p>
            <w:pPr>
              <w:spacing w:after="0"/>
              <w:rPr>
                <w:sz w:val="1"/>
                <w:szCs w:val="1"/>
                <w:color w:val="auto"/>
              </w:rPr>
            </w:pPr>
          </w:p>
        </w:tc>
      </w:tr>
      <w:tr>
        <w:trPr>
          <w:trHeight w:val="234"/>
        </w:trPr>
        <w:tc>
          <w:tcPr>
            <w:tcW w:w="6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1,799,786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1,402,681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spacing w:after="0" w:line="189" w:lineRule="exact"/>
              <w:rPr>
                <w:sz w:val="20"/>
                <w:szCs w:val="20"/>
                <w:color w:val="auto"/>
              </w:rPr>
            </w:pPr>
            <w:r>
              <w:rPr>
                <w:rFonts w:ascii="Arial" w:cs="Arial" w:eastAsia="Arial" w:hAnsi="Arial"/>
                <w:sz w:val="18"/>
                <w:szCs w:val="18"/>
                <w:color w:val="auto"/>
              </w:rPr>
              <w:t>LIABILITIES, CONVERTIBLE PREFERRED SHARES AND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SHAREHOLDERS’ DEFICIT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9,229</w:t>
            </w: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19,843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Deposit liability</w:t>
            </w: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107,080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122,921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259,073</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Contingent forward contract liability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1,164,610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Convertible preferred share warrant liability</w:t>
            </w: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148,917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spacing w:after="0"/>
              <w:rPr>
                <w:sz w:val="20"/>
                <w:szCs w:val="20"/>
                <w:color w:val="auto"/>
              </w:rPr>
            </w:pPr>
            <w:r>
              <w:rPr>
                <w:rFonts w:ascii="Arial" w:cs="Arial" w:eastAsia="Arial" w:hAnsi="Arial"/>
                <w:sz w:val="18"/>
                <w:szCs w:val="18"/>
                <w:color w:val="auto"/>
              </w:rPr>
              <w:t>Income tax liabilities</w:t>
            </w:r>
          </w:p>
        </w:tc>
        <w:tc>
          <w:tcPr>
            <w:tcW w:w="10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1,572,838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gridSpan w:val="2"/>
          </w:tcPr>
          <w:p>
            <w:pPr>
              <w:spacing w:after="0" w:line="201" w:lineRule="exact"/>
              <w:rPr>
                <w:sz w:val="20"/>
                <w:szCs w:val="20"/>
                <w:color w:val="auto"/>
              </w:rPr>
            </w:pPr>
            <w:r>
              <w:rPr>
                <w:rFonts w:ascii="Arial" w:cs="Arial" w:eastAsia="Arial" w:hAnsi="Arial"/>
                <w:sz w:val="18"/>
                <w:szCs w:val="18"/>
                <w:color w:val="auto"/>
                <w:w w:val="98"/>
              </w:rPr>
              <w:t>Convertible preferred shares, $0.0001 par value; 437,182,072 and 400,510,507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shares authorized as of March 31, 2021 and December 31, 2020,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w w:val="97"/>
              </w:rPr>
              <w:t>respectively; 411,875,942 and 362,011,991 shares issued and outstanding as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of March 31, 2021 and December 31, 2020, respectively; liquidation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preference of $4,099,297, and $3,497,913 as of March 31, 2021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w w:val="94"/>
              </w:rPr>
              <w:t>4,454,811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4"/>
              </w:rPr>
              <w:t>2,494,076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SHAREHOLDERS’ DEFICIT:</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par value $0.0001; 498,017,734 and 450,000,098 shares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authorized as of March 31, 2021 and December 31, 2020, respectively;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13,498,196 and 10,889,451 shares issued and outstanding as of March 31,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w w:val="89"/>
              </w:rPr>
              <w:t>(4,234,062)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89"/>
              </w:rPr>
              <w:t>(1,356,893)</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deficit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(4,227,863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(1,318,777</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5"/>
        </w:trPr>
        <w:tc>
          <w:tcPr>
            <w:tcW w:w="6200" w:type="dxa"/>
            <w:vAlign w:val="bottom"/>
          </w:tcPr>
          <w:p>
            <w:pPr>
              <w:spacing w:after="0" w:line="195" w:lineRule="exact"/>
              <w:rPr>
                <w:sz w:val="20"/>
                <w:szCs w:val="20"/>
                <w:color w:val="auto"/>
              </w:rPr>
            </w:pPr>
            <w:r>
              <w:rPr>
                <w:rFonts w:ascii="Arial" w:cs="Arial" w:eastAsia="Arial" w:hAnsi="Arial"/>
                <w:sz w:val="18"/>
                <w:szCs w:val="18"/>
                <w:color w:val="auto"/>
              </w:rPr>
              <w:t>TOTAL LIABILITIES, CONVERTIBLE PREFERRED SHARES AND</w:t>
            </w:r>
          </w:p>
        </w:tc>
        <w:tc>
          <w:tcPr>
            <w:tcW w:w="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w w:val="94"/>
              </w:rPr>
              <w:t>1,799,786</w:t>
            </w:r>
          </w:p>
        </w:tc>
        <w:tc>
          <w:tcPr>
            <w:tcW w:w="20" w:type="dxa"/>
            <w:vAlign w:val="bottom"/>
          </w:tcPr>
          <w:p>
            <w:pPr>
              <w:spacing w:after="0"/>
              <w:rPr>
                <w:sz w:val="16"/>
                <w:szCs w:val="16"/>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1,402,681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SHAREHOLDERS’ DEFICIT</w:t>
            </w:r>
          </w:p>
        </w:tc>
        <w:tc>
          <w:tcPr>
            <w:tcW w:w="10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-453390</wp:posOffset>
            </wp:positionV>
            <wp:extent cx="465455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-1422400</wp:posOffset>
            </wp:positionV>
            <wp:extent cx="465455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-2665095</wp:posOffset>
            </wp:positionV>
            <wp:extent cx="465455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-3222625</wp:posOffset>
            </wp:positionV>
            <wp:extent cx="465455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-4499610</wp:posOffset>
            </wp:positionV>
            <wp:extent cx="465455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-5065395</wp:posOffset>
            </wp:positionV>
            <wp:extent cx="465455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-6171565</wp:posOffset>
            </wp:positionV>
            <wp:extent cx="464629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8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6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60" w:type="dxa"/>
            <w:vAlign w:val="bottom"/>
            <w:tcBorders>
              <w:top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167,369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131,652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14,245</w:t>
            </w:r>
          </w:p>
        </w:tc>
        <w:tc>
          <w:tcPr>
            <w:tcW w:w="0" w:type="dxa"/>
            <w:vAlign w:val="bottom"/>
          </w:tcPr>
          <w:p>
            <w:pPr>
              <w:spacing w:after="0"/>
              <w:rPr>
                <w:sz w:val="1"/>
                <w:szCs w:val="1"/>
                <w:color w:val="auto"/>
              </w:rPr>
            </w:pPr>
          </w:p>
        </w:tc>
      </w:tr>
      <w:tr>
        <w:trPr>
          <w:trHeight w:val="264"/>
        </w:trPr>
        <w:tc>
          <w:tcPr>
            <w:tcW w:w="6260" w:type="dxa"/>
            <w:vAlign w:val="bottom"/>
            <w:tcBorders>
              <w:top w:val="single" w:sz="8" w:color="CCEEFF"/>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299,021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(298,793)</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(123,996)</w:t>
            </w:r>
          </w:p>
        </w:tc>
        <w:tc>
          <w:tcPr>
            <w:tcW w:w="0" w:type="dxa"/>
            <w:vAlign w:val="bottom"/>
          </w:tcPr>
          <w:p>
            <w:pPr>
              <w:spacing w:after="0"/>
              <w:rPr>
                <w:sz w:val="1"/>
                <w:szCs w:val="1"/>
                <w:color w:val="auto"/>
              </w:rPr>
            </w:pPr>
          </w:p>
        </w:tc>
      </w:tr>
      <w:tr>
        <w:trPr>
          <w:trHeight w:val="257"/>
        </w:trPr>
        <w:tc>
          <w:tcPr>
            <w:tcW w:w="6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60" w:type="dxa"/>
            <w:vAlign w:val="bottom"/>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(442,164)</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57"/>
        </w:trPr>
        <w:tc>
          <w:tcPr>
            <w:tcW w:w="6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preferred share warrant liability</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6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6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(449,155)</w:t>
            </w: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0"/>
        </w:trPr>
        <w:tc>
          <w:tcPr>
            <w:tcW w:w="6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(benefit from) income taxes</w:t>
            </w:r>
          </w:p>
        </w:tc>
        <w:tc>
          <w:tcPr>
            <w:tcW w:w="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(747,948)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(129,655)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2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(747,952)</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(129,583)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260" w:type="dxa"/>
            <w:vAlign w:val="bottom"/>
          </w:tcPr>
          <w:p>
            <w:pPr>
              <w:ind w:left="180"/>
              <w:spacing w:after="0"/>
              <w:rPr>
                <w:sz w:val="20"/>
                <w:szCs w:val="20"/>
                <w:color w:val="auto"/>
              </w:rPr>
            </w:pPr>
            <w:r>
              <w:rPr>
                <w:rFonts w:ascii="Arial" w:cs="Arial" w:eastAsia="Arial" w:hAnsi="Arial"/>
                <w:sz w:val="18"/>
                <w:szCs w:val="18"/>
                <w:color w:val="auto"/>
              </w:rPr>
              <w:t>Deemed dividend related to the issuance of Series E convertible preferred</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(2,167,333)</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(2,915,285)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(129,583)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attributable to common shareholders – 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60" w:type="dxa"/>
            <w:vAlign w:val="bottom"/>
            <w:vMerge w:val="continue"/>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(236.07)</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2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 computing net loss per share attributable to</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shareholders – basic and diluted</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12,349,045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8,063,678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-830580</wp:posOffset>
            </wp:positionV>
            <wp:extent cx="468884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-1327785</wp:posOffset>
            </wp:positionV>
            <wp:extent cx="468884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-1687830</wp:posOffset>
            </wp:positionV>
            <wp:extent cx="468884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-3059430</wp:posOffset>
            </wp:positionV>
            <wp:extent cx="468884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-3728085</wp:posOffset>
            </wp:positionV>
            <wp:extent cx="46888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-4070985</wp:posOffset>
            </wp:positionV>
            <wp:extent cx="468058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CONDENSED CONSOLIDATED STATEMENTS OF CONVERTIBLE PREFERRED SHARES AND</w:t>
      </w:r>
    </w:p>
    <w:p>
      <w:pPr>
        <w:spacing w:after="0" w:line="3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SHAREHOLDERS’ DEFICIT</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6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75"/>
              </w:rPr>
              <w:t>Additional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16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Preferred Shares</w:t>
            </w:r>
          </w:p>
        </w:tc>
        <w:tc>
          <w:tcPr>
            <w:tcW w:w="120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1"/>
              </w:rPr>
              <w:t>Common Shares</w:t>
            </w: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70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center"/>
              <w:ind w:right="162"/>
              <w:spacing w:after="0" w:line="125" w:lineRule="exact"/>
              <w:rPr>
                <w:sz w:val="20"/>
                <w:szCs w:val="20"/>
                <w:color w:val="auto"/>
              </w:rPr>
            </w:pPr>
            <w:r>
              <w:rPr>
                <w:rFonts w:ascii="Arial" w:cs="Arial" w:eastAsia="Arial" w:hAnsi="Arial"/>
                <w:sz w:val="14"/>
                <w:szCs w:val="14"/>
                <w:b w:val="1"/>
                <w:bCs w:val="1"/>
                <w:color w:val="auto"/>
                <w:w w:val="94"/>
              </w:rPr>
              <w:t>Paid-In</w:t>
            </w:r>
          </w:p>
        </w:tc>
        <w:tc>
          <w:tcPr>
            <w:tcW w:w="820" w:type="dxa"/>
            <w:vAlign w:val="bottom"/>
            <w:gridSpan w:val="2"/>
            <w:vMerge w:val="restart"/>
          </w:tcPr>
          <w:p>
            <w:pPr>
              <w:jc w:val="center"/>
              <w:ind w:right="100"/>
              <w:spacing w:after="0" w:line="125" w:lineRule="exact"/>
              <w:rPr>
                <w:sz w:val="20"/>
                <w:szCs w:val="20"/>
                <w:color w:val="auto"/>
              </w:rPr>
            </w:pPr>
            <w:r>
              <w:rPr>
                <w:rFonts w:ascii="Arial" w:cs="Arial" w:eastAsia="Arial" w:hAnsi="Arial"/>
                <w:sz w:val="14"/>
                <w:szCs w:val="14"/>
                <w:b w:val="1"/>
                <w:bCs w:val="1"/>
                <w:color w:val="auto"/>
                <w:w w:val="81"/>
              </w:rPr>
              <w:t>Accumulated</w:t>
            </w:r>
          </w:p>
        </w:tc>
        <w:tc>
          <w:tcPr>
            <w:tcW w:w="960" w:type="dxa"/>
            <w:vAlign w:val="bottom"/>
            <w:gridSpan w:val="4"/>
            <w:vMerge w:val="restart"/>
          </w:tcPr>
          <w:p>
            <w:pPr>
              <w:jc w:val="center"/>
              <w:ind w:right="140"/>
              <w:spacing w:after="0" w:line="125"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880" w:type="dxa"/>
            <w:vAlign w:val="bottom"/>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Shares</w:t>
            </w: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7"/>
                <w:szCs w:val="17"/>
                <w:color w:val="auto"/>
              </w:rPr>
            </w:pPr>
          </w:p>
        </w:tc>
        <w:tc>
          <w:tcPr>
            <w:tcW w:w="68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Capital</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January 1, 2021</w:t>
            </w:r>
          </w:p>
        </w:tc>
        <w:tc>
          <w:tcPr>
            <w:tcW w:w="8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5"/>
              </w:rPr>
              <w:t>362,011,991</w:t>
            </w: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6"/>
              </w:rPr>
              <w:t>$2,494,076 10,889,451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38,115</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4"/>
              </w:rPr>
              <w:t>$ (1,356,893)</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0"/>
              </w:rPr>
              <w:t>$ (1,318,777)</w:t>
            </w:r>
          </w:p>
        </w:tc>
        <w:tc>
          <w:tcPr>
            <w:tcW w:w="0" w:type="dxa"/>
            <w:vAlign w:val="bottom"/>
          </w:tcPr>
          <w:p>
            <w:pPr>
              <w:spacing w:after="0"/>
              <w:rPr>
                <w:sz w:val="1"/>
                <w:szCs w:val="1"/>
                <w:color w:val="auto"/>
              </w:rPr>
            </w:pPr>
          </w:p>
        </w:tc>
      </w:tr>
      <w:tr>
        <w:trPr>
          <w:trHeight w:val="240"/>
        </w:trPr>
        <w:tc>
          <w:tcPr>
            <w:tcW w:w="2700" w:type="dxa"/>
            <w:vAlign w:val="bottom"/>
          </w:tcPr>
          <w:p>
            <w:pPr>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0"/>
                <w:szCs w:val="20"/>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(747,952)</w:t>
            </w: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(747,952)</w:t>
            </w:r>
          </w:p>
        </w:tc>
        <w:tc>
          <w:tcPr>
            <w:tcW w:w="0" w:type="dxa"/>
            <w:vAlign w:val="bottom"/>
          </w:tcPr>
          <w:p>
            <w:pPr>
              <w:spacing w:after="0"/>
              <w:rPr>
                <w:sz w:val="1"/>
                <w:szCs w:val="1"/>
                <w:color w:val="auto"/>
              </w:rPr>
            </w:pPr>
          </w:p>
        </w:tc>
      </w:tr>
      <w:tr>
        <w:trPr>
          <w:trHeight w:val="196"/>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Repurchase of Series B convertible</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(1,333,333)</w:t>
            </w:r>
          </w:p>
        </w:tc>
        <w:tc>
          <w:tcPr>
            <w:tcW w:w="8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shares</w:t>
            </w: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800" w:type="dxa"/>
            <w:vAlign w:val="bottom"/>
            <w:tcBorders>
              <w:right w:val="single" w:sz="8" w:color="CCEEFF"/>
            </w:tcBorders>
            <w:gridSpan w:val="2"/>
            <w:vMerge w:val="continue"/>
            <w:shd w:val="clear" w:color="auto" w:fill="CCEEFF"/>
          </w:tcPr>
          <w:p>
            <w:pPr>
              <w:spacing w:after="0"/>
              <w:rPr>
                <w:sz w:val="18"/>
                <w:szCs w:val="18"/>
                <w:color w:val="auto"/>
              </w:rPr>
            </w:pP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160"/>
              <w:spacing w:after="0"/>
              <w:rPr>
                <w:sz w:val="20"/>
                <w:szCs w:val="20"/>
                <w:color w:val="auto"/>
              </w:rPr>
            </w:pPr>
            <w:r>
              <w:rPr>
                <w:rFonts w:ascii="Arial" w:cs="Arial" w:eastAsia="Arial" w:hAnsi="Arial"/>
                <w:sz w:val="16"/>
                <w:szCs w:val="16"/>
                <w:color w:val="auto"/>
              </w:rPr>
              <w:t>Issuance of Series D convertible</w:t>
            </w: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20"/>
              <w:spacing w:after="0" w:line="162" w:lineRule="exact"/>
              <w:rPr>
                <w:sz w:val="20"/>
                <w:szCs w:val="20"/>
                <w:color w:val="auto"/>
              </w:rPr>
            </w:pPr>
            <w:r>
              <w:rPr>
                <w:rFonts w:ascii="Arial" w:cs="Arial" w:eastAsia="Arial" w:hAnsi="Arial"/>
                <w:sz w:val="16"/>
                <w:szCs w:val="16"/>
                <w:color w:val="auto"/>
                <w:w w:val="97"/>
              </w:rPr>
              <w:t>preferred shares upon exercise of</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585,022</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12,936</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68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Pr>
          <w:p>
            <w:pPr>
              <w:ind w:left="320"/>
              <w:spacing w:after="0"/>
              <w:rPr>
                <w:sz w:val="20"/>
                <w:szCs w:val="20"/>
                <w:color w:val="auto"/>
              </w:rPr>
            </w:pPr>
            <w:r>
              <w:rPr>
                <w:rFonts w:ascii="Arial" w:cs="Arial" w:eastAsia="Arial" w:hAnsi="Arial"/>
                <w:sz w:val="16"/>
                <w:szCs w:val="16"/>
                <w:color w:val="auto"/>
              </w:rPr>
              <w:t>warrants</w:t>
            </w:r>
          </w:p>
        </w:tc>
        <w:tc>
          <w:tcPr>
            <w:tcW w:w="8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Series E convertible</w:t>
            </w:r>
          </w:p>
        </w:tc>
        <w:tc>
          <w:tcPr>
            <w:tcW w:w="880" w:type="dxa"/>
            <w:vAlign w:val="bottom"/>
            <w:tcBorders>
              <w:right w:val="single" w:sz="8" w:color="CCEEFF"/>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94"/>
              </w:rPr>
              <w:t>50,612,262</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1,844,886</w:t>
            </w:r>
          </w:p>
        </w:tc>
        <w:tc>
          <w:tcPr>
            <w:tcW w:w="10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93"/>
              </w:rPr>
              <w:t>(38,115)</w:t>
            </w:r>
          </w:p>
        </w:tc>
        <w:tc>
          <w:tcPr>
            <w:tcW w:w="8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(2,129,217)</w:t>
            </w:r>
          </w:p>
        </w:tc>
        <w:tc>
          <w:tcPr>
            <w:tcW w:w="9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(2,167,332)</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shares</w:t>
            </w: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160"/>
              <w:spacing w:after="0"/>
              <w:rPr>
                <w:sz w:val="20"/>
                <w:szCs w:val="20"/>
                <w:color w:val="auto"/>
              </w:rPr>
            </w:pPr>
            <w:r>
              <w:rPr>
                <w:rFonts w:ascii="Arial" w:cs="Arial" w:eastAsia="Arial" w:hAnsi="Arial"/>
                <w:sz w:val="16"/>
                <w:szCs w:val="16"/>
                <w:color w:val="auto"/>
              </w:rPr>
              <w:t>Share-based compensation related</w:t>
            </w: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20"/>
              <w:spacing w:after="0" w:line="162" w:lineRule="exact"/>
              <w:rPr>
                <w:sz w:val="20"/>
                <w:szCs w:val="20"/>
                <w:color w:val="auto"/>
              </w:rPr>
            </w:pPr>
            <w:r>
              <w:rPr>
                <w:rFonts w:ascii="Arial" w:cs="Arial" w:eastAsia="Arial" w:hAnsi="Arial"/>
                <w:sz w:val="16"/>
                <w:szCs w:val="16"/>
                <w:color w:val="auto"/>
              </w:rPr>
              <w:t>to Series E convertible preferred</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102,913</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68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320"/>
              <w:spacing w:after="0"/>
              <w:rPr>
                <w:sz w:val="20"/>
                <w:szCs w:val="20"/>
                <w:color w:val="auto"/>
              </w:rPr>
            </w:pPr>
            <w:r>
              <w:rPr>
                <w:rFonts w:ascii="Arial" w:cs="Arial" w:eastAsia="Arial" w:hAnsi="Arial"/>
                <w:sz w:val="16"/>
                <w:szCs w:val="16"/>
                <w:color w:val="auto"/>
              </w:rPr>
              <w:t>shares</w:t>
            </w:r>
          </w:p>
        </w:tc>
        <w:tc>
          <w:tcPr>
            <w:tcW w:w="8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share options</w:t>
            </w:r>
          </w:p>
        </w:tc>
        <w:tc>
          <w:tcPr>
            <w:tcW w:w="8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2,608,745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4,316</w:t>
            </w: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4,316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7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1"/>
                <w:szCs w:val="21"/>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1,882</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700" w:type="dxa"/>
            <w:vAlign w:val="bottom"/>
            <w:tcBorders>
              <w:right w:val="single" w:sz="8" w:color="auto"/>
            </w:tcBorders>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March 31, 2021</w:t>
            </w:r>
          </w:p>
        </w:tc>
        <w:tc>
          <w:tcPr>
            <w:tcW w:w="8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5"/>
              </w:rPr>
              <w:t>411,875,942</w:t>
            </w: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6"/>
              </w:rPr>
              <w:t>$4,454,811 13,498,196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6,198</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4"/>
              </w:rPr>
              <w:t>$ (4,234,062)</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0"/>
              </w:rPr>
              <w:t>$ (4,227,863)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700" w:type="dxa"/>
            <w:vAlign w:val="bottom"/>
          </w:tcPr>
          <w:p>
            <w:pPr>
              <w:spacing w:after="0"/>
              <w:rPr>
                <w:sz w:val="24"/>
                <w:szCs w:val="24"/>
                <w:color w:val="auto"/>
              </w:rPr>
            </w:pPr>
          </w:p>
        </w:tc>
        <w:tc>
          <w:tcPr>
            <w:tcW w:w="16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75"/>
              </w:rPr>
              <w:t>Additional</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16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Preferred Shares</w:t>
            </w:r>
          </w:p>
        </w:tc>
        <w:tc>
          <w:tcPr>
            <w:tcW w:w="120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5"/>
              </w:rPr>
              <w:t>Common Shares</w:t>
            </w: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70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center"/>
              <w:ind w:right="162"/>
              <w:spacing w:after="0" w:line="125" w:lineRule="exact"/>
              <w:rPr>
                <w:sz w:val="20"/>
                <w:szCs w:val="20"/>
                <w:color w:val="auto"/>
              </w:rPr>
            </w:pPr>
            <w:r>
              <w:rPr>
                <w:rFonts w:ascii="Arial" w:cs="Arial" w:eastAsia="Arial" w:hAnsi="Arial"/>
                <w:sz w:val="14"/>
                <w:szCs w:val="14"/>
                <w:b w:val="1"/>
                <w:bCs w:val="1"/>
                <w:color w:val="auto"/>
                <w:w w:val="94"/>
              </w:rPr>
              <w:t>Paid-In</w:t>
            </w:r>
          </w:p>
        </w:tc>
        <w:tc>
          <w:tcPr>
            <w:tcW w:w="820" w:type="dxa"/>
            <w:vAlign w:val="bottom"/>
            <w:gridSpan w:val="2"/>
            <w:vMerge w:val="restart"/>
          </w:tcPr>
          <w:p>
            <w:pPr>
              <w:jc w:val="center"/>
              <w:ind w:right="100"/>
              <w:spacing w:after="0" w:line="125" w:lineRule="exact"/>
              <w:rPr>
                <w:sz w:val="20"/>
                <w:szCs w:val="20"/>
                <w:color w:val="auto"/>
              </w:rPr>
            </w:pPr>
            <w:r>
              <w:rPr>
                <w:rFonts w:ascii="Arial" w:cs="Arial" w:eastAsia="Arial" w:hAnsi="Arial"/>
                <w:sz w:val="14"/>
                <w:szCs w:val="14"/>
                <w:b w:val="1"/>
                <w:bCs w:val="1"/>
                <w:color w:val="auto"/>
                <w:w w:val="81"/>
              </w:rPr>
              <w:t>Accumulated</w:t>
            </w:r>
          </w:p>
        </w:tc>
        <w:tc>
          <w:tcPr>
            <w:tcW w:w="960" w:type="dxa"/>
            <w:vAlign w:val="bottom"/>
            <w:gridSpan w:val="4"/>
            <w:vMerge w:val="restart"/>
          </w:tcPr>
          <w:p>
            <w:pPr>
              <w:jc w:val="center"/>
              <w:ind w:right="140"/>
              <w:spacing w:after="0" w:line="125"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7"/>
                <w:szCs w:val="17"/>
                <w:color w:val="auto"/>
              </w:rPr>
            </w:pPr>
          </w:p>
        </w:tc>
        <w:tc>
          <w:tcPr>
            <w:tcW w:w="68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Capital</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5"/>
        </w:trPr>
        <w:tc>
          <w:tcPr>
            <w:tcW w:w="2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January 1, 2020</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190,084,166</w:t>
            </w: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1"/>
              </w:rPr>
              <w:t>$1,074,010 8,051,722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840" w:type="dxa"/>
            <w:vAlign w:val="bottom"/>
            <w:tcBorders>
              <w:right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$ 16,432</w:t>
            </w: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$(637,513)</w:t>
            </w: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7"/>
              </w:rPr>
              <w:t>$ (621,080)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00" w:type="dxa"/>
            <w:vAlign w:val="bottom"/>
          </w:tcPr>
          <w:p>
            <w:pPr>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0"/>
                <w:szCs w:val="20"/>
                <w:color w:val="auto"/>
              </w:rPr>
            </w:pP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(129,583)</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(129,583)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Series D convertible</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31,201,245</w:t>
            </w:r>
          </w:p>
        </w:tc>
        <w:tc>
          <w:tcPr>
            <w:tcW w:w="80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200,000</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shares</w:t>
            </w: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800" w:type="dxa"/>
            <w:vAlign w:val="bottom"/>
            <w:tcBorders>
              <w:right w:val="single" w:sz="8" w:color="CCEEFF"/>
            </w:tcBorders>
            <w:gridSpan w:val="2"/>
            <w:vMerge w:val="continue"/>
            <w:shd w:val="clear" w:color="auto" w:fill="CCEEFF"/>
          </w:tcPr>
          <w:p>
            <w:pPr>
              <w:spacing w:after="0"/>
              <w:rPr>
                <w:sz w:val="18"/>
                <w:szCs w:val="18"/>
                <w:color w:val="auto"/>
              </w:rPr>
            </w:pP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00" w:type="dxa"/>
            <w:vAlign w:val="bottom"/>
          </w:tcPr>
          <w:p>
            <w:pPr>
              <w:spacing w:after="0"/>
              <w:rPr>
                <w:sz w:val="20"/>
                <w:szCs w:val="20"/>
                <w:color w:val="auto"/>
              </w:rPr>
            </w:pPr>
            <w:r>
              <w:rPr>
                <w:rFonts w:ascii="Arial" w:cs="Arial" w:eastAsia="Arial" w:hAnsi="Arial"/>
                <w:sz w:val="16"/>
                <w:szCs w:val="16"/>
                <w:color w:val="auto"/>
              </w:rPr>
              <w:t>Settlement of Series D contingent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18,180</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Pr>
          <w:p>
            <w:pPr>
              <w:ind w:left="160"/>
              <w:spacing w:after="0"/>
              <w:rPr>
                <w:sz w:val="20"/>
                <w:szCs w:val="20"/>
                <w:color w:val="auto"/>
              </w:rPr>
            </w:pPr>
            <w:r>
              <w:rPr>
                <w:rFonts w:ascii="Arial" w:cs="Arial" w:eastAsia="Arial" w:hAnsi="Arial"/>
                <w:sz w:val="16"/>
                <w:szCs w:val="16"/>
                <w:color w:val="auto"/>
              </w:rPr>
              <w:t>forward contract liability</w:t>
            </w:r>
          </w:p>
        </w:tc>
        <w:tc>
          <w:tcPr>
            <w:tcW w:w="88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share options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134,665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33</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7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1"/>
                <w:szCs w:val="21"/>
                <w:color w:val="auto"/>
              </w:rPr>
            </w:pP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971</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700" w:type="dxa"/>
            <w:vAlign w:val="bottom"/>
            <w:tcBorders>
              <w:right w:val="single" w:sz="8" w:color="CCEEFF"/>
            </w:tcBorders>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800" w:type="dxa"/>
            <w:vAlign w:val="bottom"/>
            <w:tcBorders>
              <w:right w:val="single" w:sz="8" w:color="CCEEFF"/>
            </w:tcBorders>
            <w:gridSpan w:val="2"/>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March 31, 2020</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221,285,411</w:t>
            </w: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1"/>
              </w:rPr>
              <w:t>$1,292,190 8,186,387</w:t>
            </w:r>
          </w:p>
        </w:tc>
        <w:tc>
          <w:tcPr>
            <w:tcW w:w="5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$ 1</w:t>
            </w:r>
          </w:p>
        </w:tc>
        <w:tc>
          <w:tcPr>
            <w:tcW w:w="840" w:type="dxa"/>
            <w:vAlign w:val="bottom"/>
            <w:tcBorders>
              <w:right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$ 17,436</w:t>
            </w: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$(767,096)</w:t>
            </w: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7"/>
              </w:rPr>
              <w:t>$ (749,659)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-2108200</wp:posOffset>
            </wp:positionV>
            <wp:extent cx="342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-2108200</wp:posOffset>
            </wp:positionV>
            <wp:extent cx="431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-2108200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-2108200</wp:posOffset>
            </wp:positionV>
            <wp:extent cx="1371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-2108200</wp:posOffset>
            </wp:positionV>
            <wp:extent cx="1111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-2108200</wp:posOffset>
            </wp:positionV>
            <wp:extent cx="254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223710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-3977005</wp:posOffset>
            </wp:positionV>
            <wp:extent cx="342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-3977005</wp:posOffset>
            </wp:positionV>
            <wp:extent cx="1714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-3977005</wp:posOffset>
            </wp:positionV>
            <wp:extent cx="222885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-3977005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-3977005</wp:posOffset>
            </wp:positionV>
            <wp:extent cx="342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-3977005</wp:posOffset>
            </wp:positionV>
            <wp:extent cx="342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-3977005</wp:posOffset>
            </wp:positionV>
            <wp:extent cx="342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-205105</wp:posOffset>
            </wp:positionV>
            <wp:extent cx="7747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-205105</wp:posOffset>
            </wp:positionV>
            <wp:extent cx="13716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-205105</wp:posOffset>
            </wp:positionV>
            <wp:extent cx="12001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-205105</wp:posOffset>
            </wp:positionV>
            <wp:extent cx="15430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-205105</wp:posOffset>
            </wp:positionV>
            <wp:extent cx="11112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-205105</wp:posOffset>
            </wp:positionV>
            <wp:extent cx="431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-205105</wp:posOffset>
            </wp:positionV>
            <wp:extent cx="227139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271395" cy="889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-1353820</wp:posOffset>
            </wp:positionV>
            <wp:extent cx="342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-1353820</wp:posOffset>
            </wp:positionV>
            <wp:extent cx="342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-1353820</wp:posOffset>
            </wp:positionV>
            <wp:extent cx="226314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-1353820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-1353820</wp:posOffset>
            </wp:positionV>
            <wp:extent cx="342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-1353820</wp:posOffset>
            </wp:positionV>
            <wp:extent cx="342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-1353820</wp:posOffset>
            </wp:positionV>
            <wp:extent cx="342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7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040" w:type="dxa"/>
            <w:vAlign w:val="bottom"/>
          </w:tcPr>
          <w:p>
            <w:pPr>
              <w:spacing w:after="0"/>
              <w:rPr>
                <w:sz w:val="16"/>
                <w:szCs w:val="16"/>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26"/>
        </w:trPr>
        <w:tc>
          <w:tcPr>
            <w:tcW w:w="8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0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  (747,952)</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w w:val="90"/>
              </w:rPr>
              <w:t>$(129,583)</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4,919</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1,502</w:t>
            </w:r>
          </w:p>
        </w:tc>
      </w:tr>
      <w:tr>
        <w:trPr>
          <w:trHeight w:val="216"/>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 cash operating lease cost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6,296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Arial" w:cs="Arial" w:eastAsia="Arial" w:hAnsi="Arial"/>
                <w:sz w:val="16"/>
                <w:szCs w:val="16"/>
                <w:color w:val="auto"/>
              </w:rPr>
              <w:t>Share-based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104,795</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971</w:t>
            </w:r>
          </w:p>
        </w:tc>
      </w:tr>
      <w:tr>
        <w:trPr>
          <w:trHeight w:val="216"/>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on disposal of property and equipment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60" w:type="dxa"/>
            <w:vAlign w:val="bottom"/>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Arial" w:cs="Arial" w:eastAsia="Arial" w:hAnsi="Arial"/>
                <w:sz w:val="16"/>
                <w:szCs w:val="16"/>
                <w:color w:val="auto"/>
              </w:rPr>
              <w:t>Change in fair value of contingent forward contracts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442,164</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5,516</w:t>
            </w:r>
          </w:p>
        </w:tc>
      </w:tr>
      <w:tr>
        <w:trPr>
          <w:trHeight w:val="216"/>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of warrants</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6,976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receivable</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60" w:type="dxa"/>
            <w:vAlign w:val="bottom"/>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Arial" w:cs="Arial" w:eastAsia="Arial" w:hAnsi="Arial"/>
                <w:sz w:val="16"/>
                <w:szCs w:val="16"/>
                <w:color w:val="auto"/>
              </w:rPr>
              <w:t>Inventory</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(5,267)</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expenses</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(3,782)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60" w:type="dxa"/>
            <w:vAlign w:val="bottom"/>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Arial" w:cs="Arial" w:eastAsia="Arial" w:hAnsi="Arial"/>
                <w:sz w:val="16"/>
                <w:szCs w:val="16"/>
                <w:color w:val="auto"/>
              </w:rPr>
              <w:t>Other current assets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(544)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(3,067)</w:t>
            </w:r>
          </w:p>
        </w:tc>
      </w:tr>
      <w:tr>
        <w:trPr>
          <w:trHeight w:val="216"/>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noncurrent assets and security deposit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(2,899)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60" w:type="dxa"/>
            <w:vAlign w:val="bottom"/>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(14,544)</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10,261</w:t>
            </w:r>
          </w:p>
        </w:tc>
      </w:tr>
      <w:tr>
        <w:trPr>
          <w:trHeight w:val="216"/>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compensation</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3,646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5,783</w:t>
            </w:r>
          </w:p>
        </w:tc>
        <w:tc>
          <w:tcPr>
            <w:tcW w:w="60" w:type="dxa"/>
            <w:vAlign w:val="bottom"/>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Arial" w:cs="Arial" w:eastAsia="Arial" w:hAnsi="Arial"/>
                <w:sz w:val="16"/>
                <w:szCs w:val="16"/>
                <w:color w:val="auto"/>
              </w:rPr>
              <w:t>Operating lease liability</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(4,099)</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43"/>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current liabilities and accrued liabilities</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24,046</w:t>
            </w:r>
          </w:p>
        </w:tc>
        <w:tc>
          <w:tcPr>
            <w:tcW w:w="60" w:type="dxa"/>
            <w:vAlign w:val="bottom"/>
          </w:tcPr>
          <w:p>
            <w:pPr>
              <w:spacing w:after="0"/>
              <w:rPr>
                <w:sz w:val="21"/>
                <w:szCs w:val="21"/>
                <w:color w:val="auto"/>
              </w:rPr>
            </w:pPr>
          </w:p>
        </w:tc>
      </w:tr>
      <w:tr>
        <w:trPr>
          <w:trHeight w:val="20"/>
        </w:trPr>
        <w:tc>
          <w:tcPr>
            <w:tcW w:w="80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8040" w:type="dxa"/>
            <w:vAlign w:val="bottom"/>
          </w:tcPr>
          <w:p>
            <w:pPr>
              <w:ind w:left="32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(218,726)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(81,908)</w:t>
            </w:r>
          </w:p>
        </w:tc>
      </w:tr>
      <w:tr>
        <w:trPr>
          <w:trHeight w:val="20"/>
        </w:trPr>
        <w:tc>
          <w:tcPr>
            <w:tcW w:w="8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-7620</wp:posOffset>
            </wp:positionV>
            <wp:extent cx="6180455" cy="15430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-2802255</wp:posOffset>
            </wp:positionV>
            <wp:extent cx="575183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ectPr>
          <w:pgSz w:w="11900" w:h="16838" w:orient="portrait"/>
          <w:cols w:equalWidth="0" w:num="1">
            <w:col w:w="10280"/>
          </w:cols>
          <w:pgMar w:left="580" w:top="132" w:right="1039" w:bottom="1440" w:gutter="0" w:footer="0" w:header="0"/>
        </w:sectPr>
      </w:pPr>
    </w:p>
    <w:p>
      <w:pPr>
        <w:spacing w:after="0" w:line="4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Purchases of property,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wp:posOffset>
            </wp:positionV>
            <wp:extent cx="6180455" cy="1797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180455" cy="179705"/>
                    </a:xfrm>
                    <a:prstGeom prst="rect">
                      <a:avLst/>
                    </a:prstGeom>
                    <a:noFill/>
                  </pic:spPr>
                </pic:pic>
              </a:graphicData>
            </a:graphic>
          </wp:anchor>
        </w:drawing>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cash used in investing activities</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3175</wp:posOffset>
            </wp:positionV>
            <wp:extent cx="6180455" cy="146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180455" cy="146050"/>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 for Capital leases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Repurchase of Series B convertible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wp:posOffset>
            </wp:positionV>
            <wp:extent cx="6180455" cy="1460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180455" cy="146050"/>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Proceeds from issuance of Series D convertible preferred shares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Proceeds from issuance of Series E convertible preferred shares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4"/>
          <w:szCs w:val="14"/>
          <w:color w:val="auto"/>
        </w:rPr>
        <w:t>(94,779)</w:t>
      </w:r>
      <w:r>
        <w:rPr>
          <w:sz w:val="20"/>
          <w:szCs w:val="20"/>
          <w:color w:val="auto"/>
        </w:rPr>
        <w:tab/>
      </w:r>
      <w:r>
        <w:rPr>
          <w:rFonts w:ascii="Arial" w:cs="Arial" w:eastAsia="Arial" w:hAnsi="Arial"/>
          <w:sz w:val="14"/>
          <w:szCs w:val="14"/>
          <w:u w:val="single" w:color="auto"/>
          <w:color w:val="auto"/>
        </w:rPr>
        <w:t>(102,105</w:t>
      </w:r>
      <w:r>
        <w:rPr>
          <w:rFonts w:ascii="Arial" w:cs="Arial" w:eastAsia="Arial" w:hAnsi="Arial"/>
          <w:sz w:val="14"/>
          <w:szCs w:val="14"/>
          <w:color w:val="auto"/>
        </w:rPr>
        <w:t>)</w:t>
      </w:r>
    </w:p>
    <w:p>
      <w:pPr>
        <w:spacing w:after="0" w:line="109"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4"/>
          <w:szCs w:val="14"/>
          <w:color w:val="auto"/>
        </w:rPr>
        <w:t>(94,779)</w:t>
      </w:r>
      <w:r>
        <w:rPr>
          <w:sz w:val="20"/>
          <w:szCs w:val="20"/>
          <w:color w:val="auto"/>
        </w:rPr>
        <w:tab/>
      </w:r>
      <w:r>
        <w:rPr>
          <w:rFonts w:ascii="Arial" w:cs="Arial" w:eastAsia="Arial" w:hAnsi="Arial"/>
          <w:sz w:val="14"/>
          <w:szCs w:val="14"/>
          <w:u w:val="single" w:color="auto"/>
          <w:color w:val="auto"/>
        </w:rPr>
        <w:t>(102,105</w:t>
      </w:r>
      <w:r>
        <w:rPr>
          <w:rFonts w:ascii="Arial" w:cs="Arial" w:eastAsia="Arial" w:hAnsi="Arial"/>
          <w:sz w:val="14"/>
          <w:szCs w:val="14"/>
          <w:color w:val="auto"/>
        </w:rPr>
        <w:t>)</w:t>
      </w:r>
    </w:p>
    <w:p>
      <w:pPr>
        <w:spacing w:after="0" w:line="339" w:lineRule="exact"/>
        <w:rPr>
          <w:sz w:val="20"/>
          <w:szCs w:val="20"/>
          <w:color w:val="auto"/>
        </w:rPr>
      </w:pPr>
    </w:p>
    <w:p>
      <w:pPr>
        <w:ind w:left="1200" w:hanging="979"/>
        <w:spacing w:after="0"/>
        <w:tabs>
          <w:tab w:leader="none" w:pos="12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(30)</w:t>
      </w:r>
    </w:p>
    <w:p>
      <w:pPr>
        <w:spacing w:after="0" w:line="68"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6"/>
          <w:szCs w:val="16"/>
          <w:color w:val="auto"/>
        </w:rPr>
        <w:t>(3,000)—</w:t>
      </w:r>
    </w:p>
    <w:p>
      <w:pPr>
        <w:spacing w:after="0" w:line="45"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6"/>
          <w:szCs w:val="16"/>
          <w:color w:val="auto"/>
        </w:rPr>
        <w:t>3,000</w:t>
      </w:r>
      <w:r>
        <w:rPr>
          <w:rFonts w:ascii="Arial" w:cs="Arial" w:eastAsia="Arial" w:hAnsi="Arial"/>
          <w:sz w:val="14"/>
          <w:szCs w:val="14"/>
          <w:color w:val="auto"/>
        </w:rPr>
        <w:t>200,000</w:t>
      </w:r>
    </w:p>
    <w:p>
      <w:pPr>
        <w:spacing w:after="0" w:line="45"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color w:val="auto"/>
        </w:rPr>
        <w:t>507,080</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p>
    <w:p>
      <w:pPr>
        <w:sectPr>
          <w:pgSz w:w="11900" w:h="16838" w:orient="portrait"/>
          <w:cols w:equalWidth="0" w:num="2">
            <w:col w:w="8100" w:space="720"/>
            <w:col w:w="1460"/>
          </w:cols>
          <w:pgMar w:left="580" w:top="132" w:right="1039" w:bottom="1440" w:gutter="0" w:footer="0" w:header="0"/>
          <w:type w:val="continuous"/>
        </w:sectPr>
      </w:pPr>
    </w:p>
    <w:tbl>
      <w:tblPr>
        <w:tblLayout w:type="fixed"/>
        <w:tblInd w:w="500" w:type="dxa"/>
        <w:tblCellMar>
          <w:top w:w="0" w:type="dxa"/>
          <w:left w:w="0" w:type="dxa"/>
          <w:bottom w:w="0" w:type="dxa"/>
          <w:right w:w="0" w:type="dxa"/>
        </w:tblCellMar>
      </w:tblPr>
      <w:tr>
        <w:trPr>
          <w:trHeight w:val="238"/>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exercise of share options</w:t>
            </w: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511,098</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200,003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increase in cash, cash equivalents, and restricted cash</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197,593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15,990</w:t>
            </w:r>
          </w:p>
        </w:tc>
        <w:tc>
          <w:tcPr>
            <w:tcW w:w="0" w:type="dxa"/>
            <w:vAlign w:val="bottom"/>
          </w:tcPr>
          <w:p>
            <w:pPr>
              <w:spacing w:after="0"/>
              <w:rPr>
                <w:sz w:val="1"/>
                <w:szCs w:val="1"/>
                <w:color w:val="auto"/>
              </w:rPr>
            </w:pPr>
          </w:p>
        </w:tc>
      </w:tr>
      <w:tr>
        <w:trPr>
          <w:trHeight w:val="256"/>
        </w:trPr>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Beginning cash, cash equivalents, and restricted cash</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640,418</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379,651</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Ending cash,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838,011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395,641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included in accounts payable and accrued expense</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(16,357)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6"/>
                <w:szCs w:val="16"/>
                <w:color w:val="auto"/>
              </w:rPr>
              <w:t>Settlement of Series D convertible preferred share contingent forward contract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18,180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Conversion of preferred stock warrant to Series D convertible preferred stock</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Arial" w:cs="Arial" w:eastAsia="Arial" w:hAnsi="Arial"/>
                <w:sz w:val="16"/>
                <w:szCs w:val="16"/>
                <w:color w:val="auto"/>
              </w:rPr>
              <w:t>Issuance of Series E convertible prefered shares contingent forward contracts</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2,167,332</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Settlement of Series E convertible preferred shares contingent forward contract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(1,444,886)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0"/>
                <w:szCs w:val="20"/>
                <w:color w:val="auto"/>
              </w:rPr>
            </w:pPr>
            <w:r>
              <w:rPr>
                <w:rFonts w:ascii="Arial" w:cs="Arial" w:eastAsia="Arial" w:hAnsi="Arial"/>
                <w:sz w:val="16"/>
                <w:szCs w:val="16"/>
                <w:color w:val="auto"/>
              </w:rPr>
              <w:t>Property and equipment acquired through leases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(4,073)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-1504315</wp:posOffset>
            </wp:positionV>
            <wp:extent cx="576072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-1821180</wp:posOffset>
            </wp:positionV>
            <wp:extent cx="576072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2" w:right="1039"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DESCRIPTION OF BUSINESS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 xml:space="preserve">Atieva, Inc. and its wholly owned subsidiaries (collectively, “Lucid,” the “Company,” “we,” “us” or “our”) is a technology and automotive company. The Company was founded in Silicon Valley in 2007 to develop the next generation of electric vehicle (“ </w:t>
      </w:r>
      <w:r>
        <w:rPr>
          <w:rFonts w:ascii="Arial" w:cs="Arial" w:eastAsia="Arial" w:hAnsi="Arial"/>
          <w:sz w:val="17"/>
          <w:szCs w:val="17"/>
          <w:i w:val="1"/>
          <w:iCs w:val="1"/>
          <w:color w:val="auto"/>
        </w:rPr>
        <w:t>EV</w:t>
      </w:r>
      <w:r>
        <w:rPr>
          <w:rFonts w:ascii="Arial" w:cs="Arial" w:eastAsia="Arial" w:hAnsi="Arial"/>
          <w:sz w:val="17"/>
          <w:szCs w:val="17"/>
          <w:color w:val="auto"/>
        </w:rPr>
        <w:t>”) technologies. Today, Lucid is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w:t>
      </w:r>
    </w:p>
    <w:p>
      <w:pPr>
        <w:spacing w:after="0" w:line="112"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7"/>
          <w:szCs w:val="17"/>
          <w:color w:val="auto"/>
        </w:rPr>
        <w:t>On February 22, 2021, Churchill Capital Corp IV (“CCIV”) (NYSE:CCIV), a special purpose acquisition company or SPAC, announced that it had entered into a definitive agreement for a merger that would result in the Company becoming a wholly owned subsidiary of CCIV. If such merger is ultimately completed, the Company would effectively comprise all of CCIV’s material operations.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Going Concern</w:t>
      </w:r>
    </w:p>
    <w:p>
      <w:pPr>
        <w:spacing w:after="0" w:line="148"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03"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From inception through March 31, 2021, the Company has incurred operating losses and negative cash flows from operating activities. For the three months ended March 31, 2021 and 2020, the Company has incurred operating losses, including net losses of $748.0 million and $129.6 million, respectively. The Company has an accumulated deficit of $4.2 billion as of March 31, 2021.</w:t>
      </w:r>
    </w:p>
    <w:p>
      <w:pPr>
        <w:spacing w:after="0" w:line="12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As of the end of March 31, 2021, the Company was finalizing construction of its newly built manufacturing plant in Casa Grande, Arizona (the “Arizona plant”). The Company plans to begin selling its first vehicle, the Lucid Air, in the second half of 2021, along with the continued expansion of the Arizona plant and build- 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were not identified and confirmed.</w:t>
      </w:r>
    </w:p>
    <w:p>
      <w:pPr>
        <w:spacing w:after="0" w:line="113"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Company’s existing sources of liquidity include cash and cash equivalents. Historically, the Company has been able to obtain debt and equity financing as disclosed in these condensed consolidated financial statements. The Company has funded operations primarily with issuances of convertible preferred shares, convertible notes, long-term debt and net proceeds from revenues.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116"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The Company participates in a dynamic high-technology industry. Changes in any of the following</w:t>
      </w:r>
    </w:p>
    <w:p>
      <w:pPr>
        <w:spacing w:after="0" w:line="12"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areas could have a material adverse impact on the Company’s future financial position, results of operations,</w:t>
      </w: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color w:val="auto"/>
        </w:rPr>
        <w:t>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0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6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accompanying unaudited interim condensed consolidated financial statements included herein have been prepared pursuant to instructions to the rules and regulations of the U.S. Securities and Exchange Commission (“SEC”). Under these rules and regulations, some information and footnote disclosures normally included in the financial statements prepared under accounting principles generally accepted in the United States of America (“U.S. GAAP”) have been condensed or omitted. These financial statements should be read together with the audited financial statements for the year ended December 31, 2020 and 2019 on the Company’s Form S-4.</w:t>
      </w:r>
    </w:p>
    <w:p>
      <w:pPr>
        <w:spacing w:after="0" w:line="12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In management’s opinion, these unaudited condensed consolidated financial statements have been prepared on the same basis as the annual financial statements and reflect all adjustments, which include only normal recurring adjustments necessary for the fair statement of the Company’s financial position as of March 31, 2021, and the results of operations and cash flows for the three months ended March 31, 2021 and 2020. The results of operations for the three months ended March 31, 2021 are not necessarily indicative of the results to be expected for the full year ending December 31, 2021 or any other future interim or annual period.</w:t>
      </w:r>
    </w:p>
    <w:p>
      <w:pPr>
        <w:spacing w:after="0" w:line="110"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The condensed consolidated financial statements include the accounts of the Company and its wholly owned subsidiaries. All intercompany balances and transactions have been eliminated in consolidation.</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Restricted cash in the current assets is comprised primarily of customer reservation payments for electric vehicles and other escrow deposit for building of the Arizona plant. Restricted cash in other non-current assets is primarily related to letters of credit issued to the landlord for the Company’s headquarter in Newark, California and retail locations, and escrow deposit required under the escrow agreement for the lease with Pinal county, Arizona, related to the Arizona plant.</w:t>
      </w:r>
    </w:p>
    <w:p>
      <w:pPr>
        <w:spacing w:after="0" w:line="108"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March 31,</w:t>
            </w: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r>
      <w:tr>
        <w:trPr>
          <w:trHeight w:val="186"/>
        </w:trPr>
        <w:tc>
          <w:tcPr>
            <w:tcW w:w="5540" w:type="dxa"/>
            <w:vAlign w:val="bottom"/>
          </w:tcPr>
          <w:p>
            <w:pPr>
              <w:spacing w:after="0"/>
              <w:rPr>
                <w:sz w:val="16"/>
                <w:szCs w:val="16"/>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r>
      <w:tr>
        <w:trPr>
          <w:trHeight w:val="26"/>
        </w:trPr>
        <w:tc>
          <w:tcPr>
            <w:tcW w:w="55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$809,978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$614,412</w:t>
            </w:r>
          </w:p>
        </w:tc>
        <w:tc>
          <w:tcPr>
            <w:tcW w:w="24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$366,560</w:t>
            </w:r>
          </w:p>
        </w:tc>
      </w:tr>
      <w:tr>
        <w:trPr>
          <w:trHeight w:val="257"/>
        </w:trPr>
        <w:tc>
          <w:tcPr>
            <w:tcW w:w="554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11,790</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11,278</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20,881</w:t>
            </w:r>
          </w:p>
        </w:tc>
      </w:tr>
      <w:tr>
        <w:trPr>
          <w:trHeight w:val="263"/>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included in other noncurrent assets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16,243</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14,728</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
        </w:trPr>
        <w:tc>
          <w:tcPr>
            <w:tcW w:w="55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$838,011</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$640,418</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$395,641</w:t>
            </w:r>
          </w:p>
        </w:tc>
      </w:tr>
      <w:tr>
        <w:trPr>
          <w:trHeight w:val="20"/>
        </w:trPr>
        <w:tc>
          <w:tcPr>
            <w:tcW w:w="5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-719455</wp:posOffset>
            </wp:positionV>
            <wp:extent cx="476631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March 31, 2021 and December 31, 2020, and all of the Company’s revenue is from the same customer for the three months ended March 31, 2021 and 2020.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62" w:lineRule="exact"/>
        <w:rPr>
          <w:sz w:val="20"/>
          <w:szCs w:val="20"/>
          <w:color w:val="auto"/>
        </w:rPr>
      </w:pPr>
    </w:p>
    <w:p>
      <w:pPr>
        <w:ind w:left="1260" w:right="899" w:firstLine="360"/>
        <w:spacing w:after="0" w:line="248" w:lineRule="auto"/>
        <w:rPr>
          <w:sz w:val="20"/>
          <w:szCs w:val="20"/>
          <w:color w:val="auto"/>
        </w:rPr>
      </w:pPr>
      <w:r>
        <w:rPr>
          <w:rFonts w:ascii="Arial" w:cs="Arial" w:eastAsia="Arial" w:hAnsi="Arial"/>
          <w:sz w:val="18"/>
          <w:szCs w:val="18"/>
          <w:color w:val="auto"/>
        </w:rPr>
        <w:t>As of March 31, 2021, there were no material changes in the other significant accounting policies disclosed in Note 2 of the audited consolidated financial statements as of and for the years ended December 31, 2020 and 2019 on the Company’s Form S-4.</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Private companies and are required to adopt the new leases standard for annual periods beginning after December 15, 2021 and interim periods in annual periods beginning after December 15, 2022.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 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spacing w:after="0" w:line="112" w:lineRule="exact"/>
        <w:rPr>
          <w:sz w:val="20"/>
          <w:szCs w:val="20"/>
          <w:color w:val="auto"/>
        </w:rPr>
      </w:pPr>
    </w:p>
    <w:p>
      <w:pPr>
        <w:ind w:left="1260" w:right="559" w:firstLine="360"/>
        <w:spacing w:after="0" w:line="294" w:lineRule="auto"/>
        <w:rPr>
          <w:sz w:val="20"/>
          <w:szCs w:val="20"/>
          <w:color w:val="auto"/>
        </w:rPr>
      </w:pPr>
      <w:r>
        <w:rPr>
          <w:rFonts w:ascii="Arial" w:cs="Arial" w:eastAsia="Arial" w:hAnsi="Arial"/>
          <w:sz w:val="16"/>
          <w:szCs w:val="16"/>
          <w:color w:val="auto"/>
        </w:rPr>
        <w:t>The Company has lease agreements with lease and non-lease components and have elected not to utilize the practical expedient to account for lease and non-lease components together, rather the Company is accounting for the lease and non-lease components separately on the consolidated financial statements.</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0" w:name="page231"/>
    <w:bookmarkEnd w:id="23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Operating lease assets are included within operating lease right-of-use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March 31, 2021.</w:t>
      </w:r>
    </w:p>
    <w:p>
      <w:pPr>
        <w:spacing w:after="0" w:line="106"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spacing w:after="0" w:line="12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Adoption of the new lease standard on January 1, 2021 had a material impact on the Company’s interim unaudited consolidated financial statements. The most significant impacts related to the (i) recording of right-of-use asset of $94.2 million, and (ii) recording lease liability of $126.0 million, as of January 1, 2021 on the consolidated balance sheets. The Company also reclassified prepaid expenses of $0.2 million and deferred rent balance, including tenant improvement allowances, and other liability balances of</w:t>
      </w:r>
    </w:p>
    <w:p>
      <w:pPr>
        <w:spacing w:after="0" w:line="3"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$31.8 million relating to the Company’s existing lease arrangements as of December 31, 2020, into the ROU asset balance as of January 1, 2021. 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consolidated statement of cash flows.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cumulative effect of the changes made to the Company’s consolidated balance sheet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January 1, 2021 for the adoption of the new lease standard was as follows (in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Balances at</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from Adoption of</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Balances at</w:t>
            </w:r>
          </w:p>
        </w:tc>
      </w:tr>
      <w:tr>
        <w:trPr>
          <w:trHeight w:val="162"/>
        </w:trPr>
        <w:tc>
          <w:tcPr>
            <w:tcW w:w="5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New Lease</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January 1,</w:t>
            </w:r>
          </w:p>
        </w:tc>
      </w:tr>
      <w:tr>
        <w:trPr>
          <w:trHeight w:val="186"/>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Standard</w:t>
            </w:r>
          </w:p>
        </w:tc>
        <w:tc>
          <w:tcPr>
            <w:tcW w:w="100" w:type="dxa"/>
            <w:vAlign w:val="bottom"/>
          </w:tcPr>
          <w:p>
            <w:pPr>
              <w:spacing w:after="0"/>
              <w:rPr>
                <w:sz w:val="16"/>
                <w:szCs w:val="16"/>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r>
      <w:tr>
        <w:trPr>
          <w:trHeight w:val="25"/>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6"/>
        </w:trPr>
        <w:tc>
          <w:tcPr>
            <w:tcW w:w="51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21,840</w:t>
            </w:r>
          </w:p>
        </w:tc>
        <w:tc>
          <w:tcPr>
            <w:tcW w:w="2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21,660</w:t>
            </w:r>
          </w:p>
        </w:tc>
      </w:tr>
      <w:tr>
        <w:trPr>
          <w:trHeight w:val="25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713,274</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716,511</w:t>
            </w:r>
          </w:p>
        </w:tc>
      </w:tr>
      <w:tr>
        <w:trPr>
          <w:trHeight w:val="256"/>
        </w:trPr>
        <w:tc>
          <w:tcPr>
            <w:tcW w:w="51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w w:val="87"/>
              </w:rPr>
              <w:t>90,932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90,932</w:t>
            </w:r>
          </w:p>
        </w:tc>
      </w:tr>
      <w:tr>
        <w:trPr>
          <w:trHeight w:val="27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8,030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13,700</w:t>
            </w:r>
          </w:p>
        </w:tc>
      </w:tr>
      <w:tr>
        <w:trPr>
          <w:trHeight w:val="27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86,152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-1173480</wp:posOffset>
            </wp:positionV>
            <wp:extent cx="1371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394335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114"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eliminating some 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 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BALANCE SHEETS COMPONENTS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Current and Long-term Liabilities</w:t>
      </w:r>
    </w:p>
    <w:p>
      <w:pPr>
        <w:spacing w:after="0" w:line="148"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Other current liabilities and long-term liabilities as of March 31, 2021 and December 31, 2020 were as follows (in thousands):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5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980" w:type="dxa"/>
            <w:vAlign w:val="bottom"/>
            <w:gridSpan w:val="4"/>
          </w:tcPr>
          <w:p>
            <w:pPr>
              <w:jc w:val="center"/>
              <w:ind w:left="21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r>
      <w:tr>
        <w:trPr>
          <w:trHeight w:val="26"/>
        </w:trPr>
        <w:tc>
          <w:tcPr>
            <w:tcW w:w="5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design, and testing</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42,238</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$ 42,518</w:t>
            </w:r>
          </w:p>
        </w:tc>
        <w:tc>
          <w:tcPr>
            <w:tcW w:w="80" w:type="dxa"/>
            <w:vAlign w:val="bottom"/>
            <w:shd w:val="clear" w:color="auto" w:fill="CCEEFF"/>
          </w:tcPr>
          <w:p>
            <w:pPr>
              <w:spacing w:after="0"/>
              <w:rPr>
                <w:sz w:val="21"/>
                <w:szCs w:val="2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Construction of Arizona plant</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33,986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43,115</w:t>
            </w:r>
          </w:p>
        </w:tc>
        <w:tc>
          <w:tcPr>
            <w:tcW w:w="80" w:type="dxa"/>
            <w:vAlign w:val="bottom"/>
          </w:tcPr>
          <w:p>
            <w:pPr>
              <w:spacing w:after="0"/>
              <w:rPr>
                <w:sz w:val="22"/>
                <w:szCs w:val="22"/>
                <w:color w:val="auto"/>
              </w:rPr>
            </w:pPr>
          </w:p>
        </w:tc>
      </w:tr>
      <w:tr>
        <w:trPr>
          <w:trHeight w:val="257"/>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Leasehold Improvements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80" w:type="dxa"/>
            <w:vAlign w:val="bottom"/>
            <w:shd w:val="clear" w:color="auto" w:fill="CCEEFF"/>
          </w:tcPr>
          <w:p>
            <w:pPr>
              <w:spacing w:after="0"/>
              <w:rPr>
                <w:sz w:val="22"/>
                <w:szCs w:val="22"/>
                <w:color w:val="auto"/>
              </w:rPr>
            </w:pPr>
          </w:p>
        </w:tc>
      </w:tr>
      <w:tr>
        <w:trPr>
          <w:trHeight w:val="256"/>
        </w:trPr>
        <w:tc>
          <w:tcPr>
            <w:tcW w:w="57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2,063</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9,083</w:t>
            </w:r>
          </w:p>
        </w:tc>
        <w:tc>
          <w:tcPr>
            <w:tcW w:w="80" w:type="dxa"/>
            <w:vAlign w:val="bottom"/>
          </w:tcPr>
          <w:p>
            <w:pPr>
              <w:spacing w:after="0"/>
              <w:rPr>
                <w:sz w:val="22"/>
                <w:szCs w:val="22"/>
                <w:color w:val="auto"/>
              </w:rPr>
            </w:pPr>
          </w:p>
        </w:tc>
      </w:tr>
      <w:tr>
        <w:trPr>
          <w:trHeight w:val="257"/>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Tooling</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80" w:type="dxa"/>
            <w:vAlign w:val="bottom"/>
            <w:shd w:val="clear" w:color="auto" w:fill="CCEEFF"/>
          </w:tcPr>
          <w:p>
            <w:pPr>
              <w:spacing w:after="0"/>
              <w:rPr>
                <w:sz w:val="22"/>
                <w:szCs w:val="22"/>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Series B convertible preferred share repurchase liability</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2"/>
                <w:szCs w:val="22"/>
                <w:color w:val="auto"/>
              </w:rPr>
            </w:pPr>
          </w:p>
        </w:tc>
      </w:tr>
      <w:tr>
        <w:trPr>
          <w:trHeight w:val="263"/>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6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32,677</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Total other current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$122,921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$151,750</w:t>
            </w:r>
          </w:p>
        </w:tc>
        <w:tc>
          <w:tcPr>
            <w:tcW w:w="80" w:type="dxa"/>
            <w:vAlign w:val="bottom"/>
          </w:tcPr>
          <w:p>
            <w:pPr>
              <w:spacing w:after="0"/>
              <w:rPr>
                <w:sz w:val="23"/>
                <w:szCs w:val="23"/>
                <w:color w:val="auto"/>
              </w:rPr>
            </w:pPr>
          </w:p>
        </w:tc>
      </w:tr>
      <w:tr>
        <w:trPr>
          <w:trHeight w:val="21"/>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3"/>
        </w:trPr>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5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980" w:type="dxa"/>
            <w:vAlign w:val="bottom"/>
            <w:gridSpan w:val="4"/>
          </w:tcPr>
          <w:p>
            <w:pPr>
              <w:jc w:val="center"/>
              <w:ind w:left="21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r>
      <w:tr>
        <w:trPr>
          <w:trHeight w:val="26"/>
        </w:trPr>
        <w:tc>
          <w:tcPr>
            <w:tcW w:w="5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$28,881</w:t>
            </w:r>
          </w:p>
        </w:tc>
        <w:tc>
          <w:tcPr>
            <w:tcW w:w="80" w:type="dxa"/>
            <w:vAlign w:val="bottom"/>
            <w:shd w:val="clear" w:color="auto" w:fill="CCEEFF"/>
          </w:tcPr>
          <w:p>
            <w:pPr>
              <w:spacing w:after="0"/>
              <w:rPr>
                <w:sz w:val="21"/>
                <w:szCs w:val="2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11,036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8,028</w:t>
            </w:r>
          </w:p>
        </w:tc>
        <w:tc>
          <w:tcPr>
            <w:tcW w:w="80" w:type="dxa"/>
            <w:vAlign w:val="bottom"/>
          </w:tcPr>
          <w:p>
            <w:pPr>
              <w:spacing w:after="0"/>
              <w:rPr>
                <w:sz w:val="22"/>
                <w:szCs w:val="22"/>
                <w:color w:val="auto"/>
              </w:rPr>
            </w:pPr>
          </w:p>
        </w:tc>
      </w:tr>
      <w:tr>
        <w:trPr>
          <w:trHeight w:val="25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22"/>
                <w:szCs w:val="22"/>
                <w:color w:val="auto"/>
              </w:rPr>
            </w:pPr>
          </w:p>
        </w:tc>
      </w:tr>
      <w:tr>
        <w:trPr>
          <w:trHeight w:val="263"/>
        </w:trPr>
        <w:tc>
          <w:tcPr>
            <w:tcW w:w="57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137,881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9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long-term liabilities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$148,917</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$38,905</w:t>
            </w:r>
          </w:p>
        </w:tc>
        <w:tc>
          <w:tcPr>
            <w:tcW w:w="80" w:type="dxa"/>
            <w:vAlign w:val="bottom"/>
            <w:shd w:val="clear" w:color="auto" w:fill="CCEEFF"/>
          </w:tcPr>
          <w:p>
            <w:pPr>
              <w:spacing w:after="0"/>
              <w:rPr>
                <w:sz w:val="24"/>
                <w:szCs w:val="24"/>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-2647950</wp:posOffset>
            </wp:positionV>
            <wp:extent cx="42087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2087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 net</w:t>
      </w:r>
    </w:p>
    <w:p>
      <w:pPr>
        <w:spacing w:after="0" w:line="162"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Property, plant, and equipment as of March 31, 2021 and December 31, 2020 were as follows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
        </w:trPr>
        <w:tc>
          <w:tcPr>
            <w:tcW w:w="5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21"/>
                <w:szCs w:val="21"/>
                <w:color w:val="auto"/>
              </w:rPr>
            </w:pP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Machinery</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31,681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28,830</w:t>
            </w:r>
          </w:p>
        </w:tc>
        <w:tc>
          <w:tcPr>
            <w:tcW w:w="80" w:type="dxa"/>
            <w:vAlign w:val="bottom"/>
          </w:tcPr>
          <w:p>
            <w:pPr>
              <w:spacing w:after="0"/>
              <w:rPr>
                <w:sz w:val="22"/>
                <w:szCs w:val="22"/>
                <w:color w:val="auto"/>
              </w:rPr>
            </w:pPr>
          </w:p>
        </w:tc>
      </w:tr>
      <w:tr>
        <w:trPr>
          <w:trHeight w:val="25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80" w:type="dxa"/>
            <w:vAlign w:val="bottom"/>
            <w:shd w:val="clear" w:color="auto" w:fill="CCEEFF"/>
          </w:tcPr>
          <w:p>
            <w:pPr>
              <w:spacing w:after="0"/>
              <w:rPr>
                <w:sz w:val="22"/>
                <w:szCs w:val="22"/>
                <w:color w:val="auto"/>
              </w:rPr>
            </w:pPr>
          </w:p>
        </w:tc>
      </w:tr>
      <w:tr>
        <w:trPr>
          <w:trHeight w:val="256"/>
        </w:trPr>
        <w:tc>
          <w:tcPr>
            <w:tcW w:w="5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61,664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47,187</w:t>
            </w:r>
          </w:p>
        </w:tc>
        <w:tc>
          <w:tcPr>
            <w:tcW w:w="80" w:type="dxa"/>
            <w:vAlign w:val="bottom"/>
          </w:tcPr>
          <w:p>
            <w:pPr>
              <w:spacing w:after="0"/>
              <w:rPr>
                <w:sz w:val="22"/>
                <w:szCs w:val="22"/>
                <w:color w:val="auto"/>
              </w:rPr>
            </w:pPr>
          </w:p>
        </w:tc>
      </w:tr>
      <w:tr>
        <w:trPr>
          <w:trHeight w:val="25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80" w:type="dxa"/>
            <w:vAlign w:val="bottom"/>
            <w:shd w:val="clear" w:color="auto" w:fill="CCEEFF"/>
          </w:tcPr>
          <w:p>
            <w:pPr>
              <w:spacing w:after="0"/>
              <w:rPr>
                <w:sz w:val="22"/>
                <w:szCs w:val="22"/>
                <w:color w:val="auto"/>
              </w:rPr>
            </w:pPr>
          </w:p>
        </w:tc>
      </w:tr>
      <w:tr>
        <w:trPr>
          <w:trHeight w:val="256"/>
        </w:trPr>
        <w:tc>
          <w:tcPr>
            <w:tcW w:w="572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3,908</w:t>
            </w:r>
          </w:p>
        </w:tc>
        <w:tc>
          <w:tcPr>
            <w:tcW w:w="80" w:type="dxa"/>
            <w:vAlign w:val="bottom"/>
          </w:tcPr>
          <w:p>
            <w:pPr>
              <w:spacing w:after="0"/>
              <w:rPr>
                <w:sz w:val="22"/>
                <w:szCs w:val="22"/>
                <w:color w:val="auto"/>
              </w:rPr>
            </w:pPr>
          </w:p>
        </w:tc>
      </w:tr>
      <w:tr>
        <w:trPr>
          <w:trHeight w:val="25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63"/>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692,878</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636,851</w:t>
            </w:r>
          </w:p>
        </w:tc>
        <w:tc>
          <w:tcPr>
            <w:tcW w:w="80" w:type="dxa"/>
            <w:vAlign w:val="bottom"/>
            <w:tcBorders>
              <w:bottom w:val="single" w:sz="8" w:color="CCEEFF"/>
            </w:tcBorders>
          </w:tcPr>
          <w:p>
            <w:pPr>
              <w:spacing w:after="0"/>
              <w:rPr>
                <w:sz w:val="22"/>
                <w:szCs w:val="22"/>
                <w:color w:val="auto"/>
              </w:rPr>
            </w:pPr>
          </w:p>
        </w:tc>
      </w:tr>
      <w:tr>
        <w:trPr>
          <w:trHeight w:val="257"/>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818,825</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738,045</w:t>
            </w:r>
          </w:p>
        </w:tc>
        <w:tc>
          <w:tcPr>
            <w:tcW w:w="80" w:type="dxa"/>
            <w:vAlign w:val="bottom"/>
            <w:shd w:val="clear" w:color="auto" w:fill="CCEEFF"/>
          </w:tcPr>
          <w:p>
            <w:pPr>
              <w:spacing w:after="0"/>
              <w:rPr>
                <w:sz w:val="22"/>
                <w:szCs w:val="22"/>
                <w:color w:val="auto"/>
              </w:rPr>
            </w:pPr>
          </w:p>
        </w:tc>
      </w:tr>
      <w:tr>
        <w:trPr>
          <w:trHeight w:val="263"/>
        </w:trPr>
        <w:tc>
          <w:tcPr>
            <w:tcW w:w="57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(28,031)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(24,771)</w:t>
            </w:r>
          </w:p>
        </w:tc>
      </w:tr>
      <w:tr>
        <w:trPr>
          <w:trHeight w:val="20"/>
        </w:trPr>
        <w:tc>
          <w:tcPr>
            <w:tcW w:w="5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9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790,794</w:t>
            </w:r>
          </w:p>
        </w:tc>
        <w:tc>
          <w:tcPr>
            <w:tcW w:w="2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713,274</w:t>
            </w:r>
          </w:p>
        </w:tc>
        <w:tc>
          <w:tcPr>
            <w:tcW w:w="80" w:type="dxa"/>
            <w:vAlign w:val="bottom"/>
            <w:shd w:val="clear" w:color="auto" w:fill="CCEEFF"/>
          </w:tcPr>
          <w:p>
            <w:pPr>
              <w:spacing w:after="0"/>
              <w:rPr>
                <w:sz w:val="24"/>
                <w:szCs w:val="24"/>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74916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-1877060</wp:posOffset>
            </wp:positionV>
            <wp:extent cx="42087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209"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2" w:name="page233"/>
    <w:bookmarkEnd w:id="23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5720" w:type="dxa"/>
            <w:vAlign w:val="bottom"/>
          </w:tcPr>
          <w:p>
            <w:pPr>
              <w:spacing w:after="0"/>
              <w:rPr>
                <w:sz w:val="16"/>
                <w:szCs w:val="16"/>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9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6"/>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Tooling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$244,530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$203,241</w:t>
            </w:r>
          </w:p>
        </w:tc>
        <w:tc>
          <w:tcPr>
            <w:tcW w:w="80" w:type="dxa"/>
            <w:vAlign w:val="bottom"/>
            <w:shd w:val="clear" w:color="auto" w:fill="CCEEFF"/>
          </w:tcPr>
          <w:p>
            <w:pPr>
              <w:spacing w:after="0"/>
              <w:rPr>
                <w:sz w:val="21"/>
                <w:szCs w:val="21"/>
                <w:color w:val="auto"/>
              </w:rPr>
            </w:pP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Construction of Arizona plant</w:t>
            </w:r>
          </w:p>
        </w:tc>
        <w:tc>
          <w:tcPr>
            <w:tcW w:w="700" w:type="dxa"/>
            <w:vAlign w:val="bottom"/>
          </w:tcPr>
          <w:p>
            <w:pPr>
              <w:jc w:val="right"/>
              <w:spacing w:after="0"/>
              <w:rPr>
                <w:sz w:val="20"/>
                <w:szCs w:val="20"/>
                <w:color w:val="auto"/>
              </w:rPr>
            </w:pPr>
            <w:r>
              <w:rPr>
                <w:rFonts w:ascii="Arial" w:cs="Arial" w:eastAsia="Arial" w:hAnsi="Arial"/>
                <w:sz w:val="18"/>
                <w:szCs w:val="18"/>
                <w:color w:val="auto"/>
              </w:rPr>
              <w:t>184,049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171,532</w:t>
            </w:r>
          </w:p>
        </w:tc>
        <w:tc>
          <w:tcPr>
            <w:tcW w:w="80" w:type="dxa"/>
            <w:vAlign w:val="bottom"/>
          </w:tcPr>
          <w:p>
            <w:pPr>
              <w:spacing w:after="0"/>
              <w:rPr>
                <w:sz w:val="22"/>
                <w:szCs w:val="22"/>
                <w:color w:val="auto"/>
              </w:rPr>
            </w:pPr>
          </w:p>
        </w:tc>
      </w:tr>
      <w:tr>
        <w:trPr>
          <w:trHeight w:val="25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80" w:type="dxa"/>
            <w:vAlign w:val="bottom"/>
            <w:shd w:val="clear" w:color="auto" w:fill="CCEEFF"/>
          </w:tcPr>
          <w:p>
            <w:pPr>
              <w:spacing w:after="0"/>
              <w:rPr>
                <w:sz w:val="22"/>
                <w:szCs w:val="22"/>
                <w:color w:val="auto"/>
              </w:rPr>
            </w:pPr>
          </w:p>
        </w:tc>
      </w:tr>
      <w:tr>
        <w:trPr>
          <w:trHeight w:val="263"/>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Machinery and equipment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221,528</w:t>
            </w:r>
          </w:p>
        </w:tc>
        <w:tc>
          <w:tcPr>
            <w:tcW w:w="30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211,288</w:t>
            </w:r>
          </w:p>
        </w:tc>
        <w:tc>
          <w:tcPr>
            <w:tcW w:w="80" w:type="dxa"/>
            <w:vAlign w:val="bottom"/>
            <w:tcBorders>
              <w:bottom w:val="single" w:sz="8" w:color="CCEEFF"/>
            </w:tcBorders>
          </w:tcPr>
          <w:p>
            <w:pPr>
              <w:spacing w:after="0"/>
              <w:rPr>
                <w:sz w:val="22"/>
                <w:szCs w:val="22"/>
                <w:color w:val="auto"/>
              </w:rPr>
            </w:pPr>
          </w:p>
        </w:tc>
      </w:tr>
      <w:tr>
        <w:trPr>
          <w:trHeight w:val="29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construction in progress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$692,878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$636,851</w:t>
            </w:r>
          </w:p>
        </w:tc>
        <w:tc>
          <w:tcPr>
            <w:tcW w:w="80" w:type="dxa"/>
            <w:vAlign w:val="bottom"/>
            <w:shd w:val="clear" w:color="auto" w:fill="CCEEFF"/>
          </w:tcPr>
          <w:p>
            <w:pPr>
              <w:spacing w:after="0"/>
              <w:rPr>
                <w:sz w:val="24"/>
                <w:szCs w:val="24"/>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-882650</wp:posOffset>
            </wp:positionV>
            <wp:extent cx="42087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222"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Depreciation and amortization expense for the three months ended March 31, 2021 and 2020, was approximately $4.9 million and $1.5 million, respectively, including capital lease depreciation expense of nil and $0.1 million,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MEASUREMENTS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pacing w:after="0" w:line="111" w:lineRule="exact"/>
        <w:rPr>
          <w:sz w:val="20"/>
          <w:szCs w:val="20"/>
          <w:color w:val="auto"/>
        </w:rPr>
      </w:pPr>
    </w:p>
    <w:p>
      <w:pPr>
        <w:ind w:left="1800" w:right="559" w:hanging="180"/>
        <w:spacing w:after="0" w:line="277"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that are accessible at the measurement date for identical assets or liabilities.</w:t>
      </w:r>
    </w:p>
    <w:p>
      <w:pPr>
        <w:spacing w:after="0" w:line="75"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05" w:lineRule="exact"/>
        <w:rPr>
          <w:rFonts w:ascii="Arial" w:cs="Arial" w:eastAsia="Arial" w:hAnsi="Arial"/>
          <w:sz w:val="18"/>
          <w:szCs w:val="18"/>
          <w:color w:val="auto"/>
        </w:rPr>
      </w:pPr>
    </w:p>
    <w:p>
      <w:pPr>
        <w:ind w:left="1800" w:right="679" w:hanging="180"/>
        <w:spacing w:after="0" w:line="257"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3 — 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and contingent forward contract liability, in which the fair value was measured upon issuance and is remeasured at each reporting date. The valuation methodology and underlying assumptions are discussed further in Note 5 “Contingent Forward Contracts” and Note 6 “Convertible Preferred Share Warrant Liability”.</w:t>
      </w:r>
    </w:p>
    <w:p>
      <w:pPr>
        <w:spacing w:after="0" w:line="111" w:lineRule="exact"/>
        <w:rPr>
          <w:sz w:val="20"/>
          <w:szCs w:val="20"/>
          <w:color w:val="auto"/>
        </w:rPr>
      </w:pPr>
    </w:p>
    <w:p>
      <w:pPr>
        <w:jc w:val="both"/>
        <w:ind w:left="1260" w:right="1019" w:firstLine="36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March 31, 2021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Short-term investment –</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505</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28,033</w:t>
            </w:r>
          </w:p>
        </w:tc>
        <w:tc>
          <w:tcPr>
            <w:tcW w:w="100" w:type="dxa"/>
            <w:vAlign w:val="bottom"/>
          </w:tcPr>
          <w:p>
            <w:pPr>
              <w:spacing w:after="0"/>
              <w:rPr>
                <w:sz w:val="22"/>
                <w:szCs w:val="22"/>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28,033</w:t>
            </w:r>
          </w:p>
        </w:tc>
        <w:tc>
          <w:tcPr>
            <w:tcW w:w="0" w:type="dxa"/>
            <w:vAlign w:val="bottom"/>
          </w:tcPr>
          <w:p>
            <w:pPr>
              <w:spacing w:after="0"/>
              <w:rPr>
                <w:sz w:val="1"/>
                <w:szCs w:val="1"/>
                <w:color w:val="auto"/>
              </w:rPr>
            </w:pPr>
          </w:p>
        </w:tc>
      </w:tr>
      <w:tr>
        <w:trPr>
          <w:trHeight w:val="20"/>
        </w:trPr>
        <w:tc>
          <w:tcPr>
            <w:tcW w:w="48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28,033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505</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forward contracts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1,164,610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1,164,610</w:t>
            </w:r>
          </w:p>
        </w:tc>
        <w:tc>
          <w:tcPr>
            <w:tcW w:w="0" w:type="dxa"/>
            <w:vAlign w:val="bottom"/>
          </w:tcPr>
          <w:p>
            <w:pPr>
              <w:spacing w:after="0"/>
              <w:rPr>
                <w:sz w:val="1"/>
                <w:szCs w:val="1"/>
                <w:color w:val="auto"/>
              </w:rPr>
            </w:pPr>
          </w:p>
        </w:tc>
      </w:tr>
      <w:tr>
        <w:trPr>
          <w:trHeight w:val="20"/>
        </w:trPr>
        <w:tc>
          <w:tcPr>
            <w:tcW w:w="48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1,164,610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1,164,610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-736600</wp:posOffset>
            </wp:positionV>
            <wp:extent cx="14605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-736600</wp:posOffset>
            </wp:positionV>
            <wp:extent cx="402018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02018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-1405255</wp:posOffset>
            </wp:positionV>
            <wp:extent cx="1371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401193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168"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2020 (in thousands):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5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color w:val="auto"/>
              </w:rPr>
              <w:t>Short-term investment–</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63"/>
        </w:trPr>
        <w:tc>
          <w:tcPr>
            <w:tcW w:w="54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26,006</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26,006</w:t>
            </w:r>
          </w:p>
        </w:tc>
        <w:tc>
          <w:tcPr>
            <w:tcW w:w="0" w:type="dxa"/>
            <w:vAlign w:val="bottom"/>
          </w:tcPr>
          <w:p>
            <w:pPr>
              <w:spacing w:after="0"/>
              <w:rPr>
                <w:sz w:val="1"/>
                <w:szCs w:val="1"/>
                <w:color w:val="auto"/>
              </w:rPr>
            </w:pPr>
          </w:p>
        </w:tc>
      </w:tr>
      <w:tr>
        <w:trPr>
          <w:trHeight w:val="20"/>
        </w:trPr>
        <w:tc>
          <w:tcPr>
            <w:tcW w:w="5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26,006</w:t>
            </w:r>
          </w:p>
        </w:tc>
        <w:tc>
          <w:tcPr>
            <w:tcW w:w="2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26,511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preferred share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
        </w:trPr>
        <w:tc>
          <w:tcPr>
            <w:tcW w:w="5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-736600</wp:posOffset>
            </wp:positionV>
            <wp:extent cx="14605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-736600</wp:posOffset>
            </wp:positionV>
            <wp:extent cx="437197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-1405255</wp:posOffset>
            </wp:positionV>
            <wp:extent cx="13716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436308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182"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A reconciliation of the contingent forward contract liability measured and recorded at fair value on a recurring basis is as follows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r>
      <w:tr>
        <w:trPr>
          <w:trHeight w:val="186"/>
        </w:trPr>
        <w:tc>
          <w:tcPr>
            <w:tcW w:w="5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25"/>
        </w:trPr>
        <w:tc>
          <w:tcPr>
            <w:tcW w:w="5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5"/>
        </w:trPr>
        <w:tc>
          <w:tcPr>
            <w:tcW w:w="5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$ 30,844</w:t>
            </w:r>
          </w:p>
        </w:tc>
        <w:tc>
          <w:tcPr>
            <w:tcW w:w="60" w:type="dxa"/>
            <w:vAlign w:val="bottom"/>
          </w:tcPr>
          <w:p>
            <w:pPr>
              <w:spacing w:after="0"/>
              <w:rPr>
                <w:sz w:val="21"/>
                <w:szCs w:val="21"/>
                <w:color w:val="auto"/>
              </w:rPr>
            </w:pPr>
          </w:p>
        </w:tc>
      </w:tr>
      <w:tr>
        <w:trPr>
          <w:trHeight w:val="257"/>
        </w:trPr>
        <w:tc>
          <w:tcPr>
            <w:tcW w:w="5720" w:type="dxa"/>
            <w:vAlign w:val="bottom"/>
            <w:gridSpan w:val="2"/>
          </w:tcPr>
          <w:p>
            <w:pPr>
              <w:spacing w:after="0"/>
              <w:rPr>
                <w:sz w:val="20"/>
                <w:szCs w:val="20"/>
                <w:color w:val="auto"/>
              </w:rPr>
            </w:pPr>
            <w:r>
              <w:rPr>
                <w:rFonts w:ascii="Arial" w:cs="Arial" w:eastAsia="Arial" w:hAnsi="Arial"/>
                <w:sz w:val="18"/>
                <w:szCs w:val="18"/>
                <w:color w:val="auto"/>
              </w:rPr>
              <w:t>Issuance</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2,167,332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442,164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60" w:type="dxa"/>
            <w:vAlign w:val="bottom"/>
          </w:tcPr>
          <w:p>
            <w:pPr>
              <w:spacing w:after="0"/>
              <w:rPr>
                <w:sz w:val="22"/>
                <w:szCs w:val="22"/>
                <w:color w:val="auto"/>
              </w:rPr>
            </w:pPr>
          </w:p>
        </w:tc>
      </w:tr>
      <w:tr>
        <w:trPr>
          <w:trHeight w:val="264"/>
        </w:trPr>
        <w:tc>
          <w:tcPr>
            <w:tcW w:w="5720" w:type="dxa"/>
            <w:vAlign w:val="bottom"/>
            <w:gridSpan w:val="2"/>
          </w:tcPr>
          <w:p>
            <w:pPr>
              <w:spacing w:after="0"/>
              <w:rPr>
                <w:sz w:val="20"/>
                <w:szCs w:val="20"/>
                <w:color w:val="auto"/>
              </w:rPr>
            </w:pPr>
            <w:r>
              <w:rPr>
                <w:rFonts w:ascii="Arial" w:cs="Arial" w:eastAsia="Arial" w:hAnsi="Arial"/>
                <w:sz w:val="18"/>
                <w:szCs w:val="18"/>
                <w:color w:val="auto"/>
              </w:rPr>
              <w:t>Settlement</w:t>
            </w:r>
          </w:p>
        </w:tc>
        <w:tc>
          <w:tcPr>
            <w:tcW w:w="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(1,444,886)</w:t>
            </w:r>
          </w:p>
        </w:tc>
        <w:tc>
          <w:tcPr>
            <w:tcW w:w="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(18,180)</w:t>
            </w:r>
          </w:p>
        </w:tc>
      </w:tr>
      <w:tr>
        <w:trPr>
          <w:trHeight w:val="295"/>
        </w:trPr>
        <w:tc>
          <w:tcPr>
            <w:tcW w:w="5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1,164,610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$ 18,180</w:t>
            </w:r>
          </w:p>
        </w:tc>
        <w:tc>
          <w:tcPr>
            <w:tcW w:w="60" w:type="dxa"/>
            <w:vAlign w:val="bottom"/>
          </w:tcPr>
          <w:p>
            <w:pPr>
              <w:spacing w:after="0"/>
              <w:rPr>
                <w:sz w:val="24"/>
                <w:szCs w:val="24"/>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2879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32879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32054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168"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A reconciliation of the convertible preferred share warrant liabilities measured and recorded at fair value on a recurring basis is as follows (in thousands):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86"/>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March 31,</w:t>
            </w:r>
          </w:p>
        </w:tc>
      </w:tr>
      <w:tr>
        <w:trPr>
          <w:trHeight w:val="25"/>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7"/>
                <w:szCs w:val="17"/>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2020</w:t>
            </w:r>
          </w:p>
        </w:tc>
      </w:tr>
      <w:tr>
        <w:trPr>
          <w:trHeight w:val="25"/>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Fair value-beginning of period</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$1,755</w:t>
            </w:r>
          </w:p>
        </w:tc>
      </w:tr>
      <w:tr>
        <w:trPr>
          <w:trHeight w:val="256"/>
        </w:trPr>
        <w:tc>
          <w:tcPr>
            <w:tcW w:w="5960" w:type="dxa"/>
            <w:vAlign w:val="bottom"/>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6,976</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64"/>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Settlement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(9,936)</w:t>
            </w:r>
          </w:p>
        </w:tc>
        <w:tc>
          <w:tcPr>
            <w:tcW w:w="500" w:type="dxa"/>
            <w:vAlign w:val="bottom"/>
            <w:shd w:val="clear" w:color="auto" w:fill="CCEEFF"/>
          </w:tcPr>
          <w:p>
            <w:pPr>
              <w:spacing w:after="0"/>
              <w:rPr>
                <w:sz w:val="22"/>
                <w:szCs w:val="22"/>
                <w:color w:val="auto"/>
              </w:rPr>
            </w:pPr>
          </w:p>
        </w:tc>
      </w:tr>
      <w:tr>
        <w:trPr>
          <w:trHeight w:val="270"/>
        </w:trPr>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value-end of period</w:t>
            </w: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$1,812</w:t>
            </w:r>
          </w:p>
        </w:tc>
      </w:tr>
      <w:tr>
        <w:trPr>
          <w:trHeight w:val="20"/>
        </w:trPr>
        <w:tc>
          <w:tcPr>
            <w:tcW w:w="5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-719455</wp:posOffset>
            </wp:positionV>
            <wp:extent cx="442341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CONTINGENT FORWARD CONTRACTS</w:t>
      </w:r>
    </w:p>
    <w:p>
      <w:pPr>
        <w:spacing w:after="0" w:line="135"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In September 2018, the Company entered into a Securities Purchase Agreement with PIF. Along with the execution of the Securities Purchase Agreement, the Company granted PIF the right to purchase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In March 2020, the Company received $200.0 million in exchange for 31,201,245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contracts liability into Series D convertible preferred shares. In June 2020, upon satisfaction of the second set of milestones (refer to Note 7 “Convertible Preferred Shares and Shareholders’ Deficit”), the Company received the remaining $200.0 million in exchange for 31,201,245 shares of Series D as final settlement of the Series D contingent forward contract liability and revalued the contingent forward contracts liability to the then fair value of $21.4 million and reclassified the liability into Series D convertible preferred shares. The Series D contingent forward contract liability incurred a total fair value loss of $5.5 million during the three months ended March 31, 2020. Since the Series D contingent forward contract liability was fully settled in June 2020, there was no related outstanding contingent forward contract liability as of March 31, 2021.</w:t>
      </w:r>
    </w:p>
    <w:p>
      <w:pPr>
        <w:spacing w:after="0" w:line="13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discussed in Note 7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shares financing to be freestanding similar to a derivative in the form of contingent forward contracts and recorded the initial valuation of $0.8 million into contingent forward contract liabilities.</w:t>
      </w:r>
    </w:p>
    <w:p>
      <w:pPr>
        <w:spacing w:after="0" w:line="127"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shares. Upon settlement, the Company revalued the Series E contingent forward contracts to the then fair value of $110.5 million and reclassified the contingent forward contract liability into Series E convertible preferred shares. The Company recorded a loss of $109.7 million related to fair value remeasurements of the Series E contingent forward contracts during the year ended December 31, 2020.</w:t>
      </w:r>
    </w:p>
    <w:p>
      <w:pPr>
        <w:spacing w:after="0" w:line="9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Share Purchase Agreement (“Amendment No. 1”). Under the Amendment No. 1, Ayar and the Company agreed to enter into the third closing of additional 50,612,262 Series E convertible preferred share at $7.90 per share, aggregating to $400.0 million. Upon the signing of the Amendment No. 1, the Company received the issuance proceeds of $400.0 million from Ayar in February 2021.</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shareholders other than Ayar (“Eligible Holders”) to enter into the fourth closing to purchase up to 8,977,769 shares of Series E convertible preferred shares on a pro rata basis at $7.90 per share, aggregating to $71.0 million. In addition, the amendment allowed the Company to offer for purchase at the fourth closing at $7.90 per share, a number of Series E Preferred Shares to senior management employees, directors, consultants, advisors and/or contractors of the Company (“Additional Purchaser”) and Ayar. Refer to Note 7 “Convertible Preferred Share and Shareholders’ Deficit”.</w:t>
      </w:r>
    </w:p>
    <w:p>
      <w:pPr>
        <w:spacing w:after="0" w:line="127"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In April 2021, the Company issued 25,306,130 Series E convertible preferred shares from the fourth closing at $7.90 per share for cash consideration of $200.0 million, and received $107.1 million of the total issuance proceeds in March 2021 (refer to Note 7 “Convertible Preferred Shares and Shareholders’ Deficit”). The Company determined the right to participate in future Series E convertible preferred share financing to be freestanding financial instrument similar to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 and there was no related outstanding contingent forward contract liability as of March 31, 2021.</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5" w:name="page236"/>
    <w:bookmarkEnd w:id="23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60" w:firstLine="360"/>
        <w:spacing w:after="0"/>
        <w:rPr>
          <w:sz w:val="20"/>
          <w:szCs w:val="20"/>
          <w:color w:val="auto"/>
        </w:rPr>
      </w:pPr>
      <w:r>
        <w:rPr>
          <w:rFonts w:ascii="Arial" w:cs="Arial" w:eastAsia="Arial" w:hAnsi="Arial"/>
          <w:sz w:val="18"/>
          <w:szCs w:val="18"/>
          <w:color w:val="auto"/>
        </w:rPr>
        <w:t>The offer to employees in the fourth closing to participate in future Series E convertible preferred shares financing represent a fully vested, equity classified award. The award’s full fair value on each recipient’s grant date was recorded as share-based compensation, and the related contingent forward contract liability was derecognized. The Company revalued the contingent forward contract liability for the remaining participants to the then fair value of $1,164.6 million and recorded a loss of $442.2 million related to the fair value remeasurements during the three months ended March 31, 2021.</w:t>
      </w:r>
    </w:p>
    <w:p>
      <w:pPr>
        <w:spacing w:after="0" w:line="95" w:lineRule="exact"/>
        <w:rPr>
          <w:sz w:val="20"/>
          <w:szCs w:val="20"/>
          <w:color w:val="auto"/>
        </w:rPr>
      </w:pPr>
    </w:p>
    <w:p>
      <w:pPr>
        <w:ind w:left="1260" w:right="1320" w:firstLine="360"/>
        <w:spacing w:after="0" w:line="241" w:lineRule="auto"/>
        <w:rPr>
          <w:sz w:val="20"/>
          <w:szCs w:val="20"/>
          <w:color w:val="auto"/>
        </w:rPr>
      </w:pPr>
      <w:r>
        <w:rPr>
          <w:rFonts w:ascii="Arial" w:cs="Arial" w:eastAsia="Arial" w:hAnsi="Arial"/>
          <w:sz w:val="18"/>
          <w:szCs w:val="18"/>
          <w:color w:val="auto"/>
        </w:rPr>
        <w:t>The fair value of the contingent forward contract liability related to the third closing and fourth closing for $1,444.9 million and $722.4 million, respectively recorded in March 31, 2021, represents the excess of the fair value of Series E convertible preferred shares over the amount of cash proceeds. The Company determined this excess to be a deemed dividend and recorded the initial valuation as in accumulated deficit in the consolidated balance sheet as of March 31, 2021.</w:t>
      </w:r>
    </w:p>
    <w:p>
      <w:pPr>
        <w:spacing w:after="0" w:line="108" w:lineRule="exact"/>
        <w:rPr>
          <w:sz w:val="20"/>
          <w:szCs w:val="20"/>
          <w:color w:val="auto"/>
        </w:rPr>
      </w:pPr>
    </w:p>
    <w:p>
      <w:pPr>
        <w:jc w:val="both"/>
        <w:ind w:left="1260" w:right="1460" w:firstLine="360"/>
        <w:spacing w:after="0" w:line="248" w:lineRule="auto"/>
        <w:rPr>
          <w:sz w:val="20"/>
          <w:szCs w:val="20"/>
          <w:color w:val="auto"/>
        </w:rPr>
      </w:pPr>
      <w:r>
        <w:rPr>
          <w:rFonts w:ascii="Arial" w:cs="Arial" w:eastAsia="Arial" w:hAnsi="Arial"/>
          <w:sz w:val="18"/>
          <w:szCs w:val="18"/>
          <w:color w:val="auto"/>
        </w:rPr>
        <w:t>The fair value of the Series E convertible preferred share contingent forward contract liability for the third closing is determine using Forward Payoff. The Company’s inputs used in determining the fair value on the issuance date and settlement date, were as follows: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600" w:type="dxa"/>
            <w:vAlign w:val="bottom"/>
            <w:shd w:val="clear" w:color="auto" w:fill="CCEEFF"/>
          </w:tcPr>
          <w:p>
            <w:pPr>
              <w:jc w:val="center"/>
              <w:ind w:left="2690"/>
              <w:spacing w:after="0"/>
              <w:rPr>
                <w:sz w:val="20"/>
                <w:szCs w:val="20"/>
                <w:color w:val="auto"/>
              </w:rPr>
            </w:pPr>
            <w:r>
              <w:rPr>
                <w:rFonts w:ascii="Arial" w:cs="Arial" w:eastAsia="Arial" w:hAnsi="Arial"/>
                <w:sz w:val="18"/>
                <w:szCs w:val="18"/>
                <w:color w:val="auto"/>
                <w:w w:val="90"/>
              </w:rPr>
              <w:t>$36.45</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Volatility</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1"/>
              </w:rPr>
              <w:t>100%</w:t>
            </w:r>
          </w:p>
        </w:tc>
      </w:tr>
      <w:tr>
        <w:trPr>
          <w:trHeight w:val="27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600" w:type="dxa"/>
            <w:vAlign w:val="bottom"/>
            <w:shd w:val="clear" w:color="auto" w:fill="CCEEFF"/>
          </w:tcPr>
          <w:p>
            <w:pPr>
              <w:ind w:left="2800"/>
              <w:spacing w:after="0"/>
              <w:rPr>
                <w:sz w:val="20"/>
                <w:szCs w:val="20"/>
                <w:color w:val="auto"/>
              </w:rPr>
            </w:pPr>
            <w:r>
              <w:rPr>
                <w:rFonts w:ascii="Arial" w:cs="Arial" w:eastAsia="Arial" w:hAnsi="Arial"/>
                <w:sz w:val="18"/>
                <w:szCs w:val="18"/>
                <w:color w:val="auto"/>
                <w:w w:val="89"/>
              </w:rPr>
              <w:t>0.01 Years</w:t>
            </w:r>
          </w:p>
        </w:tc>
      </w:tr>
      <w:tr>
        <w:trPr>
          <w:trHeight w:val="270"/>
        </w:trPr>
        <w:tc>
          <w:tcPr>
            <w:tcW w:w="3880" w:type="dxa"/>
            <w:vAlign w:val="bottom"/>
          </w:tcPr>
          <w:p>
            <w:pPr>
              <w:spacing w:after="0"/>
              <w:rPr>
                <w:sz w:val="20"/>
                <w:szCs w:val="20"/>
                <w:color w:val="auto"/>
              </w:rPr>
            </w:pPr>
            <w:r>
              <w:rPr>
                <w:rFonts w:ascii="Arial" w:cs="Arial" w:eastAsia="Arial" w:hAnsi="Arial"/>
                <w:sz w:val="18"/>
                <w:szCs w:val="18"/>
                <w:color w:val="auto"/>
              </w:rPr>
              <w:t>Risk-free rate</w:t>
            </w:r>
          </w:p>
        </w:tc>
        <w:tc>
          <w:tcPr>
            <w:tcW w:w="3600" w:type="dxa"/>
            <w:vAlign w:val="bottom"/>
          </w:tcPr>
          <w:p>
            <w:pPr>
              <w:jc w:val="center"/>
              <w:ind w:left="2710"/>
              <w:spacing w:after="0"/>
              <w:rPr>
                <w:sz w:val="20"/>
                <w:szCs w:val="20"/>
                <w:color w:val="auto"/>
              </w:rPr>
            </w:pPr>
            <w:r>
              <w:rPr>
                <w:rFonts w:ascii="Arial" w:cs="Arial" w:eastAsia="Arial" w:hAnsi="Arial"/>
                <w:sz w:val="18"/>
                <w:szCs w:val="18"/>
                <w:color w:val="auto"/>
                <w:w w:val="93"/>
              </w:rPr>
              <w:t>0.03%</w:t>
            </w:r>
          </w:p>
        </w:tc>
      </w:tr>
    </w:tbl>
    <w:p>
      <w:pPr>
        <w:spacing w:after="0" w:line="80" w:lineRule="exact"/>
        <w:rPr>
          <w:sz w:val="20"/>
          <w:szCs w:val="20"/>
          <w:color w:val="auto"/>
        </w:rPr>
      </w:pPr>
    </w:p>
    <w:p>
      <w:pPr>
        <w:ind w:left="1260" w:right="1460" w:firstLine="360"/>
        <w:spacing w:after="0" w:line="248" w:lineRule="auto"/>
        <w:rPr>
          <w:sz w:val="20"/>
          <w:szCs w:val="20"/>
          <w:color w:val="auto"/>
        </w:rPr>
      </w:pPr>
      <w:r>
        <w:rPr>
          <w:rFonts w:ascii="Arial" w:cs="Arial" w:eastAsia="Arial" w:hAnsi="Arial"/>
          <w:sz w:val="18"/>
          <w:szCs w:val="18"/>
          <w:color w:val="auto"/>
        </w:rPr>
        <w:t>The fair value of the Series E convertible preferred share contingent forward contract liability for the fourth closing is determined using Forward and an Option Payoff. The Company’s inputs used in determining the fair value on the issuance date and as of March 31, 2021, were as follows: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880" w:type="dxa"/>
            <w:vAlign w:val="bottom"/>
            <w:gridSpan w:val="2"/>
          </w:tcPr>
          <w:p>
            <w:pPr>
              <w:jc w:val="center"/>
              <w:ind w:left="994"/>
              <w:spacing w:after="0"/>
              <w:rPr>
                <w:sz w:val="20"/>
                <w:szCs w:val="20"/>
                <w:color w:val="auto"/>
              </w:rPr>
            </w:pPr>
            <w:r>
              <w:rPr>
                <w:rFonts w:ascii="Arial" w:cs="Arial" w:eastAsia="Arial" w:hAnsi="Arial"/>
                <w:sz w:val="14"/>
                <w:szCs w:val="14"/>
                <w:b w:val="1"/>
                <w:bCs w:val="1"/>
                <w:color w:val="auto"/>
                <w:w w:val="89"/>
              </w:rPr>
              <w:t>2/21/2021</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3/31/2021</w:t>
            </w:r>
          </w:p>
        </w:tc>
      </w:tr>
      <w:tr>
        <w:trPr>
          <w:trHeight w:val="26"/>
        </w:trPr>
        <w:tc>
          <w:tcPr>
            <w:tcW w:w="48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E convertible prefererd share</w:t>
            </w:r>
          </w:p>
        </w:tc>
        <w:tc>
          <w:tcPr>
            <w:tcW w:w="1880" w:type="dxa"/>
            <w:vAlign w:val="bottom"/>
            <w:gridSpan w:val="2"/>
            <w:shd w:val="clear" w:color="auto" w:fill="CCEEFF"/>
          </w:tcPr>
          <w:p>
            <w:pPr>
              <w:jc w:val="center"/>
              <w:ind w:left="994"/>
              <w:spacing w:after="0"/>
              <w:rPr>
                <w:sz w:val="20"/>
                <w:szCs w:val="20"/>
                <w:color w:val="auto"/>
              </w:rPr>
            </w:pPr>
            <w:r>
              <w:rPr>
                <w:rFonts w:ascii="Arial" w:cs="Arial" w:eastAsia="Arial" w:hAnsi="Arial"/>
                <w:sz w:val="18"/>
                <w:szCs w:val="18"/>
                <w:color w:val="auto"/>
                <w:w w:val="94"/>
              </w:rPr>
              <w:t>$36.45</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$57.54</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rPr>
              <w:t>Volatility</w:t>
            </w:r>
          </w:p>
        </w:tc>
        <w:tc>
          <w:tcPr>
            <w:tcW w:w="1880" w:type="dxa"/>
            <w:vAlign w:val="bottom"/>
            <w:gridSpan w:val="2"/>
          </w:tcPr>
          <w:p>
            <w:pPr>
              <w:jc w:val="center"/>
              <w:ind w:left="994"/>
              <w:spacing w:after="0"/>
              <w:rPr>
                <w:sz w:val="20"/>
                <w:szCs w:val="20"/>
                <w:color w:val="auto"/>
              </w:rPr>
            </w:pPr>
            <w:r>
              <w:rPr>
                <w:rFonts w:ascii="Arial" w:cs="Arial" w:eastAsia="Arial" w:hAnsi="Arial"/>
                <w:sz w:val="18"/>
                <w:szCs w:val="18"/>
                <w:color w:val="auto"/>
                <w:w w:val="95"/>
              </w:rPr>
              <w:t>100%</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5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1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0.11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Risk-free rate</w:t>
            </w:r>
          </w:p>
        </w:tc>
        <w:tc>
          <w:tcPr>
            <w:tcW w:w="1880" w:type="dxa"/>
            <w:vAlign w:val="bottom"/>
            <w:gridSpan w:val="2"/>
          </w:tcPr>
          <w:p>
            <w:pPr>
              <w:jc w:val="center"/>
              <w:ind w:left="994"/>
              <w:spacing w:after="0"/>
              <w:rPr>
                <w:sz w:val="20"/>
                <w:szCs w:val="20"/>
                <w:color w:val="auto"/>
              </w:rPr>
            </w:pPr>
            <w:r>
              <w:rPr>
                <w:rFonts w:ascii="Arial" w:cs="Arial" w:eastAsia="Arial" w:hAnsi="Arial"/>
                <w:sz w:val="18"/>
                <w:szCs w:val="18"/>
                <w:color w:val="auto"/>
                <w:w w:val="93"/>
              </w:rPr>
              <w:t>0.03%</w:t>
            </w:r>
          </w:p>
        </w:tc>
        <w:tc>
          <w:tcPr>
            <w:tcW w:w="2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-668020</wp:posOffset>
            </wp:positionV>
            <wp:extent cx="438023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CONVERTIBLE PREFERRED SHARE WARRANT LIABILITY</w:t>
      </w:r>
    </w:p>
    <w:p>
      <w:pPr>
        <w:spacing w:after="0" w:line="148" w:lineRule="exact"/>
        <w:rPr>
          <w:sz w:val="20"/>
          <w:szCs w:val="20"/>
          <w:color w:val="auto"/>
        </w:rPr>
      </w:pPr>
    </w:p>
    <w:p>
      <w:pPr>
        <w:jc w:val="both"/>
        <w:ind w:left="1260" w:right="1360" w:firstLine="360"/>
        <w:spacing w:after="0" w:line="255" w:lineRule="auto"/>
        <w:rPr>
          <w:sz w:val="20"/>
          <w:szCs w:val="20"/>
          <w:color w:val="auto"/>
        </w:rPr>
      </w:pPr>
      <w:r>
        <w:rPr>
          <w:rFonts w:ascii="Arial" w:cs="Arial" w:eastAsia="Arial" w:hAnsi="Arial"/>
          <w:sz w:val="17"/>
          <w:szCs w:val="17"/>
          <w:color w:val="auto"/>
        </w:rPr>
        <w:t>In March and September 2017, in connection with the Long-Term Debt to Trinity, the Company issued two convertible preferred share warrants (the “Warrants”) to purchase a total of 585,022 shares of Series D convertible preferred shares, with an exercise price of $5.128 per share. The Warrants are exercisable for</w:t>
      </w:r>
    </w:p>
    <w:p>
      <w:pPr>
        <w:ind w:left="1260" w:right="1380"/>
        <w:spacing w:after="0" w:line="256" w:lineRule="auto"/>
        <w:rPr>
          <w:sz w:val="20"/>
          <w:szCs w:val="20"/>
          <w:color w:val="auto"/>
        </w:rPr>
      </w:pPr>
      <w:r>
        <w:rPr>
          <w:rFonts w:ascii="Arial" w:cs="Arial" w:eastAsia="Arial" w:hAnsi="Arial"/>
          <w:sz w:val="17"/>
          <w:szCs w:val="17"/>
          <w:color w:val="auto"/>
        </w:rPr>
        <w:t xml:space="preserve">10 years from the date of issuance and expire in 2027 or earlier upon the consummation of an initial public offering (“IPO”). The Company determined that these Warrants met the requirements for liability classification under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due to the Warrants holders having a put-right and the Company having an obligation to settle the Warrants by transferring cash.</w:t>
      </w:r>
    </w:p>
    <w:p>
      <w:pPr>
        <w:spacing w:after="0" w:line="81" w:lineRule="exact"/>
        <w:rPr>
          <w:sz w:val="20"/>
          <w:szCs w:val="20"/>
          <w:color w:val="auto"/>
        </w:rPr>
      </w:pPr>
    </w:p>
    <w:p>
      <w:pPr>
        <w:ind w:left="1260" w:right="1260" w:firstLine="360"/>
        <w:spacing w:after="0"/>
        <w:rPr>
          <w:sz w:val="20"/>
          <w:szCs w:val="20"/>
          <w:color w:val="auto"/>
        </w:rPr>
      </w:pPr>
      <w:r>
        <w:rPr>
          <w:rFonts w:ascii="Arial" w:cs="Arial" w:eastAsia="Arial" w:hAnsi="Arial"/>
          <w:sz w:val="18"/>
          <w:szCs w:val="18"/>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585,022 shares of the Warrants were outstanding with a fair value of $5.06 per share, and aggregate fair value of $3.0 million.</w:t>
      </w:r>
    </w:p>
    <w:p>
      <w:pPr>
        <w:spacing w:after="0" w:line="108" w:lineRule="exact"/>
        <w:rPr>
          <w:sz w:val="20"/>
          <w:szCs w:val="20"/>
          <w:color w:val="auto"/>
        </w:rPr>
      </w:pPr>
    </w:p>
    <w:p>
      <w:pPr>
        <w:ind w:left="1260" w:right="1360" w:firstLine="360"/>
        <w:spacing w:after="0" w:line="261" w:lineRule="auto"/>
        <w:rPr>
          <w:sz w:val="20"/>
          <w:szCs w:val="20"/>
          <w:color w:val="auto"/>
        </w:rPr>
      </w:pPr>
      <w:r>
        <w:rPr>
          <w:rFonts w:ascii="Arial" w:cs="Arial" w:eastAsia="Arial" w:hAnsi="Arial"/>
          <w:sz w:val="18"/>
          <w:szCs w:val="18"/>
          <w:color w:val="auto"/>
        </w:rPr>
        <w:t>The Company’s assumptions used in determining the fair value of convertible preferred share warrants at December 31, 2020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b w:val="1"/>
                <w:bCs w:val="1"/>
                <w:color w:val="auto"/>
                <w:w w:val="94"/>
              </w:rPr>
              <w:t>December 31,</w:t>
            </w:r>
          </w:p>
        </w:tc>
        <w:tc>
          <w:tcPr>
            <w:tcW w:w="162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8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6"/>
        </w:trPr>
        <w:tc>
          <w:tcPr>
            <w:tcW w:w="1620" w:type="dxa"/>
            <w:vAlign w:val="bottom"/>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20" w:type="dxa"/>
            <w:vAlign w:val="bottom"/>
          </w:tcPr>
          <w:p>
            <w:pPr>
              <w:spacing w:after="0"/>
              <w:rPr>
                <w:sz w:val="20"/>
                <w:szCs w:val="20"/>
                <w:color w:val="auto"/>
              </w:rPr>
            </w:pPr>
          </w:p>
        </w:tc>
      </w:tr>
      <w:tr>
        <w:trPr>
          <w:trHeight w:val="256"/>
        </w:trPr>
        <w:tc>
          <w:tcPr>
            <w:tcW w:w="4320" w:type="dxa"/>
            <w:vAlign w:val="bottom"/>
            <w:gridSpan w:val="2"/>
          </w:tcPr>
          <w:p>
            <w:pPr>
              <w:ind w:left="1620"/>
              <w:spacing w:after="0"/>
              <w:rPr>
                <w:sz w:val="20"/>
                <w:szCs w:val="20"/>
                <w:color w:val="auto"/>
              </w:rPr>
            </w:pPr>
            <w:r>
              <w:rPr>
                <w:rFonts w:ascii="Arial" w:cs="Arial" w:eastAsia="Arial" w:hAnsi="Arial"/>
                <w:sz w:val="18"/>
                <w:szCs w:val="18"/>
                <w:color w:val="auto"/>
              </w:rPr>
              <w:t>Expected term (in years)</w:t>
            </w:r>
          </w:p>
        </w:tc>
        <w:tc>
          <w:tcPr>
            <w:tcW w:w="37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 – 1.5</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7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0.09 – 0.12%</w:t>
            </w:r>
          </w:p>
        </w:tc>
        <w:tc>
          <w:tcPr>
            <w:tcW w:w="1620" w:type="dxa"/>
            <w:vAlign w:val="bottom"/>
          </w:tcPr>
          <w:p>
            <w:pPr>
              <w:spacing w:after="0"/>
              <w:rPr>
                <w:sz w:val="22"/>
                <w:szCs w:val="22"/>
                <w:color w:val="auto"/>
              </w:rPr>
            </w:pPr>
          </w:p>
        </w:tc>
      </w:tr>
      <w:tr>
        <w:trPr>
          <w:trHeight w:val="284"/>
        </w:trPr>
        <w:tc>
          <w:tcPr>
            <w:tcW w:w="4320" w:type="dxa"/>
            <w:vAlign w:val="bottom"/>
            <w:gridSpan w:val="2"/>
          </w:tcPr>
          <w:p>
            <w:pPr>
              <w:ind w:left="1620"/>
              <w:spacing w:after="0"/>
              <w:rPr>
                <w:sz w:val="20"/>
                <w:szCs w:val="20"/>
                <w:color w:val="auto"/>
              </w:rPr>
            </w:pPr>
            <w:r>
              <w:rPr>
                <w:rFonts w:ascii="Arial" w:cs="Arial" w:eastAsia="Arial" w:hAnsi="Arial"/>
                <w:sz w:val="18"/>
                <w:szCs w:val="18"/>
                <w:color w:val="auto"/>
              </w:rPr>
              <w:t>Expected dividend rate</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620" w:type="dxa"/>
            <w:vAlign w:val="bottom"/>
          </w:tcPr>
          <w:p>
            <w:pPr>
              <w:spacing w:after="0"/>
              <w:rPr>
                <w:sz w:val="24"/>
                <w:szCs w:val="24"/>
                <w:color w:val="auto"/>
              </w:rPr>
            </w:pPr>
          </w:p>
        </w:tc>
      </w:tr>
      <w:tr>
        <w:trPr>
          <w:trHeight w:val="580"/>
        </w:trPr>
        <w:tc>
          <w:tcPr>
            <w:tcW w:w="1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780" w:type="dxa"/>
            <w:vAlign w:val="bottom"/>
            <w:gridSpan w:val="2"/>
          </w:tcPr>
          <w:p>
            <w:pPr>
              <w:jc w:val="right"/>
              <w:ind w:right="3496"/>
              <w:spacing w:after="0"/>
              <w:rPr>
                <w:sz w:val="20"/>
                <w:szCs w:val="20"/>
                <w:color w:val="auto"/>
              </w:rPr>
            </w:pPr>
            <w:r>
              <w:rPr>
                <w:rFonts w:ascii="Arial" w:cs="Arial" w:eastAsia="Arial" w:hAnsi="Arial"/>
                <w:sz w:val="18"/>
                <w:szCs w:val="18"/>
                <w:color w:val="auto"/>
              </w:rPr>
              <w:t>F-52</w:t>
            </w: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-1302385</wp:posOffset>
            </wp:positionV>
            <wp:extent cx="41148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6" w:name="page237"/>
    <w:bookmarkEnd w:id="23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February 2021, all the outstanding warrants were settled in its entirety at an exercise price of $5.13 per share for an aggregate purchase price of $3.0 million. Upon final settlement, the Company converted the warrant into $12.9 million Series D convertible preferred shares, and recorded $7.0 million loss related to fair value remeasurements of the warrants in the consolidated statements of operations for the three months ended March 31, 2021. The Company recorded $0.1 million loss related to fair value remeasurements of the warrants for the three months ended March 31, 2020.</w:t>
      </w:r>
    </w:p>
    <w:p>
      <w:pPr>
        <w:spacing w:after="0" w:line="111"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The fair value of the Series D preferred shares that was converted from warrant liability at settlement was estimated using the PWERM framework and considered the same three scenarios and probability for each of the three scenarios used to value our common shares: OPM scenario (20%), as-converted SPAC scenario (70%), and as-converted IPO scenario (10%). Under the OPM scenario, the fair value of Series D convertible preferred shares is a direct output of the model used for the equity valuation of the Company and reflects the present value. Under the as-converted SPAC scenario, the present value of the Series D convertible preferred shares is estimated using the pre-money equity value. Under the as-converted IPO scenario, the Company apply the market-based approach and determine the fair value based on the average revenue multiples derived from our peer group.</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CONVERTIBLE PREFERRED SHARES AND SHAREHOLDERS’ DEFICIT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Convertible Preferred Shares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Convertible preferred shares are carried at its issuance price, net of issuance costs.</w:t>
      </w:r>
    </w:p>
    <w:p>
      <w:pPr>
        <w:spacing w:after="0" w:line="15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In 2014 through March 31, 2021, the Company issued Series A, Series B, Series C, and Series D and Series E convertible preferred shares (“Series A,” “Series B,” “Series C,” “Series D,” “Series E,” respectively) (collectively, the “Convertible Preferred Shares”).</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as follows: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First Company Repurchase</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Concurrent with the execution of the Security Purchase Agreement with PIF, $10.0 million of the proceeds from the issuance of the Convertible Notes were utilized to repurchase from the Sellers 714,286 shares of Series C at $14.00 per share. As the carrying amount of each share of Series C was $6.41 with an aggregate carrying amount of Series C repurchased at $4.6 million, the Company recognized $5.4 million as a reduction of additional paid-in capital under shareholders’ equity in the consolidated balance sheet as of December 31, 2018, related to the excess fair value paid over carrying amount.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Second Company Repurchase</w:t>
      </w:r>
    </w:p>
    <w:p>
      <w:pPr>
        <w:spacing w:after="0" w:line="16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Company agreed to repurchase 4,642,857 shares of Series C from the Sellers at a price equal to $14.00 per share, aggregating to $65.0 million on a date that is no later than 6 months from April 2019 (subject to contingencies defined within the Security Purchase Agreement with PIF) of the Series D Preferred Financing. The Repurchase Agreement substantially modified the terms of the Series C shares subject to repurchase and constitutes an extinguishment.</w:t>
      </w:r>
    </w:p>
    <w:p>
      <w:pPr>
        <w:spacing w:after="0" w:line="107"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Company used the put option pricing model to compute the fair value of the contingent ‘Second Company Repurchase’ feature (“contingent repurchase feature”) and applied a 95% probability of successfully achieving the contingencies. Fair value of the contingent repurchase feature was $10.03 per share.</w:t>
      </w:r>
    </w:p>
    <w:p>
      <w:pPr>
        <w:spacing w:after="0" w:line="119"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key inputs used in determining the fair value of the contingent repurchase feature as of the extinguishment date in September 2018, are as follows: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9/30/2018</w:t>
            </w:r>
          </w:p>
        </w:tc>
      </w:tr>
      <w:tr>
        <w:trPr>
          <w:trHeight w:val="26"/>
        </w:trPr>
        <w:tc>
          <w:tcPr>
            <w:tcW w:w="6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price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$3.28</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$14.00</w:t>
            </w: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0"/>
              </w:rPr>
              <w:t>0.5 Years</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55.00%</w:t>
            </w:r>
          </w:p>
        </w:tc>
      </w:tr>
      <w:tr>
        <w:trPr>
          <w:trHeight w:val="27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2.36%</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-1010920</wp:posOffset>
            </wp:positionV>
            <wp:extent cx="1371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0" w:lineRule="exact"/>
        <w:rPr>
          <w:sz w:val="20"/>
          <w:szCs w:val="20"/>
          <w:color w:val="auto"/>
        </w:rPr>
      </w:pPr>
    </w:p>
    <w:p>
      <w:pPr>
        <w:ind w:left="1260" w:right="1600" w:firstLine="360"/>
        <w:spacing w:after="0" w:line="259" w:lineRule="auto"/>
        <w:rPr>
          <w:sz w:val="20"/>
          <w:szCs w:val="20"/>
          <w:color w:val="auto"/>
        </w:rPr>
      </w:pPr>
      <w:r>
        <w:rPr>
          <w:rFonts w:ascii="Arial" w:cs="Arial" w:eastAsia="Arial" w:hAnsi="Arial"/>
          <w:sz w:val="17"/>
          <w:szCs w:val="17"/>
          <w:color w:val="auto"/>
        </w:rPr>
        <w:t>The fair value of the Series C preferred shares prior to extinguishment was $3.28 per share and was computed based on the Probability-Weighted Expected Return Method (PWERM) framework, using the Option Pricing Method (OPM) to allocate the equity value in the scenarios where CFIUS approval is received. The range of inputs for the various scenarios used in determining the fair value of the Series C convertible preferred shares using OPM as of the extinguishment date in September 2018, is as follows:</w:t>
      </w:r>
    </w:p>
    <w:p>
      <w:pPr>
        <w:spacing w:after="0" w:line="14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w:t>
            </w:r>
          </w:p>
        </w:tc>
        <w:tc>
          <w:tcPr>
            <w:tcW w:w="37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1"/>
              </w:rPr>
              <w:t>$5.45 – 6.41</w:t>
            </w: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Term</w:t>
            </w:r>
          </w:p>
        </w:tc>
        <w:tc>
          <w:tcPr>
            <w:tcW w:w="3760" w:type="dxa"/>
            <w:vAlign w:val="bottom"/>
          </w:tcPr>
          <w:p>
            <w:pPr>
              <w:ind w:left="2620"/>
              <w:spacing w:after="0"/>
              <w:rPr>
                <w:sz w:val="20"/>
                <w:szCs w:val="20"/>
                <w:color w:val="auto"/>
              </w:rPr>
            </w:pPr>
            <w:r>
              <w:rPr>
                <w:rFonts w:ascii="Arial" w:cs="Arial" w:eastAsia="Arial" w:hAnsi="Arial"/>
                <w:sz w:val="18"/>
                <w:szCs w:val="18"/>
                <w:color w:val="auto"/>
                <w:w w:val="91"/>
              </w:rPr>
              <w:t>1.7 – 2.4 Years</w:t>
            </w:r>
          </w:p>
        </w:tc>
      </w:tr>
      <w:tr>
        <w:trPr>
          <w:trHeight w:val="27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4"/>
              </w:rPr>
              <w:t>55.00%</w:t>
            </w: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Risk free rate</w:t>
            </w:r>
          </w:p>
        </w:tc>
        <w:tc>
          <w:tcPr>
            <w:tcW w:w="3760" w:type="dxa"/>
            <w:vAlign w:val="bottom"/>
          </w:tcPr>
          <w:p>
            <w:pPr>
              <w:jc w:val="center"/>
              <w:ind w:left="2530"/>
              <w:spacing w:after="0"/>
              <w:rPr>
                <w:sz w:val="20"/>
                <w:szCs w:val="20"/>
                <w:color w:val="auto"/>
              </w:rPr>
            </w:pPr>
            <w:r>
              <w:rPr>
                <w:rFonts w:ascii="Arial" w:cs="Arial" w:eastAsia="Arial" w:hAnsi="Arial"/>
                <w:sz w:val="18"/>
                <w:szCs w:val="18"/>
                <w:color w:val="auto"/>
                <w:w w:val="93"/>
              </w:rPr>
              <w:t>2.71% – 2.81%</w:t>
            </w:r>
          </w:p>
        </w:tc>
      </w:tr>
    </w:tbl>
    <w:p>
      <w:pPr>
        <w:spacing w:after="0" w:line="80" w:lineRule="exact"/>
        <w:rPr>
          <w:sz w:val="20"/>
          <w:szCs w:val="20"/>
          <w:color w:val="auto"/>
        </w:rPr>
      </w:pPr>
    </w:p>
    <w:p>
      <w:pPr>
        <w:ind w:left="1260" w:right="1320" w:firstLine="360"/>
        <w:spacing w:after="0" w:line="248" w:lineRule="auto"/>
        <w:rPr>
          <w:sz w:val="20"/>
          <w:szCs w:val="20"/>
          <w:color w:val="auto"/>
        </w:rPr>
      </w:pPr>
      <w:r>
        <w:rPr>
          <w:rFonts w:ascii="Arial" w:cs="Arial" w:eastAsia="Arial" w:hAnsi="Arial"/>
          <w:sz w:val="18"/>
          <w:szCs w:val="18"/>
          <w:color w:val="auto"/>
        </w:rPr>
        <w:t>The fair value of the Series C preferred shares after the extinguishment was determined as $13.31 per share and was computed as the sum of the fair value of Series C of $3.28 per share as of the extinguishment date and the fair value of the contingent repurchase feature of $10.03 per share.</w:t>
      </w:r>
    </w:p>
    <w:p>
      <w:pPr>
        <w:spacing w:after="0" w:line="114" w:lineRule="exact"/>
        <w:rPr>
          <w:sz w:val="20"/>
          <w:szCs w:val="20"/>
          <w:color w:val="auto"/>
        </w:rPr>
      </w:pPr>
    </w:p>
    <w:p>
      <w:pPr>
        <w:ind w:left="1260" w:right="1280" w:firstLine="360"/>
        <w:spacing w:after="0"/>
        <w:rPr>
          <w:sz w:val="20"/>
          <w:szCs w:val="20"/>
          <w:color w:val="auto"/>
        </w:rPr>
      </w:pPr>
      <w:r>
        <w:rPr>
          <w:rFonts w:ascii="Arial" w:cs="Arial" w:eastAsia="Arial" w:hAnsi="Arial"/>
          <w:sz w:val="18"/>
          <w:szCs w:val="18"/>
          <w:color w:val="auto"/>
        </w:rPr>
        <w:t>As the carrying amount of each share of Series C was $6.41 in September 2018 with an aggregate carrying amount of Series C shares extinguished at $32.0 million, the Company recognized $9.4 million as a reduction of additional paid-in capital and the remaining $22.6 million as an increase to accumulated deficit under shareholders’ equity in the consolidated balance sheet as of December 31, 2018 as the Company did not have sufficient additional paid-in capital as of the extinguishment date to offset the excess of the fair value over the carrying amount.</w:t>
      </w:r>
    </w:p>
    <w:p>
      <w:pPr>
        <w:spacing w:after="0" w:line="108" w:lineRule="exact"/>
        <w:rPr>
          <w:sz w:val="20"/>
          <w:szCs w:val="20"/>
          <w:color w:val="auto"/>
        </w:rPr>
      </w:pPr>
    </w:p>
    <w:p>
      <w:pPr>
        <w:ind w:left="1260" w:right="1440" w:firstLine="360"/>
        <w:spacing w:after="0" w:line="259" w:lineRule="auto"/>
        <w:rPr>
          <w:sz w:val="20"/>
          <w:szCs w:val="20"/>
          <w:color w:val="auto"/>
        </w:rPr>
      </w:pPr>
      <w:r>
        <w:rPr>
          <w:rFonts w:ascii="Arial" w:cs="Arial" w:eastAsia="Arial" w:hAnsi="Arial"/>
          <w:sz w:val="17"/>
          <w:szCs w:val="17"/>
          <w:color w:val="auto"/>
        </w:rPr>
        <w:t>In June 2019, the Company and the Sellers amended and restated the September 2018 Repurchase Agreement related to the Second Company Repurchase. Pursuant to the terms, the Company repurchased 3,571,429 shares of Series C at $14.00 per share and the remaining 1,071,428 shares subject to the Second Company Repurchase were extinguished and the Company was released of any and all obligation to purchase any shares in excess of the 3,571,429 subject to redemption.</w:t>
      </w:r>
    </w:p>
    <w:p>
      <w:pPr>
        <w:spacing w:after="0" w:line="106" w:lineRule="exact"/>
        <w:rPr>
          <w:sz w:val="20"/>
          <w:szCs w:val="20"/>
          <w:color w:val="auto"/>
        </w:rPr>
      </w:pPr>
    </w:p>
    <w:p>
      <w:pPr>
        <w:ind w:left="1260" w:right="1260" w:firstLine="360"/>
        <w:spacing w:after="0" w:line="255" w:lineRule="auto"/>
        <w:rPr>
          <w:sz w:val="20"/>
          <w:szCs w:val="20"/>
          <w:color w:val="auto"/>
        </w:rPr>
      </w:pPr>
      <w:r>
        <w:rPr>
          <w:rFonts w:ascii="Arial" w:cs="Arial" w:eastAsia="Arial" w:hAnsi="Arial"/>
          <w:sz w:val="17"/>
          <w:szCs w:val="17"/>
          <w:color w:val="auto"/>
        </w:rPr>
        <w:t>As the carrying amount of each share of Series C was $13.31 in June 2019 and the total carrying amount of Series C repurchased was $47.5 million, the Company recognized $2.5 million as additional paid-in capital under shareholders’ equity in the consolidated balance sheet as of December 31, 2019, related to the excess of fair value paid over carrying amount. The carrying amount of 1,071,428 shares extinguished in June 2019 was $ 14.3 million and the fair value was $3.60 per share, the Company recognized $10.4 million as an increase to additional paid in capital under shareholders’ equity in the consolidated balance sheet as of December 31, 2019, related to the difference between fair value after extinguishment and carrying amount.</w:t>
      </w:r>
    </w:p>
    <w:p>
      <w:pPr>
        <w:spacing w:after="0" w:line="99" w:lineRule="exact"/>
        <w:rPr>
          <w:sz w:val="20"/>
          <w:szCs w:val="20"/>
          <w:color w:val="auto"/>
        </w:rPr>
      </w:pPr>
    </w:p>
    <w:p>
      <w:pPr>
        <w:ind w:left="1260" w:right="1460" w:firstLine="360"/>
        <w:spacing w:after="0" w:line="243" w:lineRule="auto"/>
        <w:rPr>
          <w:sz w:val="20"/>
          <w:szCs w:val="20"/>
          <w:color w:val="auto"/>
        </w:rPr>
      </w:pPr>
      <w:r>
        <w:rPr>
          <w:rFonts w:ascii="Arial" w:cs="Arial" w:eastAsia="Arial" w:hAnsi="Arial"/>
          <w:sz w:val="18"/>
          <w:szCs w:val="18"/>
          <w:color w:val="auto"/>
        </w:rPr>
        <w:t>The fair value of the Series C preferred shares after extinguishment in June 2019 was $3.60 per share and was computed based on the PWERM framework, using the OPM to allocate the equity value in the scenarios where CFIUS approval is received and the Current Value Method or CVM to allocate the equity value in the scenario where CFIUS approval is not received.</w:t>
      </w:r>
    </w:p>
    <w:p>
      <w:pPr>
        <w:spacing w:after="0" w:line="107" w:lineRule="exact"/>
        <w:rPr>
          <w:sz w:val="20"/>
          <w:szCs w:val="20"/>
          <w:color w:val="auto"/>
        </w:rPr>
      </w:pPr>
    </w:p>
    <w:p>
      <w:pPr>
        <w:ind w:left="1260" w:right="1860" w:firstLine="360"/>
        <w:spacing w:after="0" w:line="291" w:lineRule="auto"/>
        <w:rPr>
          <w:sz w:val="20"/>
          <w:szCs w:val="20"/>
          <w:color w:val="auto"/>
        </w:rPr>
      </w:pPr>
      <w:r>
        <w:rPr>
          <w:rFonts w:ascii="Arial" w:cs="Arial" w:eastAsia="Arial" w:hAnsi="Arial"/>
          <w:sz w:val="17"/>
          <w:szCs w:val="17"/>
          <w:color w:val="auto"/>
        </w:rPr>
        <w:t>The range of inputs for the various scenarios used in determining the fair value of the Series C convertible preferred shares using OPM as of the extinguishment date, in June 2019,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w:t>
            </w:r>
          </w:p>
        </w:tc>
        <w:tc>
          <w:tcPr>
            <w:tcW w:w="5140" w:type="dxa"/>
            <w:vAlign w:val="bottom"/>
            <w:shd w:val="clear" w:color="auto" w:fill="CCEEFF"/>
          </w:tcPr>
          <w:p>
            <w:pPr>
              <w:jc w:val="center"/>
              <w:ind w:left="3910"/>
              <w:spacing w:after="0"/>
              <w:rPr>
                <w:sz w:val="20"/>
                <w:szCs w:val="20"/>
                <w:color w:val="auto"/>
              </w:rPr>
            </w:pPr>
            <w:r>
              <w:rPr>
                <w:rFonts w:ascii="Arial" w:cs="Arial" w:eastAsia="Arial" w:hAnsi="Arial"/>
                <w:sz w:val="18"/>
                <w:szCs w:val="18"/>
                <w:color w:val="auto"/>
                <w:w w:val="93"/>
              </w:rPr>
              <w:t>$6.41</w:t>
            </w:r>
          </w:p>
        </w:tc>
        <w:tc>
          <w:tcPr>
            <w:tcW w:w="1620" w:type="dxa"/>
            <w:vAlign w:val="bottom"/>
          </w:tcPr>
          <w:p>
            <w:pPr>
              <w:spacing w:after="0"/>
              <w:rPr>
                <w:sz w:val="17"/>
                <w:szCs w:val="17"/>
                <w:color w:val="auto"/>
              </w:rPr>
            </w:pPr>
          </w:p>
        </w:tc>
      </w:tr>
      <w:tr>
        <w:trPr>
          <w:trHeight w:val="243"/>
        </w:trPr>
        <w:tc>
          <w:tcPr>
            <w:tcW w:w="3960" w:type="dxa"/>
            <w:vAlign w:val="bottom"/>
            <w:gridSpan w:val="2"/>
          </w:tcPr>
          <w:p>
            <w:pPr>
              <w:ind w:left="1620"/>
              <w:spacing w:after="0"/>
              <w:rPr>
                <w:sz w:val="20"/>
                <w:szCs w:val="20"/>
                <w:color w:val="auto"/>
              </w:rPr>
            </w:pPr>
            <w:r>
              <w:rPr>
                <w:rFonts w:ascii="Arial" w:cs="Arial" w:eastAsia="Arial" w:hAnsi="Arial"/>
                <w:sz w:val="18"/>
                <w:szCs w:val="18"/>
                <w:color w:val="auto"/>
              </w:rPr>
              <w:t>Term</w:t>
            </w:r>
          </w:p>
        </w:tc>
        <w:tc>
          <w:tcPr>
            <w:tcW w:w="5140" w:type="dxa"/>
            <w:vAlign w:val="bottom"/>
          </w:tcPr>
          <w:p>
            <w:pPr>
              <w:ind w:left="4000"/>
              <w:spacing w:after="0"/>
              <w:rPr>
                <w:sz w:val="20"/>
                <w:szCs w:val="20"/>
                <w:color w:val="auto"/>
              </w:rPr>
            </w:pPr>
            <w:r>
              <w:rPr>
                <w:rFonts w:ascii="Arial" w:cs="Arial" w:eastAsia="Arial" w:hAnsi="Arial"/>
                <w:sz w:val="18"/>
                <w:szCs w:val="18"/>
                <w:color w:val="auto"/>
                <w:w w:val="91"/>
              </w:rPr>
              <w:t>1.7 – 2.3 Years</w:t>
            </w:r>
          </w:p>
        </w:tc>
        <w:tc>
          <w:tcPr>
            <w:tcW w:w="162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140" w:type="dxa"/>
            <w:vAlign w:val="bottom"/>
            <w:shd w:val="clear" w:color="auto" w:fill="CCEEFF"/>
          </w:tcPr>
          <w:p>
            <w:pPr>
              <w:jc w:val="center"/>
              <w:ind w:left="3910"/>
              <w:spacing w:after="0"/>
              <w:rPr>
                <w:sz w:val="20"/>
                <w:szCs w:val="20"/>
                <w:color w:val="auto"/>
              </w:rPr>
            </w:pPr>
            <w:r>
              <w:rPr>
                <w:rFonts w:ascii="Arial" w:cs="Arial" w:eastAsia="Arial" w:hAnsi="Arial"/>
                <w:sz w:val="18"/>
                <w:szCs w:val="18"/>
                <w:color w:val="auto"/>
                <w:w w:val="94"/>
              </w:rPr>
              <w:t>55.00%</w:t>
            </w:r>
          </w:p>
        </w:tc>
        <w:tc>
          <w:tcPr>
            <w:tcW w:w="1620" w:type="dxa"/>
            <w:vAlign w:val="bottom"/>
          </w:tcPr>
          <w:p>
            <w:pPr>
              <w:spacing w:after="0"/>
              <w:rPr>
                <w:sz w:val="21"/>
                <w:szCs w:val="21"/>
                <w:color w:val="auto"/>
              </w:rPr>
            </w:pPr>
          </w:p>
        </w:tc>
      </w:tr>
      <w:tr>
        <w:trPr>
          <w:trHeight w:val="283"/>
        </w:trPr>
        <w:tc>
          <w:tcPr>
            <w:tcW w:w="3960" w:type="dxa"/>
            <w:vAlign w:val="bottom"/>
            <w:gridSpan w:val="2"/>
          </w:tcPr>
          <w:p>
            <w:pPr>
              <w:ind w:left="1620"/>
              <w:spacing w:after="0"/>
              <w:rPr>
                <w:sz w:val="20"/>
                <w:szCs w:val="20"/>
                <w:color w:val="auto"/>
              </w:rPr>
            </w:pPr>
            <w:r>
              <w:rPr>
                <w:rFonts w:ascii="Arial" w:cs="Arial" w:eastAsia="Arial" w:hAnsi="Arial"/>
                <w:sz w:val="18"/>
                <w:szCs w:val="18"/>
                <w:color w:val="auto"/>
              </w:rPr>
              <w:t>Risk free rate</w:t>
            </w:r>
          </w:p>
        </w:tc>
        <w:tc>
          <w:tcPr>
            <w:tcW w:w="5140" w:type="dxa"/>
            <w:vAlign w:val="bottom"/>
          </w:tcPr>
          <w:p>
            <w:pPr>
              <w:jc w:val="center"/>
              <w:ind w:left="3910"/>
              <w:spacing w:after="0"/>
              <w:rPr>
                <w:sz w:val="20"/>
                <w:szCs w:val="20"/>
                <w:color w:val="auto"/>
              </w:rPr>
            </w:pPr>
            <w:r>
              <w:rPr>
                <w:rFonts w:ascii="Arial" w:cs="Arial" w:eastAsia="Arial" w:hAnsi="Arial"/>
                <w:sz w:val="18"/>
                <w:szCs w:val="18"/>
                <w:color w:val="auto"/>
                <w:w w:val="93"/>
              </w:rPr>
              <w:t>1.59% – 2.71%</w:t>
            </w:r>
          </w:p>
        </w:tc>
        <w:tc>
          <w:tcPr>
            <w:tcW w:w="1620" w:type="dxa"/>
            <w:vAlign w:val="bottom"/>
          </w:tcPr>
          <w:p>
            <w:pPr>
              <w:spacing w:after="0"/>
              <w:rPr>
                <w:sz w:val="24"/>
                <w:szCs w:val="24"/>
                <w:color w:val="auto"/>
              </w:rPr>
            </w:pPr>
          </w:p>
        </w:tc>
      </w:tr>
      <w:tr>
        <w:trPr>
          <w:trHeight w:val="580"/>
        </w:trPr>
        <w:tc>
          <w:tcPr>
            <w:tcW w:w="1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140" w:type="dxa"/>
            <w:vAlign w:val="bottom"/>
          </w:tcPr>
          <w:p>
            <w:pPr>
              <w:ind w:left="1200"/>
              <w:spacing w:after="0"/>
              <w:rPr>
                <w:sz w:val="20"/>
                <w:szCs w:val="20"/>
                <w:color w:val="auto"/>
              </w:rPr>
            </w:pPr>
            <w:r>
              <w:rPr>
                <w:rFonts w:ascii="Arial" w:cs="Arial" w:eastAsia="Arial" w:hAnsi="Arial"/>
                <w:sz w:val="18"/>
                <w:szCs w:val="18"/>
                <w:color w:val="auto"/>
              </w:rPr>
              <w:t>F-54</w:t>
            </w: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8" w:name="page239"/>
    <w:bookmarkEnd w:id="23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Third Company Repurchase (Series C — August 2020)</w:t>
      </w:r>
    </w:p>
    <w:p>
      <w:pPr>
        <w:spacing w:after="0" w:line="14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In August 2020, the Company entered into a Share Repurchase Agreement with the Sellers. Pursuant to the Share Repurchase Agreement, the Company agreed to repurchase 3,652,265 shares of Series C convertible preferred shares owned by the Sellers in August 2020 at a price of $2.70 per share for total of $9.9 million. The carrying value of the repurchased Series C convertible preferred shares is $20.4 million. As such, the Company recognized $ 10.5 million in additional paid -in capital under shareholder’s equity in the consolidated balance sheet as of December 31, 2020 related to the difference in fair value and carrying value of the Series C shares repurchased.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Fourth Company Repurchase (Series C — December 2020)</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In December 2020, the Company entered into a Share Repurchase Agreement with Blitz Technology Hong Kong Co. Limited (“Blitz”).</w:t>
      </w:r>
    </w:p>
    <w:p>
      <w:pPr>
        <w:spacing w:after="0" w:line="103" w:lineRule="exact"/>
        <w:rPr>
          <w:sz w:val="20"/>
          <w:szCs w:val="20"/>
          <w:color w:val="auto"/>
        </w:rPr>
      </w:pPr>
    </w:p>
    <w:p>
      <w:pPr>
        <w:jc w:val="both"/>
        <w:ind w:left="1260" w:right="499" w:firstLine="360"/>
        <w:spacing w:after="0" w:line="259" w:lineRule="auto"/>
        <w:rPr>
          <w:sz w:val="20"/>
          <w:szCs w:val="20"/>
          <w:color w:val="auto"/>
        </w:rPr>
      </w:pPr>
      <w:r>
        <w:rPr>
          <w:rFonts w:ascii="Arial" w:cs="Arial" w:eastAsia="Arial" w:hAnsi="Arial"/>
          <w:sz w:val="17"/>
          <w:szCs w:val="17"/>
          <w:color w:val="auto"/>
        </w:rPr>
        <w:t>The Company agreed to repurchase 700,000 Series C convertible preferred shares from Blitz at a price of $3.20 per share, aggregating to $2.2 million. As the carrying amount of each share of Series C was $6.41 aggregating to $4.5 million in September 2020, the Company recognized $2.2 million as additional paid -in capital under shareholders’ equity in the consolidated balance sheet as of December 31, 2020, related to the difference in fair value and carrying value of the Series C shares repurchased.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Fifth Company Repurchase (Series B — December 2020)</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On December 22, 2020, the Company entered into an agreement with JAFCO Asia Technology Fund V (“JAFCO”) whereby the Company agreed to repurchase 1,333,333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 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D Preferred Share Issuance</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2018, the Security Purchase Agreement with PIF granted PIF rights to purchase the Company’s Series D convertible shares at various tranches. The first tranche of $200.0 million is issuable upon the approval of the PIF’s equity investment into the Company by CFIUS (refer to Note 5 — Convertible Notes). The second and third tranches of $400.0 million each are issuable upon the Company’s satisfaction of certain milestones related to further development and enhancement in marketing, product, and administrative activities.</w:t>
      </w:r>
    </w:p>
    <w:p>
      <w:pPr>
        <w:spacing w:after="0" w:line="125"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141,746,324 shares of Series D at a price of $6.15 per share, for net proceeds of approximately $872.0 million during the year ended December 31, 2019. The Company recorded $10.2 million share issuance costs for Series D as noncurrent assets in the consolidated balance sheet as of December 31, 2018 and subsequently reclassified this amount to contra convertible preferred shares when Series D was funded in 2019. An additional $0.3 million of Series D share issuance cost was incurred in 2019 and was recorded as an issuance cost in additional paid in capital to offset the proceeds from Series D.</w:t>
      </w:r>
    </w:p>
    <w:p>
      <w:pPr>
        <w:spacing w:after="0" w:line="104" w:lineRule="exact"/>
        <w:rPr>
          <w:sz w:val="20"/>
          <w:szCs w:val="20"/>
          <w:color w:val="auto"/>
        </w:rPr>
      </w:pPr>
    </w:p>
    <w:p>
      <w:pPr>
        <w:ind w:left="1260" w:right="419" w:firstLine="360"/>
        <w:spacing w:after="0" w:line="296" w:lineRule="auto"/>
        <w:rPr>
          <w:sz w:val="20"/>
          <w:szCs w:val="20"/>
          <w:color w:val="auto"/>
        </w:rPr>
      </w:pPr>
      <w:r>
        <w:rPr>
          <w:rFonts w:ascii="Arial" w:cs="Arial" w:eastAsia="Arial" w:hAnsi="Arial"/>
          <w:sz w:val="16"/>
          <w:szCs w:val="16"/>
          <w:color w:val="auto"/>
        </w:rPr>
        <w:t>In March 2020, the Company received $200.0 million of the remaining $400.0 million in proceeds from PIF and issued 31,201,245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31,201,245 shares of Series D.</w:t>
      </w: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See activities related to the PIF Convertible Notes and Series D convertible preferred share funding as below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271,985</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Series D received in April 2019</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Series D received in October 2019</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Series D received in March 2020</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5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Series received in June 2020</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63"/>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forward contract liability reclassified to Series D</w:t>
            </w: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39,563</w:t>
            </w:r>
          </w:p>
        </w:tc>
      </w:tr>
      <w:tr>
        <w:trPr>
          <w:trHeight w:val="295"/>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proceeds of Series 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1,311,548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3481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E convertible preferred share Issuance</w:t>
      </w:r>
    </w:p>
    <w:p>
      <w:pPr>
        <w:spacing w:after="0" w:line="16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On September 21,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$7.90 per share of Series E convertible preferred shares. The Company needed to satisfy two sets of milestone conditions relating to further development and enhancement in marketing, product, and administrative activities for Ayar to provide funding under the SPAE.</w:t>
      </w:r>
    </w:p>
    <w:p>
      <w:pPr>
        <w:spacing w:after="0" w:line="12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Immediately upon closing of the SPAE, the Company received the full first tranche of $ 500.0 million in funding in exchange for 63,265,327 Series E convertible preferred shares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50,612,262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0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Share Purchase Agreement (“Amendment No. 1”). Under the Amendment No. 1, Ayar and the Company agreed to enter into the third closing of additional 50,612,262 shares of Series E convertible preferred shares at $7.90 per share, aggregating to $400.0 million. Upon the signing of the Amendment No. 1, the Company received the issuance proceeds of $400.0 million from Ayar in February 2021.</w:t>
      </w:r>
    </w:p>
    <w:p>
      <w:pPr>
        <w:spacing w:after="0" w:line="10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shareholders other than Ayar (“Eligible Holders”) to enter into the fourth closing to purchase up to 8,977,769 shares of Series E convertible preferred share on a pro rata basis at $ 7.90 per share, aggregating to $71.0 million. In addition, the amendment allowed the Company to offer for purchase at the fourth closing at $7.90 per share, a number of Series E Preferred Shares to senior management employees, directors, consultants, advisors and/or contractors of the Company (“Additional Purchasers”). The aggregate number of Series E Preferred Shares sold at the third closing and fourth closing will not exceed 75.9 million shares (“Extension Amount”). Ayar committed to purchase the entire Extension Amount to the extent not subscribed by Eligible Holders or Additional Purchasers.</w:t>
      </w:r>
    </w:p>
    <w:p>
      <w:pPr>
        <w:spacing w:after="0" w:line="124"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In April 2021, the Company issued 25,306,130 Series E convertible preferred shares from the fourth closing at $7.90 per share for cash consideration of $200.0 million. The Company received $107.1 million of the entire cash consideration in March 2021, and the remaining $92.9 million in April 2021. The Company</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issued Offer Notices to certain of the Company’s management and members of the Board of Directors in March 2021 and April 2021. The Series E convertible preferred shares issued from the fourth closing included 1,147,577 shares to the Company’s management and 627,347 shares to members of the Board of Directors. The total issuance to the Company’s management included 202,449 shares offered to the CEO in April 2021. The offer to employees to participate in a future Series E convertible preferred share financing represented a fully vested, equity classified award. The excess of the award’s fair value over the purchase price of $102.9 million on each recipient’s grant date during the three months ended March 31, 2021 was recorded as share-based compensation.</w:t>
      </w:r>
    </w:p>
    <w:p>
      <w:pPr>
        <w:spacing w:after="0" w:line="111"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Along with the execution of Amendment No. 1, the Company also increased the authorized number of common shares and convertible preferred shares to 498,017,734 and 437,182,072 shares, respectively.</w:t>
      </w:r>
    </w:p>
    <w:p>
      <w:pPr>
        <w:spacing w:after="0" w:line="7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As of March 31, 2021 and December 31, 2020, the Company had the following convertible preferred shares, par value of $0.0001 per share, authorized, and outstanding (in thousands, except share and per share amounts):</w:t>
      </w:r>
    </w:p>
    <w:p>
      <w:pPr>
        <w:spacing w:after="0" w:line="121"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Conversion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 Share to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Liquidation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Shares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Liquidation</w:t>
            </w:r>
          </w:p>
        </w:tc>
      </w:tr>
      <w:tr>
        <w:trPr>
          <w:trHeight w:val="186"/>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Convertible Preferred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Amount</w:t>
            </w:r>
          </w:p>
        </w:tc>
      </w:tr>
      <w:tr>
        <w:trPr>
          <w:trHeight w:val="26"/>
        </w:trPr>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1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Series A</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12,120,000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r>
      <w:tr>
        <w:trPr>
          <w:trHeight w:val="257"/>
        </w:trPr>
        <w:tc>
          <w:tcPr>
            <w:tcW w:w="2180" w:type="dxa"/>
            <w:vAlign w:val="bottom"/>
            <w:gridSpan w:val="3"/>
          </w:tcPr>
          <w:p>
            <w:pPr>
              <w:spacing w:after="0"/>
              <w:rPr>
                <w:sz w:val="20"/>
                <w:szCs w:val="20"/>
                <w:color w:val="auto"/>
              </w:rPr>
            </w:pPr>
            <w:r>
              <w:rPr>
                <w:rFonts w:ascii="Arial" w:cs="Arial" w:eastAsia="Arial" w:hAnsi="Arial"/>
                <w:sz w:val="18"/>
                <w:szCs w:val="18"/>
                <w:color w:val="auto"/>
              </w:rPr>
              <w:t>Series B</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23,740</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56"/>
        </w:trPr>
        <w:tc>
          <w:tcPr>
            <w:tcW w:w="21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Series C</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22,532,244</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22,532,244</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137,475</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r>
      <w:tr>
        <w:trPr>
          <w:trHeight w:val="257"/>
        </w:trPr>
        <w:tc>
          <w:tcPr>
            <w:tcW w:w="2180" w:type="dxa"/>
            <w:vAlign w:val="bottom"/>
            <w:gridSpan w:val="3"/>
          </w:tcPr>
          <w:p>
            <w:pPr>
              <w:spacing w:after="0"/>
              <w:rPr>
                <w:sz w:val="20"/>
                <w:szCs w:val="20"/>
                <w:color w:val="auto"/>
              </w:rPr>
            </w:pPr>
            <w:r>
              <w:rPr>
                <w:rFonts w:ascii="Arial" w:cs="Arial" w:eastAsia="Arial" w:hAnsi="Arial"/>
                <w:sz w:val="18"/>
                <w:szCs w:val="18"/>
                <w:color w:val="auto"/>
              </w:rPr>
              <w:t>Series 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204,733,847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204,733,847</w:t>
            </w:r>
          </w:p>
        </w:tc>
        <w:tc>
          <w:tcPr>
            <w:tcW w:w="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1,324,485</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1,969,540</w:t>
            </w:r>
          </w:p>
        </w:tc>
      </w:tr>
      <w:tr>
        <w:trPr>
          <w:trHeight w:val="263"/>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20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189,795,981</w:t>
            </w:r>
          </w:p>
        </w:tc>
        <w:tc>
          <w:tcPr>
            <w:tcW w:w="200" w:type="dxa"/>
            <w:vAlign w:val="bottom"/>
            <w:tcBorders>
              <w:right w:val="single" w:sz="8" w:color="CCEEFF"/>
            </w:tcBorders>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164,489,851</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2,854,273</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1,949,205</w:t>
            </w:r>
          </w:p>
        </w:tc>
      </w:tr>
      <w:tr>
        <w:trPr>
          <w:trHeight w:val="20"/>
        </w:trPr>
        <w:tc>
          <w:tcPr>
            <w:tcW w:w="1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70"/>
        </w:trPr>
        <w:tc>
          <w:tcPr>
            <w:tcW w:w="2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437,182,072</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411,875,942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$4,351,898</w:t>
            </w: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$4,099,297</w:t>
            </w:r>
          </w:p>
        </w:tc>
      </w:tr>
      <w:tr>
        <w:trPr>
          <w:trHeight w:val="20"/>
        </w:trPr>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December 31, 2020</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
        </w:trPr>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Conversion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2"/>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 Share to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Liquidation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Shares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Liquidation</w:t>
            </w:r>
          </w:p>
        </w:tc>
      </w:tr>
      <w:tr>
        <w:trPr>
          <w:trHeight w:val="186"/>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Convertible Preferred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Amount</w:t>
            </w:r>
          </w:p>
        </w:tc>
      </w:tr>
      <w:tr>
        <w:trPr>
          <w:trHeight w:val="25"/>
        </w:trPr>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1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Series A</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12,120,000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r>
      <w:tr>
        <w:trPr>
          <w:trHeight w:val="256"/>
        </w:trPr>
        <w:tc>
          <w:tcPr>
            <w:tcW w:w="2180" w:type="dxa"/>
            <w:vAlign w:val="bottom"/>
            <w:gridSpan w:val="3"/>
          </w:tcPr>
          <w:p>
            <w:pPr>
              <w:spacing w:after="0"/>
              <w:rPr>
                <w:sz w:val="20"/>
                <w:szCs w:val="20"/>
                <w:color w:val="auto"/>
              </w:rPr>
            </w:pPr>
            <w:r>
              <w:rPr>
                <w:rFonts w:ascii="Arial" w:cs="Arial" w:eastAsia="Arial" w:hAnsi="Arial"/>
                <w:sz w:val="18"/>
                <w:szCs w:val="18"/>
                <w:color w:val="auto"/>
              </w:rPr>
              <w:t>Series B*</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9,333,333</w:t>
            </w:r>
          </w:p>
        </w:tc>
        <w:tc>
          <w:tcPr>
            <w:tcW w:w="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23,740</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57"/>
        </w:trPr>
        <w:tc>
          <w:tcPr>
            <w:tcW w:w="21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Series C</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31,170,225</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22,532,244</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137,475</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r>
      <w:tr>
        <w:trPr>
          <w:trHeight w:val="256"/>
        </w:trPr>
        <w:tc>
          <w:tcPr>
            <w:tcW w:w="2180" w:type="dxa"/>
            <w:vAlign w:val="bottom"/>
            <w:gridSpan w:val="3"/>
          </w:tcPr>
          <w:p>
            <w:pPr>
              <w:spacing w:after="0"/>
              <w:rPr>
                <w:sz w:val="20"/>
                <w:szCs w:val="20"/>
                <w:color w:val="auto"/>
              </w:rPr>
            </w:pPr>
            <w:r>
              <w:rPr>
                <w:rFonts w:ascii="Arial" w:cs="Arial" w:eastAsia="Arial" w:hAnsi="Arial"/>
                <w:sz w:val="18"/>
                <w:szCs w:val="18"/>
                <w:color w:val="auto"/>
              </w:rPr>
              <w:t>Series 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234,009,360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204,148,825</w:t>
            </w:r>
          </w:p>
        </w:tc>
        <w:tc>
          <w:tcPr>
            <w:tcW w:w="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1,311,548</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1,963,912</w:t>
            </w:r>
          </w:p>
        </w:tc>
      </w:tr>
      <w:tr>
        <w:trPr>
          <w:trHeight w:val="263"/>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20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113,877,589</w:t>
            </w:r>
          </w:p>
        </w:tc>
        <w:tc>
          <w:tcPr>
            <w:tcW w:w="200" w:type="dxa"/>
            <w:vAlign w:val="bottom"/>
            <w:tcBorders>
              <w:right w:val="single" w:sz="8" w:color="CCEEFF"/>
            </w:tcBorders>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113,877,589</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1,009,388</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1,349,449</w:t>
            </w:r>
          </w:p>
        </w:tc>
      </w:tr>
      <w:tr>
        <w:trPr>
          <w:trHeight w:val="20"/>
        </w:trPr>
        <w:tc>
          <w:tcPr>
            <w:tcW w:w="1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70"/>
        </w:trPr>
        <w:tc>
          <w:tcPr>
            <w:tcW w:w="2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400,510,507</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362,011,991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$2,494,076</w:t>
            </w: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$3,497,913</w:t>
            </w:r>
          </w:p>
        </w:tc>
      </w:tr>
      <w:tr>
        <w:trPr>
          <w:trHeight w:val="20"/>
        </w:trPr>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-2922270</wp:posOffset>
            </wp:positionV>
            <wp:extent cx="13716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-2922270</wp:posOffset>
            </wp:positionV>
            <wp:extent cx="13716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-2922270</wp:posOffset>
            </wp:positionV>
            <wp:extent cx="13716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-2922270</wp:posOffset>
            </wp:positionV>
            <wp:extent cx="12001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-2922270</wp:posOffset>
            </wp:positionV>
            <wp:extent cx="12001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-2922270</wp:posOffset>
            </wp:positionV>
            <wp:extent cx="12001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-1130935</wp:posOffset>
            </wp:positionV>
            <wp:extent cx="137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-1130935</wp:posOffset>
            </wp:positionV>
            <wp:extent cx="13716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-1130935</wp:posOffset>
            </wp:positionV>
            <wp:extent cx="13716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-1130935</wp:posOffset>
            </wp:positionV>
            <wp:extent cx="12001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-1130935</wp:posOffset>
            </wp:positionV>
            <wp:extent cx="12001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-1130935</wp:posOffset>
            </wp:positionV>
            <wp:extent cx="12001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ind w:left="1620" w:right="699" w:hanging="360"/>
        <w:spacing w:after="0" w:line="263" w:lineRule="auto"/>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December 31, 2020, 1,333,333 Series B convertible preferred shares at aggregate fair value of $3.0 million were extinguished and reclassified to other accrued liabilities, with cash settlement occurring in January 2021.</w:t>
      </w:r>
    </w:p>
    <w:p>
      <w:pPr>
        <w:spacing w:after="0" w:line="10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The significant rights and preferences of the outstanding convertible preferred shares are as follows:</w:t>
      </w:r>
    </w:p>
    <w:p>
      <w:pPr>
        <w:spacing w:after="0" w:line="169"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Dividends — Holders of Series A, Series B, and Series C are entitled to receive noncumulative dividends at an annual rate of $0.08, $0.24, $0.5128 per share, respectively. Holders 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December 31, 2020, and 2019, no dividends have been declared.</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1" w:name="page242"/>
    <w:bookmarkEnd w:id="24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Liquidation Preference — In the event of any liquidation, dissolution, or winding-up of the Company, whether voluntary or involuntary (a Liquidation Event), before any distribution or payment shall be made to holders of common shares, each holder of convertible preferred shares then outstanding shall be entitled to be paid, pro rata, out of the assets of the Company available for distribution to members, whether from capital, surplus, or earnings, in the sequence of Series E, Series D, Series C, Series B and Series A, an amount equal to one and one-half times (1.5x), one and one- half times (1.5x), one time (1x), one time (1x), one time (1x) of the Series D, Series C, Series B, and Series A original issue price per share (as adjusted for Share Split Changes), plus all declared and unpaid distributions thereon. If, upon the occurrence of such event, the assets and funds to be distributed among the holders of the convertible preferred shares shall be insufficient to permit the payment to such holders of the full aforesaid preferential amounts, the holders of the convertible preferred shares shall receive a pro rata distribution of assets, on a pari passu basis, according to the amounts which would be payable in respect of the Series E and Series D convertible preferred shares held by them upon such distribution if all amounts payable on or with respect to said shares were paid in full.</w:t>
      </w:r>
    </w:p>
    <w:p>
      <w:pPr>
        <w:spacing w:after="0" w:line="10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114"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Voting Rights — The holders of Series A, Series B, Series C, Series D and Series E convertible preferred shares are entitled to the number of votes equal to the number of Common 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pacing w:after="0" w:line="123"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Conversion — Each Series A, Series B, Series C, Series D and Series E convertible preferred shares is convertible, at the option of the holder, into one fully paid nonassessable common shares. The conversion formula is adjusted for such events as dilutive issuances, share splits, or business combinations. Each share of Series A, Series B, Series C, Series D and Series E convertible preferred shares shall automatically convert into one share of common shares at the applicable conversion price upon the earlier of (1) vote or written consent of the holders of at least 66.67% of the outstanding Series A, Series B, Series C, Series D or 50% for Series E convertible preferred shares, as applicable (each calculated on an as-converted basis), voting as a class, or (2) immediately before the closing of the Company’s sale of its common shares in a firm commitment underwritten public offering on a U.S. national securities exchange or other internationally recognized securities exchange, which reflects a pre -offering market capitalization in excess of $2.5 billion and which results in gross proceeds to the Company of at least $ 200.0 million (before payment of underwriters’ discounts, commissions and offering expenses) (such transaction, a “Qualified IPO”).</w:t>
      </w:r>
    </w:p>
    <w:p>
      <w:pPr>
        <w:spacing w:after="0" w:line="110"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Antidilution Adjustment — Subject to certain exceptions, if the Company issues additional common shares without consideration or for a consideration per share, less than the conversion price with respect to 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No dividends other than those payable solely in common shares shall be paid on any common share, unless and until (i) 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ectPr>
          <w:pgSz w:w="11900" w:h="16838" w:orient="portrait"/>
          <w:cols w:equalWidth="0" w:num="1">
            <w:col w:w="9879"/>
          </w:cols>
          <w:pgMar w:left="580" w:top="132" w:right="1440" w:bottom="1440" w:gutter="0" w:footer="0" w:header="0"/>
        </w:sectPr>
      </w:pP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2" w:name="page243"/>
    <w:bookmarkEnd w:id="24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 Reserved for Issuance</w:t>
      </w:r>
    </w:p>
    <w:p>
      <w:pPr>
        <w:spacing w:after="0" w:line="148"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Company’s common shares reserved for future issuances as of March 31, 2021 and December 31, 2020, are as follows: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5440" w:type="dxa"/>
            <w:vAlign w:val="bottom"/>
          </w:tcPr>
          <w:p>
            <w:pPr>
              <w:spacing w:after="0"/>
              <w:rPr>
                <w:sz w:val="16"/>
                <w:szCs w:val="16"/>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26"/>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411,875,942</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362,011,991</w:t>
            </w:r>
          </w:p>
        </w:tc>
      </w:tr>
      <w:tr>
        <w:trPr>
          <w:trHeight w:val="257"/>
        </w:trPr>
        <w:tc>
          <w:tcPr>
            <w:tcW w:w="544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26,629,213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26,730,453</w:t>
            </w: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13,394,808</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Convertible preferred share warrant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585,022</w:t>
            </w: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available for future grants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6,728,423</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3,981,178</w:t>
            </w: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Total common shares reserved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458,628,386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393,308,644</w:t>
            </w:r>
          </w:p>
        </w:tc>
      </w:tr>
      <w:tr>
        <w:trPr>
          <w:trHeight w:val="21"/>
        </w:trPr>
        <w:tc>
          <w:tcPr>
            <w:tcW w:w="5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1662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SHARES-BASED AWARDS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Incentive Plans and Share Option Grants to Employees and Directors</w:t>
      </w:r>
    </w:p>
    <w:p>
      <w:pPr>
        <w:spacing w:after="0" w:line="162"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In 2009, the Company adopted the 2009 Share Plan (the “2009 Plan”). In 2014, in connection with the Series C convertible preferred share financing, the Company adopted the 2014 Share Plan (the “2014 Plan”).</w:t>
      </w:r>
    </w:p>
    <w:p>
      <w:pPr>
        <w:spacing w:after="0" w:line="10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Both the 2009 Plan and the 2014 Plan provide for the granting of incentive and non-statutory share options to directors, officers, employees, and consultants. Under the 2009 Plan and the 2014 Plan, the Company may grant options to purchase up to 5,000,000 and 31,884,190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12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In January 2021, the Company’s Board of Directors approved the 2021 Stock Incentive Plan (the “2021 Plan”). The 2021 Plan will replace the 2009 Plan and 2014 Plan. 3,981,178 shares reserved for future issuance under 2009 Plan and 2014 Plan was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 Company’s employees and any parent and subsidiary corporations’ employees, and for the grant of nonstatutory share options, restricted shares, Restricted Stock Units (RSU), share appreciation rights, performance based awards and cash based awards to the Company’s employees, directors, and consultants and its parent and subsidiary corporations’ employees and consultants. The 2021 Plan became effective in January 2021. 16,616,225 shares were authorized to issue under the 2021 Plan. In January 2021, the Company also increased the number of shares reserved for issuance under the 2014 Share Plan by 2,033,333 shares which was transferred to the 2021 Plan.</w:t>
      </w:r>
    </w:p>
    <w:p>
      <w:pPr>
        <w:spacing w:after="0" w:line="112"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As of March 31, 2021, 6,728,423 shares were remaining under the 2021 Plan. No shares were remaining under the 2009 Plan and 2014 Plan for future grant. As of December 31, 2020, nil and 3,981,178 shares were remaining under the 2009 Plan and the 2014 Plan, respectively, for future grant.</w:t>
      </w: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summary of share option activity under the 2009 Plan, the 2014 Plan and 2021 Plan is as follows:</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Outstanding Options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
        </w:trPr>
        <w:tc>
          <w:tcPr>
            <w:tcW w:w="45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4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2"/>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5"/>
              </w:rPr>
              <w:t>Intrinsic</w:t>
            </w:r>
          </w:p>
        </w:tc>
      </w:tr>
      <w:tr>
        <w:trPr>
          <w:trHeight w:val="162"/>
        </w:trPr>
        <w:tc>
          <w:tcPr>
            <w:tcW w:w="45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Value</w:t>
            </w:r>
          </w:p>
        </w:tc>
      </w:tr>
      <w:tr>
        <w:trPr>
          <w:trHeight w:val="186"/>
        </w:trPr>
        <w:tc>
          <w:tcPr>
            <w:tcW w:w="454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6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2"/>
              </w:rPr>
              <w:t>(in thousands)</w:t>
            </w:r>
          </w:p>
        </w:tc>
      </w:tr>
      <w:tr>
        <w:trPr>
          <w:trHeight w:val="26"/>
        </w:trPr>
        <w:tc>
          <w:tcPr>
            <w:tcW w:w="4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4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26,730,453</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2.21</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7.79</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118,155</w:t>
            </w:r>
          </w:p>
        </w:tc>
      </w:tr>
      <w:tr>
        <w:trPr>
          <w:trHeight w:val="257"/>
        </w:trPr>
        <w:tc>
          <w:tcPr>
            <w:tcW w:w="45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3,017,968</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1"/>
              </w:rPr>
              <w:t>4.66</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7"/>
        </w:trPr>
        <w:tc>
          <w:tcPr>
            <w:tcW w:w="45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(2,608,745)</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1.65</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63"/>
        </w:trPr>
        <w:tc>
          <w:tcPr>
            <w:tcW w:w="4540" w:type="dxa"/>
            <w:vAlign w:val="bottom"/>
          </w:tcPr>
          <w:p>
            <w:pPr>
              <w:ind w:left="180"/>
              <w:spacing w:after="0"/>
              <w:rPr>
                <w:sz w:val="20"/>
                <w:szCs w:val="20"/>
                <w:color w:val="auto"/>
              </w:rPr>
            </w:pPr>
            <w:r>
              <w:rPr>
                <w:rFonts w:ascii="Arial" w:cs="Arial" w:eastAsia="Arial" w:hAnsi="Arial"/>
                <w:sz w:val="18"/>
                <w:szCs w:val="18"/>
                <w:color w:val="auto"/>
              </w:rPr>
              <w:t>Options canceled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(510,463)</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1"/>
              </w:rPr>
              <w:t>3.03</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45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90"/>
        </w:trPr>
        <w:tc>
          <w:tcPr>
            <w:tcW w:w="4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26,629,213</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2.53</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7.90</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1,377,832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Options vested and exercisable March 31, 2021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14,244,416</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1"/>
              </w:rPr>
              <w:t>1.84</w:t>
            </w:r>
          </w:p>
        </w:tc>
        <w:tc>
          <w:tcPr>
            <w:tcW w:w="2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6.75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746,900</w:t>
            </w:r>
          </w:p>
        </w:tc>
      </w:tr>
      <w:tr>
        <w:trPr>
          <w:trHeight w:val="21"/>
        </w:trPr>
        <w:tc>
          <w:tcPr>
            <w:tcW w:w="4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-410845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-410845</wp:posOffset>
            </wp:positionV>
            <wp:extent cx="468058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680585"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-1079500</wp:posOffset>
            </wp:positionV>
            <wp:extent cx="1371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-1079500</wp:posOffset>
            </wp:positionV>
            <wp:extent cx="405447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195"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common shares. The aggregate intrinsic value of options exercised was approximately $10.8 million and $0.2 million for the three months ended March 31, 2021 and 2020, respectively.</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total fair value of share options granted during the three months ended March 31, 2021 and 2020,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was approximately $14.1 million and $5.7 million, respectively, which is being recognized over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respective vesting periods. The total fair value of share options vested during the three months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March 31, 2021 and 2020, was approximately $1.4 million and $0.7 million, respectively. The unamortized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share-based compensation for the three months ended March 31, 2021 and 2020 was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$14.2 million and $7.4 million, and weighted average remaining amortization period as of March 31, 2021</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2020 was 3.0 years and 2.8 years, respectively.</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Black-Scholes Model used to value share options incorporates the following assumptions:</w:t>
      </w:r>
    </w:p>
    <w:p>
      <w:pPr>
        <w:spacing w:after="0" w:line="144"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Volatility — The expected share price volatilities are estimated based on the historical and implied volatilities of comparable publicly traded companies as the Company does not have sufficient history of trading its common shares.</w:t>
      </w:r>
    </w:p>
    <w:p>
      <w:pPr>
        <w:spacing w:after="0" w:line="11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Risk-Free Interest Rate — The risk-free interest rates are based on U.S. Treasury yields in effect at the grant date for notes over the expected option term.</w:t>
      </w:r>
    </w:p>
    <w:p>
      <w:pPr>
        <w:spacing w:after="0" w:line="10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Expected Life — The expected term of options granted to employees represents the period that the share-based awards are expected to be outstanding. The Company utilizes historical data when establishing the expected term assumptions. For options granted with an extended exercise term, refer to the below section for details.</w:t>
      </w:r>
    </w:p>
    <w:p>
      <w:pPr>
        <w:spacing w:after="0" w:line="106"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Dividend Yield — The expected dividend yield assumption of zero is based on our current expectations about our anticipated dividend policy over the expected option term, and an estimate of expected forfeiture rates. Over the course of the Company’s history, it has not declared or paid any dividends to shareholders.</w:t>
      </w:r>
    </w:p>
    <w:p>
      <w:pPr>
        <w:spacing w:after="0" w:line="9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 xml:space="preserve">The Company estimates the fair value of the options utilizing the Black-Scholes option pricing model, which is dependent upon several variables, such as the expected option term, expected volatility of the Company’s share price over the expected term, expected risk-free interest rate over the expected option term, expected dividend yield rate over the expected option term, and an estimate of expected forfeiture rates. The Company believes this valuation methodology is appropriate for estimating the fair value of share options granted to employees and directors that are subject to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requirements. These amounts are estimates and, thus, may not be reflective of actual future</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nor amounts ultimately realized by recipients of these grants.</w:t>
      </w:r>
    </w:p>
    <w:p>
      <w:pPr>
        <w:spacing w:after="0" w:line="200" w:lineRule="exact"/>
        <w:rPr>
          <w:sz w:val="20"/>
          <w:szCs w:val="20"/>
          <w:color w:val="auto"/>
        </w:rPr>
      </w:pPr>
    </w:p>
    <w:p>
      <w:pPr>
        <w:spacing w:after="0" w:line="3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A summary of the assumptions the Company utilized to record compensation expense for share options granted during the three months ended March 31, 2021 and 2020, is as follows:</w:t>
      </w:r>
    </w:p>
    <w:p>
      <w:pPr>
        <w:spacing w:after="0" w:line="121"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22225</wp:posOffset>
            </wp:positionV>
            <wp:extent cx="82296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6"/>
                <w:szCs w:val="16"/>
                <w:color w:val="auto"/>
              </w:rPr>
            </w:pPr>
          </w:p>
        </w:tc>
        <w:tc>
          <w:tcPr>
            <w:tcW w:w="5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7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42.71%</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42.71%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7"/>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Expected term (in years)</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22"/>
                <w:szCs w:val="22"/>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0.63%</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Expected dividends</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0.0%</w:t>
            </w:r>
          </w:p>
        </w:tc>
        <w:tc>
          <w:tcPr>
            <w:tcW w:w="780" w:type="dxa"/>
            <w:vAlign w:val="bottom"/>
            <w:gridSpan w:val="5"/>
          </w:tcPr>
          <w:p>
            <w:pPr>
              <w:jc w:val="right"/>
              <w:ind w:right="7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2"/>
                <w:szCs w:val="22"/>
                <w:color w:val="auto"/>
              </w:rPr>
            </w:pPr>
          </w:p>
        </w:tc>
      </w:tr>
      <w:tr>
        <w:trPr>
          <w:trHeight w:val="364"/>
        </w:trPr>
        <w:tc>
          <w:tcPr>
            <w:tcW w:w="6460" w:type="dxa"/>
            <w:vAlign w:val="bottom"/>
            <w:gridSpan w:val="6"/>
          </w:tcPr>
          <w:p>
            <w:pPr>
              <w:ind w:left="360"/>
              <w:spacing w:after="0"/>
              <w:rPr>
                <w:sz w:val="20"/>
                <w:szCs w:val="20"/>
                <w:color w:val="auto"/>
              </w:rPr>
            </w:pPr>
            <w:r>
              <w:rPr>
                <w:rFonts w:ascii="Arial" w:cs="Arial" w:eastAsia="Arial" w:hAnsi="Arial"/>
                <w:sz w:val="18"/>
                <w:szCs w:val="18"/>
                <w:color w:val="auto"/>
              </w:rPr>
              <w:t>A summary of RSU award activity under the 2021 Plan is as follow:</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5"/>
        </w:trPr>
        <w:tc>
          <w:tcPr>
            <w:tcW w:w="3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Restricted Stock Units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3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5"/>
          </w:tcPr>
          <w:p>
            <w:pPr>
              <w:spacing w:after="0"/>
              <w:rPr>
                <w:sz w:val="2"/>
                <w:szCs w:val="2"/>
                <w:color w:val="auto"/>
              </w:rPr>
            </w:pPr>
          </w:p>
        </w:tc>
      </w:tr>
      <w:tr>
        <w:trPr>
          <w:trHeight w:val="173"/>
        </w:trPr>
        <w:tc>
          <w:tcPr>
            <w:tcW w:w="3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3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Performance-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6"/>
              </w:rPr>
              <w:t>Average</w:t>
            </w:r>
          </w:p>
        </w:tc>
      </w:tr>
      <w:tr>
        <w:trPr>
          <w:trHeight w:val="162"/>
        </w:trPr>
        <w:tc>
          <w:tcPr>
            <w:tcW w:w="3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Time-Based</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Based</w:t>
            </w:r>
          </w:p>
        </w:tc>
        <w:tc>
          <w:tcPr>
            <w:tcW w:w="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7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Grant-Date</w:t>
            </w:r>
          </w:p>
        </w:tc>
      </w:tr>
      <w:tr>
        <w:trPr>
          <w:trHeight w:val="186"/>
        </w:trPr>
        <w:tc>
          <w:tcPr>
            <w:tcW w:w="3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26"/>
        </w:trPr>
        <w:tc>
          <w:tcPr>
            <w:tcW w:w="44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as of December 31, 2020</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7,334,138</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6,060,670</w:t>
            </w:r>
          </w:p>
        </w:tc>
        <w:tc>
          <w:tcPr>
            <w:tcW w:w="24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13,394,808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48.80</w:t>
            </w:r>
          </w:p>
        </w:tc>
      </w:tr>
      <w:tr>
        <w:trPr>
          <w:trHeight w:val="20"/>
        </w:trPr>
        <w:tc>
          <w:tcPr>
            <w:tcW w:w="442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9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as of March 31, 2021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7,334,138</w:t>
            </w:r>
          </w:p>
        </w:tc>
        <w:tc>
          <w:tcPr>
            <w:tcW w:w="260" w:type="dxa"/>
            <w:vAlign w:val="bottom"/>
            <w:tcBorders>
              <w:right w:val="single" w:sz="8" w:color="CCEEFF"/>
            </w:tcBorders>
            <w:shd w:val="clear" w:color="auto" w:fill="CCEEFF"/>
          </w:tcPr>
          <w:p>
            <w:pPr>
              <w:spacing w:after="0"/>
              <w:rPr>
                <w:sz w:val="24"/>
                <w:szCs w:val="2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6,060,670</w:t>
            </w:r>
          </w:p>
        </w:tc>
        <w:tc>
          <w:tcPr>
            <w:tcW w:w="240" w:type="dxa"/>
            <w:vAlign w:val="bottom"/>
            <w:tcBorders>
              <w:right w:val="single" w:sz="8" w:color="CCEEFF"/>
            </w:tcBorders>
            <w:shd w:val="clear" w:color="auto" w:fill="CCEEFF"/>
          </w:tcPr>
          <w:p>
            <w:pPr>
              <w:spacing w:after="0"/>
              <w:rPr>
                <w:sz w:val="24"/>
                <w:szCs w:val="24"/>
                <w:color w:val="auto"/>
              </w:rPr>
            </w:pP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13,394,808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48.80</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-2134235</wp:posOffset>
            </wp:positionV>
            <wp:extent cx="440626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-213995</wp:posOffset>
            </wp:positionV>
            <wp:extent cx="768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-213995</wp:posOffset>
            </wp:positionV>
            <wp:extent cx="20574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-213995</wp:posOffset>
            </wp:positionV>
            <wp:extent cx="18859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44614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-556895</wp:posOffset>
            </wp:positionV>
            <wp:extent cx="13716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-556895</wp:posOffset>
            </wp:positionV>
            <wp:extent cx="1371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34118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9" w:lineRule="exact"/>
        <w:rPr>
          <w:sz w:val="20"/>
          <w:szCs w:val="20"/>
          <w:color w:val="auto"/>
        </w:rPr>
      </w:pPr>
    </w:p>
    <w:p>
      <w:pPr>
        <w:jc w:val="both"/>
        <w:ind w:left="1260" w:right="459" w:firstLine="360"/>
        <w:spacing w:after="0" w:line="277" w:lineRule="auto"/>
        <w:rPr>
          <w:sz w:val="20"/>
          <w:szCs w:val="20"/>
          <w:color w:val="auto"/>
        </w:rPr>
      </w:pPr>
      <w:r>
        <w:rPr>
          <w:rFonts w:ascii="Arial" w:cs="Arial" w:eastAsia="Arial" w:hAnsi="Arial"/>
          <w:sz w:val="18"/>
          <w:szCs w:val="18"/>
          <w:color w:val="auto"/>
        </w:rPr>
        <w:t>The weighted-average grant-date fair values of RSUs granted during the three months ended March 31, 2021 was $48.80.</w:t>
      </w:r>
    </w:p>
    <w:p>
      <w:pPr>
        <w:spacing w:after="0" w:line="89" w:lineRule="exact"/>
        <w:rPr>
          <w:sz w:val="20"/>
          <w:szCs w:val="20"/>
          <w:color w:val="auto"/>
        </w:rPr>
      </w:pPr>
    </w:p>
    <w:p>
      <w:pPr>
        <w:jc w:val="both"/>
        <w:ind w:left="1260" w:right="759" w:firstLine="360"/>
        <w:spacing w:after="0" w:line="287" w:lineRule="auto"/>
        <w:rPr>
          <w:sz w:val="20"/>
          <w:szCs w:val="20"/>
          <w:color w:val="auto"/>
        </w:rPr>
      </w:pPr>
      <w:r>
        <w:rPr>
          <w:rFonts w:ascii="Arial" w:cs="Arial" w:eastAsia="Arial" w:hAnsi="Arial"/>
          <w:sz w:val="16"/>
          <w:szCs w:val="16"/>
          <w:color w:val="auto"/>
        </w:rPr>
        <w:t>Time-based RSUs vest based on a performance condition and a service condition. The performance condition will be satisfied upon the Closing of the merger with CCIV, and service condition will be met generally over 4 years. The Company granted 5.2 million shares of the time-based RSUs to the CEO.</w:t>
      </w:r>
    </w:p>
    <w:p>
      <w:pPr>
        <w:spacing w:after="0" w:line="2" w:lineRule="exact"/>
        <w:rPr>
          <w:sz w:val="20"/>
          <w:szCs w:val="20"/>
          <w:color w:val="auto"/>
        </w:rPr>
      </w:pPr>
    </w:p>
    <w:p>
      <w:pPr>
        <w:jc w:val="both"/>
        <w:ind w:left="1260" w:right="499"/>
        <w:spacing w:after="0" w:line="255" w:lineRule="auto"/>
        <w:rPr>
          <w:sz w:val="20"/>
          <w:szCs w:val="20"/>
          <w:color w:val="auto"/>
        </w:rPr>
      </w:pPr>
      <w:r>
        <w:rPr>
          <w:rFonts w:ascii="Arial" w:cs="Arial" w:eastAsia="Arial" w:hAnsi="Arial"/>
          <w:sz w:val="18"/>
          <w:szCs w:val="18"/>
          <w:color w:val="auto"/>
        </w:rPr>
        <w:t>Subject to the CEO’s continued employment on each vesting date, the CEO’s time-based RSUs will vest in sixteen equal quarterly installments beginning on the first Vesting date that is at least two months following the Closing.</w:t>
      </w:r>
    </w:p>
    <w:p>
      <w:pPr>
        <w:spacing w:after="0" w:line="12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service condition for 25% of the Company’s non-CEO RSUs will be satisfied 375 days after the Closing. The remaining RSUs will be satisfied in equal quarterly installments thereafter, subject to continuous employment. The fair value of these award is estimated on the date of grant based on the market price of the CCIV’s stock times the actual exchange ratio on the Closing, discounted for lack of marketability.</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All performance-based RSUs are granted to the CEO. The CEO performance RSUs will vest subject to the performance and market conditions. The performance condition will be satisfied upon the Closing of the merger. The market conditions will be satisfied and vest in five tranches based on the achievement of market capitalization goals applicable to each tranche over any six-month period subject to the CEO’s continued employment through the applicable vesting date. Any CEO performance RSUs that have not vested within five years after the Closing of the merger will be forfeited. The fair value of these award is estimated on the grant date using Monte Carlo simulation model, and used the following assumptions for the three months ended March 31, 2021:</w:t>
      </w:r>
    </w:p>
    <w:p>
      <w:pPr>
        <w:spacing w:after="0" w:line="14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3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4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March 31, 2021</w:t>
            </w:r>
          </w:p>
        </w:tc>
      </w:tr>
      <w:tr>
        <w:trPr>
          <w:trHeight w:val="25"/>
        </w:trPr>
        <w:tc>
          <w:tcPr>
            <w:tcW w:w="41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3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60.0%</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40" w:type="dxa"/>
            <w:vAlign w:val="bottom"/>
            <w:gridSpan w:val="2"/>
          </w:tcPr>
          <w:p>
            <w:pPr>
              <w:jc w:val="right"/>
              <w:ind w:right="428"/>
              <w:spacing w:after="0"/>
              <w:rPr>
                <w:sz w:val="20"/>
                <w:szCs w:val="20"/>
                <w:color w:val="auto"/>
              </w:rPr>
            </w:pPr>
            <w:r>
              <w:rPr>
                <w:rFonts w:ascii="Arial" w:cs="Arial" w:eastAsia="Arial" w:hAnsi="Arial"/>
                <w:sz w:val="18"/>
                <w:szCs w:val="18"/>
                <w:color w:val="auto"/>
              </w:rPr>
              <w:t>5.0</w:t>
            </w:r>
          </w:p>
        </w:tc>
      </w:tr>
      <w:tr>
        <w:trPr>
          <w:trHeight w:val="25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0.85%</w:t>
            </w:r>
          </w:p>
        </w:tc>
      </w:tr>
      <w:tr>
        <w:trPr>
          <w:trHeight w:val="256"/>
        </w:trPr>
        <w:tc>
          <w:tcPr>
            <w:tcW w:w="4140" w:type="dxa"/>
            <w:vAlign w:val="bottom"/>
          </w:tcPr>
          <w:p>
            <w:pPr>
              <w:spacing w:after="0"/>
              <w:rPr>
                <w:sz w:val="20"/>
                <w:szCs w:val="20"/>
                <w:color w:val="auto"/>
              </w:rPr>
            </w:pPr>
            <w:r>
              <w:rPr>
                <w:rFonts w:ascii="Arial" w:cs="Arial" w:eastAsia="Arial" w:hAnsi="Arial"/>
                <w:sz w:val="18"/>
                <w:szCs w:val="18"/>
                <w:color w:val="auto"/>
              </w:rPr>
              <w:t>Expected dividends</w:t>
            </w:r>
          </w:p>
        </w:tc>
        <w:tc>
          <w:tcPr>
            <w:tcW w:w="3340" w:type="dxa"/>
            <w:vAlign w:val="bottom"/>
            <w:gridSpan w:val="2"/>
          </w:tcPr>
          <w:p>
            <w:pPr>
              <w:jc w:val="right"/>
              <w:ind w:right="288"/>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-659765</wp:posOffset>
            </wp:positionV>
            <wp:extent cx="392620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14" w:lineRule="exact"/>
        <w:rPr>
          <w:sz w:val="20"/>
          <w:szCs w:val="20"/>
          <w:color w:val="auto"/>
        </w:rPr>
      </w:pPr>
    </w:p>
    <w:p>
      <w:pPr>
        <w:ind w:left="1260" w:right="419" w:firstLine="360"/>
        <w:spacing w:after="0" w:line="311" w:lineRule="auto"/>
        <w:rPr>
          <w:sz w:val="20"/>
          <w:szCs w:val="20"/>
          <w:color w:val="auto"/>
        </w:rPr>
      </w:pPr>
      <w:r>
        <w:rPr>
          <w:rFonts w:ascii="Arial" w:cs="Arial" w:eastAsia="Arial" w:hAnsi="Arial"/>
          <w:sz w:val="16"/>
          <w:szCs w:val="16"/>
          <w:color w:val="auto"/>
        </w:rPr>
        <w:t>The Company recognizes compensation expense on a graded vesting schedule over the requisite vesting period for the time-based award. Stock-based compensation expense is recognized when the relevant performance condition is considered probable of achievement for the performance-based award. For the</w:t>
      </w:r>
    </w:p>
    <w:p>
      <w:pPr>
        <w:sectPr>
          <w:pgSz w:w="11900" w:h="16838" w:orient="portrait"/>
          <w:cols w:equalWidth="0" w:num="1">
            <w:col w:w="9879"/>
          </w:cols>
          <w:pgMar w:left="580" w:top="132"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5" w:name="page246"/>
    <w:bookmarkEnd w:id="24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color w:val="auto"/>
        </w:rPr>
        <w:t>three months ended March 31, 2021, no compensation expense was recognized as the different vesting conditions were not met, and the performance condition cannot be deemed probable until the Closing occurs.</w:t>
      </w:r>
    </w:p>
    <w:p>
      <w:pPr>
        <w:spacing w:after="0" w:line="101"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Total employee and nonemployee share-based compensation expense, including that related to the extended exercise terms for senior management and consultants for the three months ended March 31, 2021 and 2020, is classified in the consolidated statements of operations as follows (in thousands):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500" w:type="dxa"/>
            <w:vAlign w:val="bottom"/>
            <w:gridSpan w:val="8"/>
          </w:tcPr>
          <w:p>
            <w:pPr>
              <w:ind w:left="200"/>
              <w:spacing w:after="0"/>
              <w:rPr>
                <w:sz w:val="20"/>
                <w:szCs w:val="20"/>
                <w:color w:val="auto"/>
              </w:rPr>
            </w:pPr>
            <w:r>
              <w:rPr>
                <w:rFonts w:ascii="Arial" w:cs="Arial" w:eastAsia="Arial" w:hAnsi="Arial"/>
                <w:sz w:val="14"/>
                <w:szCs w:val="14"/>
                <w:b w:val="1"/>
                <w:bCs w:val="1"/>
                <w:color w:val="auto"/>
                <w:w w:val="92"/>
              </w:rPr>
              <w:t>Three Months Ended</w:t>
            </w: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r>
      <w:tr>
        <w:trPr>
          <w:trHeight w:val="26"/>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r>
      <w:tr>
        <w:trPr>
          <w:trHeight w:val="198"/>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2020</w:t>
            </w:r>
          </w:p>
        </w:tc>
      </w:tr>
      <w:tr>
        <w:trPr>
          <w:trHeight w:val="26"/>
        </w:trPr>
        <w:tc>
          <w:tcPr>
            <w:tcW w:w="5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12,952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786</w:t>
            </w:r>
          </w:p>
        </w:tc>
      </w:tr>
      <w:tr>
        <w:trPr>
          <w:trHeight w:val="26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91631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104,795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971</w:t>
            </w:r>
          </w:p>
        </w:tc>
      </w:tr>
      <w:tr>
        <w:trPr>
          <w:trHeight w:val="21"/>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-719455</wp:posOffset>
            </wp:positionV>
            <wp:extent cx="450913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82"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Total share -based compensation expense includes the $102.9 million share-based compensation expense related to the Series E convertible preferred shares issuance in March 2021. Refer to Note 5 “Contingent Forward Contracts” and Note 7 “Convertible Preferred Shares and Shareholders Deficit” for further detail.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LEASES</w:t>
      </w:r>
    </w:p>
    <w:p>
      <w:pPr>
        <w:spacing w:after="0" w:line="16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The Company has entered into various non- cancellable operating and finance lease agreements for certain of the Company’s offices, manufacturing and warehouse facilities, retail and service locations, equipment, vehicles, and solar energy systems, worldwide. The Company has determined if an arrangement is a lease, or contains a lease, at inception and record the leases in the Company’s financial statements upon later of ASC 820 adoption date of January 1, 2021, or lease commencement, which is the date when the underlying asset is made available for use by the lessor.</w:t>
      </w:r>
    </w:p>
    <w:p>
      <w:pPr>
        <w:spacing w:after="0" w:line="122"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Lease expense for operating lease payments is recognized on a straight-line basis over the lease term.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w:t>
      </w:r>
    </w:p>
    <w:p>
      <w:pPr>
        <w:spacing w:after="0" w:line="10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Lease expense for finance lease payments is recognized as amortization expense of the finance lease ROU asset and interest expense on the finance lease liability over the lease term.</w:t>
      </w:r>
    </w:p>
    <w:p>
      <w:pPr>
        <w:spacing w:after="0" w:line="103"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consolidated balance sheet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6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109,122</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257"/>
        </w:trPr>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133,637</w:t>
            </w:r>
          </w:p>
        </w:tc>
        <w:tc>
          <w:tcPr>
            <w:tcW w:w="0" w:type="dxa"/>
            <w:vAlign w:val="bottom"/>
          </w:tcPr>
          <w:p>
            <w:pPr>
              <w:spacing w:after="0"/>
              <w:rPr>
                <w:sz w:val="1"/>
                <w:szCs w:val="1"/>
                <w:color w:val="auto"/>
              </w:rPr>
            </w:pPr>
          </w:p>
        </w:tc>
      </w:tr>
      <w:tr>
        <w:trPr>
          <w:trHeight w:val="262"/>
        </w:trPr>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142,989</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2"/>
            <w:vMerge w:val="restart"/>
          </w:tcPr>
          <w:p>
            <w:pPr>
              <w:spacing w:after="0" w:line="203" w:lineRule="exact"/>
              <w:rPr>
                <w:sz w:val="20"/>
                <w:szCs w:val="20"/>
                <w:color w:val="auto"/>
              </w:rPr>
            </w:pPr>
            <w:r>
              <w:rPr>
                <w:rFonts w:ascii="Arial" w:cs="Arial" w:eastAsia="Arial" w:hAnsi="Arial"/>
                <w:sz w:val="18"/>
                <w:szCs w:val="18"/>
                <w:color w:val="auto"/>
              </w:rPr>
              <w:t>Finance leases: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37"/>
        </w:trPr>
        <w:tc>
          <w:tcPr>
            <w:tcW w:w="6800" w:type="dxa"/>
            <w:vAlign w:val="bottom"/>
            <w:gridSpan w:val="2"/>
          </w:tcPr>
          <w:p>
            <w:pPr>
              <w:spacing w:after="0"/>
              <w:rPr>
                <w:sz w:val="20"/>
                <w:szCs w:val="20"/>
                <w:color w:val="auto"/>
              </w:rPr>
            </w:pPr>
            <w:r>
              <w:rPr>
                <w:rFonts w:ascii="Arial" w:cs="Arial" w:eastAsia="Arial" w:hAnsi="Arial"/>
                <w:sz w:val="18"/>
                <w:szCs w:val="18"/>
                <w:color w:val="auto"/>
              </w:rPr>
              <w:t>Total finance lease assets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70"/>
        </w:trPr>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75"/>
        </w:trPr>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finance lease liabilities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1165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-1199515</wp:posOffset>
            </wp:positionV>
            <wp:extent cx="431165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-1799590</wp:posOffset>
            </wp:positionV>
            <wp:extent cx="430339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6" w:name="page247"/>
    <w:bookmarkEnd w:id="24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components of lease expense are as follows within the Company’s consolidated statement of operations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80" w:type="dxa"/>
            <w:vAlign w:val="bottom"/>
            <w:gridSpan w:val="5"/>
          </w:tcPr>
          <w:p>
            <w:pPr>
              <w:jc w:val="center"/>
              <w:ind w:left="1854"/>
              <w:spacing w:after="0"/>
              <w:rPr>
                <w:sz w:val="20"/>
                <w:szCs w:val="20"/>
                <w:color w:val="auto"/>
              </w:rPr>
            </w:pPr>
            <w:r>
              <w:rPr>
                <w:rFonts w:ascii="Arial" w:cs="Arial" w:eastAsia="Arial" w:hAnsi="Arial"/>
                <w:sz w:val="14"/>
                <w:szCs w:val="14"/>
                <w:b w:val="1"/>
                <w:bCs w:val="1"/>
                <w:color w:val="auto"/>
                <w:w w:val="90"/>
              </w:rPr>
              <w:t>Three Months Ended</w:t>
            </w: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March 31, 2021</w:t>
            </w:r>
          </w:p>
        </w:tc>
      </w:tr>
      <w:tr>
        <w:trPr>
          <w:trHeight w:val="26"/>
        </w:trPr>
        <w:tc>
          <w:tcPr>
            <w:tcW w:w="194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9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4200" w:type="dxa"/>
            <w:vAlign w:val="bottom"/>
            <w:gridSpan w:val="2"/>
          </w:tcPr>
          <w:p>
            <w:pPr>
              <w:spacing w:after="0" w:line="270"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6"/>
                <w:szCs w:val="26"/>
                <w:color w:val="auto"/>
                <w:vertAlign w:val="superscript"/>
              </w:rPr>
              <w:t>(1)</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6,303</w:t>
            </w:r>
          </w:p>
        </w:tc>
        <w:tc>
          <w:tcPr>
            <w:tcW w:w="400" w:type="dxa"/>
            <w:vAlign w:val="bottom"/>
          </w:tcPr>
          <w:p>
            <w:pPr>
              <w:spacing w:after="0"/>
              <w:rPr>
                <w:sz w:val="23"/>
                <w:szCs w:val="23"/>
                <w:color w:val="auto"/>
              </w:rPr>
            </w:pPr>
          </w:p>
        </w:tc>
      </w:tr>
      <w:tr>
        <w:trPr>
          <w:trHeight w:val="256"/>
        </w:trPr>
        <w:tc>
          <w:tcPr>
            <w:tcW w:w="360" w:type="dxa"/>
            <w:vAlign w:val="bottom"/>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1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00" w:type="dxa"/>
            <w:vAlign w:val="bottom"/>
            <w:shd w:val="clear" w:color="auto" w:fill="CCEEFF"/>
          </w:tcPr>
          <w:p>
            <w:pPr>
              <w:spacing w:after="0"/>
              <w:rPr>
                <w:sz w:val="22"/>
                <w:szCs w:val="22"/>
                <w:color w:val="auto"/>
              </w:rPr>
            </w:pPr>
          </w:p>
        </w:tc>
      </w:tr>
      <w:tr>
        <w:trPr>
          <w:trHeight w:val="257"/>
        </w:trPr>
        <w:tc>
          <w:tcPr>
            <w:tcW w:w="4560" w:type="dxa"/>
            <w:vAlign w:val="bottom"/>
            <w:gridSpan w:val="3"/>
          </w:tcPr>
          <w:p>
            <w:pPr>
              <w:ind w:left="360"/>
              <w:spacing w:after="0"/>
              <w:rPr>
                <w:sz w:val="20"/>
                <w:szCs w:val="20"/>
                <w:color w:val="auto"/>
              </w:rPr>
            </w:pPr>
            <w:r>
              <w:rPr>
                <w:rFonts w:ascii="Arial" w:cs="Arial" w:eastAsia="Arial" w:hAnsi="Arial"/>
                <w:sz w:val="18"/>
                <w:szCs w:val="18"/>
                <w:color w:val="auto"/>
              </w:rPr>
              <w:t>Finance lease expense:</w:t>
            </w:r>
          </w:p>
        </w:tc>
        <w:tc>
          <w:tcPr>
            <w:tcW w:w="1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leased assets</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00" w:type="dxa"/>
            <w:vAlign w:val="bottom"/>
            <w:shd w:val="clear" w:color="auto" w:fill="CCEEFF"/>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on lease liabilities</w:t>
            </w:r>
          </w:p>
        </w:tc>
        <w:tc>
          <w:tcPr>
            <w:tcW w:w="19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CCEEFF"/>
            </w:tcBorders>
          </w:tcPr>
          <w:p>
            <w:pPr>
              <w:spacing w:after="0"/>
              <w:rPr>
                <w:sz w:val="22"/>
                <w:szCs w:val="22"/>
                <w:color w:val="auto"/>
              </w:rPr>
            </w:pPr>
          </w:p>
        </w:tc>
      </w:tr>
      <w:tr>
        <w:trPr>
          <w:trHeight w:val="290"/>
        </w:trPr>
        <w:tc>
          <w:tcPr>
            <w:tcW w:w="360" w:type="dxa"/>
            <w:vAlign w:val="bottom"/>
          </w:tcPr>
          <w:p>
            <w:pPr>
              <w:spacing w:after="0"/>
              <w:rPr>
                <w:sz w:val="24"/>
                <w:szCs w:val="2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finance lease expense</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0" w:type="dxa"/>
            <w:vAlign w:val="bottom"/>
            <w:shd w:val="clear" w:color="auto" w:fill="CCEEFF"/>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r>
        <w:trPr>
          <w:trHeight w:val="231"/>
        </w:trPr>
        <w:tc>
          <w:tcPr>
            <w:tcW w:w="4560" w:type="dxa"/>
            <w:vAlign w:val="bottom"/>
            <w:gridSpan w:val="3"/>
          </w:tcPr>
          <w:p>
            <w:pPr>
              <w:ind w:left="360"/>
              <w:spacing w:after="0"/>
              <w:rPr>
                <w:sz w:val="20"/>
                <w:szCs w:val="20"/>
                <w:color w:val="auto"/>
              </w:rPr>
            </w:pPr>
            <w:r>
              <w:rPr>
                <w:rFonts w:ascii="Arial" w:cs="Arial" w:eastAsia="Arial" w:hAnsi="Arial"/>
                <w:sz w:val="18"/>
                <w:szCs w:val="18"/>
                <w:color w:val="auto"/>
              </w:rPr>
              <w:t>Total lease expense</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7,570</w:t>
            </w:r>
          </w:p>
        </w:tc>
        <w:tc>
          <w:tcPr>
            <w:tcW w:w="400" w:type="dxa"/>
            <w:vAlign w:val="bottom"/>
          </w:tcPr>
          <w:p>
            <w:pPr>
              <w:spacing w:after="0"/>
              <w:rPr>
                <w:sz w:val="20"/>
                <w:szCs w:val="20"/>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74916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-1499870</wp:posOffset>
            </wp:positionV>
            <wp:extent cx="392620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28" w:lineRule="exact"/>
        <w:rPr>
          <w:sz w:val="20"/>
          <w:szCs w:val="20"/>
          <w:color w:val="auto"/>
        </w:rPr>
      </w:pPr>
    </w:p>
    <w:p>
      <w:pPr>
        <w:ind w:left="1620" w:hanging="360"/>
        <w:spacing w:after="0"/>
        <w:tabs>
          <w:tab w:leader="none" w:pos="1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Includes short-term leases, which are immaterial.</w:t>
      </w:r>
    </w:p>
    <w:p>
      <w:pPr>
        <w:spacing w:after="0" w:line="21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Other information related to leases where the Company is the lessee is as 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684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March 31,</w:t>
            </w:r>
          </w:p>
        </w:tc>
      </w:tr>
      <w:tr>
        <w:trPr>
          <w:trHeight w:val="186"/>
        </w:trPr>
        <w:tc>
          <w:tcPr>
            <w:tcW w:w="68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r>
      <w:tr>
        <w:trPr>
          <w:trHeight w:val="26"/>
        </w:trPr>
        <w:tc>
          <w:tcPr>
            <w:tcW w:w="68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6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Operating leases</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2"/>
                <w:szCs w:val="22"/>
                <w:color w:val="auto"/>
              </w:rPr>
            </w:pPr>
          </w:p>
        </w:tc>
      </w:tr>
      <w:tr>
        <w:trPr>
          <w:trHeight w:val="25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2"/>
                <w:szCs w:val="22"/>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23"/>
                <w:szCs w:val="23"/>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Finance leases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-1002030</wp:posOffset>
            </wp:positionV>
            <wp:extent cx="433768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2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Supplemental cash flow information related to leases where the Company is the lessee is as follows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Three Months Ended</w:t>
            </w:r>
          </w:p>
        </w:tc>
      </w:tr>
      <w:tr>
        <w:trPr>
          <w:trHeight w:val="186"/>
        </w:trPr>
        <w:tc>
          <w:tcPr>
            <w:tcW w:w="6920" w:type="dxa"/>
            <w:vAlign w:val="bottom"/>
          </w:tcPr>
          <w:p>
            <w:pPr>
              <w:spacing w:after="0"/>
              <w:rPr>
                <w:sz w:val="16"/>
                <w:szCs w:val="16"/>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March 31, 2021</w:t>
            </w:r>
          </w:p>
        </w:tc>
      </w:tr>
      <w:tr>
        <w:trPr>
          <w:trHeight w:val="25"/>
        </w:trPr>
        <w:tc>
          <w:tcPr>
            <w:tcW w:w="6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6"/>
        </w:trPr>
        <w:tc>
          <w:tcPr>
            <w:tcW w:w="692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4,099</w:t>
            </w:r>
          </w:p>
        </w:tc>
      </w:tr>
      <w:tr>
        <w:trPr>
          <w:trHeight w:val="25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finance leases (interest payments)</w:t>
            </w: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72</w:t>
            </w:r>
          </w:p>
        </w:tc>
      </w:tr>
      <w:tr>
        <w:trPr>
          <w:trHeight w:val="256"/>
        </w:trPr>
        <w:tc>
          <w:tcPr>
            <w:tcW w:w="692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tcPr>
          <w:p>
            <w:pPr>
              <w:spacing w:after="0"/>
              <w:rPr>
                <w:sz w:val="22"/>
                <w:szCs w:val="22"/>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588</w:t>
            </w:r>
          </w:p>
        </w:tc>
      </w:tr>
      <w:tr>
        <w:trPr>
          <w:trHeight w:val="27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20,553</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4,093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-1002665</wp:posOffset>
            </wp:positionV>
            <wp:extent cx="438912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41" w:lineRule="exact"/>
        <w:rPr>
          <w:sz w:val="20"/>
          <w:szCs w:val="20"/>
          <w:color w:val="auto"/>
        </w:rPr>
      </w:pPr>
    </w:p>
    <w:p>
      <w:pPr>
        <w:ind w:left="1260" w:right="1219" w:firstLine="360"/>
        <w:spacing w:after="0" w:line="277" w:lineRule="auto"/>
        <w:rPr>
          <w:sz w:val="20"/>
          <w:szCs w:val="20"/>
          <w:color w:val="auto"/>
        </w:rPr>
      </w:pPr>
      <w:r>
        <w:rPr>
          <w:rFonts w:ascii="Arial" w:cs="Arial" w:eastAsia="Arial" w:hAnsi="Arial"/>
          <w:sz w:val="18"/>
          <w:szCs w:val="18"/>
          <w:color w:val="auto"/>
        </w:rPr>
        <w:t>As of March 31, 2021, the maturities of the Company’s operating and finance lease liabilities (excluding short-term leases)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Finance</w:t>
            </w:r>
          </w:p>
        </w:tc>
      </w:tr>
      <w:tr>
        <w:trPr>
          <w:trHeight w:val="186"/>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Leases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Leases</w:t>
            </w:r>
          </w:p>
        </w:tc>
      </w:tr>
      <w:tr>
        <w:trPr>
          <w:trHeight w:val="26"/>
        </w:trPr>
        <w:tc>
          <w:tcPr>
            <w:tcW w:w="5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ending December 31, 2021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$ 2,078</w:t>
            </w:r>
          </w:p>
        </w:tc>
        <w:tc>
          <w:tcPr>
            <w:tcW w:w="60" w:type="dxa"/>
            <w:vAlign w:val="bottom"/>
          </w:tcPr>
          <w:p>
            <w:pPr>
              <w:spacing w:after="0"/>
              <w:rPr>
                <w:sz w:val="21"/>
                <w:szCs w:val="21"/>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27,239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2,597</w:t>
            </w:r>
          </w:p>
        </w:tc>
        <w:tc>
          <w:tcPr>
            <w:tcW w:w="60" w:type="dxa"/>
            <w:vAlign w:val="bottom"/>
          </w:tcPr>
          <w:p>
            <w:pPr>
              <w:spacing w:after="0"/>
              <w:rPr>
                <w:sz w:val="22"/>
                <w:szCs w:val="22"/>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60" w:type="dxa"/>
            <w:vAlign w:val="bottom"/>
          </w:tcPr>
          <w:p>
            <w:pPr>
              <w:spacing w:after="0"/>
              <w:rPr>
                <w:sz w:val="22"/>
                <w:szCs w:val="22"/>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26,707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2"/>
                <w:szCs w:val="22"/>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60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103,883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6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228,743</w:t>
            </w: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60" w:type="dxa"/>
            <w:vAlign w:val="bottom"/>
          </w:tcPr>
          <w:p>
            <w:pPr>
              <w:spacing w:after="0"/>
              <w:rPr>
                <w:sz w:val="22"/>
                <w:szCs w:val="22"/>
                <w:color w:val="auto"/>
              </w:rPr>
            </w:pPr>
          </w:p>
        </w:tc>
      </w:tr>
      <w:tr>
        <w:trPr>
          <w:trHeight w:val="263"/>
        </w:trPr>
        <w:tc>
          <w:tcPr>
            <w:tcW w:w="600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(85,754)</w:t>
            </w:r>
          </w:p>
        </w:tc>
        <w:tc>
          <w:tcPr>
            <w:tcW w:w="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(388)</w:t>
            </w:r>
          </w:p>
        </w:tc>
      </w:tr>
      <w:tr>
        <w:trPr>
          <w:trHeight w:val="257"/>
        </w:trPr>
        <w:tc>
          <w:tcPr>
            <w:tcW w:w="6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142,989</w:t>
            </w: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60" w:type="dxa"/>
            <w:vAlign w:val="bottom"/>
          </w:tcPr>
          <w:p>
            <w:pPr>
              <w:spacing w:after="0"/>
              <w:rPr>
                <w:sz w:val="22"/>
                <w:szCs w:val="22"/>
                <w:color w:val="auto"/>
              </w:rPr>
            </w:pPr>
          </w:p>
        </w:tc>
      </w:tr>
      <w:tr>
        <w:trPr>
          <w:trHeight w:val="263"/>
        </w:trPr>
        <w:tc>
          <w:tcPr>
            <w:tcW w:w="60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(9,352)</w:t>
            </w:r>
          </w:p>
        </w:tc>
        <w:tc>
          <w:tcPr>
            <w:tcW w:w="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(2,510)</w:t>
            </w:r>
          </w:p>
        </w:tc>
      </w:tr>
      <w:tr>
        <w:trPr>
          <w:trHeight w:val="295"/>
        </w:trPr>
        <w:tc>
          <w:tcPr>
            <w:tcW w:w="6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133,637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$ 4,244</w:t>
            </w:r>
          </w:p>
        </w:tc>
        <w:tc>
          <w:tcPr>
            <w:tcW w:w="60" w:type="dxa"/>
            <w:vAlign w:val="bottom"/>
          </w:tcPr>
          <w:p>
            <w:pPr>
              <w:spacing w:after="0"/>
              <w:rPr>
                <w:sz w:val="24"/>
                <w:szCs w:val="24"/>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8912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38912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-899795</wp:posOffset>
            </wp:positionV>
            <wp:extent cx="438912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-1893570</wp:posOffset>
            </wp:positionV>
            <wp:extent cx="438023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22"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As previously reported in the Company’s audited financial statements for the year ended December 31, 2020 and under legacy lease accounting (ASC 840), future minimum lease payments under non-cancellable leases as of December 31, 2020 are as follows (in thousands):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Finance</w:t>
            </w:r>
          </w:p>
        </w:tc>
      </w:tr>
      <w:tr>
        <w:trPr>
          <w:trHeight w:val="186"/>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Leases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Leases</w:t>
            </w:r>
          </w:p>
        </w:tc>
      </w:tr>
      <w:tr>
        <w:trPr>
          <w:trHeight w:val="26"/>
        </w:trPr>
        <w:tc>
          <w:tcPr>
            <w:tcW w:w="5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$ 1,729</w:t>
            </w:r>
          </w:p>
        </w:tc>
        <w:tc>
          <w:tcPr>
            <w:tcW w:w="60" w:type="dxa"/>
            <w:vAlign w:val="bottom"/>
          </w:tcPr>
          <w:p>
            <w:pPr>
              <w:spacing w:after="0"/>
              <w:rPr>
                <w:sz w:val="21"/>
                <w:szCs w:val="21"/>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28,837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1,547</w:t>
            </w:r>
          </w:p>
        </w:tc>
        <w:tc>
          <w:tcPr>
            <w:tcW w:w="60" w:type="dxa"/>
            <w:vAlign w:val="bottom"/>
          </w:tcPr>
          <w:p>
            <w:pPr>
              <w:spacing w:after="0"/>
              <w:rPr>
                <w:sz w:val="22"/>
                <w:szCs w:val="22"/>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22"/>
                <w:szCs w:val="22"/>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28,207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60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116,155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95"/>
        </w:trPr>
        <w:tc>
          <w:tcPr>
            <w:tcW w:w="6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253,796</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60" w:type="dxa"/>
            <w:vAlign w:val="bottom"/>
          </w:tcPr>
          <w:p>
            <w:pPr>
              <w:spacing w:after="0"/>
              <w:rPr>
                <w:sz w:val="24"/>
                <w:szCs w:val="24"/>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600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(1,202)</w:t>
            </w:r>
          </w:p>
        </w:tc>
      </w:tr>
      <w:tr>
        <w:trPr>
          <w:trHeight w:val="256"/>
        </w:trPr>
        <w:tc>
          <w:tcPr>
            <w:tcW w:w="6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60" w:type="dxa"/>
            <w:vAlign w:val="bottom"/>
          </w:tcPr>
          <w:p>
            <w:pPr>
              <w:spacing w:after="0"/>
              <w:rPr>
                <w:sz w:val="22"/>
                <w:szCs w:val="22"/>
                <w:color w:val="auto"/>
              </w:rPr>
            </w:pPr>
          </w:p>
        </w:tc>
      </w:tr>
      <w:tr>
        <w:trPr>
          <w:trHeight w:val="264"/>
        </w:trPr>
        <w:tc>
          <w:tcPr>
            <w:tcW w:w="60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(1,261)</w:t>
            </w:r>
          </w:p>
        </w:tc>
      </w:tr>
      <w:tr>
        <w:trPr>
          <w:trHeight w:val="295"/>
        </w:trPr>
        <w:tc>
          <w:tcPr>
            <w:tcW w:w="6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60" w:type="dxa"/>
            <w:vAlign w:val="bottom"/>
          </w:tcPr>
          <w:p>
            <w:pPr>
              <w:spacing w:after="0"/>
              <w:rPr>
                <w:sz w:val="24"/>
                <w:szCs w:val="24"/>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891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3891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-933450</wp:posOffset>
            </wp:positionV>
            <wp:extent cx="438912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-1927860</wp:posOffset>
            </wp:positionV>
            <wp:extent cx="438023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As of March 31, 2021, and December 31, 2020, the Company had $413.1 million and $406.1 million in commitments related to the Arizona manufacturing plant and equipment. This represents future expected payments on open purchase orders entered as of March 31, 2021, and December 31, 2020.</w:t>
      </w:r>
    </w:p>
    <w:p>
      <w:pPr>
        <w:spacing w:after="0" w:line="8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The Company entered into non-cancellable purchase commitment to purchase battery cells over the next 3 years. Battery cell costs can fluctuate from time to time based on, among other things, supply and demand, costs of raw materials, and purchase volumes. The estimated purchase commitment as of March 31, 2021 is set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8" w:name="page249"/>
    <w:bookmarkEnd w:id="24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Minimum</w:t>
            </w:r>
          </w:p>
        </w:tc>
      </w:tr>
      <w:tr>
        <w:trPr>
          <w:trHeight w:val="162"/>
        </w:trPr>
        <w:tc>
          <w:tcPr>
            <w:tcW w:w="6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Purchase</w:t>
            </w:r>
          </w:p>
        </w:tc>
      </w:tr>
      <w:tr>
        <w:trPr>
          <w:trHeight w:val="186"/>
        </w:trPr>
        <w:tc>
          <w:tcPr>
            <w:tcW w:w="668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Commitment</w:t>
            </w:r>
          </w:p>
        </w:tc>
      </w:tr>
      <w:tr>
        <w:trPr>
          <w:trHeight w:val="26"/>
        </w:trPr>
        <w:tc>
          <w:tcPr>
            <w:tcW w:w="66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2021 (remainder of the year)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$110,008</w:t>
            </w:r>
          </w:p>
        </w:tc>
        <w:tc>
          <w:tcPr>
            <w:tcW w:w="60" w:type="dxa"/>
            <w:vAlign w:val="bottom"/>
          </w:tcPr>
          <w:p>
            <w:pPr>
              <w:spacing w:after="0"/>
              <w:rPr>
                <w:sz w:val="22"/>
                <w:szCs w:val="22"/>
                <w:color w:val="auto"/>
              </w:rPr>
            </w:pPr>
          </w:p>
        </w:tc>
      </w:tr>
      <w:tr>
        <w:trPr>
          <w:trHeight w:val="25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202,400</w:t>
            </w:r>
          </w:p>
        </w:tc>
        <w:tc>
          <w:tcPr>
            <w:tcW w:w="60" w:type="dxa"/>
            <w:vAlign w:val="bottom"/>
            <w:shd w:val="clear" w:color="auto" w:fill="CCEEFF"/>
          </w:tcPr>
          <w:p>
            <w:pPr>
              <w:spacing w:after="0"/>
              <w:rPr>
                <w:sz w:val="22"/>
                <w:szCs w:val="22"/>
                <w:color w:val="auto"/>
              </w:rPr>
            </w:pPr>
          </w:p>
        </w:tc>
      </w:tr>
      <w:tr>
        <w:trPr>
          <w:trHeight w:val="263"/>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202,400</w:t>
            </w:r>
          </w:p>
        </w:tc>
        <w:tc>
          <w:tcPr>
            <w:tcW w:w="60" w:type="dxa"/>
            <w:vAlign w:val="bottom"/>
            <w:tcBorders>
              <w:bottom w:val="single" w:sz="8" w:color="CCEEFF"/>
            </w:tcBorders>
          </w:tcPr>
          <w:p>
            <w:pPr>
              <w:spacing w:after="0"/>
              <w:rPr>
                <w:sz w:val="22"/>
                <w:szCs w:val="22"/>
                <w:color w:val="auto"/>
              </w:rPr>
            </w:pPr>
          </w:p>
        </w:tc>
      </w:tr>
      <w:tr>
        <w:trPr>
          <w:trHeight w:val="29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$514,808</w:t>
            </w:r>
          </w:p>
        </w:tc>
        <w:tc>
          <w:tcPr>
            <w:tcW w:w="60" w:type="dxa"/>
            <w:vAlign w:val="bottom"/>
            <w:shd w:val="clear" w:color="auto" w:fill="CCEEFF"/>
          </w:tcPr>
          <w:p>
            <w:pPr>
              <w:spacing w:after="0"/>
              <w:rPr>
                <w:sz w:val="24"/>
                <w:szCs w:val="24"/>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-882650</wp:posOffset>
            </wp:positionV>
            <wp:extent cx="424307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recognition of the CEO’s efforts on the contemplated merger, the board of directors approved 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 million transaction bonus payable to the CEO, subject to: (1) the Closing of the merger, (ii) the CEO’s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continued employment through the closing date and (iii) the CEO’s not giving notice of his intent to resign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or before the closing date. The transaction bonus will be paid to the CEO on the first regularly scheduled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payroll date after the Closing.</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 There is no material pending or threatened litigation against the Company that remains outstanding as of March 31, 2021.</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$18.2 million and $15.5 million as of March 31, 2021 and December 31, 2020, respectively, for which no liabilities are recorded on the consolidated balance sheets.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INCOME TAXES</w:t>
      </w:r>
    </w:p>
    <w:p>
      <w:pPr>
        <w:spacing w:after="0" w:line="14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Company’s provision from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19"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because the entity is in a year-to-date and forecasted loss position; therefore, any taxes reported are due to foreign income taxes and state minimum taxes.</w:t>
      </w:r>
    </w:p>
    <w:p>
      <w:pPr>
        <w:spacing w:after="0" w:line="125"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The Company recorded an income tax provision (benefit) of $0.0 million and $(0.1) million for the three months ended March 31, 2021 and 2020, resulting in an effective tax rate of 0.0% and 0.1% for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9" w:name="page250"/>
    <w:bookmarkEnd w:id="24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color w:val="auto"/>
        </w:rPr>
        <w:t>same periods prior year. The change is primarily due to foreign income taxes, state income taxes, and a decrease in pre-tax income.</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March 31, 2021 and December 31, 2020, the Company had unrecognized tax benefits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$65.4 million and $42.9 million, of which $2.6 million, if recognized for both periods, would favorably</w:t>
      </w:r>
    </w:p>
    <w:p>
      <w:pPr>
        <w:ind w:left="1260"/>
        <w:spacing w:after="0" w:line="234" w:lineRule="auto"/>
        <w:rPr>
          <w:sz w:val="20"/>
          <w:szCs w:val="20"/>
          <w:color w:val="auto"/>
        </w:rPr>
      </w:pPr>
      <w:r>
        <w:rPr>
          <w:rFonts w:ascii="Arial" w:cs="Arial" w:eastAsia="Arial" w:hAnsi="Arial"/>
          <w:sz w:val="18"/>
          <w:szCs w:val="18"/>
          <w:color w:val="auto"/>
        </w:rPr>
        <w:t>impact the Company’s effective tax rate. The Company does not anticipate a material change in its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unrecognized tax benefits in the next 12 months.</w:t>
      </w:r>
    </w:p>
    <w:p>
      <w:pPr>
        <w:spacing w:after="0" w:line="12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On June 29, 2020, the California governor signed into law the 2020 Budget Act, which temporarily suspends the utilization of net operating losses and limits the utilization of the research credit to $5 million annually for 2020, 2021 and 2022. The Company is continuing to assess the 2020 Budget Act, but currently does not expect any material impact to the condensed consolidated financial statements.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NET LOSS PER SHARE</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Basic and diluted net loss per share are calculated as follows (in thousands, except per share amounts):</w:t>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(747,952)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(129,583)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w w:val="97"/>
              </w:rPr>
              <w:t>Deemed dividend related to the issuance of Series E convertible preferred shares</w:t>
            </w:r>
          </w:p>
        </w:tc>
        <w:tc>
          <w:tcPr>
            <w:tcW w:w="10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(2,167,333)</w:t>
            </w: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(2,915,285)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(129,583)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 – basic</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w w:val="99"/>
              </w:rPr>
              <w:t>Effect of dilutive potential common shares from share options, stock awards and</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employee share purchase plan</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(236.07)</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vMerge w:val="continue"/>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7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(236.07)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-402590</wp:posOffset>
            </wp:positionV>
            <wp:extent cx="5212080" cy="18859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-753745</wp:posOffset>
            </wp:positionV>
            <wp:extent cx="474027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-1576705</wp:posOffset>
            </wp:positionV>
            <wp:extent cx="474027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-2245360</wp:posOffset>
            </wp:positionV>
            <wp:extent cx="473202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82"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The following table sets forth the potential shares of common share as of the end of each period presented that are not included in the calculation of diluted net loss per share because to do so would be anti-dilutive:</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0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March 31,</w:t>
            </w:r>
          </w:p>
        </w:tc>
      </w:tr>
      <w:tr>
        <w:trPr>
          <w:trHeight w:val="25"/>
        </w:trPr>
        <w:tc>
          <w:tcPr>
            <w:tcW w:w="6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616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r>
      <w:tr>
        <w:trPr>
          <w:trHeight w:val="25"/>
        </w:trPr>
        <w:tc>
          <w:tcPr>
            <w:tcW w:w="6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411,875,942</w:t>
            </w: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362,011,991</w:t>
            </w:r>
          </w:p>
        </w:tc>
      </w:tr>
      <w:tr>
        <w:trPr>
          <w:trHeight w:val="256"/>
        </w:trPr>
        <w:tc>
          <w:tcPr>
            <w:tcW w:w="616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26,629,213</w:t>
            </w: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26,730,453</w:t>
            </w:r>
          </w:p>
        </w:tc>
      </w:tr>
      <w:tr>
        <w:trPr>
          <w:trHeight w:val="25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 outstanding</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13,394,808</w:t>
            </w: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preferred share warrant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585,022</w:t>
            </w:r>
          </w:p>
        </w:tc>
      </w:tr>
      <w:tr>
        <w:trPr>
          <w:trHeight w:val="29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 convertible securities to common shares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451,899,963</w:t>
            </w: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389,327,466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63740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-882015</wp:posOffset>
            </wp:positionV>
            <wp:extent cx="462915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EMPLOYEE BENEFIT PLAN</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months ended March 31, 2021 and 2020.</w:t>
      </w:r>
    </w:p>
    <w:p>
      <w:pPr>
        <w:sectPr>
          <w:pgSz w:w="11900" w:h="16838" w:orient="portrait"/>
          <w:cols w:equalWidth="0" w:num="1">
            <w:col w:w="9879"/>
          </w:cols>
          <w:pgMar w:left="580" w:top="132" w:right="1440" w:bottom="1440" w:gutter="0" w:footer="0" w:header="0"/>
        </w:sectPr>
      </w:pP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0" w:name="page251"/>
    <w:bookmarkEnd w:id="25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SUBSEQUENT EVENTS</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In connection with the preparation of the financial statements for the three months ended March 31, 2021, the Company has evaluated subsequent events through June 11, 2021, the date the financial statements were available to be issued, for both conditions existing and not existing at March 31, 2021, and concluded there were no subsequent events to recognize in the financial statements.</w:t>
      </w:r>
    </w:p>
    <w:p>
      <w:pPr>
        <w:spacing w:after="0" w:line="119" w:lineRule="exact"/>
        <w:rPr>
          <w:sz w:val="20"/>
          <w:szCs w:val="20"/>
          <w:color w:val="auto"/>
        </w:rPr>
      </w:pPr>
    </w:p>
    <w:p>
      <w:pPr>
        <w:jc w:val="both"/>
        <w:ind w:left="1260" w:right="619" w:firstLine="360"/>
        <w:spacing w:after="0" w:line="271" w:lineRule="auto"/>
        <w:rPr>
          <w:sz w:val="20"/>
          <w:szCs w:val="20"/>
          <w:color w:val="auto"/>
        </w:rPr>
      </w:pPr>
      <w:r>
        <w:rPr>
          <w:rFonts w:ascii="Arial" w:cs="Arial" w:eastAsia="Arial" w:hAnsi="Arial"/>
          <w:sz w:val="17"/>
          <w:szCs w:val="17"/>
          <w:color w:val="auto"/>
        </w:rPr>
        <w:t>In April 2021, the Company issued 25,306,130 Series E convertible preferred shares from the fourth closing at $7.90 per share for cash consideration of approximately $200.0 million. The Company received $107.1 million of the entire cash consideration in March 2021 and the remaining $92.9 million in</w:t>
      </w:r>
    </w:p>
    <w:p>
      <w:pPr>
        <w:ind w:left="1260" w:right="439"/>
        <w:spacing w:after="0" w:line="268" w:lineRule="auto"/>
        <w:rPr>
          <w:sz w:val="20"/>
          <w:szCs w:val="20"/>
          <w:color w:val="auto"/>
        </w:rPr>
      </w:pPr>
      <w:r>
        <w:rPr>
          <w:rFonts w:ascii="Arial" w:cs="Arial" w:eastAsia="Arial" w:hAnsi="Arial"/>
          <w:sz w:val="17"/>
          <w:szCs w:val="17"/>
          <w:color w:val="auto"/>
        </w:rPr>
        <w:t>April 2021. The Company issued Offer Notices to certain of the Company’s management and members of the Board of Directors in March 2021 and April 2021. The Series E convertible preferred shares issued from the fourth closing include 1,147,577 shares issued to the Company’s management and 627,347 shares issued to members of the Board of Directors. The total issuance to the Company’s management included 202,449 shares offered to the CEO in April 2021. The offer to employees to participate in the future Series E convertible preferred share financing represented a fully vested, equity classified award. The award’s full grant date fair value of $123.6 million was recorded as share-based compensation at the grant date, of which $20.7 million was granted in April 2021 and will be recognized during the three months ended June 30, 2021. To the extent that such award constitutes compensation for tax purposes, the Company is obligated to remit personal income tax and pay employer payroll tax on such amounts.</w:t>
      </w:r>
    </w:p>
    <w:p>
      <w:pPr>
        <w:spacing w:after="0" w:line="111"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From April 2021 through May 2021, the Company entered into new retail lease agreements for various locations. The leases commenced in and after April 2021 and will expire on or before March 2032. Under the lease agreements, the Company will pay base rent from $0.2 million to $1.2 million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1" w:name="page252"/>
    <w:bookmarkEnd w:id="25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Churchill Capital Corp IV</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We have audited the accompanying balance sheet of Churchill Capital Corp IV (the “Company”) as of December 31, 2020, the related statements of operations, changes in stockholders’ equity and cash flows for the period from April 30,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April 30, 2020 (inception) through December 31, 2020, in conformity with accounting principles generally accepted in the United States of America.</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62"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As disclosed in Note 2, the accompanying financial statements as of December 31, 2020 and for the period from April 30, 2020 (inception) through December 31, 2020, have been restated.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1260" w:right="45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Marcum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Marcum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TX</w:t>
      </w:r>
    </w:p>
    <w:p>
      <w:pPr>
        <w:spacing w:after="0" w:line="158"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color w:val="auto"/>
        </w:rPr>
        <w:t>March 15, 2021, except for the effects of the restatement disclosed in Note 2 and the subsequent events discussed in Note 12 (Legal Proceedings), as to which the date is May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060" w:type="dxa"/>
            <w:vAlign w:val="bottom"/>
          </w:tcPr>
          <w:p>
            <w:pPr>
              <w:jc w:val="center"/>
              <w:ind w:left="1070"/>
              <w:spacing w:after="0"/>
              <w:rPr>
                <w:sz w:val="20"/>
                <w:szCs w:val="20"/>
                <w:color w:val="auto"/>
              </w:rPr>
            </w:pPr>
            <w:r>
              <w:rPr>
                <w:rFonts w:ascii="Arial" w:cs="Arial" w:eastAsia="Arial" w:hAnsi="Arial"/>
                <w:sz w:val="18"/>
                <w:szCs w:val="18"/>
                <w:b w:val="1"/>
                <w:bCs w:val="1"/>
                <w:color w:val="auto"/>
                <w:w w:val="99"/>
              </w:rPr>
              <w:t>CHURCHILL CAPITAL CORP IV</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60" w:type="dxa"/>
            <w:vAlign w:val="bottom"/>
          </w:tcPr>
          <w:p>
            <w:pPr>
              <w:jc w:val="center"/>
              <w:ind w:left="1010"/>
              <w:spacing w:after="0"/>
              <w:rPr>
                <w:sz w:val="20"/>
                <w:szCs w:val="20"/>
                <w:color w:val="auto"/>
              </w:rPr>
            </w:pPr>
            <w:r>
              <w:rPr>
                <w:rFonts w:ascii="Arial" w:cs="Arial" w:eastAsia="Arial" w:hAnsi="Arial"/>
                <w:sz w:val="18"/>
                <w:szCs w:val="18"/>
                <w:b w:val="1"/>
                <w:bCs w:val="1"/>
                <w:color w:val="auto"/>
                <w:w w:val="96"/>
              </w:rPr>
              <w:t>BALANCE SHEET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DECEMBER 31, 2020 (As Restated)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937,786</w:t>
            </w:r>
          </w:p>
        </w:tc>
        <w:tc>
          <w:tcPr>
            <w:tcW w:w="0" w:type="dxa"/>
            <w:vAlign w:val="bottom"/>
          </w:tcPr>
          <w:p>
            <w:pPr>
              <w:spacing w:after="0"/>
              <w:rPr>
                <w:sz w:val="1"/>
                <w:szCs w:val="1"/>
                <w:color w:val="auto"/>
              </w:rPr>
            </w:pPr>
          </w:p>
        </w:tc>
      </w:tr>
      <w:tr>
        <w:trPr>
          <w:trHeight w:val="256"/>
        </w:trPr>
        <w:tc>
          <w:tcPr>
            <w:tcW w:w="7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6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2,070,086,006</w:t>
            </w:r>
          </w:p>
        </w:tc>
        <w:tc>
          <w:tcPr>
            <w:tcW w:w="0" w:type="dxa"/>
            <w:vAlign w:val="bottom"/>
          </w:tcPr>
          <w:p>
            <w:pPr>
              <w:spacing w:after="0"/>
              <w:rPr>
                <w:sz w:val="1"/>
                <w:szCs w:val="1"/>
                <w:color w:val="auto"/>
              </w:rPr>
            </w:pPr>
          </w:p>
        </w:tc>
      </w:tr>
      <w:tr>
        <w:trPr>
          <w:trHeight w:val="295"/>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2,074,616,649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60" w:type="dxa"/>
            <w:vAlign w:val="bottom"/>
          </w:tcPr>
          <w:p>
            <w:pPr>
              <w:spacing w:after="0"/>
              <w:rPr>
                <w:sz w:val="20"/>
                <w:szCs w:val="20"/>
                <w:color w:val="auto"/>
              </w:rPr>
            </w:pPr>
            <w:r>
              <w:rPr>
                <w:rFonts w:ascii="Arial" w:cs="Arial" w:eastAsia="Arial" w:hAnsi="Arial"/>
                <w:sz w:val="18"/>
                <w:szCs w:val="18"/>
                <w:color w:val="auto"/>
              </w:rPr>
              <w:t>Deferred underwriting payable</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72,450,000</w:t>
            </w:r>
          </w:p>
        </w:tc>
        <w:tc>
          <w:tcPr>
            <w:tcW w:w="0" w:type="dxa"/>
            <w:vAlign w:val="bottom"/>
          </w:tcPr>
          <w:p>
            <w:pPr>
              <w:spacing w:after="0"/>
              <w:rPr>
                <w:sz w:val="1"/>
                <w:szCs w:val="1"/>
                <w:color w:val="auto"/>
              </w:rPr>
            </w:pPr>
          </w:p>
        </w:tc>
      </w:tr>
      <w:tr>
        <w:trPr>
          <w:trHeight w:val="263"/>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216,178,873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A common stock subject to possible redemption 185,343,777 shares at redemption</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1,853,437,770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 shares issued and</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060" w:type="dxa"/>
            <w:vAlign w:val="bottom"/>
          </w:tcPr>
          <w:p>
            <w:pPr>
              <w:spacing w:after="0"/>
              <w:rPr>
                <w:sz w:val="20"/>
                <w:szCs w:val="20"/>
                <w:color w:val="auto"/>
              </w:rPr>
            </w:pPr>
            <w:r>
              <w:rPr>
                <w:rFonts w:ascii="Arial" w:cs="Arial" w:eastAsia="Arial" w:hAnsi="Arial"/>
                <w:sz w:val="18"/>
                <w:szCs w:val="18"/>
                <w:color w:val="auto"/>
              </w:rPr>
              <w:t>Class A common stock, $0.0001 par value; 400,000,000 shares authorized; 21,656,223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issued and outstanding (excluding 185,343,777 shares subject to</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4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$0.0001 par value; 100,000,000 shares authorized; 51,750,000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68,460,540</w:t>
            </w:r>
          </w:p>
        </w:tc>
        <w:tc>
          <w:tcPr>
            <w:tcW w:w="0" w:type="dxa"/>
            <w:vAlign w:val="bottom"/>
          </w:tcPr>
          <w:p>
            <w:pPr>
              <w:spacing w:after="0"/>
              <w:rPr>
                <w:sz w:val="1"/>
                <w:szCs w:val="1"/>
                <w:color w:val="auto"/>
              </w:rPr>
            </w:pPr>
          </w:p>
        </w:tc>
      </w:tr>
      <w:tr>
        <w:trPr>
          <w:trHeight w:val="27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(63,467,875)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308"/>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2,074,616,649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48310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-2656840</wp:posOffset>
            </wp:positionV>
            <wp:extent cx="448310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-3668395</wp:posOffset>
            </wp:positionV>
            <wp:extent cx="44831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-4011295</wp:posOffset>
            </wp:positionV>
            <wp:extent cx="44831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PERIOD FROM APRIL 30, 2020 (INCEPTION) THROUGH DECEMBER 31, 2020</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(As Restated)</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(2,976,423)</w:t>
            </w: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531,361</w:t>
            </w: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warrant liabilities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(58,778,500)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Transaction costs attributable to the Initial Public Offering</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(2,167,536)</w:t>
            </w:r>
          </w:p>
        </w:tc>
        <w:tc>
          <w:tcPr>
            <w:tcW w:w="0" w:type="dxa"/>
            <w:vAlign w:val="bottom"/>
          </w:tcPr>
          <w:p>
            <w:pPr>
              <w:spacing w:after="0"/>
              <w:rPr>
                <w:sz w:val="1"/>
                <w:szCs w:val="1"/>
                <w:color w:val="auto"/>
              </w:rPr>
            </w:pPr>
          </w:p>
        </w:tc>
      </w:tr>
      <w:tr>
        <w:trPr>
          <w:trHeight w:val="263"/>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(60,410,030)</w:t>
            </w:r>
          </w:p>
        </w:tc>
        <w:tc>
          <w:tcPr>
            <w:tcW w:w="0" w:type="dxa"/>
            <w:vAlign w:val="bottom"/>
          </w:tcPr>
          <w:p>
            <w:pPr>
              <w:spacing w:after="0"/>
              <w:rPr>
                <w:sz w:val="1"/>
                <w:szCs w:val="1"/>
                <w:color w:val="auto"/>
              </w:rPr>
            </w:pPr>
          </w:p>
        </w:tc>
      </w:tr>
      <w:tr>
        <w:trPr>
          <w:trHeight w:val="257"/>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(63,386,453)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95"/>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(63,467,875)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line="202" w:lineRule="exact"/>
              <w:rPr>
                <w:sz w:val="20"/>
                <w:szCs w:val="20"/>
                <w:color w:val="auto"/>
              </w:rPr>
            </w:pPr>
            <w:r>
              <w:rPr>
                <w:rFonts w:ascii="Arial" w:cs="Arial" w:eastAsia="Arial" w:hAnsi="Arial"/>
                <w:sz w:val="18"/>
                <w:szCs w:val="18"/>
                <w:color w:val="auto"/>
              </w:rPr>
              <w:t>Basic and diluted weighted average shares outstanding, Class A common stock subject to</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7"/>
              </w:rPr>
              <w:t>188,268,610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and diluted net income per share, Class A common stock subject to possible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tcBorders>
              <w:bottom w:val="single" w:sz="8" w:color="auto"/>
            </w:tcBorders>
            <w:vMerge w:val="continue"/>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20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 Non-redeemable common stock</w:t>
            </w: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62,139,948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5212080" cy="2057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-1242060</wp:posOffset>
            </wp:positionV>
            <wp:extent cx="457771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-1584960</wp:posOffset>
            </wp:positionV>
            <wp:extent cx="457771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ind w:left="1060" w:right="1320"/>
        <w:spacing w:after="0" w:line="275" w:lineRule="auto"/>
        <w:rPr>
          <w:sz w:val="20"/>
          <w:szCs w:val="20"/>
          <w:color w:val="auto"/>
        </w:rPr>
      </w:pPr>
      <w:r>
        <w:rPr>
          <w:rFonts w:ascii="Arial" w:cs="Arial" w:eastAsia="Arial" w:hAnsi="Arial"/>
          <w:sz w:val="18"/>
          <w:szCs w:val="18"/>
          <w:b w:val="1"/>
          <w:bCs w:val="1"/>
          <w:color w:val="auto"/>
        </w:rPr>
        <w:t>STATEMENT OF CHANGES IN STOCKHOLDERS’ EQUITY FOR THE PERIOD FROM APRIL 30, 2020 (INCEPTION) THROUGH DECEMBER 31, 2020 (As Restated)</w:t>
      </w:r>
    </w:p>
    <w:p>
      <w:pPr>
        <w:spacing w:after="0" w:line="38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740" w:type="dxa"/>
            <w:vAlign w:val="bottom"/>
            <w:gridSpan w:val="4"/>
            <w:vMerge w:val="restart"/>
          </w:tcPr>
          <w:p>
            <w:pPr>
              <w:jc w:val="right"/>
              <w:ind w:right="31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4"/>
                <w:szCs w:val="4"/>
                <w:color w:val="auto"/>
              </w:rPr>
            </w:pPr>
          </w:p>
        </w:tc>
        <w:tc>
          <w:tcPr>
            <w:tcW w:w="140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9"/>
              </w:rPr>
              <w:t>Paid-in</w:t>
            </w:r>
          </w:p>
        </w:tc>
        <w:tc>
          <w:tcPr>
            <w:tcW w:w="1200" w:type="dxa"/>
            <w:vAlign w:val="bottom"/>
            <w:gridSpan w:val="4"/>
          </w:tcPr>
          <w:p>
            <w:pPr>
              <w:jc w:val="right"/>
              <w:ind w:right="34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26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8"/>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April 30, 2020</w:t>
            </w: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(Inception)</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Issuance of Class B common</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stock to Sponsor</w:t>
            </w: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51,750,000</w:t>
            </w: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5,175</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19,825</w:t>
            </w:r>
          </w:p>
        </w:tc>
        <w:tc>
          <w:tcPr>
            <w:tcW w:w="1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9"/>
              </w:rPr>
              <w:t>Sale of 207,000,000 Units, net of</w:t>
            </w:r>
          </w:p>
        </w:tc>
        <w:tc>
          <w:tcPr>
            <w:tcW w:w="9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discounts and</w:t>
            </w: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expenses</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207,000,000</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20,700</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1,921,859,951</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1,921,880,651</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w w:val="98"/>
              </w:rPr>
              <w:t>Class A common stock subject to</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(185,343,777)</w:t>
            </w: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(18,534)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(1,853,419,236)</w:t>
            </w:r>
          </w:p>
        </w:tc>
        <w:tc>
          <w:tcPr>
            <w:tcW w:w="1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(1,853,437,770)</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(63,467,875)</w:t>
            </w: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8"/>
                <w:szCs w:val="18"/>
                <w:color w:val="auto"/>
              </w:rPr>
              <w:t>Balance – December 31, 2020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21,656,223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2,166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51,750,000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68,460,540</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0"/>
              </w:rPr>
              <w:t>(63,467,875) $</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6389370</wp:posOffset>
            </wp:positionH>
            <wp:positionV relativeFrom="paragraph">
              <wp:posOffset>-213995</wp:posOffset>
            </wp:positionV>
            <wp:extent cx="342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-1696720</wp:posOffset>
            </wp:positionV>
            <wp:extent cx="5143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-1696720</wp:posOffset>
            </wp:positionV>
            <wp:extent cx="514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-1696720</wp:posOffset>
            </wp:positionV>
            <wp:extent cx="5143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-1696720</wp:posOffset>
            </wp:positionV>
            <wp:extent cx="168021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-1696720</wp:posOffset>
            </wp:positionV>
            <wp:extent cx="10287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-1696720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-1696720</wp:posOffset>
            </wp:positionV>
            <wp:extent cx="5143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-1696720</wp:posOffset>
            </wp:positionV>
            <wp:extent cx="5143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255" w:name="page256"/>
    <w:bookmarkEnd w:id="25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PERIOD FROM APRIL 30, 2020 (INCEPTION) THROUGH DECEMBER 31, 2020</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(As Restated)</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7"/>
              </w:rPr>
              <w:t>$   (63,467,875)</w:t>
            </w:r>
          </w:p>
        </w:tc>
      </w:tr>
      <w:tr>
        <w:trPr>
          <w:trHeight w:val="257"/>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00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(531,361)</w:t>
            </w:r>
          </w:p>
        </w:tc>
      </w:tr>
      <w:tr>
        <w:trPr>
          <w:trHeight w:val="256"/>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60" w:type="dxa"/>
            <w:vAlign w:val="bottom"/>
          </w:tcPr>
          <w:p>
            <w:pPr>
              <w:spacing w:after="0"/>
              <w:rPr>
                <w:sz w:val="22"/>
                <w:szCs w:val="22"/>
                <w:color w:val="auto"/>
              </w:rPr>
            </w:pPr>
          </w:p>
        </w:tc>
      </w:tr>
      <w:tr>
        <w:trPr>
          <w:trHeight w:val="257"/>
        </w:trPr>
        <w:tc>
          <w:tcPr>
            <w:tcW w:w="7000" w:type="dxa"/>
            <w:vAlign w:val="bottom"/>
          </w:tcPr>
          <w:p>
            <w:pPr>
              <w:ind w:left="180"/>
              <w:spacing w:after="0"/>
              <w:rPr>
                <w:sz w:val="20"/>
                <w:szCs w:val="20"/>
                <w:color w:val="auto"/>
              </w:rPr>
            </w:pPr>
            <w:r>
              <w:rPr>
                <w:rFonts w:ascii="Arial" w:cs="Arial" w:eastAsia="Arial" w:hAnsi="Arial"/>
                <w:sz w:val="18"/>
                <w:szCs w:val="18"/>
                <w:color w:val="auto"/>
              </w:rPr>
              <w:t>Loss on warrant liabilities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58,778,500</w:t>
            </w:r>
          </w:p>
        </w:tc>
      </w:tr>
      <w:tr>
        <w:trPr>
          <w:trHeight w:val="257"/>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 attributable to Initial Public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2,167,536</w:t>
            </w:r>
          </w:p>
        </w:tc>
        <w:tc>
          <w:tcPr>
            <w:tcW w:w="60" w:type="dxa"/>
            <w:vAlign w:val="bottom"/>
          </w:tcPr>
          <w:p>
            <w:pPr>
              <w:spacing w:after="0"/>
              <w:rPr>
                <w:sz w:val="22"/>
                <w:szCs w:val="22"/>
                <w:color w:val="auto"/>
              </w:rPr>
            </w:pPr>
          </w:p>
        </w:tc>
      </w:tr>
      <w:tr>
        <w:trPr>
          <w:trHeight w:val="257"/>
        </w:trPr>
        <w:tc>
          <w:tcPr>
            <w:tcW w:w="7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(937,786)</w:t>
            </w:r>
          </w:p>
        </w:tc>
        <w:tc>
          <w:tcPr>
            <w:tcW w:w="60" w:type="dxa"/>
            <w:vAlign w:val="bottom"/>
          </w:tcPr>
          <w:p>
            <w:pPr>
              <w:spacing w:after="0"/>
              <w:rPr>
                <w:sz w:val="22"/>
                <w:szCs w:val="22"/>
                <w:color w:val="auto"/>
              </w:rPr>
            </w:pPr>
          </w:p>
        </w:tc>
      </w:tr>
      <w:tr>
        <w:trPr>
          <w:trHeight w:val="257"/>
        </w:trPr>
        <w:tc>
          <w:tcPr>
            <w:tcW w:w="70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1,446,951</w:t>
            </w:r>
          </w:p>
        </w:tc>
      </w:tr>
      <w:tr>
        <w:trPr>
          <w:trHeight w:val="26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60" w:type="dxa"/>
            <w:vAlign w:val="bottom"/>
          </w:tcPr>
          <w:p>
            <w:pPr>
              <w:spacing w:after="0"/>
              <w:rPr>
                <w:sz w:val="22"/>
                <w:szCs w:val="22"/>
                <w:color w:val="auto"/>
              </w:rPr>
            </w:pPr>
          </w:p>
        </w:tc>
      </w:tr>
      <w:tr>
        <w:trPr>
          <w:trHeight w:val="264"/>
        </w:trPr>
        <w:tc>
          <w:tcPr>
            <w:tcW w:w="700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(2,467,258)</w:t>
            </w:r>
          </w:p>
        </w:tc>
      </w:tr>
      <w:tr>
        <w:trPr>
          <w:trHeight w:val="256"/>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7"/>
              </w:rPr>
              <w:t>(2,070,000,000)</w:t>
            </w:r>
          </w:p>
        </w:tc>
      </w:tr>
      <w:tr>
        <w:trPr>
          <w:trHeight w:val="263"/>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withdrawn from Trust Account to pay taxes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Pr>
          <w:p>
            <w:pPr>
              <w:spacing w:after="0"/>
              <w:rPr>
                <w:sz w:val="22"/>
                <w:szCs w:val="22"/>
                <w:color w:val="auto"/>
              </w:rPr>
            </w:pPr>
          </w:p>
        </w:tc>
      </w:tr>
      <w:tr>
        <w:trPr>
          <w:trHeight w:val="263"/>
        </w:trPr>
        <w:tc>
          <w:tcPr>
            <w:tcW w:w="7000" w:type="dxa"/>
            <w:vAlign w:val="bottom"/>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(2,069,550,000)</w:t>
            </w:r>
          </w:p>
        </w:tc>
      </w:tr>
      <w:tr>
        <w:trPr>
          <w:trHeight w:val="257"/>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44881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444881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6" w:lineRule="exact"/>
        <w:rPr>
          <w:sz w:val="20"/>
          <w:szCs w:val="20"/>
          <w:color w:val="auto"/>
        </w:rPr>
      </w:pPr>
    </w:p>
    <w:p>
      <w:pPr>
        <w:ind w:left="1260" w:right="1511"/>
        <w:spacing w:after="0" w:line="313" w:lineRule="auto"/>
        <w:rPr>
          <w:sz w:val="20"/>
          <w:szCs w:val="20"/>
          <w:color w:val="auto"/>
        </w:rPr>
      </w:pPr>
      <w:r>
        <w:rPr>
          <w:rFonts w:ascii="Arial" w:cs="Arial" w:eastAsia="Arial" w:hAnsi="Arial"/>
          <w:sz w:val="18"/>
          <w:szCs w:val="18"/>
          <w:color w:val="auto"/>
        </w:rPr>
        <w:t>Proceeds from issuance of Class B common stock to Sponsor Proceeds from sale of Units, net of underwriting discounts paid Proceeds from sale of Private Placement Warrants 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-538480</wp:posOffset>
            </wp:positionV>
            <wp:extent cx="5212080" cy="1714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-195580</wp:posOffset>
            </wp:positionV>
            <wp:extent cx="5212080" cy="1714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8859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Payment of offering costs</w:t>
      </w:r>
    </w:p>
    <w:p>
      <w:pPr>
        <w:spacing w:after="0" w:line="86"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97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Change in Cash</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2057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 End of period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968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Initial classification of Class A common stock subject to possible redemption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Change in value of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wp:posOffset>
            </wp:positionV>
            <wp:extent cx="5212080" cy="2057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 underwriting fee payable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25,000</w:t>
      </w:r>
    </w:p>
    <w:p>
      <w:pPr>
        <w:spacing w:after="0" w:line="6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2,033,596,400</w:t>
      </w:r>
    </w:p>
    <w:p>
      <w:pPr>
        <w:spacing w:after="0" w:line="6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42,850,000</w:t>
      </w:r>
    </w:p>
    <w:p>
      <w:pPr>
        <w:spacing w:after="0" w:line="6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550,000</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(550,000)</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(861,285)</w:t>
      </w:r>
    </w:p>
    <w:p>
      <w:pPr>
        <w:spacing w:after="0" w:line="86" w:lineRule="exact"/>
        <w:rPr>
          <w:sz w:val="20"/>
          <w:szCs w:val="20"/>
          <w:color w:val="auto"/>
        </w:rPr>
      </w:pPr>
    </w:p>
    <w:p>
      <w:pPr>
        <w:ind w:left="169"/>
        <w:spacing w:after="0"/>
        <w:rPr>
          <w:sz w:val="20"/>
          <w:szCs w:val="20"/>
          <w:color w:val="auto"/>
        </w:rPr>
      </w:pPr>
      <w:r>
        <w:rPr>
          <w:rFonts w:ascii="Arial" w:cs="Arial" w:eastAsia="Arial" w:hAnsi="Arial"/>
          <w:sz w:val="16"/>
          <w:szCs w:val="16"/>
          <w:b w:val="1"/>
          <w:bCs w:val="1"/>
          <w:color w:val="auto"/>
        </w:rPr>
        <w:t>2,075,610,115</w:t>
      </w:r>
    </w:p>
    <w:p>
      <w:pPr>
        <w:spacing w:after="0" w:line="113" w:lineRule="exact"/>
        <w:rPr>
          <w:sz w:val="20"/>
          <w:szCs w:val="20"/>
          <w:color w:val="auto"/>
        </w:rPr>
      </w:pPr>
    </w:p>
    <w:p>
      <w:pPr>
        <w:ind w:left="469"/>
        <w:spacing w:after="0"/>
        <w:rPr>
          <w:sz w:val="20"/>
          <w:szCs w:val="20"/>
          <w:color w:val="auto"/>
        </w:rPr>
      </w:pPr>
      <w:r>
        <w:rPr>
          <w:rFonts w:ascii="Arial" w:cs="Arial" w:eastAsia="Arial" w:hAnsi="Arial"/>
          <w:sz w:val="17"/>
          <w:szCs w:val="17"/>
          <w:b w:val="1"/>
          <w:bCs w:val="1"/>
          <w:color w:val="auto"/>
        </w:rPr>
        <w:t>3,592,857</w:t>
      </w:r>
    </w:p>
    <w:p>
      <w:pPr>
        <w:spacing w:after="0" w:line="75" w:lineRule="exact"/>
        <w:rPr>
          <w:sz w:val="20"/>
          <w:szCs w:val="20"/>
          <w:color w:val="auto"/>
        </w:rPr>
      </w:pPr>
    </w:p>
    <w:p>
      <w:pPr>
        <w:ind w:left="1009"/>
        <w:spacing w:after="0"/>
        <w:rPr>
          <w:sz w:val="20"/>
          <w:szCs w:val="20"/>
          <w:color w:val="auto"/>
        </w:rPr>
      </w:pPr>
      <w:r>
        <w:rPr>
          <w:rFonts w:ascii="Arial" w:cs="Arial" w:eastAsia="Arial" w:hAnsi="Arial"/>
          <w:sz w:val="18"/>
          <w:szCs w:val="18"/>
          <w:b w:val="1"/>
          <w:bCs w:val="1"/>
          <w:color w:val="auto"/>
        </w:rPr>
        <w:t>—</w:t>
      </w:r>
    </w:p>
    <w:p>
      <w:pPr>
        <w:spacing w:after="0" w:line="90" w:lineRule="exact"/>
        <w:rPr>
          <w:sz w:val="20"/>
          <w:szCs w:val="20"/>
          <w:color w:val="auto"/>
        </w:rPr>
      </w:pPr>
    </w:p>
    <w:p>
      <w:pPr>
        <w:ind w:left="469" w:hanging="469"/>
        <w:spacing w:after="0"/>
        <w:tabs>
          <w:tab w:leader="none" w:pos="469"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3,592,857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76263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56" w:lineRule="exact"/>
        <w:rPr>
          <w:sz w:val="20"/>
          <w:szCs w:val="20"/>
          <w:color w:val="auto"/>
        </w:rPr>
      </w:pPr>
    </w:p>
    <w:p>
      <w:pPr>
        <w:ind w:left="169" w:hanging="169"/>
        <w:spacing w:after="0"/>
        <w:tabs>
          <w:tab w:leader="none" w:pos="16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1,914,737,110</w:t>
      </w:r>
    </w:p>
    <w:p>
      <w:pPr>
        <w:spacing w:after="0" w:line="140" w:lineRule="exact"/>
        <w:rPr>
          <w:rFonts w:ascii="Arial" w:cs="Arial" w:eastAsia="Arial" w:hAnsi="Arial"/>
          <w:sz w:val="16"/>
          <w:szCs w:val="16"/>
          <w:color w:val="auto"/>
        </w:rPr>
      </w:pPr>
    </w:p>
    <w:p>
      <w:pPr>
        <w:ind w:left="329" w:hanging="329"/>
        <w:spacing w:after="0"/>
        <w:tabs>
          <w:tab w:leader="none" w:pos="32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(61,299,340)</w:t>
      </w:r>
    </w:p>
    <w:p>
      <w:pPr>
        <w:spacing w:after="0" w:line="140" w:lineRule="exact"/>
        <w:rPr>
          <w:rFonts w:ascii="Arial" w:cs="Arial" w:eastAsia="Arial" w:hAnsi="Arial"/>
          <w:sz w:val="16"/>
          <w:szCs w:val="16"/>
          <w:color w:val="auto"/>
        </w:rPr>
      </w:pPr>
    </w:p>
    <w:p>
      <w:pPr>
        <w:ind w:left="389" w:hanging="389"/>
        <w:spacing w:after="0"/>
        <w:tabs>
          <w:tab w:leader="none" w:pos="38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72,450,000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6263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-174625</wp:posOffset>
            </wp:positionV>
            <wp:extent cx="76263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-354330</wp:posOffset>
            </wp:positionV>
            <wp:extent cx="76263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7551" w:space="720"/>
            <w:col w:w="1608"/>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1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6" w:name="page257"/>
    <w:bookmarkEnd w:id="25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ind w:left="1260" w:right="979" w:firstLine="360"/>
        <w:spacing w:after="0" w:line="24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20"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The Company has one subsidiary, Air Merger Sub, Inc., a direct, wholly owned subsidiary of the Company incorporated in Delaware on February 19, 2021 (“Merger Sub”) (see Note 12).</w:t>
      </w:r>
    </w:p>
    <w:p>
      <w:pPr>
        <w:spacing w:after="0" w:line="10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April 30, 2020 (inception) through December 31, 2020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(“Atieva”) (see Note 12).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00" w:lineRule="exact"/>
        <w:rPr>
          <w:sz w:val="20"/>
          <w:szCs w:val="20"/>
          <w:color w:val="auto"/>
        </w:rPr>
      </w:pPr>
    </w:p>
    <w:p>
      <w:pPr>
        <w:ind w:left="1260" w:right="999" w:firstLine="360"/>
        <w:spacing w:after="0" w:line="258" w:lineRule="auto"/>
        <w:rPr>
          <w:sz w:val="20"/>
          <w:szCs w:val="20"/>
          <w:color w:val="auto"/>
        </w:rPr>
      </w:pPr>
      <w:r>
        <w:rPr>
          <w:rFonts w:ascii="Arial" w:cs="Arial" w:eastAsia="Arial" w:hAnsi="Arial"/>
          <w:sz w:val="17"/>
          <w:szCs w:val="17"/>
          <w:color w:val="auto"/>
        </w:rPr>
        <w:t>The registration statements for the Company’s Initial Public Offering were declared effective on July 29, 2020. On August 3, 2020, the Company consummated the Initial Public Offering of</w:t>
      </w:r>
    </w:p>
    <w:p>
      <w:pPr>
        <w:spacing w:after="0" w:line="1" w:lineRule="exact"/>
        <w:rPr>
          <w:sz w:val="20"/>
          <w:szCs w:val="20"/>
          <w:color w:val="auto"/>
        </w:rPr>
      </w:pPr>
    </w:p>
    <w:p>
      <w:pPr>
        <w:ind w:left="1260" w:right="559"/>
        <w:spacing w:after="0" w:line="238" w:lineRule="auto"/>
        <w:rPr>
          <w:sz w:val="20"/>
          <w:szCs w:val="20"/>
          <w:color w:val="auto"/>
        </w:rPr>
      </w:pPr>
      <w:r>
        <w:rPr>
          <w:rFonts w:ascii="Arial" w:cs="Arial" w:eastAsia="Arial" w:hAnsi="Arial"/>
          <w:sz w:val="18"/>
          <w:szCs w:val="18"/>
          <w:color w:val="auto"/>
        </w:rPr>
        <w:t>207,000,000 units (the “Units” and, with respect to the shares of Class A common stock included in the Units sold, the “Public Shares”), which includes the full exercise by the underwriters of the over- allotment option to purchase an additional 27,000,000 Units, at $10.00 per Unit, generating gross proceeds of $2,070,000,000, which is described in Note 4.</w:t>
      </w:r>
    </w:p>
    <w:p>
      <w:pPr>
        <w:spacing w:after="0" w:line="121"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5.</w:t>
      </w:r>
    </w:p>
    <w:p>
      <w:pPr>
        <w:spacing w:after="0" w:line="120" w:lineRule="exact"/>
        <w:rPr>
          <w:sz w:val="20"/>
          <w:szCs w:val="20"/>
          <w:color w:val="auto"/>
        </w:rPr>
      </w:pPr>
    </w:p>
    <w:p>
      <w:pPr>
        <w:ind w:left="1260" w:right="1199" w:firstLine="360"/>
        <w:spacing w:after="0" w:line="261" w:lineRule="auto"/>
        <w:rPr>
          <w:sz w:val="20"/>
          <w:szCs w:val="20"/>
          <w:color w:val="auto"/>
        </w:rPr>
      </w:pPr>
      <w:r>
        <w:rPr>
          <w:rFonts w:ascii="Arial" w:cs="Arial" w:eastAsia="Arial" w:hAnsi="Arial"/>
          <w:sz w:val="18"/>
          <w:szCs w:val="18"/>
          <w:color w:val="auto"/>
        </w:rPr>
        <w:t>Transaction costs amounted to $109,714,885, consisting of $ 36,403,600 of underwriting fees, $72,450,000 of deferred underwriting fees and $861,285 of other offering costs.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the closing of the Initial Public Offering on August 3, 2020, an amount of $2,070,000,000</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 per Unit) from the net proceeds of the sale of the Units in the Initial Public Offering and the sale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Private Placement Warrants was placed in a trust account (the “Trust Account”) located in the United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States and invested only in U.S. government securities, within the meaning set forth in Section 2(a)(16) of</w:t>
      </w:r>
    </w:p>
    <w:p>
      <w:pPr>
        <w:spacing w:after="0" w:line="7" w:lineRule="exact"/>
        <w:rPr>
          <w:sz w:val="20"/>
          <w:szCs w:val="20"/>
          <w:color w:val="auto"/>
        </w:rPr>
      </w:pPr>
    </w:p>
    <w:p>
      <w:pPr>
        <w:ind w:left="1260" w:right="539"/>
        <w:spacing w:after="0" w:line="236" w:lineRule="auto"/>
        <w:rPr>
          <w:sz w:val="20"/>
          <w:szCs w:val="20"/>
          <w:color w:val="auto"/>
        </w:rPr>
      </w:pPr>
      <w:r>
        <w:rPr>
          <w:rFonts w:ascii="Arial" w:cs="Arial" w:eastAsia="Arial" w:hAnsi="Arial"/>
          <w:sz w:val="18"/>
          <w:szCs w:val="18"/>
          <w:color w:val="auto"/>
        </w:rPr>
        <w:t>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2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7" w:name="page258"/>
    <w:bookmarkEnd w:id="25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819"/>
        <w:spacing w:after="0" w:line="248" w:lineRule="auto"/>
        <w:rPr>
          <w:sz w:val="20"/>
          <w:szCs w:val="20"/>
          <w:color w:val="auto"/>
        </w:rPr>
      </w:pPr>
      <w:r>
        <w:rPr>
          <w:rFonts w:ascii="Arial" w:cs="Arial" w:eastAsia="Arial" w:hAnsi="Arial"/>
          <w:sz w:val="18"/>
          <w:szCs w:val="18"/>
          <w:color w:val="auto"/>
        </w:rPr>
        <w:t>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0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1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6)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14"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11"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If the Company is unable to complete a Business Combination by August 3, 2022 (or November 3, 2022 if the Company has an executed letter of intent, agreement in principle or definitive agreement for a Business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8" w:name="page259"/>
    <w:bookmarkEnd w:id="25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Combination by August 3, 2022)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2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19"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and Uncertainties</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9" w:name="page260"/>
    <w:bookmarkEnd w:id="25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 purposes. As of December 31, 2020, the Company had $3,592,857 in its operating bank accounts, $2,070,086,006 in securities held in the Trust Account to be used for a Business Combination or to repurchase or redeem its common stock in connection therewith and working capital of $3,218,168. As of December 31, 2020, approximately $86,000 of the amount on deposit in the Trust Account represented interest income, which is available to pay the Company’s tax obligations. Based on the foregoing, the Company believes it will have sufficient cash to meet its needs for a reasonable period of time, which is considered to be one year from the issuance date of the financial statements. On February 22, 2021, the Company entered into a convertible promissory note with the Sponsor pursuant to which the Sponsor agreed to loan the Company up to an aggregate principal amount of $1,500,000 (see Note 12).</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The Company previously accounted for its outstanding Public Warrants (as defined in Note 4) and Private Placement Warrants (collectively, with the Public Warrants, the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offer or exchange offer made to and accepted by holders of more than 50% of the outstanding shares of a single class of stock, all holders of the Warrants would be entitled to receive cash for their Warrants (the “tender offer provision”).</w:t>
      </w:r>
    </w:p>
    <w:p>
      <w:pPr>
        <w:spacing w:after="0" w:line="111"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w:t>
      </w:r>
    </w:p>
    <w:p>
      <w:pPr>
        <w:spacing w:after="0" w:line="9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further consideration of the SEC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are not indexed to the Company’s common stock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the tender offer provision fails the “classified in stockholders’ equity” criteria as contemplated by ASC Section 815-40-25.</w:t>
      </w:r>
    </w:p>
    <w:p>
      <w:pPr>
        <w:spacing w:after="0" w:line="130"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 See Notes 3, 8, 9, 10 and 11.</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0" w:name="page261"/>
    <w:bookmarkEnd w:id="26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1260" w:right="1320" w:firstLine="360"/>
        <w:spacing w:after="0" w:line="263"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investments held in trust, operating expenses, or cash.</w:t>
      </w:r>
    </w:p>
    <w:p>
      <w:pPr>
        <w:spacing w:after="0" w:line="103" w:lineRule="exact"/>
        <w:rPr>
          <w:sz w:val="20"/>
          <w:szCs w:val="20"/>
          <w:color w:val="auto"/>
        </w:rPr>
      </w:pPr>
    </w:p>
    <w:p>
      <w:pPr>
        <w:ind w:left="1260" w:right="1540" w:firstLine="360"/>
        <w:spacing w:after="0" w:line="277" w:lineRule="auto"/>
        <w:rPr>
          <w:sz w:val="20"/>
          <w:szCs w:val="20"/>
          <w:color w:val="auto"/>
        </w:rPr>
      </w:pPr>
      <w:r>
        <w:rPr>
          <w:rFonts w:ascii="Arial" w:cs="Arial" w:eastAsia="Arial" w:hAnsi="Arial"/>
          <w:sz w:val="18"/>
          <w:szCs w:val="18"/>
          <w:color w:val="auto"/>
        </w:rPr>
        <w:t>The table below summarizes the effects of the restatement on the financial statements for all periods being restated: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Previously</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right"/>
              <w:ind w:right="1760"/>
              <w:spacing w:after="0"/>
              <w:rPr>
                <w:sz w:val="20"/>
                <w:szCs w:val="20"/>
                <w:color w:val="auto"/>
              </w:rPr>
            </w:pPr>
            <w:r>
              <w:rPr>
                <w:rFonts w:ascii="Arial" w:cs="Arial" w:eastAsia="Arial" w:hAnsi="Arial"/>
                <w:sz w:val="14"/>
                <w:szCs w:val="14"/>
                <w:b w:val="1"/>
                <w:bCs w:val="1"/>
                <w:color w:val="auto"/>
              </w:rPr>
              <w:t>As</w:t>
            </w:r>
          </w:p>
        </w:tc>
      </w:tr>
      <w:tr>
        <w:trPr>
          <w:trHeight w:val="185"/>
        </w:trPr>
        <w:tc>
          <w:tcPr>
            <w:tcW w:w="1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2280" w:type="dxa"/>
            <w:vAlign w:val="bottom"/>
            <w:gridSpan w:val="2"/>
          </w:tcPr>
          <w:p>
            <w:pPr>
              <w:jc w:val="right"/>
              <w:ind w:right="1560"/>
              <w:spacing w:after="0"/>
              <w:rPr>
                <w:sz w:val="20"/>
                <w:szCs w:val="20"/>
                <w:color w:val="auto"/>
              </w:rPr>
            </w:pPr>
            <w:r>
              <w:rPr>
                <w:rFonts w:ascii="Arial" w:cs="Arial" w:eastAsia="Arial" w:hAnsi="Arial"/>
                <w:sz w:val="14"/>
                <w:szCs w:val="14"/>
                <w:b w:val="1"/>
                <w:bCs w:val="1"/>
                <w:color w:val="auto"/>
              </w:rPr>
              <w:t>Restated</w:t>
            </w:r>
          </w:p>
        </w:tc>
      </w:tr>
      <w:tr>
        <w:trPr>
          <w:trHeight w:val="196"/>
        </w:trPr>
        <w:tc>
          <w:tcPr>
            <w:tcW w:w="126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sheet as of August 3, 2020 (audited)</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72,450,000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83,422,000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9"/>
              </w:rPr>
              <w:t>155,872,000</w:t>
            </w:r>
          </w:p>
        </w:tc>
        <w:tc>
          <w:tcPr>
            <w:tcW w:w="1260" w:type="dxa"/>
            <w:vAlign w:val="bottom"/>
          </w:tcPr>
          <w:p>
            <w:pPr>
              <w:spacing w:after="0"/>
              <w:rPr>
                <w:sz w:val="17"/>
                <w:szCs w:val="17"/>
                <w:color w:val="auto"/>
              </w:rPr>
            </w:pPr>
          </w:p>
        </w:tc>
      </w:tr>
      <w:tr>
        <w:trPr>
          <w:trHeight w:val="202"/>
        </w:trPr>
        <w:tc>
          <w:tcPr>
            <w:tcW w:w="126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1,998,159,110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(83,422,000)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1,914,737,110</w:t>
            </w:r>
          </w:p>
        </w:tc>
        <w:tc>
          <w:tcPr>
            <w:tcW w:w="1260" w:type="dxa"/>
            <w:vAlign w:val="bottom"/>
          </w:tcPr>
          <w:p>
            <w:pPr>
              <w:spacing w:after="0"/>
              <w:rPr>
                <w:sz w:val="20"/>
                <w:szCs w:val="20"/>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718</w:t>
            </w:r>
          </w:p>
        </w:tc>
        <w:tc>
          <w:tcPr>
            <w:tcW w:w="12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835</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1,553</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4,995,112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2,166,701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7,161,813</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(2,167,536)</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(2,168,536)</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5,000,005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5,000,005</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199,815,911</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(8,342,200)</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9"/>
              </w:rPr>
              <w:t>191,473,711</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sheet as of September 30, 2020 (unaudited)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72,483,333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3"/>
              </w:rPr>
              <w:t>135,402,500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9"/>
              </w:rPr>
              <w:t>207,885,833</w:t>
            </w:r>
          </w:p>
        </w:tc>
        <w:tc>
          <w:tcPr>
            <w:tcW w:w="1260" w:type="dxa"/>
            <w:vAlign w:val="bottom"/>
          </w:tcPr>
          <w:p>
            <w:pPr>
              <w:spacing w:after="0"/>
              <w:rPr>
                <w:sz w:val="17"/>
                <w:szCs w:val="17"/>
                <w:color w:val="auto"/>
              </w:rPr>
            </w:pP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1,998,003,495</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(135,402,500)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1,862,600,995</w:t>
            </w: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8"/>
                <w:szCs w:val="18"/>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rPr>
              <w:t>2,075</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5,150,724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54,146,682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59,297,406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(156,614)</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(54,148,036)</w:t>
            </w:r>
          </w:p>
        </w:tc>
        <w:tc>
          <w:tcPr>
            <w:tcW w:w="120" w:type="dxa"/>
            <w:vAlign w:val="bottom"/>
          </w:tcPr>
          <w:p>
            <w:pPr>
              <w:spacing w:after="0"/>
              <w:rPr>
                <w:sz w:val="18"/>
                <w:szCs w:val="18"/>
                <w:color w:val="auto"/>
              </w:rPr>
            </w:pP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color w:val="auto"/>
              </w:rPr>
              <w:t>(54,304,650)</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199,787,373</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(13,539,371)</w:t>
            </w:r>
          </w:p>
        </w:tc>
        <w:tc>
          <w:tcPr>
            <w:tcW w:w="120" w:type="dxa"/>
            <w:vAlign w:val="bottom"/>
          </w:tcPr>
          <w:p>
            <w:pPr>
              <w:spacing w:after="0"/>
              <w:rPr>
                <w:sz w:val="18"/>
                <w:szCs w:val="18"/>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w w:val="99"/>
              </w:rPr>
              <w:t>186,248,002</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as of December 31, 2020 (audited)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73,978,373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142,200,500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w w:val="99"/>
              </w:rPr>
              <w:t>216,178,873</w:t>
            </w: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1,995,638,270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(142,200,500)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1,853,437,770</w:t>
            </w: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8"/>
                <w:szCs w:val="18"/>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rPr>
              <w:t>2,166</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7,515,926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60,944,614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68,460,540</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(2,521,839)</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(60,946,036)</w:t>
            </w:r>
          </w:p>
        </w:tc>
        <w:tc>
          <w:tcPr>
            <w:tcW w:w="120" w:type="dxa"/>
            <w:vAlign w:val="bottom"/>
          </w:tcPr>
          <w:p>
            <w:pPr>
              <w:spacing w:after="0"/>
              <w:rPr>
                <w:sz w:val="18"/>
                <w:szCs w:val="18"/>
                <w:color w:val="auto"/>
              </w:rPr>
            </w:pP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color w:val="auto"/>
              </w:rPr>
              <w:t>(63,467,875)</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199,563,827</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(14,220,050)</w:t>
            </w:r>
          </w:p>
        </w:tc>
        <w:tc>
          <w:tcPr>
            <w:tcW w:w="120" w:type="dxa"/>
            <w:vAlign w:val="bottom"/>
          </w:tcPr>
          <w:p>
            <w:pPr>
              <w:spacing w:after="0"/>
              <w:rPr>
                <w:sz w:val="18"/>
                <w:szCs w:val="18"/>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w w:val="99"/>
              </w:rPr>
              <w:t>185,343,777</w:t>
            </w: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for the three Month Ended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2020 (unaudited)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(155,614)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(54,148,036)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color w:val="auto"/>
              </w:rPr>
              <w:t>(54,303,650)</w:t>
            </w: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199,815,911</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(8,342,200)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191,473,711</w:t>
            </w:r>
          </w:p>
        </w:tc>
        <w:tc>
          <w:tcPr>
            <w:tcW w:w="1260" w:type="dxa"/>
            <w:vAlign w:val="bottom"/>
          </w:tcPr>
          <w:p>
            <w:pPr>
              <w:spacing w:after="0"/>
              <w:rPr>
                <w:sz w:val="20"/>
                <w:szCs w:val="20"/>
                <w:color w:val="auto"/>
              </w:rPr>
            </w:pPr>
          </w:p>
        </w:tc>
      </w:tr>
      <w:tr>
        <w:trPr>
          <w:trHeight w:val="215"/>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rPr>
              <w:t>0.00</w:t>
            </w: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common stock</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53,784,534</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5,259,213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59,043,747</w:t>
            </w:r>
          </w:p>
        </w:tc>
        <w:tc>
          <w:tcPr>
            <w:tcW w:w="1260" w:type="dxa"/>
            <w:vAlign w:val="bottom"/>
          </w:tcPr>
          <w:p>
            <w:pPr>
              <w:spacing w:after="0"/>
              <w:rPr>
                <w:sz w:val="20"/>
                <w:szCs w:val="20"/>
                <w:color w:val="auto"/>
              </w:rPr>
            </w:pPr>
          </w:p>
        </w:tc>
      </w:tr>
      <w:tr>
        <w:trPr>
          <w:trHeight w:val="215"/>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and diluted net loss per share, Non-redeemable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0"/>
                <w:szCs w:val="20"/>
                <w:color w:val="auto"/>
              </w:rPr>
            </w:pP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color w:val="auto"/>
              </w:rPr>
              <w:t>(0.92)</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608"/>
        </w:trPr>
        <w:tc>
          <w:tcPr>
            <w:tcW w:w="1260" w:type="dxa"/>
            <w:vAlign w:val="bottom"/>
          </w:tcPr>
          <w:p>
            <w:pPr>
              <w:spacing w:after="0"/>
              <w:rPr>
                <w:sz w:val="24"/>
                <w:szCs w:val="24"/>
                <w:color w:val="auto"/>
              </w:rPr>
            </w:pPr>
          </w:p>
        </w:tc>
        <w:tc>
          <w:tcPr>
            <w:tcW w:w="4420" w:type="dxa"/>
            <w:vAlign w:val="bottom"/>
          </w:tcPr>
          <w:p>
            <w:pPr>
              <w:ind w:left="3900"/>
              <w:spacing w:after="0"/>
              <w:rPr>
                <w:sz w:val="20"/>
                <w:szCs w:val="20"/>
                <w:color w:val="auto"/>
              </w:rPr>
            </w:pPr>
            <w:r>
              <w:rPr>
                <w:rFonts w:ascii="Arial" w:cs="Arial" w:eastAsia="Arial" w:hAnsi="Arial"/>
                <w:sz w:val="18"/>
                <w:szCs w:val="18"/>
                <w:color w:val="auto"/>
              </w:rPr>
              <w:t>F-77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-6128385</wp:posOffset>
            </wp:positionV>
            <wp:extent cx="1371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-6128385</wp:posOffset>
            </wp:positionV>
            <wp:extent cx="366014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61" w:name="page262"/>
    <w:bookmarkEnd w:id="26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Previously</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w:t>
            </w:r>
          </w:p>
        </w:tc>
      </w:tr>
      <w:tr>
        <w:trPr>
          <w:trHeight w:val="185"/>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Restated</w:t>
            </w:r>
          </w:p>
        </w:tc>
      </w:tr>
      <w:tr>
        <w:trPr>
          <w:trHeight w:val="191"/>
        </w:trPr>
        <w:tc>
          <w:tcPr>
            <w:tcW w:w="44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7"/>
              </w:rPr>
              <w:t>Statement of Operations for the period from April 30,</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2020 (inception) to September 30, 2020 (unaudited)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(156,614)</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$(54,148,036)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7"/>
              </w:rPr>
              <w:t>(54,304,650)</w:t>
            </w:r>
          </w:p>
        </w:tc>
        <w:tc>
          <w:tcPr>
            <w:tcW w:w="60" w:type="dxa"/>
            <w:vAlign w:val="bottom"/>
          </w:tcPr>
          <w:p>
            <w:pPr>
              <w:spacing w:after="0"/>
              <w:rPr>
                <w:sz w:val="17"/>
                <w:szCs w:val="17"/>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199,815,911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(8,342,200)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191,473,711</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common stock</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51,169,291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3,693,493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54,862,784</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Non-redeemable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(0.99)</w:t>
            </w:r>
          </w:p>
        </w:tc>
      </w:tr>
      <w:tr>
        <w:trPr>
          <w:trHeight w:val="198"/>
        </w:trPr>
        <w:tc>
          <w:tcPr>
            <w:tcW w:w="4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Statement of Operations for the period from April 30,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 to December 31, 2020 (audited)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(2,521,839)</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$(60,946,036)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7"/>
              </w:rPr>
              <w:t>(63,467,875)</w:t>
            </w:r>
          </w:p>
        </w:tc>
        <w:tc>
          <w:tcPr>
            <w:tcW w:w="60" w:type="dxa"/>
            <w:vAlign w:val="bottom"/>
          </w:tcPr>
          <w:p>
            <w:pPr>
              <w:spacing w:after="0"/>
              <w:rPr>
                <w:sz w:val="17"/>
                <w:szCs w:val="17"/>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199,798,408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(11,529,798)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188,268,610</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common stock</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54,384,479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7,755,470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62,139,949</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Non-redeemable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198"/>
        </w:trPr>
        <w:tc>
          <w:tcPr>
            <w:tcW w:w="4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Statement of Cash Flows for the period from April 30,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 to December 31, 2020 (audited)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(2,521,839)</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$(60,946,036)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7"/>
              </w:rPr>
              <w:t>(63,467,875)</w:t>
            </w:r>
          </w:p>
        </w:tc>
        <w:tc>
          <w:tcPr>
            <w:tcW w:w="60" w:type="dxa"/>
            <w:vAlign w:val="bottom"/>
          </w:tcPr>
          <w:p>
            <w:pPr>
              <w:spacing w:after="0"/>
              <w:rPr>
                <w:sz w:val="17"/>
                <w:szCs w:val="17"/>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warrant liabilities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58,778,500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58,778,500</w:t>
            </w:r>
          </w:p>
        </w:tc>
        <w:tc>
          <w:tcPr>
            <w:tcW w:w="60" w:type="dxa"/>
            <w:vAlign w:val="bottom"/>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Transaction costs attributable to Initial Public Offering</w:t>
            </w: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2,167,536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2,167,536</w:t>
            </w:r>
          </w:p>
        </w:tc>
        <w:tc>
          <w:tcPr>
            <w:tcW w:w="60" w:type="dxa"/>
            <w:vAlign w:val="bottom"/>
          </w:tcPr>
          <w:p>
            <w:pPr>
              <w:spacing w:after="0"/>
              <w:rPr>
                <w:sz w:val="17"/>
                <w:szCs w:val="17"/>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classification of Class A common stock subject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possible 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1,998,159,110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(83,422,000)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1,914,737,110</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Change in value of Class A common stock subject to</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(2,520,840)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(58,778,500)</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(61,299,340)</w:t>
            </w: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Statement of Cash Flows for the period from April 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2020 (inception) to September 30, 2020 (unaudited)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(156,614)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$(54,148,036)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(54,304,650)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51,980,500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51,980,500</w:t>
            </w: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Transaction costs attributable to Initial Public Offering</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2,167,536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2,167,536</w:t>
            </w: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Class A common stock subject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possible 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1,998,159,110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(83,422,000)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1,914,737,110</w:t>
            </w:r>
          </w:p>
        </w:tc>
        <w:tc>
          <w:tcPr>
            <w:tcW w:w="60" w:type="dxa"/>
            <w:vAlign w:val="bottom"/>
          </w:tcPr>
          <w:p>
            <w:pPr>
              <w:spacing w:after="0"/>
              <w:rPr>
                <w:sz w:val="20"/>
                <w:szCs w:val="20"/>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Change in value of Class A common stock subject to</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(155,615)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(51,980,500)</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(52,136,115)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-5751195</wp:posOffset>
            </wp:positionV>
            <wp:extent cx="13716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-5751195</wp:posOffset>
            </wp:positionV>
            <wp:extent cx="366014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2" w:name="page263"/>
    <w:bookmarkEnd w:id="26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9"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19"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Cash equivalents consist of mutual funds. The Company did not have any cash equivalents as of December 31, 2020.</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3" w:name="page264"/>
    <w:bookmarkEnd w:id="26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48"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At December 31, 2020, substantially all of the assets held in the Trust Account were held in U.S. Treasury Bills. Through December 31, 2020, the Company withdrew $450,000 of interest earned on the Trust Account for working capital purposes.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 Liability</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Company accounts for the Warrants in accordance with the guidance contained in ASC 815-40-15-7D and 7F under which the Warrants do not meet the criteria for equity treatment and must be recorded as liabilities. Accordingly, the Company classifies the Warrants as liabilities at their fair value and adjust the Warrants to fair value at each reporting period. This liability is subject to re -measurement at each balance sheet date until exercised, and any change in fair value is recognized in our statement of operations. The Public Warrants and Private Placement Warrants for periods where no observable traded price was available are valued using a Monte Carlo simulation and a modified Black Scholes model, respectively. For periods subsequent to the detachment of the Public Warrants from the Units, the Public Warrant quoted market price was used as the fair value as of each relevant date.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6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balance sheet.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3"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3"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On March 27, 2020, President Trump signed the Coronavirus Aid, Relief, and Economic Security “CARES” Act into law. The CARES Act includes several significant business tax provisions that, among</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4" w:name="page265"/>
    <w:bookmarkEnd w:id="26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 (Loss) per Common Share</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Net income (loss) per common share is computed by dividing net income by the weighted-average number of common shares outstanding during the period. The Company has not considered the effect of the warrants sold in the Public Offering and Private Placement to purchase an aggregate of 84,250,000 shares of common stock in the calculation of diluted loss per share, since the exercise of the warrants into shares of common stock is contingent upon the occurrence of future events and the inclusion of such warrants would be anti-dilutive.</w:t>
      </w:r>
    </w:p>
    <w:p>
      <w:pPr>
        <w:spacing w:after="0" w:line="125"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Company’s statement of operations includes a presentation of income (loss) per share for Class A common stock subject to possible redemption in a manner similar to the two-class method of income (loss) per ordinary share. Net income (loss) per common share, basic and diluted, for Class A common stock subject to possible redemption is calculated by dividing the proportionate share of income or loss on marketable securities held by the Trust Account by the weighted average number of Class A common stock subject to possible redemption outstanding since original issuance.</w:t>
      </w:r>
    </w:p>
    <w:p>
      <w:pPr>
        <w:spacing w:after="0" w:line="125"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Net income (loss) per share, basic and diluted, for non-redeemable ordinary shares is calculated by dividing the net loss, adjusted for income or loss on marketable securities attributable to Class A common stock subject to possible redemption, by the weighted average number of non-redeemable ordinary shares outstanding for the period.</w:t>
      </w:r>
    </w:p>
    <w:p>
      <w:pPr>
        <w:spacing w:after="0" w:line="106"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Non-redeemable common stock includes Founder Shares and non-redeemable shares of common stock as these shares do not have any redemption features. Non-redeemable common stock participates in the income or loss on marketable securities based on the non-redeemable shares’ proportionate interest.</w:t>
      </w:r>
    </w:p>
    <w:p>
      <w:pPr>
        <w:spacing w:after="0" w:line="9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For the Period</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from April 30, 2020</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(inception) through</w:t>
            </w:r>
          </w:p>
        </w:tc>
        <w:tc>
          <w:tcPr>
            <w:tcW w:w="0" w:type="dxa"/>
            <w:vAlign w:val="bottom"/>
          </w:tcPr>
          <w:p>
            <w:pPr>
              <w:spacing w:after="0"/>
              <w:rPr>
                <w:sz w:val="1"/>
                <w:szCs w:val="1"/>
                <w:color w:val="auto"/>
              </w:rPr>
            </w:pPr>
          </w:p>
        </w:tc>
      </w:tr>
      <w:tr>
        <w:trPr>
          <w:trHeight w:val="186"/>
        </w:trPr>
        <w:tc>
          <w:tcPr>
            <w:tcW w:w="702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26"/>
        </w:trPr>
        <w:tc>
          <w:tcPr>
            <w:tcW w:w="7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20" w:type="dxa"/>
            <w:vAlign w:val="bottom"/>
          </w:tcPr>
          <w:p>
            <w:pPr>
              <w:spacing w:after="0"/>
              <w:rPr>
                <w:sz w:val="20"/>
                <w:szCs w:val="20"/>
                <w:color w:val="auto"/>
              </w:rPr>
            </w:pPr>
            <w:r>
              <w:rPr>
                <w:rFonts w:ascii="Arial" w:cs="Arial" w:eastAsia="Arial" w:hAnsi="Arial"/>
                <w:sz w:val="18"/>
                <w:szCs w:val="18"/>
                <w:color w:val="auto"/>
              </w:rPr>
              <w:t>Numerator: Earnings allocable to Class A common stock subject to possible redemption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475,781</w:t>
            </w:r>
          </w:p>
        </w:tc>
        <w:tc>
          <w:tcPr>
            <w:tcW w:w="0" w:type="dxa"/>
            <w:vAlign w:val="bottom"/>
          </w:tcPr>
          <w:p>
            <w:pPr>
              <w:spacing w:after="0"/>
              <w:rPr>
                <w:sz w:val="1"/>
                <w:szCs w:val="1"/>
                <w:color w:val="auto"/>
              </w:rPr>
            </w:pPr>
          </w:p>
        </w:tc>
      </w:tr>
      <w:tr>
        <w:trPr>
          <w:trHeight w:val="257"/>
        </w:trPr>
        <w:tc>
          <w:tcPr>
            <w:tcW w:w="702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Company’s portion available to be withdrawn to pay taxes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(193,315)</w:t>
            </w:r>
          </w:p>
        </w:tc>
        <w:tc>
          <w:tcPr>
            <w:tcW w:w="0" w:type="dxa"/>
            <w:vAlign w:val="bottom"/>
          </w:tcPr>
          <w:p>
            <w:pPr>
              <w:spacing w:after="0"/>
              <w:rPr>
                <w:sz w:val="1"/>
                <w:szCs w:val="1"/>
                <w:color w:val="auto"/>
              </w:rPr>
            </w:pPr>
          </w:p>
        </w:tc>
      </w:tr>
      <w:tr>
        <w:trPr>
          <w:trHeight w:val="263"/>
        </w:trPr>
        <w:tc>
          <w:tcPr>
            <w:tcW w:w="7020" w:type="dxa"/>
            <w:vAlign w:val="bottom"/>
          </w:tcPr>
          <w:p>
            <w:pPr>
              <w:ind w:left="180"/>
              <w:spacing w:after="0"/>
              <w:rPr>
                <w:sz w:val="20"/>
                <w:szCs w:val="20"/>
                <w:color w:val="auto"/>
              </w:rPr>
            </w:pPr>
            <w:r>
              <w:rPr>
                <w:rFonts w:ascii="Arial" w:cs="Arial" w:eastAsia="Arial" w:hAnsi="Arial"/>
                <w:sz w:val="18"/>
                <w:szCs w:val="18"/>
                <w:color w:val="auto"/>
              </w:rPr>
              <w:t>Less: Company’s portion available to be withdrawn for working capital purposes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(286,625)</w:t>
            </w:r>
          </w:p>
        </w:tc>
        <w:tc>
          <w:tcPr>
            <w:tcW w:w="0" w:type="dxa"/>
            <w:vAlign w:val="bottom"/>
          </w:tcPr>
          <w:p>
            <w:pPr>
              <w:spacing w:after="0"/>
              <w:rPr>
                <w:sz w:val="1"/>
                <w:szCs w:val="1"/>
                <w:color w:val="auto"/>
              </w:rPr>
            </w:pPr>
          </w:p>
        </w:tc>
      </w:tr>
      <w:tr>
        <w:trPr>
          <w:trHeight w:val="20"/>
        </w:trPr>
        <w:tc>
          <w:tcPr>
            <w:tcW w:w="7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allocable to Class A common stock subject to possible redemption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Weighted average Class A common stock subject to possible redemption</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weighted average shares outstanding, Class A common stock subject to</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7"/>
              </w:rPr>
              <w:t>188,268,610</w:t>
            </w: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net income per share, Class A common stock subject to possible</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20" w:type="dxa"/>
            <w:vAlign w:val="bottom"/>
            <w:vMerge w:val="continue"/>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7"/>
        </w:trPr>
        <w:tc>
          <w:tcPr>
            <w:tcW w:w="70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20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Common Stock</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Numerator: Net loss minus net earnings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(63,467,875)</w:t>
            </w:r>
          </w:p>
        </w:tc>
        <w:tc>
          <w:tcPr>
            <w:tcW w:w="0" w:type="dxa"/>
            <w:vAlign w:val="bottom"/>
          </w:tcPr>
          <w:p>
            <w:pPr>
              <w:spacing w:after="0"/>
              <w:rPr>
                <w:sz w:val="1"/>
                <w:szCs w:val="1"/>
                <w:color w:val="auto"/>
              </w:rPr>
            </w:pPr>
          </w:p>
        </w:tc>
      </w:tr>
      <w:tr>
        <w:trPr>
          <w:trHeight w:val="277"/>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allocable to Class A common stock subject to possible redemption</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Non-redeemable 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(63,467,875)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Weighted average non-redeemable Class B common stock</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weighted average shares outstanding, Non-redeemable Class B common</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62,139,949</w:t>
            </w:r>
          </w:p>
        </w:tc>
        <w:tc>
          <w:tcPr>
            <w:tcW w:w="80" w:type="dxa"/>
            <w:vAlign w:val="bottom"/>
            <w:vMerge w:val="restart"/>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18"/>
                <w:szCs w:val="18"/>
                <w:color w:val="auto"/>
              </w:rPr>
              <w:t>Basic and diluted net loss per share, Non-redeemable Class B common stock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-916305</wp:posOffset>
            </wp:positionV>
            <wp:extent cx="52120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-2605405</wp:posOffset>
            </wp:positionV>
            <wp:extent cx="52120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-3599815</wp:posOffset>
            </wp:positionV>
            <wp:extent cx="445770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limit of $250,000. The Company has not experienced losses on this account.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balance sheet, primarily due to their short-term nature.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Standards</w:t>
      </w:r>
    </w:p>
    <w:p>
      <w:pPr>
        <w:spacing w:after="0" w:line="162"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INITIAL PUBLIC OFFERING</w:t>
      </w:r>
    </w:p>
    <w:p>
      <w:pPr>
        <w:spacing w:after="0" w:line="162"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w:t>
      </w:r>
    </w:p>
    <w:p>
      <w:pPr>
        <w:sectPr>
          <w:pgSz w:w="11900" w:h="16838" w:orient="portrait"/>
          <w:cols w:equalWidth="0" w:num="1">
            <w:col w:w="9879"/>
          </w:cols>
          <w:pgMar w:left="580" w:top="132" w:right="1440" w:bottom="1440" w:gutter="0" w:footer="0" w:header="0"/>
        </w:sectPr>
      </w:pP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6" w:name="page267"/>
    <w:bookmarkEnd w:id="26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PRIVATE PLACEMENT</w:t>
      </w:r>
    </w:p>
    <w:p>
      <w:pPr>
        <w:spacing w:after="0" w:line="14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12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$ 12.00 per share (as adjusted for stock splits, stock dividends, reorganizations, recapitalizations and the like) for any 20 trading days within any 30- trading day period commencing at least 150 days after a Business Combination, the Founder Shares will be released from the lock-up.</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Administrative Support Agreement</w:t>
      </w:r>
    </w:p>
    <w:p>
      <w:pPr>
        <w:spacing w:after="0" w:line="14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period from April 30, 2020 (inception) through December 31, 2020, the Company incurred and paid $250,000 in fees for these services.</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7" w:name="page268"/>
    <w:bookmarkEnd w:id="26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Fee</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7"/>
          <w:szCs w:val="17"/>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7"/>
          <w:szCs w:val="17"/>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$ 1,500,000 of such Working Capital Loans may be convertible into warrants at a price of $1.00 per warrant. The warrants would be identical to the Private Placement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Underwriting Agreement</w:t>
      </w:r>
    </w:p>
    <w:p>
      <w:pPr>
        <w:spacing w:after="0" w:line="162"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w:t>
      </w: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8" w:name="page269"/>
    <w:bookmarkEnd w:id="26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$3,996,400. In addition, the underwriters reimbursed the Company an aggregate of $1,000,000 for costs incurred in connection with the Initial Public Offering.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Fees</w:t>
      </w:r>
    </w:p>
    <w:p>
      <w:pPr>
        <w:spacing w:after="0" w:line="14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As of December 31, 2020, the Company incurred legal fees of $2,152,960. These fees will only become due and payable upon the consummation of an initial Business Combination (see Note 12).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STOCKHOLDERS’ EQUITY</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Preferred Stock — The Company is authorized to issue 1,000,000 shares of preferred stock with a par value of $0.0001 per share with such designations, voting and other rights and preferences as may be determined from time to time by the Company’s board of directors. At December 31, 2020, there were no shares of preferred stock issued or outstanding.</w:t>
      </w:r>
    </w:p>
    <w:p>
      <w:pPr>
        <w:spacing w:after="0" w:line="119" w:lineRule="exact"/>
        <w:rPr>
          <w:sz w:val="20"/>
          <w:szCs w:val="20"/>
          <w:color w:val="auto"/>
        </w:rPr>
      </w:pPr>
    </w:p>
    <w:p>
      <w:pPr>
        <w:ind w:left="1260" w:right="579" w:firstLine="360"/>
        <w:spacing w:after="0" w:line="296" w:lineRule="auto"/>
        <w:rPr>
          <w:sz w:val="20"/>
          <w:szCs w:val="20"/>
          <w:color w:val="auto"/>
        </w:rPr>
      </w:pPr>
      <w:r>
        <w:rPr>
          <w:rFonts w:ascii="Arial" w:cs="Arial" w:eastAsia="Arial" w:hAnsi="Arial"/>
          <w:sz w:val="16"/>
          <w:szCs w:val="16"/>
          <w:color w:val="auto"/>
        </w:rPr>
        <w:t>Class A Common Stock — On July 30, 2020, the Company amended its Amended and Restated Certificate of Incorporation such that the Company is authorized to issue 400,000,000 shares of Class A common stock with a par value of $0.0001 per share. Holders of Class A common stock are entitled to one vote for each share. At December 31, 2020, there were 21,656,223 shares of Class A common stock issued or outstanding, excluding 185,343,777 shares of Class A common stock subject to possible redemption</w:t>
      </w:r>
    </w:p>
    <w:p>
      <w:pPr>
        <w:spacing w:after="0" w:line="80"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Class B Common Stock — On July 30, 2020, the Company amended its Amended and Restated Certificate of Incorporation such that the Company is authorized to issue 100,000,000 shares of Class B common stock with a par value of $0.0001 per share. Holders of Class B common stock are entitled to one vote for each share. At December 31, 2020, there were 51,750,000 shares of Class B common stock issued and outstanding</w:t>
      </w:r>
    </w:p>
    <w:p>
      <w:pPr>
        <w:spacing w:after="0" w:line="120"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9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WARRANT LIABILITY</w:t>
      </w:r>
    </w:p>
    <w:p>
      <w:pPr>
        <w:spacing w:after="0" w:line="14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9" w:name="page270"/>
    <w:bookmarkEnd w:id="26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1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17" w:lineRule="exact"/>
        <w:rPr>
          <w:sz w:val="20"/>
          <w:szCs w:val="20"/>
          <w:color w:val="auto"/>
        </w:rPr>
      </w:pPr>
    </w:p>
    <w:p>
      <w:pPr>
        <w:ind w:left="1800" w:hanging="180"/>
        <w:spacing w:after="0"/>
        <w:tabs>
          <w:tab w:leader="none" w:pos="1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48"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16" w:lineRule="exact"/>
        <w:rPr>
          <w:sz w:val="20"/>
          <w:szCs w:val="20"/>
          <w:color w:val="auto"/>
        </w:rPr>
      </w:pPr>
    </w:p>
    <w:p>
      <w:pPr>
        <w:ind w:left="1260" w:right="1079" w:firstLine="360"/>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01"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0" w:name="page271"/>
    <w:bookmarkEnd w:id="27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79"/>
        <w:spacing w:after="0" w:line="275" w:lineRule="auto"/>
        <w:rPr>
          <w:sz w:val="20"/>
          <w:szCs w:val="20"/>
          <w:color w:val="auto"/>
        </w:rPr>
      </w:pPr>
      <w:r>
        <w:rPr>
          <w:rFonts w:ascii="Arial" w:cs="Arial" w:eastAsia="Arial" w:hAnsi="Arial"/>
          <w:sz w:val="17"/>
          <w:szCs w:val="17"/>
          <w:color w:val="auto"/>
        </w:rPr>
        <w:t>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INCOME TAX</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Company’s net deferred tax asset is as 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20" w:type="dxa"/>
            <w:vAlign w:val="bottom"/>
          </w:tcPr>
          <w:p>
            <w:pPr>
              <w:ind w:left="180"/>
              <w:spacing w:after="0"/>
              <w:rPr>
                <w:sz w:val="20"/>
                <w:szCs w:val="20"/>
                <w:color w:val="auto"/>
              </w:rPr>
            </w:pPr>
            <w:r>
              <w:rPr>
                <w:rFonts w:ascii="Arial" w:cs="Arial" w:eastAsia="Arial" w:hAnsi="Arial"/>
                <w:sz w:val="18"/>
                <w:szCs w:val="18"/>
                <w:color w:val="auto"/>
              </w:rPr>
              <w:t>Startup/organizational expenses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$ 596,809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57"/>
        </w:trPr>
        <w:tc>
          <w:tcPr>
            <w:tcW w:w="6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deferred tax asset</w:t>
            </w:r>
          </w:p>
        </w:tc>
        <w:tc>
          <w:tcPr>
            <w:tcW w:w="2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593,909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(593,909)</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6420" w:type="dxa"/>
            <w:vAlign w:val="bottom"/>
            <w:vMerge w:val="restart"/>
          </w:tcPr>
          <w:p>
            <w:pPr>
              <w:spacing w:after="0"/>
              <w:rPr>
                <w:sz w:val="20"/>
                <w:szCs w:val="20"/>
                <w:color w:val="auto"/>
              </w:rPr>
            </w:pPr>
            <w:r>
              <w:rPr>
                <w:rFonts w:ascii="Arial" w:cs="Arial" w:eastAsia="Arial" w:hAnsi="Arial"/>
                <w:sz w:val="18"/>
                <w:szCs w:val="18"/>
                <w:color w:val="auto"/>
              </w:rPr>
              <w:t>The income tax provision consists of the following:</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20" w:type="dxa"/>
            <w:vAlign w:val="bottom"/>
          </w:tcPr>
          <w:p>
            <w:pPr>
              <w:ind w:left="180"/>
              <w:spacing w:after="0"/>
              <w:rPr>
                <w:sz w:val="20"/>
                <w:szCs w:val="20"/>
                <w:color w:val="auto"/>
              </w:rPr>
            </w:pPr>
            <w:r>
              <w:rPr>
                <w:rFonts w:ascii="Arial" w:cs="Arial" w:eastAsia="Arial" w:hAnsi="Arial"/>
                <w:sz w:val="18"/>
                <w:szCs w:val="18"/>
                <w:color w:val="auto"/>
              </w:rPr>
              <w:t>Current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81,422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(593,909)</w:t>
            </w: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18"/>
                <w:szCs w:val="18"/>
                <w:color w:val="auto"/>
              </w:rPr>
              <w:t>State and Local</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2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593,909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81,422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-2322195</wp:posOffset>
            </wp:positionV>
            <wp:extent cx="342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-2665095</wp:posOffset>
            </wp:positionV>
            <wp:extent cx="342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-3171190</wp:posOffset>
            </wp:positionV>
            <wp:extent cx="420878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-213995</wp:posOffset>
            </wp:positionV>
            <wp:extent cx="342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-1370965</wp:posOffset>
            </wp:positionV>
            <wp:extent cx="42087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22"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As of December 31, 2020, the Company did not have any U.S. federal and state net operating loss carryovers available to offset future taxable income.</w:t>
      </w:r>
    </w:p>
    <w:p>
      <w:pPr>
        <w:spacing w:after="0" w:line="89"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April 30, 2020 (inception) through December 31, 2020, the change in the valuation allowance was $593,909.</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1" w:name="page272"/>
    <w:bookmarkEnd w:id="27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64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r>
      <w:tr>
        <w:trPr>
          <w:trHeight w:val="26"/>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0.0%</w:t>
            </w:r>
          </w:p>
        </w:tc>
      </w:tr>
      <w:tr>
        <w:trPr>
          <w:trHeight w:val="25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liability</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56"/>
        </w:trPr>
        <w:tc>
          <w:tcPr>
            <w:tcW w:w="6420" w:type="dxa"/>
            <w:vAlign w:val="bottom"/>
          </w:tcPr>
          <w:p>
            <w:pPr>
              <w:spacing w:after="0"/>
              <w:rPr>
                <w:sz w:val="20"/>
                <w:szCs w:val="20"/>
                <w:color w:val="auto"/>
              </w:rPr>
            </w:pPr>
            <w:r>
              <w:rPr>
                <w:rFonts w:ascii="Arial" w:cs="Arial" w:eastAsia="Arial" w:hAnsi="Arial"/>
                <w:sz w:val="18"/>
                <w:szCs w:val="18"/>
                <w:color w:val="auto"/>
              </w:rPr>
              <w:t>Transaction costs incurred in connection with IPO</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(0.7)%</w:t>
            </w:r>
          </w:p>
        </w:tc>
      </w:tr>
      <w:tr>
        <w:trPr>
          <w:trHeight w:val="26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40" w:type="dxa"/>
            <w:vAlign w:val="bottom"/>
            <w:gridSpan w:val="2"/>
            <w:shd w:val="clear" w:color="auto" w:fill="CCEEFF"/>
          </w:tcPr>
          <w:p>
            <w:pPr>
              <w:spacing w:after="0"/>
              <w:rPr>
                <w:sz w:val="22"/>
                <w:szCs w:val="2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0"/>
        </w:trPr>
        <w:tc>
          <w:tcPr>
            <w:tcW w:w="6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gridSpan w:val="2"/>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20878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95"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 files income tax returns in the U.S. federal jurisdiction and is subject to examination by the various taxing authorities. The Company’s tax returns for the year ended December 31, 2020 remain open and subject to examination. The Company considers New York to be a significant state tax jurisdiction.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FAIR VALUE MEASUREMENTS</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16" w:lineRule="exact"/>
        <w:rPr>
          <w:sz w:val="20"/>
          <w:szCs w:val="20"/>
          <w:color w:val="auto"/>
        </w:rPr>
      </w:pPr>
    </w:p>
    <w:p>
      <w:pPr>
        <w:ind w:left="1260" w:right="619" w:firstLine="360"/>
        <w:spacing w:after="0" w:line="271"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11" w:lineRule="exact"/>
        <w:rPr>
          <w:sz w:val="20"/>
          <w:szCs w:val="20"/>
          <w:color w:val="auto"/>
        </w:rPr>
      </w:pPr>
    </w:p>
    <w:p>
      <w:pPr>
        <w:ind w:left="2360" w:right="819" w:hanging="737"/>
        <w:spacing w:after="0" w:line="286"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8" w:lineRule="exact"/>
        <w:rPr>
          <w:sz w:val="20"/>
          <w:szCs w:val="20"/>
          <w:color w:val="auto"/>
        </w:rPr>
      </w:pPr>
    </w:p>
    <w:p>
      <w:pPr>
        <w:ind w:left="2360" w:right="599" w:hanging="737"/>
        <w:spacing w:after="0" w:line="263"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2360" w:right="779" w:hanging="737"/>
        <w:spacing w:after="0" w:line="277" w:lineRule="auto"/>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103"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r>
      <w:tr>
        <w:trPr>
          <w:trHeight w:val="25"/>
        </w:trPr>
        <w:tc>
          <w:tcPr>
            <w:tcW w:w="5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6"/>
        </w:trPr>
        <w:tc>
          <w:tcPr>
            <w:tcW w:w="57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2,070,086,006</w:t>
            </w:r>
          </w:p>
        </w:tc>
      </w:tr>
      <w:tr>
        <w:trPr>
          <w:trHeight w:val="25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6"/>
        </w:trPr>
        <w:tc>
          <w:tcPr>
            <w:tcW w:w="578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62,928,000</w:t>
            </w:r>
          </w:p>
        </w:tc>
      </w:tr>
      <w:tr>
        <w:trPr>
          <w:trHeight w:val="25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-822325</wp:posOffset>
            </wp:positionV>
            <wp:extent cx="13716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-822325</wp:posOffset>
            </wp:positionV>
            <wp:extent cx="13716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2" w:name="page273"/>
    <w:bookmarkEnd w:id="27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measured at fair value at inception and on a recurring basis, with changes in fair value recorded in the statement of operations.</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At issuance, the Warrant Liability for Public Warrants and Private Placement Warrants were valued as of July 30, 2020 using a Monte Carlo simulation and a modified Black Scholes model, respectively, which are considered to be a Level 3 fair value measurements. Subsequent to the Public Warrants detachment from the Units, the Public Warrants are valued based on quoted market price, under ticker CCIV.WS, which is a Level 1 fair value.</w:t>
      </w:r>
    </w:p>
    <w:p>
      <w:pPr>
        <w:spacing w:after="0" w:line="120"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The Monte Carlo simulation’s primary unobservable input utilized in determining the fair value of the Warrants is the probability of consummation of the Business Combination. The probability assigned to the consummation of the Business Combination was 80% which was estimated based on the observed success rates of business combinations for special purpose acquisition companies. The expected volatility as of the Initial Public Offering date was derived from observable public warrant pricing on comparable ‘blank-check’ companies without an identified target.</w:t>
      </w:r>
    </w:p>
    <w:p>
      <w:pPr>
        <w:spacing w:after="0" w:line="125" w:lineRule="exact"/>
        <w:rPr>
          <w:sz w:val="20"/>
          <w:szCs w:val="20"/>
          <w:color w:val="auto"/>
        </w:rPr>
      </w:pPr>
    </w:p>
    <w:p>
      <w:pPr>
        <w:ind w:left="1260" w:right="1099" w:firstLine="360"/>
        <w:spacing w:after="0" w:line="263" w:lineRule="auto"/>
        <w:rPr>
          <w:sz w:val="20"/>
          <w:szCs w:val="20"/>
          <w:color w:val="auto"/>
        </w:rPr>
      </w:pPr>
      <w:r>
        <w:rPr>
          <w:rFonts w:ascii="Arial" w:cs="Arial" w:eastAsia="Arial" w:hAnsi="Arial"/>
          <w:sz w:val="18"/>
          <w:szCs w:val="18"/>
          <w:color w:val="auto"/>
        </w:rPr>
        <w:t>As of issuance and December 31, 2020, the estimated fair value of Warrant Liability — Private Placement Warrants were determined using a Black-Scholes valuation and based on the following significant inputs: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As of</w:t>
            </w:r>
          </w:p>
        </w:tc>
      </w:tr>
      <w:tr>
        <w:trPr>
          <w:trHeight w:val="186"/>
        </w:trPr>
        <w:tc>
          <w:tcPr>
            <w:tcW w:w="546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At issuance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December 31,2020</w:t>
            </w:r>
          </w:p>
        </w:tc>
      </w:tr>
      <w:tr>
        <w:trPr>
          <w:trHeight w:val="25"/>
        </w:trPr>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11.50</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$11.50</w:t>
            </w: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Stock price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22"/>
                <w:szCs w:val="22"/>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$10.01</w:t>
            </w:r>
          </w:p>
        </w:tc>
      </w:tr>
      <w:tr>
        <w:trPr>
          <w:trHeight w:val="25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w:t>
            </w: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Probability of completing a Business Combination</w:t>
            </w:r>
          </w:p>
        </w:tc>
        <w:tc>
          <w:tcPr>
            <w:tcW w:w="1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80%</w:t>
            </w:r>
          </w:p>
        </w:tc>
      </w:tr>
      <w:tr>
        <w:trPr>
          <w:trHeight w:val="27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5.33</w:t>
            </w: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0.50%</w:t>
            </w:r>
          </w:p>
        </w:tc>
      </w:tr>
      <w:tr>
        <w:trPr>
          <w:trHeight w:val="27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-1174115</wp:posOffset>
            </wp:positionV>
            <wp:extent cx="403733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Private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Warrant</w:t>
            </w:r>
          </w:p>
        </w:tc>
      </w:tr>
      <w:tr>
        <w:trPr>
          <w:trHeight w:val="186"/>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Placement</w:t>
            </w:r>
          </w:p>
        </w:tc>
        <w:tc>
          <w:tcPr>
            <w:tcW w:w="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Public</w:t>
            </w:r>
          </w:p>
        </w:tc>
        <w:tc>
          <w:tcPr>
            <w:tcW w:w="100" w:type="dxa"/>
            <w:vAlign w:val="bottom"/>
          </w:tcPr>
          <w:p>
            <w:pPr>
              <w:spacing w:after="0"/>
              <w:rPr>
                <w:sz w:val="16"/>
                <w:szCs w:val="16"/>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Liabilities</w:t>
            </w:r>
          </w:p>
        </w:tc>
      </w:tr>
      <w:tr>
        <w:trPr>
          <w:trHeight w:val="25"/>
        </w:trPr>
        <w:tc>
          <w:tcPr>
            <w:tcW w:w="4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as of April 30, 2020 (inception)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220" w:type="dxa"/>
            <w:vAlign w:val="bottom"/>
            <w:gridSpan w:val="2"/>
          </w:tcPr>
          <w:p>
            <w:pPr>
              <w:spacing w:after="0"/>
              <w:rPr>
                <w:sz w:val="20"/>
                <w:szCs w:val="20"/>
                <w:color w:val="auto"/>
              </w:rPr>
            </w:pPr>
            <w:r>
              <w:rPr>
                <w:rFonts w:ascii="Arial" w:cs="Arial" w:eastAsia="Arial" w:hAnsi="Arial"/>
                <w:sz w:val="18"/>
                <w:szCs w:val="18"/>
                <w:color w:val="auto"/>
              </w:rPr>
              <w:t>Initial measurement on July 30, 2020</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42,850,000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40,572,000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83,422,000</w:t>
            </w:r>
          </w:p>
        </w:tc>
      </w:tr>
      <w:tr>
        <w:trPr>
          <w:trHeight w:val="264"/>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36,422,500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22,356,000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58,778,500</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Fair value as of December 31, 2020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79,272,500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62,928,000</w:t>
            </w:r>
          </w:p>
        </w:tc>
        <w:tc>
          <w:tcPr>
            <w:tcW w:w="2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142,200,500</w:t>
            </w: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-719455</wp:posOffset>
            </wp:positionV>
            <wp:extent cx="13716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-719455</wp:posOffset>
            </wp:positionV>
            <wp:extent cx="338582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SUBSEQUENT EVENTS</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Merger Agreement</w:t>
      </w:r>
    </w:p>
    <w:p>
      <w:pPr>
        <w:spacing w:after="0" w:line="162"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On February 22, 2021, the Company entered into an Agreement and Plan of Merger (the “Merger Agreement”) by and among the Company, Merger Sub and Atieva, relating to a proposed business combination transaction between the Company and Atieva.</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3" w:name="page274"/>
    <w:bookmarkEnd w:id="27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 (the “Merger” and, together with the other transactions contemplated by the Merger Agreement, the “Transactions”).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aggregate consideration to be paid to the shareholders of Atieva will be equal to</w:t>
      </w:r>
    </w:p>
    <w:p>
      <w:pPr>
        <w:spacing w:after="0" w:line="12" w:lineRule="exact"/>
        <w:rPr>
          <w:sz w:val="20"/>
          <w:szCs w:val="20"/>
          <w:color w:val="auto"/>
        </w:rPr>
      </w:pPr>
    </w:p>
    <w:p>
      <w:pPr>
        <w:ind w:left="1260" w:right="559"/>
        <w:spacing w:after="0" w:line="237" w:lineRule="auto"/>
        <w:tabs>
          <w:tab w:leader="none" w:pos="15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$11,750,000,000 plus (b) (i) all cash and cash equivalents of Atieva and its subsidiaries less (ii) all indebtedness for borrowed money of Atieva and its subsidiaries, in each case as of two business days prior to the closing date (the “Equity Value”) and will be paid entirely in shares of Class A common stock, par value $0.0001 per share, of the Company (the “Class A Common Stock”) in an amount equal to $10.00 per share (the “Merger Consideration”).</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the effective time of the Merger:</w:t>
      </w:r>
    </w:p>
    <w:p>
      <w:pPr>
        <w:spacing w:after="0" w:line="144" w:lineRule="exact"/>
        <w:rPr>
          <w:sz w:val="20"/>
          <w:szCs w:val="20"/>
          <w:color w:val="auto"/>
        </w:rPr>
      </w:pPr>
    </w:p>
    <w:p>
      <w:pPr>
        <w:ind w:left="1980" w:right="439" w:hanging="360"/>
        <w:spacing w:after="0" w:line="254"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each share of capital stock of Atieva (the “Atieva Shares”) will be cancelled and automatically deemed for all purposes to represent the right to receive, in the aggregate, the Merger Consideration. All share incentive plan or similar equity-based compensation plans maintained for employees of Atieva will be assumed by the Company and all outstanding options to purchase Atieva Shares (each, a “Atieva Option”) and each restricted stock unit award (“RSU”) with respect to Atieva Shares (each, a “Atieva RSU”) will be assumed by the Company as described below. For purposes of the following paragraph, the “Exchange Ratio” means the Equity Value per share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$10.00.</w:t>
      </w:r>
    </w:p>
    <w:p>
      <w:pPr>
        <w:spacing w:after="0" w:line="124" w:lineRule="exact"/>
        <w:rPr>
          <w:rFonts w:ascii="Arial" w:cs="Arial" w:eastAsia="Arial" w:hAnsi="Arial"/>
          <w:sz w:val="18"/>
          <w:szCs w:val="18"/>
          <w:color w:val="auto"/>
        </w:rPr>
      </w:pPr>
    </w:p>
    <w:p>
      <w:pPr>
        <w:ind w:left="1980" w:right="499" w:hanging="360"/>
        <w:spacing w:after="0" w:line="253"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Atieva Option will become an option to purchase shares of Class A Common Stock (each, an “Assumed Option”), on the same terms and conditions (including applicable vesting, exercise and expiration provisions) as applied to the Atieva Option immediately prior to the effective time of the Merger, except that (i) the number of shares of Class A Common Stock subject to such Assumed Option shall equal the product of (x) the number of Atieva Shares that were subject to the option immediately prior to the effective time of the Merger, multiplied by (y) the Exchange Ratio, rounded down to the nearest whole share, and (B) the per-share exercise price shall equal the quotient of (1) the exercise price per Atieva Share at which such option was exercisable immediately prior to the effective time of the Merger, divided by (2) the Exchange Ratio, rounded up to the nearest whole cent.</w:t>
      </w:r>
    </w:p>
    <w:p>
      <w:pPr>
        <w:spacing w:after="0" w:line="113" w:lineRule="exact"/>
        <w:rPr>
          <w:rFonts w:ascii="Arial" w:cs="Arial" w:eastAsia="Arial" w:hAnsi="Arial"/>
          <w:sz w:val="18"/>
          <w:szCs w:val="18"/>
          <w:color w:val="auto"/>
        </w:rPr>
      </w:pPr>
    </w:p>
    <w:p>
      <w:pPr>
        <w:ind w:left="1980" w:right="539" w:hanging="360"/>
        <w:spacing w:after="0" w:line="272" w:lineRule="auto"/>
        <w:tabs>
          <w:tab w:leader="none" w:pos="19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Atieva RSU, will be assumed by the Company and become an RSU with respect to shares of Class A Common Stock (each, an “Assumed RSU”) on the same terms and conditions (including applicable vesting provisions) as applied to each Atieva RSU immediately prior to the effective time of the Merger, except that the number of shares of Class A Common Stock subject to such Assumed RSU Award will be equal the product of (x) the number of Atieva Shares that were subject to such RSU immediately prior to the effective time of the Merger, multiplied by (y) the Exchange Ratio, rounded down to the nearest whole share.</w:t>
      </w:r>
    </w:p>
    <w:p>
      <w:pPr>
        <w:spacing w:after="0" w:line="110" w:lineRule="exact"/>
        <w:rPr>
          <w:sz w:val="20"/>
          <w:szCs w:val="20"/>
          <w:color w:val="auto"/>
        </w:rPr>
      </w:pPr>
    </w:p>
    <w:p>
      <w:pPr>
        <w:ind w:left="1260" w:right="719" w:firstLine="360"/>
        <w:spacing w:after="0" w:line="324" w:lineRule="auto"/>
        <w:rPr>
          <w:sz w:val="20"/>
          <w:szCs w:val="20"/>
          <w:color w:val="auto"/>
        </w:rPr>
      </w:pPr>
      <w:r>
        <w:rPr>
          <w:rFonts w:ascii="Arial" w:cs="Arial" w:eastAsia="Arial" w:hAnsi="Arial"/>
          <w:sz w:val="16"/>
          <w:szCs w:val="16"/>
          <w:color w:val="auto"/>
        </w:rPr>
        <w:t>The Merger Agreement contains customary representations, warranties and covenants by the parties thereto and the closing is subject to certain conditions as further described in the Merger Agreement.</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Subscription Agreement</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In connection with the execution of the Merger Agreement, the Company entered into certain common stock subscription agreements (the “Subscription Agreements”) with certain investment funds (the “PIPE Investors”) pursuant to which, the Company has agreed to issue and sell to the PIPE Investors $2.5 billion of Class A common stock (the “PIPE Shares”) in reliance on an exemption from registration under Section 4(a)(2) under the Securities Act at a purchase price of $15 per share (the “PIPE Investment”). Pursuant to the Subscription Agreements, the PIPE Investors have agreed to not transfer any PIPE Shares until the later of (i) the effectiveness of the registration statement to be filed following the closing of the Transactions to register the PIPE Shares and (ii) September 1, 2021. The closing of the PIPE Investment</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4" w:name="page275"/>
    <w:bookmarkEnd w:id="27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19"/>
        <w:spacing w:after="0" w:line="262" w:lineRule="auto"/>
        <w:rPr>
          <w:sz w:val="20"/>
          <w:szCs w:val="20"/>
          <w:color w:val="auto"/>
        </w:rPr>
      </w:pPr>
      <w:r>
        <w:rPr>
          <w:rFonts w:ascii="Arial" w:cs="Arial" w:eastAsia="Arial" w:hAnsi="Arial"/>
          <w:sz w:val="17"/>
          <w:szCs w:val="17"/>
          <w:color w:val="auto"/>
        </w:rPr>
        <w:t>is conditioned on all conditions set forth in the Merger Agreement having been satisfied or waived and other customary closing conditions, and the Transactions will be consummated immediately following the closing of the PIPE Investment. The Subscription Agreements will terminate upon the earlier to occur of (i) the termination of the Merger Agreement and (ii) the mutual written agreement of the parties thereto.</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Subscription Agreements provide that the Company is required to file with the SEC, within</w:t>
      </w:r>
    </w:p>
    <w:p>
      <w:pPr>
        <w:spacing w:after="0" w:line="12" w:lineRule="exact"/>
        <w:rPr>
          <w:sz w:val="20"/>
          <w:szCs w:val="20"/>
          <w:color w:val="auto"/>
        </w:rPr>
      </w:pPr>
    </w:p>
    <w:p>
      <w:pPr>
        <w:ind w:left="1260" w:right="479"/>
        <w:spacing w:after="0" w:line="236" w:lineRule="auto"/>
        <w:rPr>
          <w:sz w:val="20"/>
          <w:szCs w:val="20"/>
          <w:color w:val="auto"/>
        </w:rPr>
      </w:pPr>
      <w:r>
        <w:rPr>
          <w:rFonts w:ascii="Arial" w:cs="Arial" w:eastAsia="Arial" w:hAnsi="Arial"/>
          <w:sz w:val="18"/>
          <w:szCs w:val="18"/>
          <w:color w:val="auto"/>
        </w:rPr>
        <w:t>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the Company that it will “review” such registration statement) following the closing of the PIPE Investment and (ii) the 10th business day after the date the Company is notified (orally or in writing, whichever is earlier) by the SEC that such registration statement will not be “reviewed” or will not be subject to further review.</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Consulting Agreements</w:t>
      </w:r>
    </w:p>
    <w:p>
      <w:pPr>
        <w:spacing w:after="0" w:line="16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is payable upon the consummation of a Business Combination (ii) $ 500,000 is payable upon consummation of the financing (iii) out-of-pocket expenses not to exceed $125,000 without prior approval.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February 22, 2021, the Company entered into a convertible promissory note with the Sponsor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pursuant to which the Sponsor agreed to loan the Company up to an aggregate principal amount of</w:t>
      </w:r>
    </w:p>
    <w:p>
      <w:pPr>
        <w:ind w:left="1260"/>
        <w:spacing w:after="0"/>
        <w:rPr>
          <w:sz w:val="20"/>
          <w:szCs w:val="20"/>
          <w:color w:val="auto"/>
        </w:rPr>
      </w:pPr>
      <w:r>
        <w:rPr>
          <w:rFonts w:ascii="Arial" w:cs="Arial" w:eastAsia="Arial" w:hAnsi="Arial"/>
          <w:sz w:val="17"/>
          <w:szCs w:val="17"/>
          <w:color w:val="auto"/>
        </w:rPr>
        <w:t>$1,500,000 (the “Note”). The Note is non-interest bearing and payable on the earlier of (i) the date of which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Company consummates a Business Combination or (ii) the date that the winding up of the Company. If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Company does not consummate a Business Combination, the Company may use a portion of any funds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held outside the Trust Account to repay the Promissory Note; however, no proceeds from the Trust Account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be used for such repayment. Up to $1,500,000 of the Note may be converted into warrants at a price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 per warrant at the option of the Sponsor. The warrants would be identical to the Private Placement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Warrants. The Company borrowed an aggregate of $1,500,000 on February 22, 2021.</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On March 3, 2021, Richard Hofman, a purported stockholder of the Company, filed a complaint, individually and on behalf of other of the Company stockholders, in the Superior Court of the State of California against the Company, Lucid, and other unnamed defendants. The complaint alleged claims for fraud, negligent misrepresentation, and false advertising and unfair business practices in connection with allegedly false and misleading statements and omissions in the Company’s public filings, concerning the proposed merger between the Company and Lucid. The complaint sought injunctive relief, as well as compensatory and punitive damages. On March 8, 2021, plaintiff filed an ex parte application for a temporary restraining order and preliminary injunction, which the Company opposed and the court denied on March 10, 2021. Plaintiff filed an amended complaint on March 22, 2021, solely in a personal capacity and not on behalf of any other Company stockholders. The amended complaint alleges claims for fraud against defendants Lucid and Peter Rawlinson, and negligent misrepresentation against the Company, Lucid, and Mr. Rawlinson. The amended complaint seeks compensatory and punitive damages.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w:t>
      </w: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5" w:name="page276"/>
    <w:bookmarkEnd w:id="27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On April 18, 2021, Randy Phillips, a purported stockholder of the Company, filed a complaint, individually and on behalf of other Company stockholders, in the United States District Court for the Northern District of Alabama against the Company, Atieva, Inc. (doing business as Lucid), Michael Klein, Jay Taragin, and Peter Rawlinson. The complaint alleges claims for violations of the federal securities laws under Section 10(b) and Section 20(a) of the Exchange Act in connection with allegedly false and misleading statements and omissions concerning Lucid’s business plans and prospects, as well as the proposed merger between the Company and Lucid. The complaint seeks compensatory and punitive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6" w:name="page277"/>
    <w:bookmarkEnd w:id="27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2,068,115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845,672</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937,786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2,913,787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2,070,267,288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2,070,086,006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2,073,181,075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2,074,616,649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1,419,919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1,446,951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Pr>
          <w:p>
            <w:pPr>
              <w:ind w:left="180"/>
              <w:spacing w:after="0"/>
              <w:rPr>
                <w:sz w:val="20"/>
                <w:szCs w:val="20"/>
                <w:color w:val="auto"/>
              </w:rPr>
            </w:pPr>
            <w:r>
              <w:rPr>
                <w:rFonts w:ascii="Arial" w:cs="Arial" w:eastAsia="Arial" w:hAnsi="Arial"/>
                <w:sz w:val="18"/>
                <w:szCs w:val="18"/>
                <w:color w:val="auto"/>
              </w:rPr>
              <w:t>Convertible promissory note – related party, net of discount</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1,824,919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1,012,266,538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142,200,500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72,450,000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1,086,541,457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216,178,873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Class A common stock subject to possible redemption, 207,000,000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8"/>
              </w:rPr>
              <w:t>and 185,343,777 shares at redemption value at as of March 31, 2021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2,070,000,000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1,853,437,770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640" w:type="dxa"/>
            <w:vAlign w:val="bottom"/>
          </w:tcPr>
          <w:p>
            <w:pPr>
              <w:spacing w:after="0"/>
              <w:rPr>
                <w:sz w:val="20"/>
                <w:szCs w:val="20"/>
                <w:color w:val="auto"/>
              </w:rPr>
            </w:pPr>
            <w:r>
              <w:rPr>
                <w:rFonts w:ascii="Arial" w:cs="Arial" w:eastAsia="Arial" w:hAnsi="Arial"/>
                <w:sz w:val="18"/>
                <w:szCs w:val="18"/>
                <w:color w:val="auto"/>
                <w:w w:val="99"/>
              </w:rPr>
              <w:t>Preferred stock, $0.0001 par value; 1,000,000 shares authorized; none</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issued or outstanding</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$0.0001 par value; 400,000,000 shares</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authorized; 0 and 21,656,223 shares issued and outstanding</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(excluding 207,000,000 and 185,343,777 shares subject to possible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redemption) at March 31, 2021 and December 31, 2020, respectively</w:t>
            </w:r>
          </w:p>
        </w:tc>
        <w:tc>
          <w:tcPr>
            <w:tcW w:w="10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40" w:type="dxa"/>
            <w:vAlign w:val="bottom"/>
          </w:tcPr>
          <w:p>
            <w:pPr>
              <w:spacing w:after="0"/>
              <w:rPr>
                <w:sz w:val="20"/>
                <w:szCs w:val="20"/>
                <w:color w:val="auto"/>
              </w:rPr>
            </w:pPr>
            <w:r>
              <w:rPr>
                <w:rFonts w:ascii="Arial" w:cs="Arial" w:eastAsia="Arial" w:hAnsi="Arial"/>
                <w:sz w:val="18"/>
                <w:szCs w:val="18"/>
                <w:color w:val="auto"/>
              </w:rPr>
              <w:t>Class B common stock, $0.0001 par value; 100,000,000 shares</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authorized; 51,750,000 shares issued and outstanding at March 31,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4"/>
                <w:szCs w:val="24"/>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68,460,540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(1,083,365,557)</w:t>
            </w:r>
          </w:p>
        </w:tc>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24"/>
                <w:szCs w:val="24"/>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(1,083,360,382)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2,073,181,075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2,074,616,649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-410845</wp:posOffset>
            </wp:positionV>
            <wp:extent cx="44919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-2279650</wp:posOffset>
            </wp:positionV>
            <wp:extent cx="44919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-2896870</wp:posOffset>
            </wp:positionV>
            <wp:extent cx="44919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44919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-4594225</wp:posOffset>
            </wp:positionV>
            <wp:extent cx="44919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-4937125</wp:posOffset>
            </wp:positionV>
            <wp:extent cx="44919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1740" w:right="140"/>
        <w:spacing w:after="0" w:line="387"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155575</wp:posOffset>
            </wp:positionV>
            <wp:extent cx="683196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7" w:name="page278"/>
    <w:bookmarkEnd w:id="27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14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CHURCHILL CAPITAL CORP IV</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140" w:type="dxa"/>
            <w:vAlign w:val="bottom"/>
          </w:tcPr>
          <w:p>
            <w:pPr>
              <w:jc w:val="center"/>
              <w:ind w:left="930"/>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40" w:type="dxa"/>
            <w:vAlign w:val="bottom"/>
          </w:tcPr>
          <w:p>
            <w:pPr>
              <w:jc w:val="center"/>
              <w:ind w:left="950"/>
              <w:spacing w:after="0"/>
              <w:rPr>
                <w:sz w:val="20"/>
                <w:szCs w:val="20"/>
                <w:color w:val="auto"/>
              </w:rPr>
            </w:pPr>
            <w:r>
              <w:rPr>
                <w:rFonts w:ascii="Arial" w:cs="Arial" w:eastAsia="Arial" w:hAnsi="Arial"/>
                <w:sz w:val="18"/>
                <w:szCs w:val="18"/>
                <w:b w:val="1"/>
                <w:bCs w:val="1"/>
                <w:color w:val="auto"/>
                <w:w w:val="96"/>
              </w:rPr>
              <w:t>THREE MONTHS ENDED MARCH 31, 2021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3,089,824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(3,089,824)</w:t>
            </w:r>
          </w:p>
        </w:tc>
        <w:tc>
          <w:tcPr>
            <w:tcW w:w="0" w:type="dxa"/>
            <w:vAlign w:val="bottom"/>
          </w:tcPr>
          <w:p>
            <w:pPr>
              <w:spacing w:after="0"/>
              <w:rPr>
                <w:sz w:val="1"/>
                <w:szCs w:val="1"/>
                <w:color w:val="auto"/>
              </w:rPr>
            </w:pPr>
          </w:p>
        </w:tc>
      </w:tr>
      <w:tr>
        <w:trPr>
          <w:trHeight w:val="257"/>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4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(812,374,402)</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 excess fair value of conversion liability</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(56,191,636)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180"/>
              <w:spacing w:after="0"/>
              <w:rPr>
                <w:sz w:val="20"/>
                <w:szCs w:val="20"/>
                <w:color w:val="auto"/>
              </w:rPr>
            </w:pPr>
            <w:r>
              <w:rPr>
                <w:rFonts w:ascii="Arial" w:cs="Arial" w:eastAsia="Arial" w:hAnsi="Arial"/>
                <w:sz w:val="18"/>
                <w:szCs w:val="18"/>
                <w:color w:val="auto"/>
              </w:rPr>
              <w:t>Interest expense – amortization of debt discount</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63"/>
        </w:trPr>
        <w:tc>
          <w:tcPr>
            <w:tcW w:w="7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(868,684,756)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(871,774,580)</w:t>
            </w:r>
          </w:p>
        </w:tc>
        <w:tc>
          <w:tcPr>
            <w:tcW w:w="0" w:type="dxa"/>
            <w:vAlign w:val="bottom"/>
          </w:tcPr>
          <w:p>
            <w:pPr>
              <w:spacing w:after="0"/>
              <w:rPr>
                <w:sz w:val="1"/>
                <w:szCs w:val="1"/>
                <w:color w:val="auto"/>
              </w:rPr>
            </w:pPr>
          </w:p>
        </w:tc>
      </w:tr>
      <w:tr>
        <w:trPr>
          <w:trHeight w:val="263"/>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(871,798,158)</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Basic and diluted weighted average shares outstanding, Class A common stock subject to</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196,306,266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b w:val="1"/>
                <w:bCs w:val="1"/>
                <w:color w:val="auto"/>
                <w:w w:val="96"/>
              </w:rPr>
              <w:t>Basic and diluted net income per share, Class A common stock subject to redemption</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65,318,734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14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-1636395</wp:posOffset>
            </wp:positionV>
            <wp:extent cx="45345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-2630805</wp:posOffset>
            </wp:positionV>
            <wp:extent cx="453453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1740" w:right="140"/>
        <w:spacing w:after="0" w:line="387"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155575</wp:posOffset>
            </wp:positionV>
            <wp:extent cx="683196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8" w:name="page279"/>
    <w:bookmarkEnd w:id="27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Class A</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54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14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9"/>
              </w:rPr>
              <w:t>Common Stock</w:t>
            </w: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8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9"/>
                <w:szCs w:val="9"/>
                <w:color w:val="auto"/>
              </w:rPr>
            </w:pPr>
          </w:p>
        </w:tc>
        <w:tc>
          <w:tcPr>
            <w:tcW w:w="1140" w:type="dxa"/>
            <w:vAlign w:val="bottom"/>
            <w:gridSpan w:val="2"/>
            <w:vMerge w:val="restart"/>
          </w:tcPr>
          <w:p>
            <w:pPr>
              <w:jc w:val="right"/>
              <w:ind w:right="30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9"/>
                <w:szCs w:val="9"/>
                <w:color w:val="auto"/>
              </w:rPr>
            </w:pPr>
          </w:p>
        </w:tc>
        <w:tc>
          <w:tcPr>
            <w:tcW w:w="1160" w:type="dxa"/>
            <w:vAlign w:val="bottom"/>
            <w:gridSpan w:val="2"/>
            <w:vMerge w:val="restart"/>
          </w:tcPr>
          <w:p>
            <w:pPr>
              <w:jc w:val="center"/>
              <w:ind w:right="280"/>
              <w:spacing w:after="0" w:line="12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rPr>
                <w:sz w:val="17"/>
                <w:szCs w:val="17"/>
                <w:color w:val="auto"/>
              </w:rPr>
            </w:pPr>
          </w:p>
        </w:tc>
        <w:tc>
          <w:tcPr>
            <w:tcW w:w="920" w:type="dxa"/>
            <w:vAlign w:val="bottom"/>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8"/>
              </w:rPr>
              <w:t>Balance – January 1,</w:t>
            </w: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2021</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21,656,223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2,166</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89"/>
              </w:rPr>
              <w:t>51,750,000</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$5,175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68,460,540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(63,467,875)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5,000,006</w:t>
            </w:r>
          </w:p>
        </w:tc>
        <w:tc>
          <w:tcPr>
            <w:tcW w:w="0" w:type="dxa"/>
            <w:vAlign w:val="bottom"/>
          </w:tcPr>
          <w:p>
            <w:pPr>
              <w:spacing w:after="0"/>
              <w:rPr>
                <w:sz w:val="1"/>
                <w:szCs w:val="1"/>
                <w:color w:val="auto"/>
              </w:rPr>
            </w:pPr>
          </w:p>
        </w:tc>
      </w:tr>
      <w:tr>
        <w:trPr>
          <w:trHeight w:val="212"/>
        </w:trPr>
        <w:tc>
          <w:tcPr>
            <w:tcW w:w="1680" w:type="dxa"/>
            <w:vAlign w:val="bottom"/>
          </w:tcPr>
          <w:p>
            <w:pPr>
              <w:spacing w:after="0"/>
              <w:rPr>
                <w:sz w:val="20"/>
                <w:szCs w:val="20"/>
                <w:color w:val="auto"/>
              </w:rPr>
            </w:pPr>
            <w:r>
              <w:rPr>
                <w:rFonts w:ascii="Arial" w:cs="Arial" w:eastAsia="Arial" w:hAnsi="Arial"/>
                <w:sz w:val="17"/>
                <w:szCs w:val="17"/>
                <w:color w:val="auto"/>
              </w:rPr>
              <w:t>Change in value of</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tcPr>
          <w:p>
            <w:pPr>
              <w:ind w:left="180"/>
              <w:spacing w:after="0"/>
              <w:rPr>
                <w:sz w:val="20"/>
                <w:szCs w:val="20"/>
                <w:color w:val="auto"/>
              </w:rPr>
            </w:pPr>
            <w:r>
              <w:rPr>
                <w:rFonts w:ascii="Arial" w:cs="Arial" w:eastAsia="Arial" w:hAnsi="Arial"/>
                <w:sz w:val="17"/>
                <w:szCs w:val="17"/>
                <w:color w:val="auto"/>
              </w:rPr>
              <w:t>common stock</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ind w:left="180"/>
              <w:spacing w:after="0"/>
              <w:rPr>
                <w:sz w:val="20"/>
                <w:szCs w:val="20"/>
                <w:color w:val="auto"/>
              </w:rPr>
            </w:pPr>
            <w:r>
              <w:rPr>
                <w:rFonts w:ascii="Arial" w:cs="Arial" w:eastAsia="Arial" w:hAnsi="Arial"/>
                <w:sz w:val="17"/>
                <w:szCs w:val="17"/>
                <w:color w:val="auto"/>
              </w:rPr>
              <w:t>subject to</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80" w:type="dxa"/>
            <w:vAlign w:val="bottom"/>
          </w:tcPr>
          <w:p>
            <w:pPr>
              <w:ind w:left="180"/>
              <w:spacing w:after="0"/>
              <w:rPr>
                <w:sz w:val="20"/>
                <w:szCs w:val="20"/>
                <w:color w:val="auto"/>
              </w:rPr>
            </w:pPr>
            <w:r>
              <w:rPr>
                <w:rFonts w:ascii="Arial" w:cs="Arial" w:eastAsia="Arial" w:hAnsi="Arial"/>
                <w:sz w:val="17"/>
                <w:szCs w:val="17"/>
                <w:color w:val="auto"/>
              </w:rPr>
              <w:t>redemption</w:t>
            </w:r>
          </w:p>
        </w:tc>
        <w:tc>
          <w:tcPr>
            <w:tcW w:w="920" w:type="dxa"/>
            <w:vAlign w:val="bottom"/>
          </w:tcPr>
          <w:p>
            <w:pPr>
              <w:jc w:val="right"/>
              <w:spacing w:after="0"/>
              <w:rPr>
                <w:sz w:val="20"/>
                <w:szCs w:val="20"/>
                <w:color w:val="auto"/>
              </w:rPr>
            </w:pPr>
            <w:r>
              <w:rPr>
                <w:rFonts w:ascii="Arial" w:cs="Arial" w:eastAsia="Arial" w:hAnsi="Arial"/>
                <w:sz w:val="17"/>
                <w:szCs w:val="17"/>
                <w:color w:val="auto"/>
                <w:w w:val="91"/>
              </w:rPr>
              <w:t>(21,656,223)</w:t>
            </w:r>
          </w:p>
        </w:tc>
        <w:tc>
          <w:tcPr>
            <w:tcW w:w="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(2,166)</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(68,460,540)</w:t>
            </w: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(148,099,524)</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(216,562,230)</w:t>
            </w:r>
          </w:p>
        </w:tc>
        <w:tc>
          <w:tcPr>
            <w:tcW w:w="0" w:type="dxa"/>
            <w:vAlign w:val="bottom"/>
          </w:tcPr>
          <w:p>
            <w:pPr>
              <w:spacing w:after="0"/>
              <w:rPr>
                <w:sz w:val="1"/>
                <w:szCs w:val="1"/>
                <w:color w:val="auto"/>
              </w:rPr>
            </w:pPr>
          </w:p>
        </w:tc>
      </w:tr>
      <w:tr>
        <w:trPr>
          <w:trHeight w:val="257"/>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(871,798,158)</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(871,798,158)</w:t>
            </w:r>
          </w:p>
        </w:tc>
        <w:tc>
          <w:tcPr>
            <w:tcW w:w="0" w:type="dxa"/>
            <w:vAlign w:val="bottom"/>
          </w:tcPr>
          <w:p>
            <w:pPr>
              <w:spacing w:after="0"/>
              <w:rPr>
                <w:sz w:val="1"/>
                <w:szCs w:val="1"/>
                <w:color w:val="auto"/>
              </w:rPr>
            </w:pPr>
          </w:p>
        </w:tc>
      </w:tr>
      <w:tr>
        <w:trPr>
          <w:trHeight w:val="22"/>
        </w:trPr>
        <w:tc>
          <w:tcPr>
            <w:tcW w:w="16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80" w:type="dxa"/>
            <w:vAlign w:val="bottom"/>
          </w:tcPr>
          <w:p>
            <w:pPr>
              <w:spacing w:after="0"/>
              <w:rPr>
                <w:sz w:val="20"/>
                <w:szCs w:val="20"/>
                <w:color w:val="auto"/>
              </w:rPr>
            </w:pPr>
            <w:r>
              <w:rPr>
                <w:rFonts w:ascii="Arial" w:cs="Arial" w:eastAsia="Arial" w:hAnsi="Arial"/>
                <w:sz w:val="17"/>
                <w:szCs w:val="17"/>
                <w:b w:val="1"/>
                <w:bCs w:val="1"/>
                <w:color w:val="auto"/>
              </w:rPr>
              <w:t>Balance – March 31,</w:t>
            </w:r>
          </w:p>
        </w:tc>
        <w:tc>
          <w:tcPr>
            <w:tcW w:w="10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1420" w:type="dxa"/>
            <w:vAlign w:val="bottom"/>
            <w:gridSpan w:val="4"/>
            <w:vMerge w:val="restart"/>
          </w:tcPr>
          <w:p>
            <w:pPr>
              <w:jc w:val="right"/>
              <w:ind w:righ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51,750,000</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8"/>
              </w:rPr>
              <w:t>$5,175</w:t>
            </w:r>
          </w:p>
        </w:tc>
        <w:tc>
          <w:tcPr>
            <w:tcW w:w="10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w w:val="89"/>
              </w:rPr>
              <w:t>(1,083,365,557)</w:t>
            </w: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w w:val="89"/>
              </w:rPr>
              <w:t>(1,083,360,382)</w:t>
            </w:r>
          </w:p>
        </w:tc>
        <w:tc>
          <w:tcPr>
            <w:tcW w:w="0" w:type="dxa"/>
            <w:vAlign w:val="bottom"/>
          </w:tcPr>
          <w:p>
            <w:pPr>
              <w:spacing w:after="0"/>
              <w:rPr>
                <w:sz w:val="1"/>
                <w:szCs w:val="1"/>
                <w:color w:val="auto"/>
              </w:rPr>
            </w:pPr>
          </w:p>
        </w:tc>
      </w:tr>
      <w:tr>
        <w:trPr>
          <w:trHeight w:val="222"/>
        </w:trPr>
        <w:tc>
          <w:tcPr>
            <w:tcW w:w="1680" w:type="dxa"/>
            <w:vAlign w:val="bottom"/>
          </w:tcPr>
          <w:p>
            <w:pPr>
              <w:ind w:left="180"/>
              <w:spacing w:after="0"/>
              <w:rPr>
                <w:sz w:val="20"/>
                <w:szCs w:val="20"/>
                <w:color w:val="auto"/>
              </w:rPr>
            </w:pPr>
            <w:r>
              <w:rPr>
                <w:rFonts w:ascii="Arial" w:cs="Arial" w:eastAsia="Arial" w:hAnsi="Arial"/>
                <w:sz w:val="17"/>
                <w:szCs w:val="17"/>
                <w:b w:val="1"/>
                <w:bCs w:val="1"/>
                <w:color w:val="auto"/>
              </w:rPr>
              <w:t>2021</w:t>
            </w:r>
          </w:p>
        </w:tc>
        <w:tc>
          <w:tcPr>
            <w:tcW w:w="1000" w:type="dxa"/>
            <w:vAlign w:val="bottom"/>
            <w:gridSpan w:val="2"/>
            <w:vMerge w:val="continue"/>
          </w:tcPr>
          <w:p>
            <w:pPr>
              <w:spacing w:after="0"/>
              <w:rPr>
                <w:sz w:val="19"/>
                <w:szCs w:val="19"/>
                <w:color w:val="auto"/>
              </w:rPr>
            </w:pPr>
          </w:p>
        </w:tc>
        <w:tc>
          <w:tcPr>
            <w:tcW w:w="1420" w:type="dxa"/>
            <w:vAlign w:val="bottom"/>
            <w:gridSpan w:val="4"/>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-316230</wp:posOffset>
            </wp:positionV>
            <wp:extent cx="2603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-1310640</wp:posOffset>
            </wp:positionV>
            <wp:extent cx="5143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-1310640</wp:posOffset>
            </wp:positionV>
            <wp:extent cx="5143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-1310640</wp:posOffset>
            </wp:positionV>
            <wp:extent cx="342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-1310640</wp:posOffset>
            </wp:positionV>
            <wp:extent cx="10629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-1310640</wp:posOffset>
            </wp:positionV>
            <wp:extent cx="8572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-1310640</wp:posOffset>
            </wp:positionV>
            <wp:extent cx="5143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-1310640</wp:posOffset>
            </wp:positionV>
            <wp:extent cx="5143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-1310640</wp:posOffset>
            </wp:positionV>
            <wp:extent cx="5143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800" w:right="80"/>
        <w:spacing w:after="0" w:line="387"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155575</wp:posOffset>
            </wp:positionV>
            <wp:extent cx="683196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9" w:name="page280"/>
    <w:bookmarkEnd w:id="27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14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CHURCHILL CAPITAL CORP IV</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140" w:type="dxa"/>
            <w:vAlign w:val="bottom"/>
          </w:tcPr>
          <w:p>
            <w:pPr>
              <w:jc w:val="center"/>
              <w:ind w:left="950"/>
              <w:spacing w:after="0"/>
              <w:rPr>
                <w:sz w:val="20"/>
                <w:szCs w:val="20"/>
                <w:color w:val="auto"/>
              </w:rPr>
            </w:pPr>
            <w:r>
              <w:rPr>
                <w:rFonts w:ascii="Arial" w:cs="Arial" w:eastAsia="Arial" w:hAnsi="Arial"/>
                <w:sz w:val="18"/>
                <w:szCs w:val="18"/>
                <w:b w:val="1"/>
                <w:bCs w:val="1"/>
                <w:color w:val="auto"/>
                <w:w w:val="96"/>
              </w:rPr>
              <w:t>CONDENSED CONSOLIDATED STATEMENT OF CASH FLOWS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40" w:type="dxa"/>
            <w:vAlign w:val="bottom"/>
          </w:tcPr>
          <w:p>
            <w:pPr>
              <w:jc w:val="center"/>
              <w:ind w:left="950"/>
              <w:spacing w:after="0"/>
              <w:rPr>
                <w:sz w:val="20"/>
                <w:szCs w:val="20"/>
                <w:color w:val="auto"/>
              </w:rPr>
            </w:pPr>
            <w:r>
              <w:rPr>
                <w:rFonts w:ascii="Arial" w:cs="Arial" w:eastAsia="Arial" w:hAnsi="Arial"/>
                <w:sz w:val="18"/>
                <w:szCs w:val="18"/>
                <w:b w:val="1"/>
                <w:bCs w:val="1"/>
                <w:color w:val="auto"/>
                <w:w w:val="96"/>
              </w:rPr>
              <w:t>THREE MONTHS ENDED MARCH 31, 2021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(871,798,158)</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4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812,374,402</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 excess fair value of conversion liability</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56,191,636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4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92,114</w:t>
            </w: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14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23,578</w:t>
            </w:r>
          </w:p>
        </w:tc>
        <w:tc>
          <w:tcPr>
            <w:tcW w:w="0" w:type="dxa"/>
            <w:vAlign w:val="bottom"/>
          </w:tcPr>
          <w:p>
            <w:pPr>
              <w:spacing w:after="0"/>
              <w:rPr>
                <w:sz w:val="1"/>
                <w:szCs w:val="1"/>
                <w:color w:val="auto"/>
              </w:rPr>
            </w:pPr>
          </w:p>
        </w:tc>
      </w:tr>
      <w:tr>
        <w:trPr>
          <w:trHeight w:val="277"/>
        </w:trPr>
        <w:tc>
          <w:tcPr>
            <w:tcW w:w="71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(3,024,742)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promissory note – related party</w:t>
            </w:r>
          </w:p>
        </w:tc>
        <w:tc>
          <w:tcPr>
            <w:tcW w:w="1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140" w:type="dxa"/>
            <w:vAlign w:val="bottom"/>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1,500,000</w:t>
            </w:r>
          </w:p>
        </w:tc>
        <w:tc>
          <w:tcPr>
            <w:tcW w:w="0" w:type="dxa"/>
            <w:vAlign w:val="bottom"/>
          </w:tcPr>
          <w:p>
            <w:pPr>
              <w:spacing w:after="0"/>
              <w:rPr>
                <w:sz w:val="1"/>
                <w:szCs w:val="1"/>
                <w:color w:val="auto"/>
              </w:rPr>
            </w:pPr>
          </w:p>
        </w:tc>
      </w:tr>
      <w:tr>
        <w:trPr>
          <w:trHeight w:val="27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(1,524,742)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14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3,592,857</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2,068,115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216,562,230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Initial classification of conversion option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57,691,636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-1088390</wp:posOffset>
            </wp:positionV>
            <wp:extent cx="453453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-1824990</wp:posOffset>
            </wp:positionV>
            <wp:extent cx="453453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1740" w:right="140"/>
        <w:spacing w:after="0" w:line="3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164465</wp:posOffset>
            </wp:positionV>
            <wp:extent cx="683196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0" w:name="page281"/>
    <w:bookmarkEnd w:id="28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ind w:left="492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ind w:left="1260" w:right="979" w:firstLine="360"/>
        <w:spacing w:after="0" w:line="24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20"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The Company has one subsidiary, Air Merger Sub, Inc., a direct, wholly-owned subsidiary of the Company incorporated in Delaware on February 19, 2021 (“Merger Sub”) (see Note 6).</w:t>
      </w:r>
    </w:p>
    <w:p>
      <w:pPr>
        <w:spacing w:after="0" w:line="103"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7"/>
          <w:szCs w:val="17"/>
          <w:color w:val="auto"/>
        </w:rPr>
        <w:t>As of March 31, 2021, the Company had not commenced any operations. All activity for the period from April 30, 2020 (inception) through March 31, 2021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(“Atieva”) (see Note 6).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00" w:lineRule="exact"/>
        <w:rPr>
          <w:sz w:val="20"/>
          <w:szCs w:val="20"/>
          <w:color w:val="auto"/>
        </w:rPr>
      </w:pPr>
    </w:p>
    <w:p>
      <w:pPr>
        <w:ind w:left="1260" w:right="999" w:firstLine="360"/>
        <w:spacing w:after="0" w:line="258" w:lineRule="auto"/>
        <w:rPr>
          <w:sz w:val="20"/>
          <w:szCs w:val="20"/>
          <w:color w:val="auto"/>
        </w:rPr>
      </w:pPr>
      <w:r>
        <w:rPr>
          <w:rFonts w:ascii="Arial" w:cs="Arial" w:eastAsia="Arial" w:hAnsi="Arial"/>
          <w:sz w:val="17"/>
          <w:szCs w:val="17"/>
          <w:color w:val="auto"/>
        </w:rPr>
        <w:t>The registration statements for the Company’s Initial Public Offering were declared effective on July 29, 2020. On August 3, 2020, the Company consummated the Initial Public Offering of</w:t>
      </w:r>
    </w:p>
    <w:p>
      <w:pPr>
        <w:spacing w:after="0" w:line="1" w:lineRule="exact"/>
        <w:rPr>
          <w:sz w:val="20"/>
          <w:szCs w:val="20"/>
          <w:color w:val="auto"/>
        </w:rPr>
      </w:pPr>
    </w:p>
    <w:p>
      <w:pPr>
        <w:ind w:left="1260" w:right="559"/>
        <w:spacing w:after="0" w:line="238" w:lineRule="auto"/>
        <w:rPr>
          <w:sz w:val="20"/>
          <w:szCs w:val="20"/>
          <w:color w:val="auto"/>
        </w:rPr>
      </w:pPr>
      <w:r>
        <w:rPr>
          <w:rFonts w:ascii="Arial" w:cs="Arial" w:eastAsia="Arial" w:hAnsi="Arial"/>
          <w:sz w:val="18"/>
          <w:szCs w:val="18"/>
          <w:color w:val="auto"/>
        </w:rPr>
        <w:t>207,000,000 units (the “Units” and, with respect to the shares of Class A common stock included in the Units sold, the “Public Shares”), which includes the full exercise by the underwriters of the over- allotment option to purchase an additional 27,000,000 Units, at $10.00 per Unit, generating gross proceeds of $2,070,000,000, which is described in Note 3.</w:t>
      </w:r>
    </w:p>
    <w:p>
      <w:pPr>
        <w:spacing w:after="0" w:line="121"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20" w:lineRule="exact"/>
        <w:rPr>
          <w:sz w:val="20"/>
          <w:szCs w:val="20"/>
          <w:color w:val="auto"/>
        </w:rPr>
      </w:pPr>
    </w:p>
    <w:p>
      <w:pPr>
        <w:ind w:left="1260" w:right="1199" w:firstLine="360"/>
        <w:spacing w:after="0" w:line="261" w:lineRule="auto"/>
        <w:rPr>
          <w:sz w:val="20"/>
          <w:szCs w:val="20"/>
          <w:color w:val="auto"/>
        </w:rPr>
      </w:pPr>
      <w:r>
        <w:rPr>
          <w:rFonts w:ascii="Arial" w:cs="Arial" w:eastAsia="Arial" w:hAnsi="Arial"/>
          <w:sz w:val="18"/>
          <w:szCs w:val="18"/>
          <w:color w:val="auto"/>
        </w:rPr>
        <w:t>Transaction costs amounted to $109,714,885, consisting of $ 36,403,600 of underwriting fees, $72,450,000 of deferred underwriting fees and $861,285 of other offering costs.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the closing of the Initial Public Offering on August 3, 2020, an amount of $2,070,000,000</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 per Unit) from the net proceeds of the sale of the Units in the Initial Public Offering and the sale of</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Private Placement Warrants was placed in a trust account (the “Trust Account”) located in the</w:t>
      </w:r>
    </w:p>
    <w:p>
      <w:pPr>
        <w:ind w:left="1260"/>
        <w:spacing w:after="0"/>
        <w:rPr>
          <w:sz w:val="20"/>
          <w:szCs w:val="20"/>
          <w:color w:val="auto"/>
        </w:rPr>
      </w:pPr>
      <w:r>
        <w:rPr>
          <w:rFonts w:ascii="Arial" w:cs="Arial" w:eastAsia="Arial" w:hAnsi="Arial"/>
          <w:sz w:val="17"/>
          <w:szCs w:val="17"/>
          <w:color w:val="auto"/>
        </w:rPr>
        <w:t>United States and invested only in U.S. government securities, within the meaning set forth in Section 2(a)</w:t>
      </w:r>
    </w:p>
    <w:p>
      <w:pPr>
        <w:spacing w:after="0" w:line="7" w:lineRule="exact"/>
        <w:rPr>
          <w:sz w:val="20"/>
          <w:szCs w:val="20"/>
          <w:color w:val="auto"/>
        </w:rPr>
      </w:pPr>
    </w:p>
    <w:p>
      <w:pPr>
        <w:ind w:left="1260" w:right="439"/>
        <w:spacing w:after="0" w:line="236" w:lineRule="auto"/>
        <w:tabs>
          <w:tab w:leader="none" w:pos="162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2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w:t>
      </w: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1" w:name="page282"/>
    <w:bookmarkEnd w:id="28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599"/>
        <w:spacing w:after="0" w:line="279" w:lineRule="auto"/>
        <w:rPr>
          <w:sz w:val="20"/>
          <w:szCs w:val="20"/>
          <w:color w:val="auto"/>
        </w:rPr>
      </w:pPr>
      <w:r>
        <w:rPr>
          <w:rFonts w:ascii="Arial" w:cs="Arial" w:eastAsia="Arial" w:hAnsi="Arial"/>
          <w:sz w:val="17"/>
          <w:szCs w:val="17"/>
          <w:color w:val="auto"/>
        </w:rPr>
        <w:t>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90"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11"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6)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14"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2" w:name="page283"/>
    <w:bookmarkEnd w:id="28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1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2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13"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w:t>
      </w:r>
    </w:p>
    <w:p>
      <w:pPr>
        <w:spacing w:after="0" w:line="14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3" w:name="page284"/>
    <w:bookmarkEnd w:id="28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99"/>
        <w:spacing w:after="0" w:line="257" w:lineRule="auto"/>
        <w:rPr>
          <w:sz w:val="20"/>
          <w:szCs w:val="20"/>
          <w:color w:val="auto"/>
        </w:rPr>
      </w:pPr>
      <w:r>
        <w:rPr>
          <w:rFonts w:ascii="Arial" w:cs="Arial" w:eastAsia="Arial" w:hAnsi="Arial"/>
          <w:sz w:val="17"/>
          <w:szCs w:val="17"/>
          <w:color w:val="auto"/>
        </w:rPr>
        <w:t>purposes. As of March 31, 2021, approximately $ 267,000 of the amount on deposit in the Trust Account represented interest income, which is available to pay the Company’s tax obligations and for permitted withdrawals. 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9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The Company may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 Company believes it will have sufficient cash to meet its needs for a reasonable period of time, which is considered to be one year from the issuance date of the condensed consolidated financial statements.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 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13"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Annual Report on Form 10-K/A for the fiscal year ended December 31, 2020, as filed with the SEC on May 14, 2021. The interim results for the three months ended March 31, 2021 are not necessarily indicative of the results to be expected for the year ending December 31, 2021 or for any future periods.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Principles of Consolidation</w:t>
      </w:r>
    </w:p>
    <w:p>
      <w:pPr>
        <w:spacing w:after="0" w:line="14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w:t>
      </w:r>
    </w:p>
    <w:p>
      <w:pPr>
        <w:spacing w:after="0" w:line="3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4" w:name="page285"/>
    <w:bookmarkEnd w:id="28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839"/>
        <w:spacing w:after="0" w:line="241" w:lineRule="auto"/>
        <w:rPr>
          <w:sz w:val="20"/>
          <w:szCs w:val="20"/>
          <w:color w:val="auto"/>
        </w:rPr>
      </w:pPr>
      <w:r>
        <w:rPr>
          <w:rFonts w:ascii="Arial" w:cs="Arial" w:eastAsia="Arial" w:hAnsi="Arial"/>
          <w:sz w:val="18"/>
          <w:szCs w:val="18"/>
          <w:color w:val="auto"/>
        </w:rPr>
        <w:t>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1260" w:right="519" w:firstLine="360"/>
        <w:spacing w:after="0" w:line="284"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8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jc w:val="both"/>
        <w:ind w:left="1260" w:right="719" w:firstLine="360"/>
        <w:spacing w:after="0" w:line="24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62"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At March 31, 2021 and December 31, 2020, substantially all of the assets held in the Trust Account were held in U.S. Treasury Bills. From inception to March 31, 2021, the Company withdrew $450,000 of interest earned on the Trust Account for working capital purposes, of which no amounts were withdrawn during the three months ended March 31, 2021.</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Convertible Debt</w:t>
      </w:r>
    </w:p>
    <w:p>
      <w:pPr>
        <w:spacing w:after="0" w:line="162"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The Company accounts for conversion options embedded in convertible notes in accordance with ASC 815. ASC 815 generally requires companies to bifurcate conversion options embedded in convertible notes from their host instruments and to account for them as free standing derivative financial instruments.</w:t>
      </w:r>
    </w:p>
    <w:p>
      <w:pPr>
        <w:spacing w:after="0" w:line="83" w:lineRule="exact"/>
        <w:rPr>
          <w:sz w:val="20"/>
          <w:szCs w:val="20"/>
          <w:color w:val="auto"/>
        </w:rPr>
      </w:pPr>
    </w:p>
    <w:p>
      <w:pPr>
        <w:ind w:left="1260" w:right="659" w:firstLine="360"/>
        <w:spacing w:after="0" w:line="324" w:lineRule="auto"/>
        <w:rPr>
          <w:sz w:val="20"/>
          <w:szCs w:val="20"/>
          <w:color w:val="auto"/>
        </w:rPr>
      </w:pPr>
      <w:r>
        <w:rPr>
          <w:rFonts w:ascii="Arial" w:cs="Arial" w:eastAsia="Arial" w:hAnsi="Arial"/>
          <w:sz w:val="16"/>
          <w:szCs w:val="16"/>
          <w:color w:val="auto"/>
        </w:rPr>
        <w:t>The Company reviews the terms of convertible debt issued to determine whether there are embedded derivative instruments, including embedded conversion options, which are required to be bifurcated and</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5" w:name="page286"/>
    <w:bookmarkEnd w:id="28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accounted for separately as derivative financial instruments. In circumstances where the host instrument contains more than one embedded derivative instrument, including the conversion option, that is required to be bifurcated, the bifurcated derivative instruments are accounted for as a single, compound derivative instrument.</w:t>
      </w:r>
    </w:p>
    <w:p>
      <w:pPr>
        <w:spacing w:after="0" w:line="107"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Bifurcated embedded derivatives are initially recorded at fair value and are then revalued at each reporting date with changes in the fair value reported as non- operating income or expense. When the equity or convertible debt instruments contain embedded derivative instruments that are to be bifurcated and accounted for as liabilities, the total proceeds received are first allocated to the fair value of all the bifurcated derivative instruments. The remaining proceeds, if any, are then allocated to the host instruments themselves, usually resulting in those instruments being recorded at a discount from their face value. The discount from the face value of the convertible debt, together with the stated interest on the instrument, is amortized over the life of the instrument through periodic charges to interest expense.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Derivative Liabilities</w:t>
      </w:r>
    </w:p>
    <w:p>
      <w:pPr>
        <w:spacing w:after="0" w:line="162"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The Company accounts for debt and equity issuances as either equity -classified or liability-classified instruments based on an assessment of the instruments specific terms and applicable authoritative guidance in Financial Accounting Standards Board (“FASB”) Accounting Standards Codification (“ASC”) 480, Distinguishing Liabilities from Equity (“ASC 480”) and ASC 815, Derivatives and Hedging (“ASC 815”). The assessment considers whether the instruments are freestanding financial instruments pursuant to</w:t>
      </w:r>
    </w:p>
    <w:p>
      <w:pPr>
        <w:spacing w:after="0" w:line="2"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ASC 480, meet the definition of a liability pursuant to ASC 480, and whether the instruments meet all of the requirements for equity classification under ASC 815, including whether the instruments are indexed to the Company’s own common stock and whether the holders could potentially require “net cash settlement” in a circumstance outside of the Company’s control, among other conditions for equity classification. This assessment, which requires the use of professional judgment, is conducted at the time of issuance of the instruments and as of each subsequent quarterly period end date while the instruments are outstanding.</w:t>
      </w:r>
    </w:p>
    <w:p>
      <w:pPr>
        <w:spacing w:after="0" w:line="11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as a derivative liability at their initial fair value on the date of issuance, and each balance sheet date thereafter. Changes in the estimated fair value of the instruments are recognized as a non-cash gain or loss on the condensed consolidated statements of operations.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ASC 480.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condensed consolidated balance sheets.</w:t>
      </w:r>
    </w:p>
    <w:p>
      <w:pPr>
        <w:spacing w:after="0" w:line="11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36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6" w:name="page287"/>
    <w:bookmarkEnd w:id="28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and December 31, 2020, the Company had a deferred tax asset of approximately $1,228,000 and $594,000 respectively, which had a full valuation allowance recorded against it of approximately $1,228,000 and $594,000, respectively.</w:t>
      </w:r>
    </w:p>
    <w:p>
      <w:pPr>
        <w:spacing w:after="0" w:line="12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ASC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3" w:lineRule="exact"/>
        <w:rPr>
          <w:sz w:val="20"/>
          <w:szCs w:val="20"/>
          <w:color w:val="auto"/>
        </w:rPr>
      </w:pPr>
    </w:p>
    <w:p>
      <w:pPr>
        <w:ind w:left="1260" w:right="659" w:firstLine="360"/>
        <w:spacing w:after="0" w:line="239" w:lineRule="auto"/>
        <w:rPr>
          <w:sz w:val="20"/>
          <w:szCs w:val="20"/>
          <w:color w:val="auto"/>
        </w:rPr>
      </w:pPr>
      <w:r>
        <w:rPr>
          <w:rFonts w:ascii="Arial" w:cs="Arial" w:eastAsia="Arial" w:hAnsi="Arial"/>
          <w:sz w:val="18"/>
          <w:szCs w:val="18"/>
          <w:color w:val="auto"/>
        </w:rPr>
        <w:t>The Company’s currently taxable income primarily consists of interest income on the Trust Account. The Company’s general and administrative costs are generally considered start-up costs and are not currently deductible. During the three months ended March 31, 2021, the Company recorded $23,578 of income tax expense. The Company’s effective tax rate for the three months ended March 31, 2021 was approximately 0%, which differs from the expected income tax rate primarily due to the permanent differences associated with the change in the fair value of the derivative liabilities and start-up costs (discussed above) which are not currently deductible.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 (Loss) per Share</w:t>
      </w:r>
    </w:p>
    <w:p>
      <w:pPr>
        <w:spacing w:after="0" w:line="148" w:lineRule="exact"/>
        <w:rPr>
          <w:sz w:val="20"/>
          <w:szCs w:val="20"/>
          <w:color w:val="auto"/>
        </w:rPr>
      </w:pPr>
    </w:p>
    <w:p>
      <w:pPr>
        <w:jc w:val="both"/>
        <w:ind w:left="1260" w:right="659" w:firstLine="360"/>
        <w:spacing w:after="0" w:line="255" w:lineRule="auto"/>
        <w:rPr>
          <w:sz w:val="20"/>
          <w:szCs w:val="20"/>
          <w:color w:val="auto"/>
        </w:rPr>
      </w:pPr>
      <w:r>
        <w:rPr>
          <w:rFonts w:ascii="Arial" w:cs="Arial" w:eastAsia="Arial" w:hAnsi="Arial"/>
          <w:sz w:val="17"/>
          <w:szCs w:val="17"/>
          <w:color w:val="auto"/>
        </w:rPr>
        <w:t>Net income (loss) per share is computed by dividing net income by the weighted-average number of shares of common stock outstanding during the period. The Company has not considered the effect of the warrants sold in the Initial Public Offering and private placement to purchase an aggregate of</w:t>
      </w:r>
    </w:p>
    <w:p>
      <w:pPr>
        <w:ind w:left="1260" w:right="599"/>
        <w:spacing w:after="0" w:line="243" w:lineRule="auto"/>
        <w:rPr>
          <w:sz w:val="20"/>
          <w:szCs w:val="20"/>
          <w:color w:val="auto"/>
        </w:rPr>
      </w:pPr>
      <w:r>
        <w:rPr>
          <w:rFonts w:ascii="Arial" w:cs="Arial" w:eastAsia="Arial" w:hAnsi="Arial"/>
          <w:sz w:val="18"/>
          <w:szCs w:val="18"/>
          <w:color w:val="auto"/>
        </w:rPr>
        <w:t>84,250,000 shares of common stock in the calculation of diluted loss per share, since the inclusion of such warrants would be anti-dilutive.</w:t>
      </w:r>
    </w:p>
    <w:p>
      <w:pPr>
        <w:spacing w:after="0" w:line="11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Company’s statement of operations includes a presentation of income (loss) per share for Class A common stock subject to possible redemption in a manner similar to the two-class method of income (loss) per share. Net income (loss) per share, basic and diluted, for Class A common stock subject to possible redemption is calculated by dividing the proportionate share of income or loss on marketable securities held by the Trust Account the weighted average number of Class A common stock subject to possible redemption outstanding since original issuance.</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Net income (loss) per share, basic and diluted, for non-redeemable common stock is calculated by dividing the net income (loss), adjusted for income or loss on marketable securities attributable to Class A common stock subject to possible redemption, by the weighted average number of non-redeemable common stock outstanding for the period.</w:t>
      </w:r>
    </w:p>
    <w:p>
      <w:pPr>
        <w:spacing w:after="0" w:line="107"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Non-redeemable common stock includes Founder Shares and non -redeemable shares of common stock as these shares do not have any redemption features. Non-redeemable common stock participates in the income or loss on marketable securities based on non-redeemable shares’ proportionate interest.</w:t>
      </w:r>
    </w:p>
    <w:p>
      <w:pPr>
        <w:spacing w:after="0" w:line="35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7" w:name="page288"/>
    <w:bookmarkEnd w:id="28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following table reflects the calculation of basic and diluted net income (loss) per share (in dollars, except per share amounts):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62"/>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2"/>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7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A common stock subject to possible redemption</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140" w:type="dxa"/>
            <w:vAlign w:val="bottom"/>
            <w:gridSpan w:val="2"/>
          </w:tcPr>
          <w:p>
            <w:pPr>
              <w:spacing w:after="0"/>
              <w:rPr>
                <w:sz w:val="20"/>
                <w:szCs w:val="20"/>
                <w:color w:val="auto"/>
              </w:rPr>
            </w:pPr>
            <w:r>
              <w:rPr>
                <w:rFonts w:ascii="Arial" w:cs="Arial" w:eastAsia="Arial" w:hAnsi="Arial"/>
                <w:sz w:val="18"/>
                <w:szCs w:val="18"/>
                <w:color w:val="auto"/>
              </w:rPr>
              <w:t>Numerator: Earnings allocable to Class A common stock subject to possible redemption</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57"/>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Company’s portion available to be withdrawn to pay taxes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Less: Company’s portion available to be withdrawn for working capital purposes</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(107,704)</w:t>
            </w:r>
          </w:p>
        </w:tc>
        <w:tc>
          <w:tcPr>
            <w:tcW w:w="0" w:type="dxa"/>
            <w:vAlign w:val="bottom"/>
          </w:tcPr>
          <w:p>
            <w:pPr>
              <w:spacing w:after="0"/>
              <w:rPr>
                <w:sz w:val="1"/>
                <w:szCs w:val="1"/>
                <w:color w:val="auto"/>
              </w:rPr>
            </w:pPr>
          </w:p>
        </w:tc>
      </w:tr>
      <w:tr>
        <w:trPr>
          <w:trHeight w:val="295"/>
        </w:trPr>
        <w:tc>
          <w:tcPr>
            <w:tcW w:w="71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allocable to Class A common stock subject to possible redemption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Denominator: Weighted Average Class A common stock subject to possible redemption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Basic and diluted weighted average shares outstanding, Class A common stock subject to</w:t>
            </w:r>
          </w:p>
        </w:tc>
        <w:tc>
          <w:tcPr>
            <w:tcW w:w="10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196,306,266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Basic and diluted net income per share, Class A common stock subject to possible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40" w:type="dxa"/>
            <w:vAlign w:val="bottom"/>
            <w:gridSpan w:val="2"/>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37"/>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Non-Redeemable Common Stock</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Numerator: Net Loss minus Net Earnings</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(871,798,158)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Less: Income allocable to Class A common stock subject to possible redemption</w:t>
            </w: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71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Non-Redeemable 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(871,798,158)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1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65,318,734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4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(13.35)</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-788035</wp:posOffset>
            </wp:positionV>
            <wp:extent cx="453453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453453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-3462655</wp:posOffset>
            </wp:positionV>
            <wp:extent cx="45262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the Company’s derivative instruments (see Note 9).</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8" w:name="page289"/>
    <w:bookmarkEnd w:id="28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on January 1, 2021. The adoption of ASU 2020-06 did not have an impact on the Company’s financial statements.</w:t>
      </w:r>
    </w:p>
    <w:p>
      <w:pPr>
        <w:spacing w:after="0" w:line="115"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PUBLIC OFFERING</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PRIVATE PLACEMENT</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9" w:name="page290"/>
    <w:bookmarkEnd w:id="28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of the Company’s issued and outstanding shares after the Initial Public Offering. As a result of the underwriters’ election to fully exercise their over-allotment option, 6,750,000 Founder Shares are no longer subject to forfeiture.</w:t>
      </w:r>
    </w:p>
    <w:p>
      <w:pPr>
        <w:spacing w:after="0" w:line="103"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Administrative Support Agreement</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three months ended March 31, 2021, the Company incurred and paid $150,000 in fees for these services.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Fee</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 — Related Party</w:t>
      </w:r>
    </w:p>
    <w:p>
      <w:pPr>
        <w:spacing w:after="0" w:line="148"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0" w:name="page291"/>
    <w:bookmarkEnd w:id="29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February 22, 2021, the Company entered into a convertible promissory note with the Sponsor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pursuant to which the Sponsor agreed to loan the Company up to an aggregate principal amount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$1,500,000 (the “Convertible Promissory Note”). The Convertible Promissory Note is non-interest bearing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payable on the earlier of the date on which the Company consummates a Business Combination or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date that the winding up of the Company is effective. If the Company does not consummate a Business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Combination, the Company may use a portion of any funds held outside the Trust Account to repay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Promissory Note; however, no proceeds from the Trust Account may be used for such repayment. Up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$1,500,000 of the Convertible Promissory Note may be converted into warrants at a price of $1.00 per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warrant at the option of the Sponsor. The warrants would be identical to the Private Placement Warrants.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March 31, 2021, the outstanding balance under the Convertible Promissory Note amounted to 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aggregate of $1,500,000.</w:t>
      </w:r>
    </w:p>
    <w:p>
      <w:pPr>
        <w:spacing w:after="0" w:line="13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Company assessed the provisions of the Convertible Promissory Note under ASC 470-20. The derivative component of the obligation is initially valued and classified as a derivative liability. The excess of the fair value of the derivative liability over the principal in the amount of $56,191,636 was recorded as interest expense in the accompanying condensed statement of operations. The conversion option was valued using the Black-Scholes option pricing formula, which is considered to be a Level 3 fair value measurement and based on the following assumptions (see Note 9):</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February 22,</w:t>
            </w:r>
          </w:p>
        </w:tc>
      </w:tr>
      <w:tr>
        <w:trPr>
          <w:trHeight w:val="162"/>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center"/>
              <w:ind w:right="233"/>
              <w:spacing w:after="0"/>
              <w:rPr>
                <w:sz w:val="20"/>
                <w:szCs w:val="20"/>
                <w:color w:val="auto"/>
              </w:rPr>
            </w:pPr>
            <w:r>
              <w:rPr>
                <w:rFonts w:ascii="Arial" w:cs="Arial" w:eastAsia="Arial" w:hAnsi="Arial"/>
                <w:sz w:val="14"/>
                <w:szCs w:val="14"/>
                <w:b w:val="1"/>
                <w:bCs w:val="1"/>
                <w:color w:val="auto"/>
                <w:w w:val="89"/>
              </w:rPr>
              <w:t>2021</w:t>
            </w:r>
          </w:p>
        </w:tc>
      </w:tr>
      <w:tr>
        <w:trPr>
          <w:trHeight w:val="162"/>
        </w:trPr>
        <w:tc>
          <w:tcPr>
            <w:tcW w:w="574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March 31,</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(Initial</w:t>
            </w:r>
          </w:p>
        </w:tc>
      </w:tr>
      <w:tr>
        <w:trPr>
          <w:trHeight w:val="186"/>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Measurement)</w:t>
            </w:r>
          </w:p>
        </w:tc>
      </w:tr>
      <w:tr>
        <w:trPr>
          <w:trHeight w:val="25"/>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Underlying warrant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8"/>
              </w:rPr>
              <w:t>39.46</w:t>
            </w:r>
          </w:p>
        </w:tc>
      </w:tr>
      <w:tr>
        <w:trPr>
          <w:trHeight w:val="256"/>
        </w:trPr>
        <w:tc>
          <w:tcPr>
            <w:tcW w:w="5740" w:type="dxa"/>
            <w:vAlign w:val="bottom"/>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1.00</w:t>
            </w:r>
          </w:p>
        </w:tc>
      </w:tr>
      <w:tr>
        <w:trPr>
          <w:trHeight w:val="25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Holding period</w:t>
            </w: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0.34</w:t>
            </w:r>
          </w:p>
        </w:tc>
      </w:tr>
      <w:tr>
        <w:trPr>
          <w:trHeight w:val="256"/>
        </w:trPr>
        <w:tc>
          <w:tcPr>
            <w:tcW w:w="5740" w:type="dxa"/>
            <w:vAlign w:val="bottom"/>
          </w:tcPr>
          <w:p>
            <w:pPr>
              <w:spacing w:after="0"/>
              <w:rPr>
                <w:sz w:val="20"/>
                <w:szCs w:val="20"/>
                <w:color w:val="auto"/>
              </w:rPr>
            </w:pPr>
            <w:r>
              <w:rPr>
                <w:rFonts w:ascii="Arial" w:cs="Arial" w:eastAsia="Arial" w:hAnsi="Arial"/>
                <w:sz w:val="18"/>
                <w:szCs w:val="18"/>
                <w:color w:val="auto"/>
              </w:rPr>
              <w:t>Risk-free rate</w:t>
            </w:r>
          </w:p>
        </w:tc>
        <w:tc>
          <w:tcPr>
            <w:tcW w:w="16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-1002665</wp:posOffset>
            </wp:positionV>
            <wp:extent cx="419163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 presents the change in the fair value of conversion option liability:</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6"/>
        </w:trPr>
        <w:tc>
          <w:tcPr>
            <w:tcW w:w="6520" w:type="dxa"/>
            <w:vAlign w:val="bottom"/>
          </w:tcPr>
          <w:p>
            <w:pPr>
              <w:spacing w:after="0"/>
              <w:rPr>
                <w:sz w:val="20"/>
                <w:szCs w:val="20"/>
                <w:color w:val="auto"/>
              </w:rPr>
            </w:pPr>
            <w:r>
              <w:rPr>
                <w:rFonts w:ascii="Arial" w:cs="Arial" w:eastAsia="Arial" w:hAnsi="Arial"/>
                <w:sz w:val="18"/>
                <w:szCs w:val="18"/>
                <w:color w:val="auto"/>
              </w:rPr>
              <w:t>Initial measurement on February 22, 2021</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57,691,636</w:t>
            </w:r>
          </w:p>
        </w:tc>
        <w:tc>
          <w:tcPr>
            <w:tcW w:w="60" w:type="dxa"/>
            <w:vAlign w:val="bottom"/>
          </w:tcPr>
          <w:p>
            <w:pPr>
              <w:spacing w:after="0"/>
              <w:rPr>
                <w:sz w:val="22"/>
                <w:szCs w:val="22"/>
                <w:color w:val="auto"/>
              </w:rPr>
            </w:pPr>
          </w:p>
        </w:tc>
      </w:tr>
      <w:tr>
        <w:trPr>
          <w:trHeight w:val="264"/>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(40,517,598)</w:t>
            </w:r>
          </w:p>
        </w:tc>
        <w:tc>
          <w:tcPr>
            <w:tcW w:w="60" w:type="dxa"/>
            <w:vAlign w:val="bottom"/>
          </w:tcPr>
          <w:p>
            <w:pPr>
              <w:spacing w:after="0"/>
              <w:rPr>
                <w:sz w:val="22"/>
                <w:szCs w:val="22"/>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Fair value as of March 31, 2021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17,174,038</w:t>
            </w:r>
          </w:p>
        </w:tc>
        <w:tc>
          <w:tcPr>
            <w:tcW w:w="60" w:type="dxa"/>
            <w:vAlign w:val="bottom"/>
          </w:tcPr>
          <w:p>
            <w:pPr>
              <w:spacing w:after="0"/>
              <w:rPr>
                <w:sz w:val="23"/>
                <w:szCs w:val="23"/>
                <w:color w:val="auto"/>
              </w:rPr>
            </w:pPr>
          </w:p>
        </w:tc>
      </w:tr>
      <w:tr>
        <w:trPr>
          <w:trHeight w:val="20"/>
        </w:trPr>
        <w:tc>
          <w:tcPr>
            <w:tcW w:w="6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debt discount is being amortized to interest expense as a non-cash charge over the term of the Convertible Promissory Note, which is assumed to be July 2021, the Company’s expected Business Combination date. During the three months ended March 31, 2021, the Company recorded $300,000 of interest expense related to the amortization of the debt discount. The remaining balance of the debt discount at March 31, 2021 amounted to $1,200,000.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Atieva Merger Agreement</w:t>
      </w:r>
    </w:p>
    <w:p>
      <w:pPr>
        <w:spacing w:after="0" w:line="162"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On February 22, 2021, we entered into a Merger Agreement with Merger Sub and Atieva (the “Merger Agreement”), relating to a proposed business combination transaction between us and Atieva.</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1" w:name="page292"/>
    <w:bookmarkEnd w:id="29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aggregate consideration to be paid to the shareholders of Atieva will be equal to</w:t>
      </w:r>
    </w:p>
    <w:p>
      <w:pPr>
        <w:spacing w:after="0" w:line="12" w:lineRule="exact"/>
        <w:rPr>
          <w:sz w:val="20"/>
          <w:szCs w:val="20"/>
          <w:color w:val="auto"/>
        </w:rPr>
      </w:pPr>
    </w:p>
    <w:p>
      <w:pPr>
        <w:ind w:left="1260" w:right="439"/>
        <w:spacing w:after="0" w:line="256" w:lineRule="auto"/>
        <w:tabs>
          <w:tab w:leader="none" w:pos="151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$11,750,000,000 plus (b) (i) all cash and cash equivalents of Atieva and its subsidiaries less (ii) all indebtedness for borrowed money of Atieva and its subsidiaries, in each case as of two business days prior to the closing date. The consideration to the shareholders of Atieva will be paid entirely in shares of Class A common stock, par value $0.0001 per share, of the Company in an amount equal to $10.00 per share.</w:t>
      </w:r>
    </w:p>
    <w:p>
      <w:pPr>
        <w:spacing w:after="0" w:line="108"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In connection with the execution of the Merger Agreement and in order to raise additional proceeds to fund the transactions contemplated therein, the Company entered into the PIPE Subscription Agreements with certain investment funds (“PIPE Investors”). Pursuant to the terms of the PIPE Subscription Agreements, the Company has agreed to issue and sell to the PIPE Investors and the PIPE Investors have agreed to buy 166,666,667 shares of Churchill’s Class A common stock at a purchase price of $ 15.00 per share for an aggregate commitment of $2,500,000,005 (the “PIPE Investment”). The closing of the PIPE Investment is conditioned on all conditions set forth in the Merger Agreement having been satisfied or waived and other customary closing conditions, and the Transactions will be consummated immediately following the closing of the PIPE Investment. The PIPE Subscription Agreements will terminate upon the earlier to occur of (i) the termination of the Merger Agreement and (ii) the mutual written agreement of the parties thereto.</w:t>
      </w:r>
    </w:p>
    <w:p>
      <w:pPr>
        <w:spacing w:after="0" w:line="12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On February 22, 2021, the Company entered into a Voting and Support Agreement with certain of the PIPE Investors owning 204,148,825 shares of Lucid Series D preferred stock and 113,877,589 shares of Lucid Series E preferred stock as of the date of such agreement. Pursuant to the Voting and Support Agreement, such PIPE Investors agreed to vote all of such shares in favor of the adoption and approval of the Merger Agreement and related matters, agreements and transactions as specified in the Voting and Support Agreement, and in opposition to any Acquisition Transaction (as defined in the Merger Agreement) and any and all other proposals that could reasonably be expected to delay, impair, prevent, interfere with, postpone or impede the consummation of the transactions contemplated by the Merger Agreement as specified in the Voting and Support Agreement. The Voting and Support Agreement will automatically terminate upon the earliest of (i) the effective time, (ii) the date of termination of the Merger Agreement in accordance with its terms prior to the effective time of the transactions, (iii) the mutual written consent of the Company and the applicable PIPE Investors and (iv) the time of any modification, amendment or waiver of the Merger Agreement or any other transaction agreement without certain PIPE Investors’ consent.</w:t>
      </w:r>
    </w:p>
    <w:p>
      <w:pPr>
        <w:spacing w:after="0" w:line="99"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which is payable upon the consummation of a Business Combination,</w:t>
      </w:r>
    </w:p>
    <w:p>
      <w:pPr>
        <w:spacing w:after="0" w:line="2" w:lineRule="exact"/>
        <w:rPr>
          <w:sz w:val="20"/>
          <w:szCs w:val="20"/>
          <w:color w:val="auto"/>
        </w:rPr>
      </w:pPr>
    </w:p>
    <w:p>
      <w:pPr>
        <w:ind w:left="1260" w:right="519"/>
        <w:spacing w:after="0" w:line="255" w:lineRule="auto"/>
        <w:tabs>
          <w:tab w:leader="none" w:pos="154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$500,000, which is payable upon consummation of the financing and (iii) out-of-pocket expenses not to exceed $125,000 without prior approval. The fee will not be payable in the event the Company does not consummate a Business Combination.</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w:t>
      </w:r>
    </w:p>
    <w:p>
      <w:pPr>
        <w:spacing w:after="0" w:line="35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2" w:name="page293"/>
    <w:bookmarkEnd w:id="29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Underwriting Agreement</w:t>
      </w:r>
    </w:p>
    <w:p>
      <w:pPr>
        <w:spacing w:after="0" w:line="14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Fees</w:t>
      </w:r>
    </w:p>
    <w:p>
      <w:pPr>
        <w:spacing w:after="0" w:line="162"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7"/>
          <w:szCs w:val="17"/>
          <w:color w:val="auto"/>
        </w:rPr>
        <w:t>As of March 31, 2021, the Company incurred legal fees of $5,698,477. These fees will only become due and payable upon the consummation of an initial Business Combination (see Note 12).</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STOCKHOLDERS’ EQUITY</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Preferred Stock — The Company is authorized to issue 1,000,000 shares of preferred stock with a par value of $0.0001 per share with such designations, voting and other rights and preferences as may be determined from time to time by the Company’s board of directors. At March 31, 2021 and December 31, 2020, there were no shares of preferred stock issued or outstanding.</w:t>
      </w:r>
    </w:p>
    <w:p>
      <w:pPr>
        <w:spacing w:after="0" w:line="107"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Class A Common Stock — The Company is authorized to issue 400,000,000 shares of Class A common stock with a par value of $0.0001 per share. Holders of Class A common stock are entitled to one vote for each share. At March 31, 2021, there were 0 shares of Class A common stock issued and outstanding, excluding 207,000,000 shares of Class A common stock subject to possible redemption. At December 31, 2020, there were 21,656,223 shares of Class A common stock issued and outstanding, excluding 185,343,777 shares of Class A common stock subject to possible redemption.</w:t>
      </w:r>
    </w:p>
    <w:p>
      <w:pPr>
        <w:spacing w:after="0" w:line="12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The Company determined the common stock subject to redemption to be equal to the redemption value of approximately $10.00 per share of common stock while also taking into consideration a redemption cannot result in net tangible assets being less than $5,000,001. Upon considering the impact of the PIPE Investment and associated PIPE Subscription Agreements, it was concluded that the redemption value should include all the Public Shares resulting in the common stock subject to possible redemption being equal to $2,070,000,000. This resulted in a measurement adjustment to the initial carrying value of the common stock subject to redemption with the offset recorded to additional paid-in capital and accumulated deficit.</w:t>
      </w:r>
    </w:p>
    <w:p>
      <w:pPr>
        <w:spacing w:after="0" w:line="12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Class B Common Stock — The Company is authorized to issue 100,000,000 shares of Class B common stock with a par value of $0.0001 per share. Holders of Class B common stock are entitled to one vote for each share. At March 31, 2021 and December 31, 2020, there were 51,750,000 shares of Class B common stock issued and outstanding.</w:t>
      </w:r>
    </w:p>
    <w:p>
      <w:pPr>
        <w:spacing w:after="0" w:line="106"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98"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3" w:name="page294"/>
    <w:bookmarkEnd w:id="29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WARRANT LIABILITY</w:t>
      </w:r>
    </w:p>
    <w:p>
      <w:pPr>
        <w:spacing w:after="0" w:line="14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29"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31" w:lineRule="exact"/>
        <w:rPr>
          <w:sz w:val="20"/>
          <w:szCs w:val="20"/>
          <w:color w:val="auto"/>
        </w:rPr>
      </w:pPr>
    </w:p>
    <w:p>
      <w:pPr>
        <w:ind w:left="1800" w:hanging="180"/>
        <w:spacing w:after="0"/>
        <w:tabs>
          <w:tab w:leader="none" w:pos="1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4" w:name="page295"/>
    <w:bookmarkEnd w:id="29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ind w:left="1800" w:hanging="180"/>
        <w:spacing w:after="0"/>
        <w:tabs>
          <w:tab w:leader="none" w:pos="1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common stock equals or exceeds</w:t>
      </w:r>
    </w:p>
    <w:p>
      <w:pPr>
        <w:spacing w:after="0" w:line="23" w:lineRule="exact"/>
        <w:rPr>
          <w:rFonts w:ascii="Arial" w:cs="Arial" w:eastAsia="Arial" w:hAnsi="Arial"/>
          <w:sz w:val="18"/>
          <w:szCs w:val="18"/>
          <w:color w:val="auto"/>
        </w:rPr>
      </w:pPr>
    </w:p>
    <w:p>
      <w:pPr>
        <w:ind w:left="1800" w:right="619"/>
        <w:spacing w:after="0" w:line="290" w:lineRule="auto"/>
        <w:rPr>
          <w:rFonts w:ascii="Arial" w:cs="Arial" w:eastAsia="Arial" w:hAnsi="Arial"/>
          <w:sz w:val="18"/>
          <w:szCs w:val="18"/>
          <w:color w:val="auto"/>
        </w:rPr>
      </w:pPr>
      <w:r>
        <w:rPr>
          <w:rFonts w:ascii="Arial" w:cs="Arial" w:eastAsia="Arial" w:hAnsi="Arial"/>
          <w:sz w:val="17"/>
          <w:szCs w:val="17"/>
          <w:color w:val="auto"/>
        </w:rPr>
        <w:t>$18.00 per share for any 20 trading days within a 30-trading day period ending on the third trading day prior to the date on which we send the notice of redemption to the warrant holders.</w:t>
      </w:r>
    </w:p>
    <w:p>
      <w:pPr>
        <w:spacing w:after="0" w:line="94" w:lineRule="exact"/>
        <w:rPr>
          <w:sz w:val="20"/>
          <w:szCs w:val="20"/>
          <w:color w:val="auto"/>
        </w:rPr>
      </w:pPr>
    </w:p>
    <w:p>
      <w:pPr>
        <w:ind w:left="1260" w:right="1079" w:firstLine="360"/>
        <w:spacing w:after="0" w:line="248"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01"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18"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FAIR VALUE MEASUREMENTS</w:t>
      </w:r>
    </w:p>
    <w:p>
      <w:pPr>
        <w:spacing w:after="0" w:line="162"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01"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00" w:lineRule="exact"/>
        <w:rPr>
          <w:sz w:val="20"/>
          <w:szCs w:val="20"/>
          <w:color w:val="auto"/>
        </w:rPr>
      </w:pPr>
    </w:p>
    <w:p>
      <w:pPr>
        <w:ind w:left="2260" w:right="499" w:hanging="647"/>
        <w:spacing w:after="0" w:line="263"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89" w:lineRule="exact"/>
        <w:rPr>
          <w:sz w:val="20"/>
          <w:szCs w:val="20"/>
          <w:color w:val="auto"/>
        </w:rPr>
      </w:pPr>
    </w:p>
    <w:p>
      <w:pPr>
        <w:ind w:left="2260" w:right="479" w:hanging="647"/>
        <w:spacing w:after="0" w:line="263"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03" w:lineRule="exact"/>
        <w:rPr>
          <w:sz w:val="20"/>
          <w:szCs w:val="20"/>
          <w:color w:val="auto"/>
        </w:rPr>
      </w:pPr>
    </w:p>
    <w:p>
      <w:pPr>
        <w:ind w:left="2260" w:right="879" w:hanging="647"/>
        <w:spacing w:after="0" w:line="277" w:lineRule="auto"/>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5" w:name="page296"/>
    <w:bookmarkEnd w:id="29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March 31, 2021 and December 31, 2020 and indicates the fair value hierarchy of the valuation inputs the Company utilized to determine such fair value:</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1140" w:type="dxa"/>
            <w:vAlign w:val="bottom"/>
          </w:tcPr>
          <w:p>
            <w:pPr>
              <w:jc w:val="right"/>
              <w:ind w:right="9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$2,070,267,288</w:t>
            </w: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$2,070,086,006</w:t>
            </w:r>
          </w:p>
        </w:tc>
      </w:tr>
      <w:tr>
        <w:trPr>
          <w:trHeight w:val="229"/>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461,610,000</w:t>
            </w:r>
          </w:p>
        </w:tc>
        <w:tc>
          <w:tcPr>
            <w:tcW w:w="1140" w:type="dxa"/>
            <w:vAlign w:val="bottom"/>
          </w:tcPr>
          <w:p>
            <w:pPr>
              <w:jc w:val="right"/>
              <w:spacing w:after="0"/>
              <w:rPr>
                <w:sz w:val="20"/>
                <w:szCs w:val="20"/>
                <w:color w:val="auto"/>
              </w:rPr>
            </w:pPr>
            <w:r>
              <w:rPr>
                <w:rFonts w:ascii="Arial" w:cs="Arial" w:eastAsia="Arial" w:hAnsi="Arial"/>
                <w:sz w:val="18"/>
                <w:szCs w:val="18"/>
                <w:color w:val="auto"/>
              </w:rPr>
              <w:t>62,928,000</w:t>
            </w:r>
          </w:p>
        </w:tc>
      </w:tr>
      <w:tr>
        <w:trPr>
          <w:trHeight w:val="229"/>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533,482,500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79,272,500</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Conversion option liability</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17,174,038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-890905</wp:posOffset>
            </wp:positionV>
            <wp:extent cx="13716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-890905</wp:posOffset>
            </wp:positionV>
            <wp:extent cx="13716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-890905</wp:posOffset>
            </wp:positionV>
            <wp:extent cx="13716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The derivative instruments were accounted for as liabilities in accordance with ASC 815-40 and are measured at fair value at inception and on a recurring basis, with changes in fair value recorded in the condensed consolidated statement of operations.</w:t>
      </w:r>
    </w:p>
    <w:p>
      <w:pPr>
        <w:spacing w:after="0" w:line="101"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Private Placement Warrants were valued using a modified Black Scholes model, which is considered to be a Level 3 fair value measurement. Subsequent to the Public Warrants detachment from the Units, the Public Warrants are valued based on quoted market price, under ticker CCIV.WS, which is a Level 1 fair value.</w:t>
      </w:r>
    </w:p>
    <w:p>
      <w:pPr>
        <w:spacing w:after="0" w:line="93"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As of March 31, 2021 and December 31, 2020, the estimated fair value of the Private Placement Warrants was determined using a Black-Scholes valuation and based on the following significant inputs:</w:t>
      </w:r>
    </w:p>
    <w:p>
      <w:pPr>
        <w:spacing w:after="0" w:line="9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March 31,</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92"/>
        </w:trPr>
        <w:tc>
          <w:tcPr>
            <w:tcW w:w="57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r>
      <w:tr>
        <w:trPr>
          <w:trHeight w:val="215"/>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$ 11.50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Stock price</w:t>
            </w:r>
          </w:p>
        </w:tc>
        <w:tc>
          <w:tcPr>
            <w:tcW w:w="660" w:type="dxa"/>
            <w:vAlign w:val="bottom"/>
          </w:tcPr>
          <w:p>
            <w:pPr>
              <w:jc w:val="right"/>
              <w:spacing w:after="0"/>
              <w:rPr>
                <w:sz w:val="20"/>
                <w:szCs w:val="20"/>
                <w:color w:val="auto"/>
              </w:rPr>
            </w:pPr>
            <w:r>
              <w:rPr>
                <w:rFonts w:ascii="Arial" w:cs="Arial" w:eastAsia="Arial" w:hAnsi="Arial"/>
                <w:sz w:val="18"/>
                <w:szCs w:val="18"/>
                <w:color w:val="auto"/>
              </w:rPr>
              <w:t>$23.18</w:t>
            </w:r>
          </w:p>
        </w:tc>
        <w:tc>
          <w:tcPr>
            <w:tcW w:w="22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$10.01</w:t>
            </w: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Probability of completing a Business Combination</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5.33</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Risk-free rate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0.97%</w:t>
            </w: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-1019810</wp:posOffset>
            </wp:positionV>
            <wp:extent cx="420878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changes in the fair value of the Level 3 warrant liabilities: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Private</w:t>
            </w:r>
          </w:p>
        </w:tc>
      </w:tr>
      <w:tr>
        <w:trPr>
          <w:trHeight w:val="162"/>
        </w:trPr>
        <w:tc>
          <w:tcPr>
            <w:tcW w:w="6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Placement</w:t>
            </w:r>
          </w:p>
        </w:tc>
      </w:tr>
      <w:tr>
        <w:trPr>
          <w:trHeight w:val="192"/>
        </w:trPr>
        <w:tc>
          <w:tcPr>
            <w:tcW w:w="64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January 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$ 79,272,500</w:t>
            </w:r>
          </w:p>
        </w:tc>
      </w:tr>
      <w:tr>
        <w:trPr>
          <w:trHeight w:val="243"/>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454,210,000</w:t>
            </w:r>
          </w:p>
        </w:tc>
      </w:tr>
      <w:tr>
        <w:trPr>
          <w:trHeight w:val="261"/>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533,482,500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11480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-496570</wp:posOffset>
            </wp:positionV>
            <wp:extent cx="410591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SUBSEQUENT EVENTS</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 other than the following:</w:t>
      </w:r>
    </w:p>
    <w:p>
      <w:pPr>
        <w:spacing w:after="0" w:line="93"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On May 28, 2021, the Company and the Sponsor amended the agreement relating to administrative and support services to provide that the Company will not be required to pay the $50,000 per month fee under the agreement from and after July 1, 2021.</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6" w:name="page297"/>
    <w:bookmarkEnd w:id="29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305435</wp:posOffset>
            </wp:positionV>
            <wp:extent cx="5212080" cy="260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8081010</wp:posOffset>
            </wp:positionV>
            <wp:extent cx="521208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8123555</wp:posOffset>
            </wp:positionV>
            <wp:extent cx="5212080" cy="254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8385175</wp:posOffset>
            </wp:positionV>
            <wp:extent cx="683196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4103370</wp:posOffset>
            </wp:positionV>
            <wp:extent cx="3557270" cy="2057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557270" cy="20574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7" w:name="page298"/>
    <w:bookmarkEnd w:id="29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Class A common stock and warrants being registered. All amounts shown are estimates except for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registration fee.</w:t>
      </w:r>
    </w:p>
    <w:p>
      <w:pPr>
        <w:spacing w:after="0" w:line="15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Amount paid or</w:t>
            </w:r>
          </w:p>
        </w:tc>
      </w:tr>
      <w:tr>
        <w:trPr>
          <w:trHeight w:val="186"/>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to be paid</w:t>
            </w:r>
          </w:p>
        </w:tc>
      </w:tr>
      <w:tr>
        <w:trPr>
          <w:trHeight w:val="26"/>
        </w:trPr>
        <w:tc>
          <w:tcPr>
            <w:tcW w:w="6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3,541,025.46</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5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63"/>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90,000.00</w:t>
            </w:r>
          </w:p>
        </w:tc>
      </w:tr>
      <w:tr>
        <w:trPr>
          <w:trHeight w:val="295"/>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3,856,025.46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08876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40887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-882650</wp:posOffset>
            </wp:positionV>
            <wp:extent cx="408051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Section 102(b)(7) of the Delaware General Corporation Law (the “</w:t>
      </w:r>
      <w:r>
        <w:rPr>
          <w:rFonts w:ascii="Arial" w:cs="Arial" w:eastAsia="Arial" w:hAnsi="Arial"/>
          <w:sz w:val="18"/>
          <w:szCs w:val="18"/>
          <w:i w:val="1"/>
          <w:iCs w:val="1"/>
          <w:color w:val="auto"/>
        </w:rPr>
        <w:t>DGCL</w:t>
      </w:r>
      <w:r>
        <w:rPr>
          <w:rFonts w:ascii="Arial" w:cs="Arial" w:eastAsia="Arial" w:hAnsi="Arial"/>
          <w:sz w:val="18"/>
          <w:szCs w:val="18"/>
          <w:color w:val="auto"/>
        </w:rPr>
        <w:t>”)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27"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8" w:name="page299"/>
    <w:bookmarkEnd w:id="29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8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12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and expect to maintain standard policies of insurance that provide coverage</w:t>
      </w:r>
    </w:p>
    <w:p>
      <w:pPr>
        <w:spacing w:after="0" w:line="35" w:lineRule="exact"/>
        <w:rPr>
          <w:sz w:val="20"/>
          <w:szCs w:val="20"/>
          <w:color w:val="auto"/>
        </w:rPr>
      </w:pPr>
    </w:p>
    <w:p>
      <w:pPr>
        <w:ind w:left="1260" w:right="459"/>
        <w:spacing w:after="0" w:line="255" w:lineRule="auto"/>
        <w:tabs>
          <w:tab w:leader="none" w:pos="152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2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Placements in Connection with the Churchill IPO</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May 22, 2020, the Sponsor purchased an aggregate of 21,562,500 shares of Churchill’s Class B</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stock for an aggregate purchase price of $25,000. On July 14, 2020, Churchill effected a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dividend of one-third of a share for each outstanding share of Churchill’s Class B common stock, 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July 27, 2020, Churchill effected a stock dividend of 0.50 to 1 share of Churchill’s Class B common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each outstanding share of Churchill’s Class B common stock, and on July 30, 2020, Churchill effected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dividend of approximately 0.20 to 1 share of Churchill’s Class B common stock for each outstanding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 of Churchill’s Class B common stock, resulting in 51,750,000 shares of Churchill’s Class B common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The founder shares included an aggregate of up to 6,750,000 shares subject to forfeiture to the extent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the underwriters’ over-allotment option was not exercised in full or in part, so that the Sponsor would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own, on an as-converted basis, 20% of Churchill’s issued and outstanding shares after the Churchill IPO.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result of the underwriters’ election to fully exercise their over-allotment option, 6,750,000 founder shares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ceased to be subject to forfeiture. Such securities were issued pursuant to the exemption from registration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contained in Section 4(a)(2) of the Securities Act. The Sponsor is an accredited investor for purposes of</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9" w:name="page300"/>
    <w:bookmarkEnd w:id="29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91" w:lineRule="auto"/>
        <w:rPr>
          <w:sz w:val="20"/>
          <w:szCs w:val="20"/>
          <w:color w:val="auto"/>
        </w:rPr>
      </w:pPr>
      <w:r>
        <w:rPr>
          <w:rFonts w:ascii="Arial" w:cs="Arial" w:eastAsia="Arial" w:hAnsi="Arial"/>
          <w:sz w:val="17"/>
          <w:szCs w:val="17"/>
          <w:color w:val="auto"/>
        </w:rPr>
        <w:t>Rule 501 of Regulation D. In addition, in connection with the Merger, 51,750,000 shares of Churchill’s Class B common stock were converted on a one-to-one basis into shares of Class A common stock.</w:t>
      </w:r>
    </w:p>
    <w:p>
      <w:pPr>
        <w:spacing w:after="0" w:line="6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17,250,000 of the Sponsor’s shares of Class A common stock issued upon conversion of Churchill’s Class B common stock and 14,283,333 Private Placement Warrants (including shares of Class A common stock issued upon exercise of such Private Placement Warrants) unvested as of the Closing and will revest, in three equal tranches, at such time as, during the five (5) year period starting on the Closing Date, the closing price of Class A common stock exceeds $20.00, $25.00 and $30.00, respectively, per share for any forty (40) trading days in a sixty (60) consecutive day period. Such founder shares and Private Placement Warrants that do not re-vest on or before the fifth anniversary of the Merger will be forfeited and cancelled.</w:t>
      </w:r>
    </w:p>
    <w:p>
      <w:pPr>
        <w:spacing w:after="0" w:line="99"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The Sponsor also purchased an aggregate of 42,850,000 Private Placement Warrants for a purchase price of $1.00 per warrant in a private placement pursuant to the exemption from registration contained in Section 4(a)(2) of the Securities Act that occurred simultaneously with the closing of the Churchill IPO. Each Private Placement Warrant entitles the holder thereof to purchase one share of Class A common stock at a price of $11.50 per share, subject to adjustment.</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PIPE Investment</w:t>
      </w:r>
    </w:p>
    <w:p>
      <w:pPr>
        <w:spacing w:after="0" w:line="144"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6"/>
          <w:szCs w:val="16"/>
          <w:color w:val="auto"/>
        </w:rPr>
        <w:t>In February 2021, Churchill entered into the Subscription Agreements pursuant to which certain investors agreed to subscribe for 166,666,667 shares of Class A common stock at a purchase price of $15.00 per share for an aggregate commitment of $2,500,000,005. Ayar, Lucid’s majority shareholder, agreed to purchase 13,333,333 of such shares. At the Closing, the Company consummated such PIPE Investment and issued 166,666,667 shares of its Class A common stock for aggregate gross proceeds of $2,500,000,005.</w:t>
      </w:r>
    </w:p>
    <w:p>
      <w:pPr>
        <w:spacing w:after="0" w:line="7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BofA Securities, Inc. and Citigroup Global Markets Inc., as placement agents for the PIPE Investment, received customary fees in connection with such Closing equal to approximately $12.6 million and $12.6 million, respectively.</w:t>
      </w:r>
    </w:p>
    <w:p>
      <w:pPr>
        <w:spacing w:after="0" w:line="101"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 sales of the shares of Class A common stock as part of the PIPE Investment were deemed to be exempt from registration under the Securities Act in reliance upon Section 4(a)(2) of the Securities Act (or Regulation D or Regulation S promulgated thereunder) as transactions by an issuer not involving any public offering.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760" w:type="dxa"/>
            <w:vAlign w:val="bottom"/>
            <w:gridSpan w:val="16"/>
          </w:tcPr>
          <w:p>
            <w:pPr>
              <w:ind w:left="840"/>
              <w:spacing w:after="0"/>
              <w:rPr>
                <w:sz w:val="20"/>
                <w:szCs w:val="20"/>
                <w:color w:val="auto"/>
              </w:rPr>
            </w:pPr>
            <w:r>
              <w:rPr>
                <w:rFonts w:ascii="Arial" w:cs="Arial" w:eastAsia="Arial" w:hAnsi="Arial"/>
                <w:sz w:val="14"/>
                <w:szCs w:val="14"/>
                <w:b w:val="1"/>
                <w:bCs w:val="1"/>
                <w:color w:val="auto"/>
              </w:rPr>
              <w:t>Description</w:t>
            </w:r>
          </w:p>
        </w:tc>
      </w:tr>
      <w:tr>
        <w:trPr>
          <w:trHeight w:val="25"/>
        </w:trPr>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820" w:type="dxa"/>
            <w:vAlign w:val="bottom"/>
          </w:tcPr>
          <w:p>
            <w:pPr>
              <w:jc w:val="right"/>
              <w:ind w:right="314"/>
              <w:spacing w:after="0" w:line="196"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66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844">
              <w:r>
                <w:rPr>
                  <w:rFonts w:ascii="Arial" w:cs="Arial" w:eastAsia="Arial" w:hAnsi="Arial"/>
                  <w:sz w:val="18"/>
                  <w:szCs w:val="18"/>
                  <w:color w:val="0000EE"/>
                  <w:w w:val="94"/>
                </w:rPr>
                <w:t>Agreement and Plan of Merger, dated as of February 22, 2021, by and among Churchill</w:t>
              </w:r>
            </w:hyperlink>
          </w:p>
        </w:tc>
        <w:tc>
          <w:tcPr>
            <w:tcW w:w="560" w:type="dxa"/>
            <w:vAlign w:val="bottom"/>
            <w:gridSpan w:val="9"/>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844">
              <w:r>
                <w:rPr>
                  <w:rFonts w:ascii="Arial" w:cs="Arial" w:eastAsia="Arial" w:hAnsi="Arial"/>
                  <w:sz w:val="18"/>
                  <w:szCs w:val="18"/>
                  <w:color w:val="0000EE"/>
                  <w:w w:val="96"/>
                </w:rPr>
                <w:t>Capital Corp IV, Air Merger Sub, Inc., and Atieva, Inc. (incorporated by reference to</w:t>
              </w:r>
            </w:hyperlink>
          </w:p>
        </w:tc>
        <w:tc>
          <w:tcPr>
            <w:tcW w:w="740" w:type="dxa"/>
            <w:vAlign w:val="bottom"/>
            <w:gridSpan w:val="11"/>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18"/>
          </w:tcPr>
          <w:p>
            <w:pPr>
              <w:spacing w:after="0" w:line="196" w:lineRule="exact"/>
              <w:rPr>
                <w:rFonts w:ascii="Arial" w:cs="Arial" w:eastAsia="Arial" w:hAnsi="Arial"/>
                <w:sz w:val="18"/>
                <w:szCs w:val="18"/>
                <w:color w:val="0000EE"/>
              </w:rPr>
            </w:pPr>
            <w:hyperlink r:id="rId844">
              <w:r>
                <w:rPr>
                  <w:rFonts w:ascii="Arial" w:cs="Arial" w:eastAsia="Arial" w:hAnsi="Arial"/>
                  <w:sz w:val="18"/>
                  <w:szCs w:val="18"/>
                  <w:color w:val="0000EE"/>
                </w:rPr>
                <w:t>Exhibit 2.1 to Churchill Capital Corp IV’s Current Report on Form 8-K filed February 22,</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844">
              <w:r>
                <w:rPr>
                  <w:rFonts w:ascii="Arial" w:cs="Arial" w:eastAsia="Arial" w:hAnsi="Arial"/>
                  <w:sz w:val="18"/>
                  <w:szCs w:val="18"/>
                  <w:color w:val="0000EE"/>
                  <w:w w:val="91"/>
                </w:rPr>
                <w:t>2021)</w:t>
              </w:r>
            </w:hyperlink>
          </w:p>
        </w:tc>
        <w:tc>
          <w:tcPr>
            <w:tcW w:w="19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820" w:type="dxa"/>
            <w:vAlign w:val="bottom"/>
          </w:tcPr>
          <w:p>
            <w:pPr>
              <w:jc w:val="right"/>
              <w:ind w:right="314"/>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6720" w:type="dxa"/>
            <w:vAlign w:val="bottom"/>
            <w:tcBorders>
              <w:bottom w:val="single" w:sz="8" w:color="0000EE"/>
            </w:tcBorders>
            <w:gridSpan w:val="11"/>
          </w:tcPr>
          <w:p>
            <w:pPr>
              <w:spacing w:after="0"/>
              <w:rPr>
                <w:rFonts w:ascii="Arial" w:cs="Arial" w:eastAsia="Arial" w:hAnsi="Arial"/>
                <w:sz w:val="18"/>
                <w:szCs w:val="18"/>
                <w:color w:val="0000EE"/>
                <w:w w:val="94"/>
              </w:rPr>
            </w:pPr>
            <w:hyperlink r:id="rId845">
              <w:r>
                <w:rPr>
                  <w:rFonts w:ascii="Arial" w:cs="Arial" w:eastAsia="Arial" w:hAnsi="Arial"/>
                  <w:sz w:val="18"/>
                  <w:szCs w:val="18"/>
                  <w:color w:val="0000EE"/>
                  <w:w w:val="94"/>
                </w:rPr>
                <w:t>Second Amended and Restated Certificate of Incorporation (incorporated by reference to</w:t>
              </w:r>
            </w:hyperlink>
          </w:p>
        </w:tc>
        <w:tc>
          <w:tcPr>
            <w:tcW w:w="440" w:type="dxa"/>
            <w:vAlign w:val="bottom"/>
            <w:gridSpan w:val="7"/>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18"/>
          </w:tcPr>
          <w:p>
            <w:pPr>
              <w:spacing w:after="0" w:line="196" w:lineRule="exact"/>
              <w:rPr>
                <w:rFonts w:ascii="Arial" w:cs="Arial" w:eastAsia="Arial" w:hAnsi="Arial"/>
                <w:sz w:val="18"/>
                <w:szCs w:val="18"/>
                <w:color w:val="0000EE"/>
                <w:w w:val="98"/>
              </w:rPr>
            </w:pPr>
            <w:hyperlink r:id="rId845">
              <w:r>
                <w:rPr>
                  <w:rFonts w:ascii="Arial" w:cs="Arial" w:eastAsia="Arial" w:hAnsi="Arial"/>
                  <w:sz w:val="18"/>
                  <w:szCs w:val="18"/>
                  <w:color w:val="0000EE"/>
                  <w:w w:val="98"/>
                </w:rPr>
                <w:t>Exhibit 3.1 to Company’s Current Report on Form 8-K filed July 26, 2021 (the “</w:t>
              </w:r>
              <w:r>
                <w:rPr>
                  <w:rFonts w:ascii="Arial" w:cs="Arial" w:eastAsia="Arial" w:hAnsi="Arial"/>
                  <w:sz w:val="18"/>
                  <w:szCs w:val="18"/>
                  <w:i w:val="1"/>
                  <w:iCs w:val="1"/>
                  <w:color w:val="0000EE"/>
                  <w:w w:val="98"/>
                </w:rPr>
                <w:t>Super 8-K</w:t>
              </w:r>
              <w:r>
                <w:rPr>
                  <w:rFonts w:ascii="Arial" w:cs="Arial" w:eastAsia="Arial" w:hAnsi="Arial"/>
                  <w:sz w:val="18"/>
                  <w:szCs w:val="18"/>
                  <w:color w:val="0000EE"/>
                  <w:w w:val="98"/>
                </w:rPr>
                <w:t>”))</w:t>
              </w:r>
            </w:hyperlink>
          </w:p>
        </w:tc>
      </w:tr>
      <w:tr>
        <w:trPr>
          <w:trHeight w:val="250"/>
        </w:trPr>
        <w:tc>
          <w:tcPr>
            <w:tcW w:w="820" w:type="dxa"/>
            <w:vAlign w:val="bottom"/>
          </w:tcPr>
          <w:p>
            <w:pPr>
              <w:jc w:val="right"/>
              <w:ind w:right="314"/>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7060" w:type="dxa"/>
            <w:vAlign w:val="bottom"/>
            <w:tcBorders>
              <w:top w:val="single" w:sz="8" w:color="0000EE"/>
            </w:tcBorders>
            <w:gridSpan w:val="16"/>
          </w:tcPr>
          <w:p>
            <w:pPr>
              <w:spacing w:after="0"/>
              <w:rPr>
                <w:rFonts w:ascii="Arial" w:cs="Arial" w:eastAsia="Arial" w:hAnsi="Arial"/>
                <w:sz w:val="18"/>
                <w:szCs w:val="18"/>
                <w:color w:val="0000EE"/>
                <w:w w:val="97"/>
              </w:rPr>
            </w:pPr>
            <w:hyperlink r:id="rId846">
              <w:r>
                <w:rPr>
                  <w:rFonts w:ascii="Arial" w:cs="Arial" w:eastAsia="Arial" w:hAnsi="Arial"/>
                  <w:sz w:val="18"/>
                  <w:szCs w:val="18"/>
                  <w:color w:val="0000EE"/>
                  <w:w w:val="97"/>
                </w:rPr>
                <w:t>Amended and Restated Bylaws (incorporated by reference to Exhibit 3.2 to the Super 8-K)</w:t>
              </w:r>
            </w:hyperlink>
          </w:p>
        </w:tc>
        <w:tc>
          <w:tcPr>
            <w:tcW w:w="100" w:type="dxa"/>
            <w:vAlign w:val="bottom"/>
            <w:gridSpan w:val="2"/>
          </w:tcPr>
          <w:p>
            <w:pPr>
              <w:spacing w:after="0"/>
              <w:rPr>
                <w:sz w:val="21"/>
                <w:szCs w:val="2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20" w:type="dxa"/>
            <w:vAlign w:val="bottom"/>
          </w:tcPr>
          <w:p>
            <w:pPr>
              <w:jc w:val="right"/>
              <w:ind w:right="314"/>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7160" w:type="dxa"/>
            <w:vAlign w:val="bottom"/>
            <w:gridSpan w:val="18"/>
          </w:tcPr>
          <w:p>
            <w:pPr>
              <w:spacing w:after="0"/>
              <w:rPr>
                <w:rFonts w:ascii="Arial" w:cs="Arial" w:eastAsia="Arial" w:hAnsi="Arial"/>
                <w:sz w:val="18"/>
                <w:szCs w:val="18"/>
                <w:color w:val="0000EE"/>
                <w:w w:val="96"/>
              </w:rPr>
            </w:pPr>
            <w:hyperlink r:id="rId847">
              <w:r>
                <w:rPr>
                  <w:rFonts w:ascii="Arial" w:cs="Arial" w:eastAsia="Arial" w:hAnsi="Arial"/>
                  <w:sz w:val="18"/>
                  <w:szCs w:val="18"/>
                  <w:color w:val="0000EE"/>
                  <w:w w:val="96"/>
                </w:rPr>
                <w:t>Specimen Class A Common Stock Certificate of Lucid Group, Inc. (incorporated by reference</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r:id="rId847">
              <w:r>
                <w:rPr>
                  <w:rFonts w:ascii="Arial" w:cs="Arial" w:eastAsia="Arial" w:hAnsi="Arial"/>
                  <w:sz w:val="18"/>
                  <w:szCs w:val="18"/>
                  <w:color w:val="0000EE"/>
                  <w:w w:val="96"/>
                </w:rPr>
                <w:t>to Exhibit 4.1 to the Super 8-K)</w:t>
              </w:r>
            </w:hyperlink>
          </w:p>
        </w:tc>
        <w:tc>
          <w:tcPr>
            <w:tcW w:w="4680" w:type="dxa"/>
            <w:vAlign w:val="bottom"/>
            <w:tcBorders>
              <w:top w:val="single" w:sz="8" w:color="0000EE"/>
            </w:tcBorders>
            <w:gridSpan w:val="15"/>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820" w:type="dxa"/>
            <w:vAlign w:val="bottom"/>
          </w:tcPr>
          <w:p>
            <w:pPr>
              <w:jc w:val="right"/>
              <w:ind w:right="314"/>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2"/>
                <w:szCs w:val="22"/>
                <w:color w:val="auto"/>
              </w:rPr>
            </w:pPr>
          </w:p>
        </w:tc>
        <w:tc>
          <w:tcPr>
            <w:tcW w:w="4140" w:type="dxa"/>
            <w:vAlign w:val="bottom"/>
            <w:tcBorders>
              <w:bottom w:val="single" w:sz="8" w:color="0000EE"/>
            </w:tcBorders>
            <w:gridSpan w:val="4"/>
          </w:tcPr>
          <w:p>
            <w:pPr>
              <w:spacing w:after="0"/>
              <w:rPr>
                <w:rFonts w:ascii="Arial" w:cs="Arial" w:eastAsia="Arial" w:hAnsi="Arial"/>
                <w:sz w:val="18"/>
                <w:szCs w:val="18"/>
                <w:color w:val="0000EE"/>
                <w:w w:val="96"/>
              </w:rPr>
            </w:pPr>
            <w:hyperlink r:id="rId848">
              <w:r>
                <w:rPr>
                  <w:rFonts w:ascii="Arial" w:cs="Arial" w:eastAsia="Arial" w:hAnsi="Arial"/>
                  <w:sz w:val="18"/>
                  <w:szCs w:val="18"/>
                  <w:color w:val="0000EE"/>
                  <w:w w:val="96"/>
                </w:rPr>
                <w:t>Specimen Warrant Certificate (included in Exhibit 4.3)</w:t>
              </w:r>
            </w:hyperlink>
          </w:p>
        </w:tc>
        <w:tc>
          <w:tcPr>
            <w:tcW w:w="3020" w:type="dxa"/>
            <w:vAlign w:val="bottom"/>
            <w:gridSpan w:val="14"/>
          </w:tcPr>
          <w:p>
            <w:pPr>
              <w:spacing w:after="0"/>
              <w:rPr>
                <w:sz w:val="22"/>
                <w:szCs w:val="22"/>
                <w:color w:val="auto"/>
              </w:rPr>
            </w:pPr>
          </w:p>
        </w:tc>
      </w:tr>
      <w:tr>
        <w:trPr>
          <w:trHeight w:val="223"/>
        </w:trPr>
        <w:tc>
          <w:tcPr>
            <w:tcW w:w="820" w:type="dxa"/>
            <w:vAlign w:val="bottom"/>
          </w:tcPr>
          <w:p>
            <w:pPr>
              <w:jc w:val="right"/>
              <w:ind w:right="314"/>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6500" w:type="dxa"/>
            <w:vAlign w:val="bottom"/>
            <w:tcBorders>
              <w:bottom w:val="single" w:sz="8" w:color="0000EE"/>
            </w:tcBorders>
            <w:gridSpan w:val="8"/>
          </w:tcPr>
          <w:p>
            <w:pPr>
              <w:spacing w:after="0"/>
              <w:rPr>
                <w:rFonts w:ascii="Arial" w:cs="Arial" w:eastAsia="Arial" w:hAnsi="Arial"/>
                <w:sz w:val="18"/>
                <w:szCs w:val="18"/>
                <w:color w:val="0000EE"/>
                <w:w w:val="94"/>
              </w:rPr>
            </w:pPr>
            <w:hyperlink r:id="rId848">
              <w:r>
                <w:rPr>
                  <w:rFonts w:ascii="Arial" w:cs="Arial" w:eastAsia="Arial" w:hAnsi="Arial"/>
                  <w:sz w:val="18"/>
                  <w:szCs w:val="18"/>
                  <w:color w:val="0000EE"/>
                  <w:w w:val="94"/>
                </w:rPr>
                <w:t>Warrant Agreement, dated July 29, 2020, between Continental Stock Transfer &amp; Trust</w:t>
              </w:r>
            </w:hyperlink>
          </w:p>
        </w:tc>
        <w:tc>
          <w:tcPr>
            <w:tcW w:w="660" w:type="dxa"/>
            <w:vAlign w:val="bottom"/>
            <w:gridSpan w:val="10"/>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r:id="rId848">
              <w:r>
                <w:rPr>
                  <w:rFonts w:ascii="Arial" w:cs="Arial" w:eastAsia="Arial" w:hAnsi="Arial"/>
                  <w:sz w:val="18"/>
                  <w:szCs w:val="18"/>
                  <w:color w:val="0000EE"/>
                  <w:w w:val="96"/>
                </w:rPr>
                <w:t>Company and Churchill Capital Corp IV (incorporated by reference to Exhibit 4.1 to</w:t>
              </w:r>
            </w:hyperlink>
          </w:p>
        </w:tc>
        <w:tc>
          <w:tcPr>
            <w:tcW w:w="760" w:type="dxa"/>
            <w:vAlign w:val="bottom"/>
            <w:gridSpan w:val="1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848">
              <w:r>
                <w:rPr>
                  <w:rFonts w:ascii="Arial" w:cs="Arial" w:eastAsia="Arial" w:hAnsi="Arial"/>
                  <w:sz w:val="18"/>
                  <w:szCs w:val="18"/>
                  <w:color w:val="0000EE"/>
                  <w:w w:val="97"/>
                </w:rPr>
                <w:t>Churchill Capital Corp IV’s Current Report on Form 8-K filed August 3, 2020)</w:t>
              </w:r>
            </w:hyperlink>
          </w:p>
        </w:tc>
        <w:tc>
          <w:tcPr>
            <w:tcW w:w="1180" w:type="dxa"/>
            <w:vAlign w:val="bottom"/>
            <w:gridSpan w:val="13"/>
          </w:tcPr>
          <w:p>
            <w:pPr>
              <w:spacing w:after="0"/>
              <w:rPr>
                <w:sz w:val="17"/>
                <w:szCs w:val="17"/>
                <w:color w:val="auto"/>
              </w:rPr>
            </w:pPr>
          </w:p>
        </w:tc>
      </w:tr>
      <w:tr>
        <w:trPr>
          <w:trHeight w:val="304"/>
        </w:trPr>
        <w:tc>
          <w:tcPr>
            <w:tcW w:w="820" w:type="dxa"/>
            <w:vAlign w:val="bottom"/>
          </w:tcPr>
          <w:p>
            <w:pPr>
              <w:ind w:left="18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7160" w:type="dxa"/>
            <w:vAlign w:val="bottom"/>
            <w:gridSpan w:val="18"/>
          </w:tcPr>
          <w:p>
            <w:pPr>
              <w:spacing w:after="0"/>
              <w:rPr>
                <w:sz w:val="20"/>
                <w:szCs w:val="20"/>
                <w:color w:val="auto"/>
              </w:rPr>
            </w:pPr>
            <w:r>
              <w:rPr>
                <w:rFonts w:ascii="Arial" w:cs="Arial" w:eastAsia="Arial" w:hAnsi="Arial"/>
                <w:sz w:val="18"/>
                <w:szCs w:val="18"/>
                <w:color w:val="auto"/>
              </w:rPr>
              <w:t>Opinion of Davis Polk &amp; Wardwell LLP</w:t>
            </w:r>
          </w:p>
        </w:tc>
      </w:tr>
      <w:tr>
        <w:trPr>
          <w:trHeight w:val="203"/>
        </w:trPr>
        <w:tc>
          <w:tcPr>
            <w:tcW w:w="82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6900" w:type="dxa"/>
            <w:vAlign w:val="bottom"/>
            <w:tcBorders>
              <w:bottom w:val="single" w:sz="8" w:color="0000EE"/>
            </w:tcBorders>
            <w:gridSpan w:val="15"/>
          </w:tcPr>
          <w:p>
            <w:pPr>
              <w:spacing w:after="0" w:line="202" w:lineRule="exact"/>
              <w:rPr>
                <w:rFonts w:ascii="Arial" w:cs="Arial" w:eastAsia="Arial" w:hAnsi="Arial"/>
                <w:sz w:val="18"/>
                <w:szCs w:val="18"/>
                <w:color w:val="0000EE"/>
                <w:w w:val="94"/>
              </w:rPr>
            </w:pPr>
            <w:hyperlink r:id="rId849">
              <w:r>
                <w:rPr>
                  <w:rFonts w:ascii="Arial" w:cs="Arial" w:eastAsia="Arial" w:hAnsi="Arial"/>
                  <w:sz w:val="18"/>
                  <w:szCs w:val="18"/>
                  <w:color w:val="0000EE"/>
                  <w:w w:val="94"/>
                </w:rPr>
                <w:t>Investor Rights Agreement, dated as of February 22, 2021, by and among Churchill Capital</w:t>
              </w:r>
            </w:hyperlink>
          </w:p>
        </w:tc>
        <w:tc>
          <w:tcPr>
            <w:tcW w:w="260" w:type="dxa"/>
            <w:vAlign w:val="bottom"/>
            <w:gridSpan w:val="3"/>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18"/>
          </w:tcPr>
          <w:p>
            <w:pPr>
              <w:spacing w:after="0" w:line="196" w:lineRule="exact"/>
              <w:rPr>
                <w:rFonts w:ascii="Arial" w:cs="Arial" w:eastAsia="Arial" w:hAnsi="Arial"/>
                <w:sz w:val="18"/>
                <w:szCs w:val="18"/>
                <w:color w:val="0000EE"/>
              </w:rPr>
            </w:pPr>
            <w:hyperlink r:id="rId849">
              <w:r>
                <w:rPr>
                  <w:rFonts w:ascii="Arial" w:cs="Arial" w:eastAsia="Arial" w:hAnsi="Arial"/>
                  <w:sz w:val="18"/>
                  <w:szCs w:val="18"/>
                  <w:color w:val="0000EE"/>
                </w:rPr>
                <w:t>Corp IV, Ayar Third Investment Company, Churchill Sponsor IV LLC and the other parties</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r:id="rId849">
              <w:r>
                <w:rPr>
                  <w:rFonts w:ascii="Arial" w:cs="Arial" w:eastAsia="Arial" w:hAnsi="Arial"/>
                  <w:sz w:val="18"/>
                  <w:szCs w:val="18"/>
                  <w:color w:val="0000EE"/>
                  <w:w w:val="96"/>
                </w:rPr>
                <w:t>named therein (incorporated by reference to Exhibit 10.1 to Churchill Capital Corp IV’s</w:t>
              </w:r>
            </w:hyperlink>
          </w:p>
        </w:tc>
        <w:tc>
          <w:tcPr>
            <w:tcW w:w="220" w:type="dxa"/>
            <w:vAlign w:val="bottom"/>
            <w:tcBorders>
              <w:top w:val="single" w:sz="8" w:color="0000EE"/>
            </w:tcBorders>
            <w:gridSpan w:val="4"/>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849">
              <w:r>
                <w:rPr>
                  <w:rFonts w:ascii="Arial" w:cs="Arial" w:eastAsia="Arial" w:hAnsi="Arial"/>
                  <w:sz w:val="18"/>
                  <w:szCs w:val="18"/>
                  <w:color w:val="0000EE"/>
                  <w:w w:val="96"/>
                </w:rPr>
                <w:t>Current Report on Form 8-K filed February 22, 2021)</w:t>
              </w:r>
            </w:hyperlink>
          </w:p>
        </w:tc>
        <w:tc>
          <w:tcPr>
            <w:tcW w:w="3100" w:type="dxa"/>
            <w:vAlign w:val="bottom"/>
            <w:gridSpan w:val="1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00" w:name="page301"/>
    <w:bookmarkEnd w:id="30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00" w:type="dxa"/>
            <w:vAlign w:val="bottom"/>
            <w:gridSpan w:val="26"/>
          </w:tcPr>
          <w:p>
            <w:pPr>
              <w:ind w:left="98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66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r:id="rId851">
              <w:r>
                <w:rPr>
                  <w:rFonts w:ascii="Arial" w:cs="Arial" w:eastAsia="Arial" w:hAnsi="Arial"/>
                  <w:sz w:val="18"/>
                  <w:szCs w:val="18"/>
                  <w:color w:val="0000EE"/>
                  <w:w w:val="96"/>
                </w:rPr>
                <w:t>Form of Subscription Agreement (incorporated by reference to Exhibit 10.2 to Churchill</w:t>
              </w:r>
            </w:hyperlink>
          </w:p>
        </w:tc>
        <w:tc>
          <w:tcPr>
            <w:tcW w:w="480" w:type="dxa"/>
            <w:vAlign w:val="bottom"/>
            <w:gridSpan w:val="10"/>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9"/>
          </w:tcPr>
          <w:p>
            <w:pPr>
              <w:spacing w:after="0" w:line="196" w:lineRule="exact"/>
              <w:rPr>
                <w:rFonts w:ascii="Arial" w:cs="Arial" w:eastAsia="Arial" w:hAnsi="Arial"/>
                <w:sz w:val="18"/>
                <w:szCs w:val="18"/>
                <w:color w:val="0000EE"/>
              </w:rPr>
            </w:pPr>
            <w:hyperlink r:id="rId851">
              <w:r>
                <w:rPr>
                  <w:rFonts w:ascii="Arial" w:cs="Arial" w:eastAsia="Arial" w:hAnsi="Arial"/>
                  <w:sz w:val="18"/>
                  <w:szCs w:val="18"/>
                  <w:color w:val="0000EE"/>
                </w:rPr>
                <w:t>Capital Corp IV’s Current Report on Form 8-K filed February 22, 2021)</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7160" w:type="dxa"/>
            <w:vAlign w:val="bottom"/>
            <w:gridSpan w:val="29"/>
          </w:tcPr>
          <w:p>
            <w:pPr>
              <w:spacing w:after="0"/>
              <w:rPr>
                <w:rFonts w:ascii="Arial" w:cs="Arial" w:eastAsia="Arial" w:hAnsi="Arial"/>
                <w:sz w:val="18"/>
                <w:szCs w:val="18"/>
                <w:color w:val="0000EE"/>
                <w:w w:val="94"/>
              </w:rPr>
            </w:pPr>
            <w:hyperlink r:id="rId852">
              <w:r>
                <w:rPr>
                  <w:rFonts w:ascii="Arial" w:cs="Arial" w:eastAsia="Arial" w:hAnsi="Arial"/>
                  <w:sz w:val="18"/>
                  <w:szCs w:val="18"/>
                  <w:color w:val="0000EE"/>
                  <w:w w:val="94"/>
                </w:rPr>
                <w:t>Private Placement Warrant Purchase Agreement, dated as of July 29, 2020, between Churchill</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6"/>
              </w:rPr>
            </w:pPr>
            <w:hyperlink r:id="rId852">
              <w:r>
                <w:rPr>
                  <w:rFonts w:ascii="Arial" w:cs="Arial" w:eastAsia="Arial" w:hAnsi="Arial"/>
                  <w:sz w:val="18"/>
                  <w:szCs w:val="18"/>
                  <w:color w:val="0000EE"/>
                  <w:w w:val="96"/>
                </w:rPr>
                <w:t>Capital Corp IV and the Sponsor (incorporated by reference to Exhibit 10.4 to Churchill</w:t>
              </w:r>
            </w:hyperlink>
          </w:p>
        </w:tc>
        <w:tc>
          <w:tcPr>
            <w:tcW w:w="420" w:type="dxa"/>
            <w:vAlign w:val="bottom"/>
            <w:tcBorders>
              <w:top w:val="single" w:sz="8" w:color="0000EE"/>
            </w:tcBorders>
            <w:gridSpan w:val="9"/>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9"/>
          </w:tcPr>
          <w:p>
            <w:pPr>
              <w:spacing w:after="0" w:line="196" w:lineRule="exact"/>
              <w:rPr>
                <w:rFonts w:ascii="Arial" w:cs="Arial" w:eastAsia="Arial" w:hAnsi="Arial"/>
                <w:sz w:val="18"/>
                <w:szCs w:val="18"/>
                <w:color w:val="0000EE"/>
              </w:rPr>
            </w:pPr>
            <w:hyperlink r:id="rId852">
              <w:r>
                <w:rPr>
                  <w:rFonts w:ascii="Arial" w:cs="Arial" w:eastAsia="Arial" w:hAnsi="Arial"/>
                  <w:sz w:val="18"/>
                  <w:szCs w:val="18"/>
                  <w:color w:val="0000EE"/>
                </w:rPr>
                <w:t>Capital Corp IV’s Current Report on Form 8-K filed February 22, 2021)</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6820" w:type="dxa"/>
            <w:vAlign w:val="bottom"/>
            <w:tcBorders>
              <w:bottom w:val="single" w:sz="8" w:color="0000EE"/>
            </w:tcBorders>
            <w:gridSpan w:val="23"/>
          </w:tcPr>
          <w:p>
            <w:pPr>
              <w:spacing w:after="0"/>
              <w:rPr>
                <w:rFonts w:ascii="Arial" w:cs="Arial" w:eastAsia="Arial" w:hAnsi="Arial"/>
                <w:sz w:val="18"/>
                <w:szCs w:val="18"/>
                <w:color w:val="0000EE"/>
                <w:w w:val="93"/>
              </w:rPr>
            </w:pPr>
            <w:hyperlink r:id="rId853">
              <w:r>
                <w:rPr>
                  <w:rFonts w:ascii="Arial" w:cs="Arial" w:eastAsia="Arial" w:hAnsi="Arial"/>
                  <w:sz w:val="18"/>
                  <w:szCs w:val="18"/>
                  <w:color w:val="0000EE"/>
                  <w:w w:val="93"/>
                </w:rPr>
                <w:t>Amended and Restated Sponsor Agreement, dated as of February 22, 2021, by and among</w:t>
              </w:r>
            </w:hyperlink>
          </w:p>
        </w:tc>
        <w:tc>
          <w:tcPr>
            <w:tcW w:w="340" w:type="dxa"/>
            <w:vAlign w:val="bottom"/>
            <w:gridSpan w:val="6"/>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r:id="rId853">
              <w:r>
                <w:rPr>
                  <w:rFonts w:ascii="Arial" w:cs="Arial" w:eastAsia="Arial" w:hAnsi="Arial"/>
                  <w:sz w:val="18"/>
                  <w:szCs w:val="18"/>
                  <w:color w:val="0000EE"/>
                  <w:w w:val="97"/>
                </w:rPr>
                <w:t>Churchill Capital Corp IV, Churchill Sponsor IV LLC, and Michael Klein, Lee Jay Taragin,</w:t>
              </w:r>
            </w:hyperlink>
          </w:p>
        </w:tc>
        <w:tc>
          <w:tcPr>
            <w:tcW w:w="240" w:type="dxa"/>
            <w:vAlign w:val="bottom"/>
            <w:gridSpan w:val="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r:id="rId853">
              <w:r>
                <w:rPr>
                  <w:rFonts w:ascii="Arial" w:cs="Arial" w:eastAsia="Arial" w:hAnsi="Arial"/>
                  <w:sz w:val="18"/>
                  <w:szCs w:val="18"/>
                  <w:color w:val="0000EE"/>
                  <w:w w:val="97"/>
                </w:rPr>
                <w:t>Glenn R. August, William J. Bynum, Bonnie Jonas, Mark Klein, Malcom S. McDermid and</w:t>
              </w:r>
            </w:hyperlink>
          </w:p>
        </w:tc>
        <w:tc>
          <w:tcPr>
            <w:tcW w:w="240" w:type="dxa"/>
            <w:vAlign w:val="bottom"/>
            <w:gridSpan w:val="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9"/>
          </w:tcPr>
          <w:p>
            <w:pPr>
              <w:spacing w:after="0" w:line="196" w:lineRule="exact"/>
              <w:rPr>
                <w:rFonts w:ascii="Arial" w:cs="Arial" w:eastAsia="Arial" w:hAnsi="Arial"/>
                <w:sz w:val="18"/>
                <w:szCs w:val="18"/>
                <w:color w:val="0000EE"/>
              </w:rPr>
            </w:pPr>
            <w:hyperlink r:id="rId853">
              <w:r>
                <w:rPr>
                  <w:rFonts w:ascii="Arial" w:cs="Arial" w:eastAsia="Arial" w:hAnsi="Arial"/>
                  <w:sz w:val="18"/>
                  <w:szCs w:val="18"/>
                  <w:color w:val="0000EE"/>
                </w:rPr>
                <w:t>Karen G. Mills (incorporated by reference to Exhibit 10.3 to Churchill Capital Corp IV’s</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r:id="rId853">
              <w:r>
                <w:rPr>
                  <w:rFonts w:ascii="Arial" w:cs="Arial" w:eastAsia="Arial" w:hAnsi="Arial"/>
                  <w:sz w:val="18"/>
                  <w:szCs w:val="18"/>
                  <w:color w:val="0000EE"/>
                  <w:w w:val="96"/>
                </w:rPr>
                <w:t>Current Report on Form 8-K filed February 22, 2021)</w:t>
              </w:r>
            </w:hyperlink>
          </w:p>
        </w:tc>
        <w:tc>
          <w:tcPr>
            <w:tcW w:w="2640" w:type="dxa"/>
            <w:vAlign w:val="bottom"/>
            <w:tcBorders>
              <w:top w:val="single" w:sz="8" w:color="0000EE"/>
            </w:tcBorders>
            <w:gridSpan w:val="14"/>
          </w:tcPr>
          <w:p>
            <w:pPr>
              <w:spacing w:after="0"/>
              <w:rPr>
                <w:sz w:val="17"/>
                <w:szCs w:val="17"/>
                <w:color w:val="auto"/>
              </w:rPr>
            </w:pPr>
          </w:p>
        </w:tc>
        <w:tc>
          <w:tcPr>
            <w:tcW w:w="460" w:type="dxa"/>
            <w:vAlign w:val="bottom"/>
            <w:gridSpan w:val="9"/>
          </w:tcPr>
          <w:p>
            <w:pPr>
              <w:spacing w:after="0"/>
              <w:rPr>
                <w:sz w:val="17"/>
                <w:szCs w:val="17"/>
                <w:color w:val="auto"/>
              </w:rPr>
            </w:pPr>
          </w:p>
        </w:tc>
      </w:tr>
      <w:tr>
        <w:trPr>
          <w:trHeight w:val="236"/>
        </w:trPr>
        <w:tc>
          <w:tcPr>
            <w:tcW w:w="820" w:type="dxa"/>
            <w:vAlign w:val="bottom"/>
          </w:tcPr>
          <w:p>
            <w:pPr>
              <w:ind w:left="10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0"/>
                <w:szCs w:val="20"/>
                <w:color w:val="auto"/>
              </w:rPr>
            </w:pPr>
          </w:p>
        </w:tc>
        <w:tc>
          <w:tcPr>
            <w:tcW w:w="6920" w:type="dxa"/>
            <w:vAlign w:val="bottom"/>
            <w:tcBorders>
              <w:bottom w:val="single" w:sz="8" w:color="0000EE"/>
            </w:tcBorders>
            <w:gridSpan w:val="24"/>
          </w:tcPr>
          <w:p>
            <w:pPr>
              <w:spacing w:after="0"/>
              <w:rPr>
                <w:rFonts w:ascii="Arial" w:cs="Arial" w:eastAsia="Arial" w:hAnsi="Arial"/>
                <w:sz w:val="18"/>
                <w:szCs w:val="18"/>
                <w:color w:val="0000EE"/>
                <w:w w:val="95"/>
              </w:rPr>
            </w:pPr>
            <w:hyperlink r:id="rId852">
              <w:r>
                <w:rPr>
                  <w:rFonts w:ascii="Arial" w:cs="Arial" w:eastAsia="Arial" w:hAnsi="Arial"/>
                  <w:sz w:val="18"/>
                  <w:szCs w:val="18"/>
                  <w:color w:val="0000EE"/>
                  <w:w w:val="95"/>
                </w:rPr>
                <w:t>Promissory Note, dated as of February 22, 2021, by and between Churchill Capital Corp IV</w:t>
              </w:r>
            </w:hyperlink>
          </w:p>
        </w:tc>
        <w:tc>
          <w:tcPr>
            <w:tcW w:w="240" w:type="dxa"/>
            <w:vAlign w:val="bottom"/>
            <w:gridSpan w:val="5"/>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bottom w:val="single" w:sz="8" w:color="0000EE"/>
            </w:tcBorders>
            <w:gridSpan w:val="28"/>
          </w:tcPr>
          <w:p>
            <w:pPr>
              <w:spacing w:after="0" w:line="196" w:lineRule="exact"/>
              <w:rPr>
                <w:rFonts w:ascii="Arial" w:cs="Arial" w:eastAsia="Arial" w:hAnsi="Arial"/>
                <w:sz w:val="18"/>
                <w:szCs w:val="18"/>
                <w:color w:val="0000EE"/>
                <w:w w:val="97"/>
              </w:rPr>
            </w:pPr>
            <w:hyperlink r:id="rId852">
              <w:r>
                <w:rPr>
                  <w:rFonts w:ascii="Arial" w:cs="Arial" w:eastAsia="Arial" w:hAnsi="Arial"/>
                  <w:sz w:val="18"/>
                  <w:szCs w:val="18"/>
                  <w:color w:val="0000EE"/>
                  <w:w w:val="97"/>
                </w:rPr>
                <w:t>and Churchill Sponsor IV LLC (incorporated by reference to Exhibit 10.4 to Churchill Capital</w:t>
              </w:r>
            </w:hyperlink>
          </w:p>
        </w:tc>
        <w:tc>
          <w:tcPr>
            <w:tcW w:w="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852">
              <w:r>
                <w:rPr>
                  <w:rFonts w:ascii="Arial" w:cs="Arial" w:eastAsia="Arial" w:hAnsi="Arial"/>
                  <w:sz w:val="18"/>
                  <w:szCs w:val="18"/>
                  <w:color w:val="0000EE"/>
                  <w:w w:val="96"/>
                </w:rPr>
                <w:t>Corp IV’s Current Report on Form 8-K filed February 22, 2021)</w:t>
              </w:r>
            </w:hyperlink>
          </w:p>
        </w:tc>
        <w:tc>
          <w:tcPr>
            <w:tcW w:w="2300" w:type="dxa"/>
            <w:vAlign w:val="bottom"/>
            <w:gridSpan w:val="22"/>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7120" w:type="dxa"/>
            <w:vAlign w:val="bottom"/>
            <w:tcBorders>
              <w:bottom w:val="single" w:sz="8" w:color="0000EE"/>
            </w:tcBorders>
            <w:gridSpan w:val="28"/>
          </w:tcPr>
          <w:p>
            <w:pPr>
              <w:spacing w:after="0"/>
              <w:rPr>
                <w:rFonts w:ascii="Arial" w:cs="Arial" w:eastAsia="Arial" w:hAnsi="Arial"/>
                <w:sz w:val="18"/>
                <w:szCs w:val="18"/>
                <w:color w:val="0000EE"/>
                <w:w w:val="96"/>
              </w:rPr>
            </w:pPr>
            <w:hyperlink r:id="rId854">
              <w:r>
                <w:rPr>
                  <w:rFonts w:ascii="Arial" w:cs="Arial" w:eastAsia="Arial" w:hAnsi="Arial"/>
                  <w:sz w:val="18"/>
                  <w:szCs w:val="18"/>
                  <w:color w:val="0000EE"/>
                  <w:w w:val="96"/>
                </w:rPr>
                <w:t>Lucid Group, Inc. 2021 Stock Incentive Plan (including the Lucid Group, Inc. 2021 Employee</w:t>
              </w:r>
            </w:hyperlink>
          </w:p>
        </w:tc>
        <w:tc>
          <w:tcPr>
            <w:tcW w:w="40" w:type="dxa"/>
            <w:vAlign w:val="bottom"/>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854">
              <w:r>
                <w:rPr>
                  <w:rFonts w:ascii="Arial" w:cs="Arial" w:eastAsia="Arial" w:hAnsi="Arial"/>
                  <w:sz w:val="18"/>
                  <w:szCs w:val="18"/>
                  <w:color w:val="0000EE"/>
                  <w:w w:val="94"/>
                </w:rPr>
                <w:t>Stock Purchase Plan, attached thereto) (incorporated by reference to Exhibit 10.5 to the</w:t>
              </w:r>
            </w:hyperlink>
          </w:p>
        </w:tc>
        <w:tc>
          <w:tcPr>
            <w:tcW w:w="560" w:type="dxa"/>
            <w:vAlign w:val="bottom"/>
            <w:gridSpan w:val="14"/>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9"/>
          </w:tcPr>
          <w:p>
            <w:pPr>
              <w:spacing w:after="0" w:line="196" w:lineRule="exact"/>
              <w:rPr>
                <w:rFonts w:ascii="Arial" w:cs="Arial" w:eastAsia="Arial" w:hAnsi="Arial"/>
                <w:sz w:val="18"/>
                <w:szCs w:val="18"/>
                <w:color w:val="0000EE"/>
                <w:w w:val="96"/>
              </w:rPr>
            </w:pPr>
            <w:hyperlink r:id="rId854">
              <w:r>
                <w:rPr>
                  <w:rFonts w:ascii="Arial" w:cs="Arial" w:eastAsia="Arial" w:hAnsi="Arial"/>
                  <w:sz w:val="18"/>
                  <w:szCs w:val="18"/>
                  <w:color w:val="0000EE"/>
                  <w:w w:val="96"/>
                </w:rPr>
                <w:t>Registration Statement on Form S-4, as amended (File No. 333-254543), filed June 11, 2021</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r:id="rId854">
              <w:r>
                <w:rPr>
                  <w:rFonts w:ascii="Arial" w:cs="Arial" w:eastAsia="Arial" w:hAnsi="Arial"/>
                  <w:sz w:val="18"/>
                  <w:szCs w:val="18"/>
                  <w:color w:val="0000EE"/>
                  <w:w w:val="94"/>
                </w:rPr>
                <w:t>(“</w:t>
              </w:r>
              <w:r>
                <w:rPr>
                  <w:rFonts w:ascii="Arial" w:cs="Arial" w:eastAsia="Arial" w:hAnsi="Arial"/>
                  <w:sz w:val="18"/>
                  <w:szCs w:val="18"/>
                  <w:i w:val="1"/>
                  <w:iCs w:val="1"/>
                  <w:color w:val="0000EE"/>
                  <w:w w:val="94"/>
                </w:rPr>
                <w:t>Amendment No. 2 to the Registration Statement</w:t>
              </w:r>
              <w:r>
                <w:rPr>
                  <w:rFonts w:ascii="Arial" w:cs="Arial" w:eastAsia="Arial" w:hAnsi="Arial"/>
                  <w:sz w:val="18"/>
                  <w:szCs w:val="18"/>
                  <w:color w:val="0000EE"/>
                  <w:w w:val="94"/>
                </w:rPr>
                <w:t>”)</w:t>
              </w:r>
            </w:hyperlink>
          </w:p>
        </w:tc>
        <w:tc>
          <w:tcPr>
            <w:tcW w:w="3100" w:type="dxa"/>
            <w:vAlign w:val="bottom"/>
            <w:tcBorders>
              <w:top w:val="single" w:sz="8" w:color="0000EE"/>
            </w:tcBorders>
            <w:gridSpan w:val="20"/>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p>
        </w:tc>
        <w:tc>
          <w:tcPr>
            <w:tcW w:w="6260" w:type="dxa"/>
            <w:vAlign w:val="bottom"/>
            <w:tcBorders>
              <w:bottom w:val="single" w:sz="8" w:color="0000EE"/>
            </w:tcBorders>
            <w:gridSpan w:val="13"/>
          </w:tcPr>
          <w:p>
            <w:pPr>
              <w:spacing w:after="0"/>
              <w:rPr>
                <w:rFonts w:ascii="Arial" w:cs="Arial" w:eastAsia="Arial" w:hAnsi="Arial"/>
                <w:sz w:val="18"/>
                <w:szCs w:val="18"/>
                <w:color w:val="0000EE"/>
                <w:w w:val="96"/>
              </w:rPr>
            </w:pPr>
            <w:hyperlink r:id="rId855">
              <w:r>
                <w:rPr>
                  <w:rFonts w:ascii="Arial" w:cs="Arial" w:eastAsia="Arial" w:hAnsi="Arial"/>
                  <w:sz w:val="18"/>
                  <w:szCs w:val="18"/>
                  <w:color w:val="0000EE"/>
                  <w:w w:val="96"/>
                </w:rPr>
                <w:t>Form of Option Agreement under the Lucid Group, Inc. 2021 Stock Incentive Plan</w:t>
              </w:r>
            </w:hyperlink>
          </w:p>
        </w:tc>
        <w:tc>
          <w:tcPr>
            <w:tcW w:w="900" w:type="dxa"/>
            <w:vAlign w:val="bottom"/>
            <w:gridSpan w:val="16"/>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r:id="rId855">
              <w:r>
                <w:rPr>
                  <w:rFonts w:ascii="Arial" w:cs="Arial" w:eastAsia="Arial" w:hAnsi="Arial"/>
                  <w:sz w:val="18"/>
                  <w:szCs w:val="18"/>
                  <w:color w:val="0000EE"/>
                  <w:w w:val="95"/>
                </w:rPr>
                <w:t>(incorporated by reference to Exhibit 10.6 to Amendment No. 2 to the Registration Statement)</w:t>
              </w:r>
            </w:hyperlink>
          </w:p>
        </w:tc>
        <w:tc>
          <w:tcPr>
            <w:tcW w:w="40" w:type="dxa"/>
            <w:vAlign w:val="bottom"/>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7160" w:type="dxa"/>
            <w:vAlign w:val="bottom"/>
            <w:tcBorders>
              <w:bottom w:val="single" w:sz="8" w:color="0000EE"/>
            </w:tcBorders>
            <w:gridSpan w:val="29"/>
          </w:tcPr>
          <w:p>
            <w:pPr>
              <w:spacing w:after="0"/>
              <w:rPr>
                <w:rFonts w:ascii="Arial" w:cs="Arial" w:eastAsia="Arial" w:hAnsi="Arial"/>
                <w:sz w:val="18"/>
                <w:szCs w:val="18"/>
                <w:color w:val="0000EE"/>
                <w:w w:val="95"/>
              </w:rPr>
            </w:pPr>
            <w:hyperlink r:id="rId856">
              <w:r>
                <w:rPr>
                  <w:rFonts w:ascii="Arial" w:cs="Arial" w:eastAsia="Arial" w:hAnsi="Arial"/>
                  <w:sz w:val="18"/>
                  <w:szCs w:val="18"/>
                  <w:color w:val="0000EE"/>
                  <w:w w:val="95"/>
                </w:rPr>
                <w:t>Form of RSU Agreement under the Lucid Group, Inc. 2021 Stock Incentive Plan (incorporated</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856">
              <w:r>
                <w:rPr>
                  <w:rFonts w:ascii="Arial" w:cs="Arial" w:eastAsia="Arial" w:hAnsi="Arial"/>
                  <w:sz w:val="18"/>
                  <w:szCs w:val="18"/>
                  <w:color w:val="0000EE"/>
                  <w:w w:val="95"/>
                </w:rPr>
                <w:t>by reference to Exhibit 10.7 to Amendment No. 2 to the Registration Statement)</w:t>
              </w:r>
            </w:hyperlink>
          </w:p>
        </w:tc>
        <w:tc>
          <w:tcPr>
            <w:tcW w:w="1100" w:type="dxa"/>
            <w:vAlign w:val="bottom"/>
            <w:gridSpan w:val="18"/>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0"/>
                <w:szCs w:val="20"/>
                <w:color w:val="auto"/>
              </w:rPr>
            </w:pPr>
          </w:p>
        </w:tc>
        <w:tc>
          <w:tcPr>
            <w:tcW w:w="7160" w:type="dxa"/>
            <w:vAlign w:val="bottom"/>
            <w:gridSpan w:val="29"/>
          </w:tcPr>
          <w:p>
            <w:pPr>
              <w:spacing w:after="0"/>
              <w:rPr>
                <w:rFonts w:ascii="Arial" w:cs="Arial" w:eastAsia="Arial" w:hAnsi="Arial"/>
                <w:sz w:val="18"/>
                <w:szCs w:val="18"/>
                <w:color w:val="0000EE"/>
                <w:w w:val="97"/>
              </w:rPr>
            </w:pPr>
            <w:hyperlink r:id="rId857">
              <w:r>
                <w:rPr>
                  <w:rFonts w:ascii="Arial" w:cs="Arial" w:eastAsia="Arial" w:hAnsi="Arial"/>
                  <w:sz w:val="18"/>
                  <w:szCs w:val="18"/>
                  <w:color w:val="0000EE"/>
                  <w:w w:val="97"/>
                </w:rPr>
                <w:t>Atieva, Inc. 2009 Share Plan (incorporated by reference to Exhibit 10.8 to Amendment No. 2</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857">
              <w:r>
                <w:rPr>
                  <w:rFonts w:ascii="Arial" w:cs="Arial" w:eastAsia="Arial" w:hAnsi="Arial"/>
                  <w:sz w:val="18"/>
                  <w:szCs w:val="18"/>
                  <w:color w:val="0000EE"/>
                  <w:w w:val="93"/>
                </w:rPr>
                <w:t>to the Registration Statement)</w:t>
              </w:r>
            </w:hyperlink>
          </w:p>
        </w:tc>
        <w:tc>
          <w:tcPr>
            <w:tcW w:w="4760" w:type="dxa"/>
            <w:vAlign w:val="bottom"/>
            <w:tcBorders>
              <w:top w:val="single" w:sz="8" w:color="0000EE"/>
            </w:tcBorders>
            <w:gridSpan w:val="23"/>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0"/>
                <w:szCs w:val="20"/>
                <w:color w:val="auto"/>
              </w:rPr>
            </w:pPr>
          </w:p>
        </w:tc>
        <w:tc>
          <w:tcPr>
            <w:tcW w:w="6800" w:type="dxa"/>
            <w:vAlign w:val="bottom"/>
            <w:tcBorders>
              <w:bottom w:val="single" w:sz="8" w:color="0000EE"/>
            </w:tcBorders>
            <w:gridSpan w:val="22"/>
          </w:tcPr>
          <w:p>
            <w:pPr>
              <w:spacing w:after="0"/>
              <w:rPr>
                <w:rFonts w:ascii="Arial" w:cs="Arial" w:eastAsia="Arial" w:hAnsi="Arial"/>
                <w:sz w:val="18"/>
                <w:szCs w:val="18"/>
                <w:color w:val="0000EE"/>
                <w:w w:val="95"/>
              </w:rPr>
            </w:pPr>
            <w:hyperlink r:id="rId858">
              <w:r>
                <w:rPr>
                  <w:rFonts w:ascii="Arial" w:cs="Arial" w:eastAsia="Arial" w:hAnsi="Arial"/>
                  <w:sz w:val="18"/>
                  <w:szCs w:val="18"/>
                  <w:color w:val="0000EE"/>
                  <w:w w:val="95"/>
                </w:rPr>
                <w:t>Form of Amended and Restated Notice of Share Option Grant under the Atieva, Inc. 2009</w:t>
              </w:r>
            </w:hyperlink>
          </w:p>
        </w:tc>
        <w:tc>
          <w:tcPr>
            <w:tcW w:w="360" w:type="dxa"/>
            <w:vAlign w:val="bottom"/>
            <w:gridSpan w:val="7"/>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r:id="rId858">
              <w:r>
                <w:rPr>
                  <w:rFonts w:ascii="Arial" w:cs="Arial" w:eastAsia="Arial" w:hAnsi="Arial"/>
                  <w:sz w:val="18"/>
                  <w:szCs w:val="18"/>
                  <w:color w:val="0000EE"/>
                  <w:w w:val="95"/>
                </w:rPr>
                <w:t>Share Plan (incorporated by reference to Exhibit 10.9 to Amendment No. 2 to the Registration</w:t>
              </w:r>
            </w:hyperlink>
          </w:p>
        </w:tc>
        <w:tc>
          <w:tcPr>
            <w:tcW w:w="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858">
              <w:r>
                <w:rPr>
                  <w:rFonts w:ascii="Arial" w:cs="Arial" w:eastAsia="Arial" w:hAnsi="Arial"/>
                  <w:sz w:val="18"/>
                  <w:szCs w:val="18"/>
                  <w:color w:val="0000EE"/>
                  <w:w w:val="90"/>
                </w:rPr>
                <w:t>Statement)</w:t>
              </w:r>
            </w:hyperlink>
          </w:p>
        </w:tc>
        <w:tc>
          <w:tcPr>
            <w:tcW w:w="6340" w:type="dxa"/>
            <w:vAlign w:val="bottom"/>
            <w:gridSpan w:val="28"/>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0"/>
                <w:szCs w:val="20"/>
                <w:color w:val="auto"/>
              </w:rPr>
            </w:pPr>
          </w:p>
        </w:tc>
        <w:tc>
          <w:tcPr>
            <w:tcW w:w="7160" w:type="dxa"/>
            <w:vAlign w:val="bottom"/>
            <w:gridSpan w:val="29"/>
          </w:tcPr>
          <w:p>
            <w:pPr>
              <w:spacing w:after="0"/>
              <w:rPr>
                <w:rFonts w:ascii="Arial" w:cs="Arial" w:eastAsia="Arial" w:hAnsi="Arial"/>
                <w:sz w:val="18"/>
                <w:szCs w:val="18"/>
                <w:color w:val="0000EE"/>
                <w:w w:val="99"/>
              </w:rPr>
            </w:pPr>
            <w:hyperlink r:id="rId859">
              <w:r>
                <w:rPr>
                  <w:rFonts w:ascii="Arial" w:cs="Arial" w:eastAsia="Arial" w:hAnsi="Arial"/>
                  <w:sz w:val="18"/>
                  <w:szCs w:val="18"/>
                  <w:color w:val="0000EE"/>
                  <w:w w:val="99"/>
                </w:rPr>
                <w:t>Atieva, Inc. 2014 Share Plan, as amended January 11, 2021 (incorporated by reference to</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859">
              <w:r>
                <w:rPr>
                  <w:rFonts w:ascii="Arial" w:cs="Arial" w:eastAsia="Arial" w:hAnsi="Arial"/>
                  <w:sz w:val="18"/>
                  <w:szCs w:val="18"/>
                  <w:color w:val="0000EE"/>
                </w:rPr>
                <w:t>Exhibit 10.10 to Amendment No. 2 to the Registration Statement)</w:t>
              </w:r>
            </w:hyperlink>
          </w:p>
        </w:tc>
        <w:tc>
          <w:tcPr>
            <w:tcW w:w="440" w:type="dxa"/>
            <w:vAlign w:val="bottom"/>
            <w:gridSpan w:val="8"/>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0"/>
                <w:szCs w:val="20"/>
                <w:color w:val="auto"/>
              </w:rPr>
            </w:pPr>
          </w:p>
        </w:tc>
        <w:tc>
          <w:tcPr>
            <w:tcW w:w="6800" w:type="dxa"/>
            <w:vAlign w:val="bottom"/>
            <w:tcBorders>
              <w:bottom w:val="single" w:sz="8" w:color="0000EE"/>
            </w:tcBorders>
            <w:gridSpan w:val="22"/>
          </w:tcPr>
          <w:p>
            <w:pPr>
              <w:spacing w:after="0"/>
              <w:rPr>
                <w:rFonts w:ascii="Arial" w:cs="Arial" w:eastAsia="Arial" w:hAnsi="Arial"/>
                <w:sz w:val="18"/>
                <w:szCs w:val="18"/>
                <w:color w:val="0000EE"/>
                <w:w w:val="95"/>
              </w:rPr>
            </w:pPr>
            <w:hyperlink r:id="rId860">
              <w:r>
                <w:rPr>
                  <w:rFonts w:ascii="Arial" w:cs="Arial" w:eastAsia="Arial" w:hAnsi="Arial"/>
                  <w:sz w:val="18"/>
                  <w:szCs w:val="18"/>
                  <w:color w:val="0000EE"/>
                  <w:w w:val="95"/>
                </w:rPr>
                <w:t>Form of Amended and Restated Notice of Share Option Grant under the Atieva, Inc. 2014</w:t>
              </w:r>
            </w:hyperlink>
          </w:p>
        </w:tc>
        <w:tc>
          <w:tcPr>
            <w:tcW w:w="360" w:type="dxa"/>
            <w:vAlign w:val="bottom"/>
            <w:gridSpan w:val="7"/>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860">
              <w:r>
                <w:rPr>
                  <w:rFonts w:ascii="Arial" w:cs="Arial" w:eastAsia="Arial" w:hAnsi="Arial"/>
                  <w:sz w:val="18"/>
                  <w:szCs w:val="18"/>
                  <w:color w:val="0000EE"/>
                  <w:w w:val="95"/>
                </w:rPr>
                <w:t>Share Plan (incorporated by reference to Exhibit 10.11 to Amendment No. 2 to the</w:t>
              </w:r>
            </w:hyperlink>
          </w:p>
        </w:tc>
        <w:tc>
          <w:tcPr>
            <w:tcW w:w="920" w:type="dxa"/>
            <w:vAlign w:val="bottom"/>
            <w:gridSpan w:val="17"/>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9"/>
          </w:tcPr>
          <w:p>
            <w:pPr>
              <w:spacing w:after="0" w:line="196" w:lineRule="exact"/>
              <w:rPr>
                <w:rFonts w:ascii="Arial" w:cs="Arial" w:eastAsia="Arial" w:hAnsi="Arial"/>
                <w:sz w:val="18"/>
                <w:szCs w:val="18"/>
                <w:color w:val="0000EE"/>
              </w:rPr>
            </w:pPr>
            <w:hyperlink r:id="rId860">
              <w:r>
                <w:rPr>
                  <w:rFonts w:ascii="Arial" w:cs="Arial" w:eastAsia="Arial" w:hAnsi="Arial"/>
                  <w:sz w:val="18"/>
                  <w:szCs w:val="18"/>
                  <w:color w:val="0000EE"/>
                </w:rPr>
                <w:t>Registration Statement)</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0"/>
                <w:szCs w:val="20"/>
                <w:color w:val="auto"/>
              </w:rPr>
            </w:pPr>
          </w:p>
        </w:tc>
        <w:tc>
          <w:tcPr>
            <w:tcW w:w="6640" w:type="dxa"/>
            <w:vAlign w:val="bottom"/>
            <w:tcBorders>
              <w:bottom w:val="single" w:sz="8" w:color="0000EE"/>
            </w:tcBorders>
            <w:gridSpan w:val="17"/>
          </w:tcPr>
          <w:p>
            <w:pPr>
              <w:spacing w:after="0"/>
              <w:rPr>
                <w:rFonts w:ascii="Arial" w:cs="Arial" w:eastAsia="Arial" w:hAnsi="Arial"/>
                <w:sz w:val="18"/>
                <w:szCs w:val="18"/>
                <w:color w:val="0000EE"/>
                <w:w w:val="94"/>
              </w:rPr>
            </w:pPr>
            <w:hyperlink r:id="rId861">
              <w:r>
                <w:rPr>
                  <w:rFonts w:ascii="Arial" w:cs="Arial" w:eastAsia="Arial" w:hAnsi="Arial"/>
                  <w:sz w:val="18"/>
                  <w:szCs w:val="18"/>
                  <w:color w:val="0000EE"/>
                  <w:w w:val="94"/>
                </w:rPr>
                <w:t>Atieva, Inc. 2021 Stock Incentive Plan, as amended February 22, 2021 (incorporated by</w:t>
              </w:r>
            </w:hyperlink>
          </w:p>
        </w:tc>
        <w:tc>
          <w:tcPr>
            <w:tcW w:w="520" w:type="dxa"/>
            <w:vAlign w:val="bottom"/>
            <w:gridSpan w:val="12"/>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861">
              <w:r>
                <w:rPr>
                  <w:rFonts w:ascii="Arial" w:cs="Arial" w:eastAsia="Arial" w:hAnsi="Arial"/>
                  <w:sz w:val="18"/>
                  <w:szCs w:val="18"/>
                  <w:color w:val="0000EE"/>
                  <w:w w:val="95"/>
                </w:rPr>
                <w:t>reference to Exhibit 10.12 to Amendment No. 2 to the Registration Statement)</w:t>
              </w:r>
            </w:hyperlink>
          </w:p>
        </w:tc>
        <w:tc>
          <w:tcPr>
            <w:tcW w:w="1240" w:type="dxa"/>
            <w:vAlign w:val="bottom"/>
            <w:gridSpan w:val="19"/>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0"/>
                <w:szCs w:val="20"/>
                <w:color w:val="auto"/>
              </w:rPr>
            </w:pPr>
          </w:p>
        </w:tc>
        <w:tc>
          <w:tcPr>
            <w:tcW w:w="6260" w:type="dxa"/>
            <w:vAlign w:val="bottom"/>
            <w:tcBorders>
              <w:bottom w:val="single" w:sz="8" w:color="0000EE"/>
            </w:tcBorders>
            <w:gridSpan w:val="13"/>
          </w:tcPr>
          <w:p>
            <w:pPr>
              <w:spacing w:after="0"/>
              <w:rPr>
                <w:rFonts w:ascii="Arial" w:cs="Arial" w:eastAsia="Arial" w:hAnsi="Arial"/>
                <w:sz w:val="18"/>
                <w:szCs w:val="18"/>
                <w:color w:val="0000EE"/>
                <w:w w:val="95"/>
              </w:rPr>
            </w:pPr>
            <w:hyperlink r:id="rId862">
              <w:r>
                <w:rPr>
                  <w:rFonts w:ascii="Arial" w:cs="Arial" w:eastAsia="Arial" w:hAnsi="Arial"/>
                  <w:sz w:val="18"/>
                  <w:szCs w:val="18"/>
                  <w:color w:val="0000EE"/>
                  <w:w w:val="95"/>
                </w:rPr>
                <w:t>Form of Stock Option Agreement under the Atieva, Inc. 2021 Stock Incentive Plan</w:t>
              </w:r>
            </w:hyperlink>
          </w:p>
        </w:tc>
        <w:tc>
          <w:tcPr>
            <w:tcW w:w="900" w:type="dxa"/>
            <w:vAlign w:val="bottom"/>
            <w:gridSpan w:val="16"/>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6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862">
              <w:r>
                <w:rPr>
                  <w:rFonts w:ascii="Arial" w:cs="Arial" w:eastAsia="Arial" w:hAnsi="Arial"/>
                  <w:sz w:val="18"/>
                  <w:szCs w:val="18"/>
                  <w:color w:val="0000EE"/>
                  <w:w w:val="95"/>
                </w:rPr>
                <w:t>(incorporated by reference to Exhibit 10.13 to Amendment No. 2 to the Registration</w:t>
              </w:r>
            </w:hyperlink>
          </w:p>
        </w:tc>
        <w:tc>
          <w:tcPr>
            <w:tcW w:w="800" w:type="dxa"/>
            <w:vAlign w:val="bottom"/>
            <w:gridSpan w:val="1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862">
              <w:r>
                <w:rPr>
                  <w:rFonts w:ascii="Arial" w:cs="Arial" w:eastAsia="Arial" w:hAnsi="Arial"/>
                  <w:sz w:val="18"/>
                  <w:szCs w:val="18"/>
                  <w:color w:val="0000EE"/>
                  <w:w w:val="90"/>
                </w:rPr>
                <w:t>Statement)</w:t>
              </w:r>
            </w:hyperlink>
          </w:p>
        </w:tc>
        <w:tc>
          <w:tcPr>
            <w:tcW w:w="6340" w:type="dxa"/>
            <w:vAlign w:val="bottom"/>
            <w:gridSpan w:val="28"/>
          </w:tcPr>
          <w:p>
            <w:pPr>
              <w:spacing w:after="0"/>
              <w:rPr>
                <w:sz w:val="17"/>
                <w:szCs w:val="17"/>
                <w:color w:val="auto"/>
              </w:rPr>
            </w:pPr>
          </w:p>
        </w:tc>
      </w:tr>
      <w:tr>
        <w:trPr>
          <w:trHeight w:val="236"/>
        </w:trPr>
        <w:tc>
          <w:tcPr>
            <w:tcW w:w="820" w:type="dxa"/>
            <w:vAlign w:val="bottom"/>
          </w:tcPr>
          <w:p>
            <w:pPr>
              <w:ind w:left="100"/>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0"/>
                <w:szCs w:val="20"/>
                <w:color w:val="auto"/>
              </w:rPr>
            </w:pPr>
          </w:p>
        </w:tc>
        <w:tc>
          <w:tcPr>
            <w:tcW w:w="7160" w:type="dxa"/>
            <w:vAlign w:val="bottom"/>
            <w:gridSpan w:val="29"/>
          </w:tcPr>
          <w:p>
            <w:pPr>
              <w:spacing w:after="0"/>
              <w:rPr>
                <w:rFonts w:ascii="Arial" w:cs="Arial" w:eastAsia="Arial" w:hAnsi="Arial"/>
                <w:sz w:val="18"/>
                <w:szCs w:val="18"/>
                <w:color w:val="0000EE"/>
              </w:rPr>
            </w:pPr>
            <w:hyperlink r:id="rId863">
              <w:r>
                <w:rPr>
                  <w:rFonts w:ascii="Arial" w:cs="Arial" w:eastAsia="Arial" w:hAnsi="Arial"/>
                  <w:sz w:val="18"/>
                  <w:szCs w:val="18"/>
                  <w:color w:val="0000EE"/>
                </w:rPr>
                <w:t>Form of RSU Agreement under the Atieva, Inc. 2021 Stock Incentive Plan (for Rule 144</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920" w:type="dxa"/>
            <w:vAlign w:val="bottom"/>
            <w:gridSpan w:val="1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9"/>
          </w:tcPr>
          <w:p>
            <w:pPr>
              <w:spacing w:after="0" w:line="196" w:lineRule="exact"/>
              <w:rPr>
                <w:rFonts w:ascii="Arial" w:cs="Arial" w:eastAsia="Arial" w:hAnsi="Arial"/>
                <w:sz w:val="18"/>
                <w:szCs w:val="18"/>
                <w:color w:val="0000EE"/>
                <w:w w:val="96"/>
              </w:rPr>
            </w:pPr>
            <w:hyperlink r:id="rId863">
              <w:r>
                <w:rPr>
                  <w:rFonts w:ascii="Arial" w:cs="Arial" w:eastAsia="Arial" w:hAnsi="Arial"/>
                  <w:sz w:val="18"/>
                  <w:szCs w:val="18"/>
                  <w:color w:val="0000EE"/>
                  <w:w w:val="96"/>
                </w:rPr>
                <w:t>affiliates) (incorporated by reference to Exhibit 10.14 to Amendment No. 2 to the Registration</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63">
              <w:r>
                <w:rPr>
                  <w:rFonts w:ascii="Arial" w:cs="Arial" w:eastAsia="Arial" w:hAnsi="Arial"/>
                  <w:sz w:val="18"/>
                  <w:szCs w:val="18"/>
                  <w:color w:val="0000EE"/>
                  <w:w w:val="90"/>
                </w:rPr>
                <w:t>Statement)</w:t>
              </w:r>
            </w:hyperlink>
          </w:p>
        </w:tc>
        <w:tc>
          <w:tcPr>
            <w:tcW w:w="6300" w:type="dxa"/>
            <w:vAlign w:val="bottom"/>
            <w:tcBorders>
              <w:top w:val="single" w:sz="8" w:color="0000EE"/>
            </w:tcBorders>
            <w:gridSpan w:val="27"/>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820" w:type="dxa"/>
            <w:vAlign w:val="bottom"/>
          </w:tcPr>
          <w:p>
            <w:pPr>
              <w:ind w:left="100"/>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0"/>
                <w:szCs w:val="20"/>
                <w:color w:val="auto"/>
              </w:rPr>
            </w:pPr>
          </w:p>
        </w:tc>
        <w:tc>
          <w:tcPr>
            <w:tcW w:w="6920" w:type="dxa"/>
            <w:vAlign w:val="bottom"/>
            <w:tcBorders>
              <w:bottom w:val="single" w:sz="8" w:color="0000EE"/>
            </w:tcBorders>
            <w:gridSpan w:val="24"/>
          </w:tcPr>
          <w:p>
            <w:pPr>
              <w:spacing w:after="0"/>
              <w:rPr>
                <w:rFonts w:ascii="Arial" w:cs="Arial" w:eastAsia="Arial" w:hAnsi="Arial"/>
                <w:sz w:val="18"/>
                <w:szCs w:val="18"/>
                <w:color w:val="0000EE"/>
                <w:w w:val="95"/>
              </w:rPr>
            </w:pPr>
            <w:hyperlink r:id="rId864">
              <w:r>
                <w:rPr>
                  <w:rFonts w:ascii="Arial" w:cs="Arial" w:eastAsia="Arial" w:hAnsi="Arial"/>
                  <w:sz w:val="18"/>
                  <w:szCs w:val="18"/>
                  <w:color w:val="0000EE"/>
                  <w:w w:val="95"/>
                </w:rPr>
                <w:t>Form of RSU Agreement under the Atieva, Inc. 2021 Stock Incentive Plan (incorporated by</w:t>
              </w:r>
            </w:hyperlink>
          </w:p>
        </w:tc>
        <w:tc>
          <w:tcPr>
            <w:tcW w:w="240" w:type="dxa"/>
            <w:vAlign w:val="bottom"/>
            <w:gridSpan w:val="5"/>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864">
              <w:r>
                <w:rPr>
                  <w:rFonts w:ascii="Arial" w:cs="Arial" w:eastAsia="Arial" w:hAnsi="Arial"/>
                  <w:sz w:val="18"/>
                  <w:szCs w:val="18"/>
                  <w:color w:val="0000EE"/>
                  <w:w w:val="95"/>
                </w:rPr>
                <w:t>reference to Exhibit 10.15 to Amendment No. 2 to the Registration Statement)</w:t>
              </w:r>
            </w:hyperlink>
          </w:p>
        </w:tc>
        <w:tc>
          <w:tcPr>
            <w:tcW w:w="1240" w:type="dxa"/>
            <w:vAlign w:val="bottom"/>
            <w:gridSpan w:val="19"/>
          </w:tcPr>
          <w:p>
            <w:pPr>
              <w:spacing w:after="0"/>
              <w:rPr>
                <w:sz w:val="17"/>
                <w:szCs w:val="17"/>
                <w:color w:val="auto"/>
              </w:rPr>
            </w:pPr>
          </w:p>
        </w:tc>
      </w:tr>
      <w:tr>
        <w:trPr>
          <w:trHeight w:val="236"/>
        </w:trPr>
        <w:tc>
          <w:tcPr>
            <w:tcW w:w="820" w:type="dxa"/>
            <w:vAlign w:val="bottom"/>
          </w:tcPr>
          <w:p>
            <w:pPr>
              <w:ind w:left="10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0"/>
                <w:szCs w:val="20"/>
                <w:color w:val="auto"/>
              </w:rPr>
            </w:pPr>
          </w:p>
        </w:tc>
        <w:tc>
          <w:tcPr>
            <w:tcW w:w="7160" w:type="dxa"/>
            <w:vAlign w:val="bottom"/>
            <w:gridSpan w:val="29"/>
          </w:tcPr>
          <w:p>
            <w:pPr>
              <w:spacing w:after="0"/>
              <w:rPr>
                <w:rFonts w:ascii="Arial" w:cs="Arial" w:eastAsia="Arial" w:hAnsi="Arial"/>
                <w:sz w:val="18"/>
                <w:szCs w:val="18"/>
                <w:color w:val="0000EE"/>
              </w:rPr>
            </w:pPr>
            <w:hyperlink r:id="rId865">
              <w:r>
                <w:rPr>
                  <w:rFonts w:ascii="Arial" w:cs="Arial" w:eastAsia="Arial" w:hAnsi="Arial"/>
                  <w:sz w:val="18"/>
                  <w:szCs w:val="18"/>
                  <w:color w:val="0000EE"/>
                </w:rPr>
                <w:t>Atieva USA, Inc. Severance Benefit Plan (incorporated by reference to Exhibit 10.16 to</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r:id="rId865">
              <w:r>
                <w:rPr>
                  <w:rFonts w:ascii="Arial" w:cs="Arial" w:eastAsia="Arial" w:hAnsi="Arial"/>
                  <w:sz w:val="18"/>
                  <w:szCs w:val="18"/>
                  <w:color w:val="0000EE"/>
                  <w:w w:val="94"/>
                </w:rPr>
                <w:t>Amendment No. 2 to the Registration Statement)</w:t>
              </w:r>
            </w:hyperlink>
          </w:p>
        </w:tc>
        <w:tc>
          <w:tcPr>
            <w:tcW w:w="2920" w:type="dxa"/>
            <w:vAlign w:val="bottom"/>
            <w:tcBorders>
              <w:top w:val="single" w:sz="8" w:color="0000EE"/>
            </w:tcBorders>
            <w:gridSpan w:val="12"/>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236"/>
        </w:trPr>
        <w:tc>
          <w:tcPr>
            <w:tcW w:w="820" w:type="dxa"/>
            <w:vAlign w:val="bottom"/>
          </w:tcPr>
          <w:p>
            <w:pPr>
              <w:ind w:left="100"/>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0"/>
                <w:szCs w:val="20"/>
                <w:color w:val="auto"/>
              </w:rPr>
            </w:pPr>
          </w:p>
        </w:tc>
        <w:tc>
          <w:tcPr>
            <w:tcW w:w="6820" w:type="dxa"/>
            <w:vAlign w:val="bottom"/>
            <w:tcBorders>
              <w:bottom w:val="single" w:sz="8" w:color="0000EE"/>
            </w:tcBorders>
            <w:gridSpan w:val="23"/>
          </w:tcPr>
          <w:p>
            <w:pPr>
              <w:spacing w:after="0"/>
              <w:rPr>
                <w:rFonts w:ascii="Arial" w:cs="Arial" w:eastAsia="Arial" w:hAnsi="Arial"/>
                <w:sz w:val="18"/>
                <w:szCs w:val="18"/>
                <w:color w:val="0000EE"/>
                <w:w w:val="95"/>
              </w:rPr>
            </w:pPr>
            <w:hyperlink r:id="rId866">
              <w:r>
                <w:rPr>
                  <w:rFonts w:ascii="Arial" w:cs="Arial" w:eastAsia="Arial" w:hAnsi="Arial"/>
                  <w:sz w:val="18"/>
                  <w:szCs w:val="18"/>
                  <w:color w:val="0000EE"/>
                  <w:w w:val="95"/>
                </w:rPr>
                <w:t>Offer letter with Michael Smuts, dated as of January 2, 2020 (incorporated by reference to</w:t>
              </w:r>
            </w:hyperlink>
          </w:p>
        </w:tc>
        <w:tc>
          <w:tcPr>
            <w:tcW w:w="340" w:type="dxa"/>
            <w:vAlign w:val="bottom"/>
            <w:gridSpan w:val="6"/>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9"/>
          </w:tcPr>
          <w:p>
            <w:pPr>
              <w:spacing w:after="0" w:line="196" w:lineRule="exact"/>
              <w:rPr>
                <w:rFonts w:ascii="Arial" w:cs="Arial" w:eastAsia="Arial" w:hAnsi="Arial"/>
                <w:sz w:val="18"/>
                <w:szCs w:val="18"/>
                <w:color w:val="0000EE"/>
              </w:rPr>
            </w:pPr>
            <w:hyperlink r:id="rId866">
              <w:r>
                <w:rPr>
                  <w:rFonts w:ascii="Arial" w:cs="Arial" w:eastAsia="Arial" w:hAnsi="Arial"/>
                  <w:sz w:val="18"/>
                  <w:szCs w:val="18"/>
                  <w:color w:val="0000EE"/>
                </w:rPr>
                <w:t>Exhibit 10.17 to Amendment No. 2 to the Registration Statement)</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01" w:name="page302"/>
    <w:bookmarkEnd w:id="30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40" w:type="dxa"/>
            <w:vAlign w:val="bottom"/>
            <w:gridSpan w:val="16"/>
          </w:tcPr>
          <w:p>
            <w:pPr>
              <w:ind w:left="5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6"/>
        </w:trPr>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10.19</w:t>
            </w:r>
          </w:p>
        </w:tc>
        <w:tc>
          <w:tcPr>
            <w:tcW w:w="220" w:type="dxa"/>
            <w:vAlign w:val="bottom"/>
          </w:tcPr>
          <w:p>
            <w:pPr>
              <w:spacing w:after="0"/>
              <w:rPr>
                <w:sz w:val="17"/>
                <w:szCs w:val="17"/>
                <w:color w:val="auto"/>
              </w:rPr>
            </w:pPr>
          </w:p>
        </w:tc>
        <w:tc>
          <w:tcPr>
            <w:tcW w:w="68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868">
              <w:r>
                <w:rPr>
                  <w:rFonts w:ascii="Arial" w:cs="Arial" w:eastAsia="Arial" w:hAnsi="Arial"/>
                  <w:sz w:val="18"/>
                  <w:szCs w:val="18"/>
                  <w:color w:val="0000EE"/>
                  <w:w w:val="94"/>
                </w:rPr>
                <w:t>Lease and Option to Purchase between Pinal County, as landlord, and Atieva USA, Inc., as</w:t>
              </w:r>
            </w:hyperlink>
          </w:p>
        </w:tc>
        <w:tc>
          <w:tcPr>
            <w:tcW w:w="300" w:type="dxa"/>
            <w:vAlign w:val="bottom"/>
            <w:gridSpan w:val="3"/>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8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868">
              <w:r>
                <w:rPr>
                  <w:rFonts w:ascii="Arial" w:cs="Arial" w:eastAsia="Arial" w:hAnsi="Arial"/>
                  <w:sz w:val="18"/>
                  <w:szCs w:val="18"/>
                  <w:color w:val="0000EE"/>
                  <w:w w:val="94"/>
                </w:rPr>
                <w:t>tenant, dated December 20, 2018 (incorporated by reference to Exhibit 10.18 to Amendment</w:t>
              </w:r>
            </w:hyperlink>
          </w:p>
        </w:tc>
        <w:tc>
          <w:tcPr>
            <w:tcW w:w="180" w:type="dxa"/>
            <w:vAlign w:val="bottom"/>
            <w:gridSpan w:val="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3"/>
          </w:tcPr>
          <w:p>
            <w:pPr>
              <w:spacing w:after="0" w:line="196" w:lineRule="exact"/>
              <w:rPr>
                <w:rFonts w:ascii="Arial" w:cs="Arial" w:eastAsia="Arial" w:hAnsi="Arial"/>
                <w:sz w:val="18"/>
                <w:szCs w:val="18"/>
                <w:color w:val="0000EE"/>
              </w:rPr>
            </w:pPr>
            <w:hyperlink r:id="rId868">
              <w:r>
                <w:rPr>
                  <w:rFonts w:ascii="Arial" w:cs="Arial" w:eastAsia="Arial" w:hAnsi="Arial"/>
                  <w:sz w:val="18"/>
                  <w:szCs w:val="18"/>
                  <w:color w:val="0000EE"/>
                </w:rPr>
                <w:t>No. 2 to the Registration Statement)</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0"/>
                <w:szCs w:val="20"/>
                <w:color w:val="auto"/>
              </w:rPr>
            </w:pPr>
          </w:p>
        </w:tc>
        <w:tc>
          <w:tcPr>
            <w:tcW w:w="6860" w:type="dxa"/>
            <w:vAlign w:val="bottom"/>
            <w:tcBorders>
              <w:bottom w:val="single" w:sz="8" w:color="0000EE"/>
            </w:tcBorders>
            <w:gridSpan w:val="20"/>
          </w:tcPr>
          <w:p>
            <w:pPr>
              <w:spacing w:after="0"/>
              <w:rPr>
                <w:rFonts w:ascii="Arial" w:cs="Arial" w:eastAsia="Arial" w:hAnsi="Arial"/>
                <w:sz w:val="18"/>
                <w:szCs w:val="18"/>
                <w:color w:val="0000EE"/>
                <w:w w:val="94"/>
              </w:rPr>
            </w:pPr>
            <w:hyperlink r:id="rId869">
              <w:r>
                <w:rPr>
                  <w:rFonts w:ascii="Arial" w:cs="Arial" w:eastAsia="Arial" w:hAnsi="Arial"/>
                  <w:sz w:val="18"/>
                  <w:szCs w:val="18"/>
                  <w:color w:val="0000EE"/>
                  <w:w w:val="94"/>
                </w:rPr>
                <w:t>Lease by and between CADC Partners, LLC and Atieva USA, Inc., dated January 17, 2020</w:t>
              </w:r>
            </w:hyperlink>
          </w:p>
        </w:tc>
        <w:tc>
          <w:tcPr>
            <w:tcW w:w="300" w:type="dxa"/>
            <w:vAlign w:val="bottom"/>
            <w:gridSpan w:val="3"/>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6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869">
              <w:r>
                <w:rPr>
                  <w:rFonts w:ascii="Arial" w:cs="Arial" w:eastAsia="Arial" w:hAnsi="Arial"/>
                  <w:sz w:val="18"/>
                  <w:szCs w:val="18"/>
                  <w:color w:val="0000EE"/>
                  <w:w w:val="95"/>
                </w:rPr>
                <w:t>(incorporated by reference to Exhibit 10.19 to Amendment No. 2 to the Registration</w:t>
              </w:r>
            </w:hyperlink>
          </w:p>
        </w:tc>
        <w:tc>
          <w:tcPr>
            <w:tcW w:w="800" w:type="dxa"/>
            <w:vAlign w:val="bottom"/>
            <w:gridSpan w:val="9"/>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869">
              <w:r>
                <w:rPr>
                  <w:rFonts w:ascii="Arial" w:cs="Arial" w:eastAsia="Arial" w:hAnsi="Arial"/>
                  <w:sz w:val="18"/>
                  <w:szCs w:val="18"/>
                  <w:color w:val="0000EE"/>
                  <w:w w:val="90"/>
                </w:rPr>
                <w:t>Statement)</w:t>
              </w:r>
            </w:hyperlink>
          </w:p>
        </w:tc>
        <w:tc>
          <w:tcPr>
            <w:tcW w:w="6340" w:type="dxa"/>
            <w:vAlign w:val="bottom"/>
            <w:gridSpan w:val="22"/>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0"/>
                <w:szCs w:val="20"/>
                <w:color w:val="auto"/>
              </w:rPr>
            </w:pPr>
          </w:p>
        </w:tc>
        <w:tc>
          <w:tcPr>
            <w:tcW w:w="6260" w:type="dxa"/>
            <w:vAlign w:val="bottom"/>
            <w:tcBorders>
              <w:bottom w:val="single" w:sz="8" w:color="0000EE"/>
            </w:tcBorders>
            <w:gridSpan w:val="13"/>
          </w:tcPr>
          <w:p>
            <w:pPr>
              <w:spacing w:after="0"/>
              <w:rPr>
                <w:rFonts w:ascii="Arial" w:cs="Arial" w:eastAsia="Arial" w:hAnsi="Arial"/>
                <w:sz w:val="18"/>
                <w:szCs w:val="18"/>
                <w:color w:val="0000EE"/>
                <w:w w:val="96"/>
              </w:rPr>
            </w:pPr>
            <w:hyperlink r:id="rId870">
              <w:r>
                <w:rPr>
                  <w:rFonts w:ascii="Arial" w:cs="Arial" w:eastAsia="Arial" w:hAnsi="Arial"/>
                  <w:sz w:val="18"/>
                  <w:szCs w:val="18"/>
                  <w:color w:val="0000EE"/>
                  <w:w w:val="96"/>
                </w:rPr>
                <w:t>Form of Indemnification Agreement (incorporated by reference to Exhibit 10.22 to</w:t>
              </w:r>
            </w:hyperlink>
          </w:p>
        </w:tc>
        <w:tc>
          <w:tcPr>
            <w:tcW w:w="900" w:type="dxa"/>
            <w:vAlign w:val="bottom"/>
            <w:gridSpan w:val="10"/>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870">
              <w:r>
                <w:rPr>
                  <w:rFonts w:ascii="Arial" w:cs="Arial" w:eastAsia="Arial" w:hAnsi="Arial"/>
                  <w:sz w:val="18"/>
                  <w:szCs w:val="18"/>
                  <w:color w:val="0000EE"/>
                  <w:w w:val="94"/>
                </w:rPr>
                <w:t>Amendment No. 2 to the Registration Statement)</w:t>
              </w:r>
            </w:hyperlink>
          </w:p>
        </w:tc>
        <w:tc>
          <w:tcPr>
            <w:tcW w:w="3460" w:type="dxa"/>
            <w:vAlign w:val="bottom"/>
            <w:gridSpan w:val="15"/>
          </w:tcPr>
          <w:p>
            <w:pPr>
              <w:spacing w:after="0"/>
              <w:rPr>
                <w:sz w:val="17"/>
                <w:szCs w:val="17"/>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0"/>
                <w:szCs w:val="20"/>
                <w:color w:val="auto"/>
              </w:rPr>
            </w:pPr>
          </w:p>
        </w:tc>
        <w:tc>
          <w:tcPr>
            <w:tcW w:w="6800" w:type="dxa"/>
            <w:vAlign w:val="bottom"/>
            <w:tcBorders>
              <w:bottom w:val="single" w:sz="8" w:color="0000EE"/>
            </w:tcBorders>
            <w:gridSpan w:val="19"/>
          </w:tcPr>
          <w:p>
            <w:pPr>
              <w:spacing w:after="0"/>
              <w:rPr>
                <w:rFonts w:ascii="Arial" w:cs="Arial" w:eastAsia="Arial" w:hAnsi="Arial"/>
                <w:sz w:val="18"/>
                <w:szCs w:val="18"/>
                <w:color w:val="0000EE"/>
                <w:w w:val="94"/>
              </w:rPr>
            </w:pPr>
            <w:hyperlink r:id="rId871">
              <w:r>
                <w:rPr>
                  <w:rFonts w:ascii="Arial" w:cs="Arial" w:eastAsia="Arial" w:hAnsi="Arial"/>
                  <w:sz w:val="18"/>
                  <w:szCs w:val="18"/>
                  <w:color w:val="0000EE"/>
                  <w:w w:val="94"/>
                </w:rPr>
                <w:t>Transaction Bonus Letter Agreement, dated March 29, 2021 (incorporated by reference to</w:t>
              </w:r>
            </w:hyperlink>
          </w:p>
        </w:tc>
        <w:tc>
          <w:tcPr>
            <w:tcW w:w="360" w:type="dxa"/>
            <w:vAlign w:val="bottom"/>
            <w:gridSpan w:val="4"/>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3"/>
          </w:tcPr>
          <w:p>
            <w:pPr>
              <w:spacing w:after="0" w:line="196" w:lineRule="exact"/>
              <w:rPr>
                <w:rFonts w:ascii="Arial" w:cs="Arial" w:eastAsia="Arial" w:hAnsi="Arial"/>
                <w:sz w:val="18"/>
                <w:szCs w:val="18"/>
                <w:color w:val="0000EE"/>
              </w:rPr>
            </w:pPr>
            <w:hyperlink r:id="rId871">
              <w:r>
                <w:rPr>
                  <w:rFonts w:ascii="Arial" w:cs="Arial" w:eastAsia="Arial" w:hAnsi="Arial"/>
                  <w:sz w:val="18"/>
                  <w:szCs w:val="18"/>
                  <w:color w:val="0000EE"/>
                </w:rPr>
                <w:t>Exhibit 10.23 to Amendment No. 2 to the Registration Statement)</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0"/>
                <w:szCs w:val="20"/>
                <w:color w:val="auto"/>
              </w:rPr>
            </w:pPr>
          </w:p>
        </w:tc>
        <w:tc>
          <w:tcPr>
            <w:tcW w:w="6860" w:type="dxa"/>
            <w:vAlign w:val="bottom"/>
            <w:tcBorders>
              <w:bottom w:val="single" w:sz="8" w:color="0000EE"/>
            </w:tcBorders>
            <w:gridSpan w:val="20"/>
          </w:tcPr>
          <w:p>
            <w:pPr>
              <w:spacing w:after="0"/>
              <w:rPr>
                <w:rFonts w:ascii="Arial" w:cs="Arial" w:eastAsia="Arial" w:hAnsi="Arial"/>
                <w:sz w:val="18"/>
                <w:szCs w:val="18"/>
                <w:color w:val="0000EE"/>
                <w:w w:val="95"/>
              </w:rPr>
            </w:pPr>
            <w:hyperlink r:id="rId872">
              <w:r>
                <w:rPr>
                  <w:rFonts w:ascii="Arial" w:cs="Arial" w:eastAsia="Arial" w:hAnsi="Arial"/>
                  <w:sz w:val="18"/>
                  <w:szCs w:val="18"/>
                  <w:color w:val="0000EE"/>
                  <w:w w:val="95"/>
                </w:rPr>
                <w:t>Notice of Restricted Stock Unit Grant, dated March 27, 2021 (incorporated by reference to</w:t>
              </w:r>
            </w:hyperlink>
          </w:p>
        </w:tc>
        <w:tc>
          <w:tcPr>
            <w:tcW w:w="300" w:type="dxa"/>
            <w:vAlign w:val="bottom"/>
            <w:gridSpan w:val="3"/>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3"/>
          </w:tcPr>
          <w:p>
            <w:pPr>
              <w:spacing w:after="0" w:line="196" w:lineRule="exact"/>
              <w:rPr>
                <w:rFonts w:ascii="Arial" w:cs="Arial" w:eastAsia="Arial" w:hAnsi="Arial"/>
                <w:sz w:val="18"/>
                <w:szCs w:val="18"/>
                <w:color w:val="0000EE"/>
              </w:rPr>
            </w:pPr>
            <w:hyperlink r:id="rId872">
              <w:r>
                <w:rPr>
                  <w:rFonts w:ascii="Arial" w:cs="Arial" w:eastAsia="Arial" w:hAnsi="Arial"/>
                  <w:sz w:val="18"/>
                  <w:szCs w:val="18"/>
                  <w:color w:val="0000EE"/>
                </w:rPr>
                <w:t>Exhibit 10.24 to Amendment No. 2 to the Registration Statement)</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20" w:type="dxa"/>
            <w:vAlign w:val="bottom"/>
          </w:tcPr>
          <w:p>
            <w:pPr>
              <w:ind w:left="10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1"/>
                <w:szCs w:val="21"/>
                <w:color w:val="auto"/>
              </w:rPr>
            </w:pPr>
          </w:p>
        </w:tc>
        <w:tc>
          <w:tcPr>
            <w:tcW w:w="6720" w:type="dxa"/>
            <w:vAlign w:val="bottom"/>
            <w:tcBorders>
              <w:bottom w:val="single" w:sz="8" w:color="0000EE"/>
            </w:tcBorders>
            <w:gridSpan w:val="17"/>
          </w:tcPr>
          <w:p>
            <w:pPr>
              <w:spacing w:after="0"/>
              <w:rPr>
                <w:rFonts w:ascii="Arial" w:cs="Arial" w:eastAsia="Arial" w:hAnsi="Arial"/>
                <w:sz w:val="18"/>
                <w:szCs w:val="18"/>
                <w:color w:val="0000EE"/>
                <w:w w:val="96"/>
              </w:rPr>
            </w:pPr>
            <w:hyperlink r:id="rId873">
              <w:r>
                <w:rPr>
                  <w:rFonts w:ascii="Arial" w:cs="Arial" w:eastAsia="Arial" w:hAnsi="Arial"/>
                  <w:sz w:val="18"/>
                  <w:szCs w:val="18"/>
                  <w:color w:val="0000EE"/>
                  <w:w w:val="96"/>
                </w:rPr>
                <w:t>Offer of Employment to Sherry House, dated April 1, 2021 (incorporated by reference to</w:t>
              </w:r>
            </w:hyperlink>
          </w:p>
        </w:tc>
        <w:tc>
          <w:tcPr>
            <w:tcW w:w="440" w:type="dxa"/>
            <w:vAlign w:val="bottom"/>
            <w:gridSpan w:val="6"/>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gridSpan w:val="23"/>
          </w:tcPr>
          <w:p>
            <w:pPr>
              <w:spacing w:after="0" w:line="196" w:lineRule="exact"/>
              <w:rPr>
                <w:rFonts w:ascii="Arial" w:cs="Arial" w:eastAsia="Arial" w:hAnsi="Arial"/>
                <w:sz w:val="18"/>
                <w:szCs w:val="18"/>
                <w:color w:val="0000EE"/>
              </w:rPr>
            </w:pPr>
            <w:hyperlink r:id="rId873">
              <w:r>
                <w:rPr>
                  <w:rFonts w:ascii="Arial" w:cs="Arial" w:eastAsia="Arial" w:hAnsi="Arial"/>
                  <w:sz w:val="18"/>
                  <w:szCs w:val="18"/>
                  <w:color w:val="0000EE"/>
                </w:rPr>
                <w:t>Exhibit 10.25 to Amendment No. 2 to the Registration Statement)</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20" w:type="dxa"/>
            <w:vAlign w:val="bottom"/>
          </w:tcPr>
          <w:p>
            <w:pPr>
              <w:ind w:left="100"/>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1"/>
                <w:szCs w:val="21"/>
                <w:color w:val="auto"/>
              </w:rPr>
            </w:pPr>
          </w:p>
        </w:tc>
        <w:tc>
          <w:tcPr>
            <w:tcW w:w="7020" w:type="dxa"/>
            <w:vAlign w:val="bottom"/>
            <w:tcBorders>
              <w:bottom w:val="single" w:sz="8" w:color="0000EE"/>
            </w:tcBorders>
            <w:gridSpan w:val="22"/>
          </w:tcPr>
          <w:p>
            <w:pPr>
              <w:spacing w:after="0"/>
              <w:rPr>
                <w:rFonts w:ascii="Arial" w:cs="Arial" w:eastAsia="Arial" w:hAnsi="Arial"/>
                <w:sz w:val="18"/>
                <w:szCs w:val="18"/>
                <w:color w:val="0000EE"/>
                <w:w w:val="95"/>
              </w:rPr>
            </w:pPr>
            <w:hyperlink r:id="rId874">
              <w:r>
                <w:rPr>
                  <w:rFonts w:ascii="Arial" w:cs="Arial" w:eastAsia="Arial" w:hAnsi="Arial"/>
                  <w:sz w:val="18"/>
                  <w:szCs w:val="18"/>
                  <w:color w:val="0000EE"/>
                  <w:w w:val="95"/>
                </w:rPr>
                <w:t>Lucid Group, Inc. 2021 Performance Bonus Plan (incorporated by reference to Exhibit 10.25</w:t>
              </w:r>
            </w:hyperlink>
          </w:p>
        </w:tc>
        <w:tc>
          <w:tcPr>
            <w:tcW w:w="140" w:type="dxa"/>
            <w:vAlign w:val="bottom"/>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874">
              <w:r>
                <w:rPr>
                  <w:rFonts w:ascii="Arial" w:cs="Arial" w:eastAsia="Arial" w:hAnsi="Arial"/>
                  <w:sz w:val="18"/>
                  <w:szCs w:val="18"/>
                  <w:color w:val="0000EE"/>
                  <w:w w:val="94"/>
                </w:rPr>
                <w:t>to the Super 8-K)</w:t>
              </w:r>
            </w:hyperlink>
          </w:p>
        </w:tc>
        <w:tc>
          <w:tcPr>
            <w:tcW w:w="5840" w:type="dxa"/>
            <w:vAlign w:val="bottom"/>
            <w:gridSpan w:val="20"/>
          </w:tcPr>
          <w:p>
            <w:pPr>
              <w:spacing w:after="0"/>
              <w:rPr>
                <w:sz w:val="17"/>
                <w:szCs w:val="17"/>
                <w:color w:val="auto"/>
              </w:rPr>
            </w:pPr>
          </w:p>
        </w:tc>
      </w:tr>
      <w:tr>
        <w:trPr>
          <w:trHeight w:val="250"/>
        </w:trPr>
        <w:tc>
          <w:tcPr>
            <w:tcW w:w="820" w:type="dxa"/>
            <w:vAlign w:val="bottom"/>
          </w:tcPr>
          <w:p>
            <w:pPr>
              <w:ind w:left="100"/>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1"/>
                <w:szCs w:val="21"/>
                <w:color w:val="auto"/>
              </w:rPr>
            </w:pPr>
          </w:p>
        </w:tc>
        <w:tc>
          <w:tcPr>
            <w:tcW w:w="6800" w:type="dxa"/>
            <w:vAlign w:val="bottom"/>
            <w:tcBorders>
              <w:bottom w:val="single" w:sz="8" w:color="0000EE"/>
            </w:tcBorders>
            <w:gridSpan w:val="19"/>
          </w:tcPr>
          <w:p>
            <w:pPr>
              <w:spacing w:after="0"/>
              <w:rPr>
                <w:rFonts w:ascii="Arial" w:cs="Arial" w:eastAsia="Arial" w:hAnsi="Arial"/>
                <w:sz w:val="18"/>
                <w:szCs w:val="18"/>
                <w:color w:val="0000EE"/>
                <w:w w:val="95"/>
              </w:rPr>
            </w:pPr>
            <w:hyperlink r:id="rId875">
              <w:r>
                <w:rPr>
                  <w:rFonts w:ascii="Arial" w:cs="Arial" w:eastAsia="Arial" w:hAnsi="Arial"/>
                  <w:sz w:val="18"/>
                  <w:szCs w:val="18"/>
                  <w:color w:val="0000EE"/>
                  <w:w w:val="95"/>
                </w:rPr>
                <w:t>Lucid Group, Inc. 2021 Executive Severance Benefit Plan and Summary Plan Description</w:t>
              </w:r>
            </w:hyperlink>
          </w:p>
        </w:tc>
        <w:tc>
          <w:tcPr>
            <w:tcW w:w="360" w:type="dxa"/>
            <w:vAlign w:val="bottom"/>
            <w:gridSpan w:val="4"/>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875">
              <w:r>
                <w:rPr>
                  <w:rFonts w:ascii="Arial" w:cs="Arial" w:eastAsia="Arial" w:hAnsi="Arial"/>
                  <w:sz w:val="18"/>
                  <w:szCs w:val="18"/>
                  <w:color w:val="0000EE"/>
                  <w:w w:val="95"/>
                </w:rPr>
                <w:t>(incorporated by reference to Exhibit 10.26 to the Super 8-K)</w:t>
              </w:r>
            </w:hyperlink>
          </w:p>
        </w:tc>
        <w:tc>
          <w:tcPr>
            <w:tcW w:w="2520" w:type="dxa"/>
            <w:vAlign w:val="bottom"/>
            <w:gridSpan w:val="14"/>
          </w:tcPr>
          <w:p>
            <w:pPr>
              <w:spacing w:after="0"/>
              <w:rPr>
                <w:sz w:val="17"/>
                <w:szCs w:val="17"/>
                <w:color w:val="auto"/>
              </w:rPr>
            </w:pPr>
          </w:p>
        </w:tc>
      </w:tr>
      <w:tr>
        <w:trPr>
          <w:trHeight w:val="250"/>
        </w:trPr>
        <w:tc>
          <w:tcPr>
            <w:tcW w:w="820" w:type="dxa"/>
            <w:vAlign w:val="bottom"/>
          </w:tcPr>
          <w:p>
            <w:pPr>
              <w:ind w:left="100"/>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1"/>
                <w:szCs w:val="21"/>
                <w:color w:val="auto"/>
              </w:rPr>
            </w:pPr>
          </w:p>
        </w:tc>
        <w:tc>
          <w:tcPr>
            <w:tcW w:w="6700" w:type="dxa"/>
            <w:vAlign w:val="bottom"/>
            <w:tcBorders>
              <w:bottom w:val="single" w:sz="8" w:color="0000EE"/>
            </w:tcBorders>
            <w:gridSpan w:val="16"/>
          </w:tcPr>
          <w:p>
            <w:pPr>
              <w:spacing w:after="0"/>
              <w:rPr>
                <w:rFonts w:ascii="Arial" w:cs="Arial" w:eastAsia="Arial" w:hAnsi="Arial"/>
                <w:sz w:val="18"/>
                <w:szCs w:val="18"/>
                <w:color w:val="0000EE"/>
                <w:w w:val="95"/>
              </w:rPr>
            </w:pPr>
            <w:hyperlink r:id="rId876">
              <w:r>
                <w:rPr>
                  <w:rFonts w:ascii="Arial" w:cs="Arial" w:eastAsia="Arial" w:hAnsi="Arial"/>
                  <w:sz w:val="18"/>
                  <w:szCs w:val="18"/>
                  <w:color w:val="0000EE"/>
                  <w:w w:val="95"/>
                </w:rPr>
                <w:t>Form of Participation Agreement under the Lucid Group, Inc. 2021 Executive Severance</w:t>
              </w:r>
            </w:hyperlink>
          </w:p>
        </w:tc>
        <w:tc>
          <w:tcPr>
            <w:tcW w:w="460" w:type="dxa"/>
            <w:vAlign w:val="bottom"/>
            <w:gridSpan w:val="7"/>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876">
              <w:r>
                <w:rPr>
                  <w:rFonts w:ascii="Arial" w:cs="Arial" w:eastAsia="Arial" w:hAnsi="Arial"/>
                  <w:sz w:val="18"/>
                  <w:szCs w:val="18"/>
                  <w:color w:val="0000EE"/>
                  <w:w w:val="95"/>
                </w:rPr>
                <w:t>Benefit Plan (incorporated by reference to Exhibit 10.27 to the Super 8-K)</w:t>
              </w:r>
            </w:hyperlink>
          </w:p>
        </w:tc>
        <w:tc>
          <w:tcPr>
            <w:tcW w:w="1540" w:type="dxa"/>
            <w:vAlign w:val="bottom"/>
            <w:gridSpan w:val="12"/>
          </w:tcPr>
          <w:p>
            <w:pPr>
              <w:spacing w:after="0"/>
              <w:rPr>
                <w:sz w:val="17"/>
                <w:szCs w:val="17"/>
                <w:color w:val="auto"/>
              </w:rPr>
            </w:pPr>
          </w:p>
        </w:tc>
      </w:tr>
      <w:tr>
        <w:trPr>
          <w:trHeight w:val="250"/>
        </w:trPr>
        <w:tc>
          <w:tcPr>
            <w:tcW w:w="820" w:type="dxa"/>
            <w:vAlign w:val="bottom"/>
          </w:tcPr>
          <w:p>
            <w:pPr>
              <w:ind w:left="10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1"/>
                <w:szCs w:val="21"/>
                <w:color w:val="auto"/>
              </w:rPr>
            </w:pPr>
          </w:p>
        </w:tc>
        <w:tc>
          <w:tcPr>
            <w:tcW w:w="7160" w:type="dxa"/>
            <w:vAlign w:val="bottom"/>
            <w:gridSpan w:val="23"/>
          </w:tcPr>
          <w:p>
            <w:pPr>
              <w:spacing w:after="0"/>
              <w:rPr>
                <w:rFonts w:ascii="Arial" w:cs="Arial" w:eastAsia="Arial" w:hAnsi="Arial"/>
                <w:sz w:val="18"/>
                <w:szCs w:val="18"/>
                <w:color w:val="0000EE"/>
              </w:rPr>
            </w:pPr>
            <w:hyperlink r:id="rId877">
              <w:r>
                <w:rPr>
                  <w:rFonts w:ascii="Arial" w:cs="Arial" w:eastAsia="Arial" w:hAnsi="Arial"/>
                  <w:sz w:val="18"/>
                  <w:szCs w:val="18"/>
                  <w:color w:val="0000EE"/>
                </w:rPr>
                <w:t>Code of Business Conduct and Ethics of Lucid Group, Inc. (incorporated by reference to</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r:id="rId877">
              <w:r>
                <w:rPr>
                  <w:rFonts w:ascii="Arial" w:cs="Arial" w:eastAsia="Arial" w:hAnsi="Arial"/>
                  <w:sz w:val="18"/>
                  <w:szCs w:val="18"/>
                  <w:color w:val="0000EE"/>
                  <w:w w:val="96"/>
                </w:rPr>
                <w:t>Exhibit 14.1 to the Super 8-K)</w:t>
              </w:r>
            </w:hyperlink>
          </w:p>
        </w:tc>
        <w:tc>
          <w:tcPr>
            <w:tcW w:w="4380" w:type="dxa"/>
            <w:vAlign w:val="bottom"/>
            <w:tcBorders>
              <w:top w:val="single" w:sz="8" w:color="0000EE"/>
            </w:tcBorders>
            <w:gridSpan w:val="10"/>
          </w:tcPr>
          <w:p>
            <w:pPr>
              <w:spacing w:after="0"/>
              <w:rPr>
                <w:sz w:val="17"/>
                <w:szCs w:val="17"/>
                <w:color w:val="auto"/>
              </w:rPr>
            </w:pPr>
          </w:p>
        </w:tc>
        <w:tc>
          <w:tcPr>
            <w:tcW w:w="480" w:type="dxa"/>
            <w:vAlign w:val="bottom"/>
            <w:gridSpan w:val="8"/>
          </w:tcPr>
          <w:p>
            <w:pPr>
              <w:spacing w:after="0"/>
              <w:rPr>
                <w:sz w:val="17"/>
                <w:szCs w:val="17"/>
                <w:color w:val="auto"/>
              </w:rPr>
            </w:pPr>
          </w:p>
        </w:tc>
      </w:tr>
      <w:tr>
        <w:trPr>
          <w:trHeight w:val="263"/>
        </w:trPr>
        <w:tc>
          <w:tcPr>
            <w:tcW w:w="820" w:type="dxa"/>
            <w:vAlign w:val="bottom"/>
          </w:tcPr>
          <w:p>
            <w:pPr>
              <w:ind w:left="10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2"/>
                <w:szCs w:val="22"/>
                <w:color w:val="auto"/>
              </w:rPr>
            </w:pPr>
          </w:p>
        </w:tc>
        <w:tc>
          <w:tcPr>
            <w:tcW w:w="7160" w:type="dxa"/>
            <w:vAlign w:val="bottom"/>
            <w:gridSpan w:val="23"/>
          </w:tcPr>
          <w:p>
            <w:pPr>
              <w:spacing w:after="0"/>
              <w:rPr>
                <w:rFonts w:ascii="Arial" w:cs="Arial" w:eastAsia="Arial" w:hAnsi="Arial"/>
                <w:sz w:val="18"/>
                <w:szCs w:val="18"/>
                <w:color w:val="0000EE"/>
                <w:w w:val="99"/>
              </w:rPr>
            </w:pPr>
            <w:hyperlink w:anchor="page307">
              <w:r>
                <w:rPr>
                  <w:rFonts w:ascii="Arial" w:cs="Arial" w:eastAsia="Arial" w:hAnsi="Arial"/>
                  <w:sz w:val="18"/>
                  <w:szCs w:val="18"/>
                  <w:color w:val="0000EE"/>
                  <w:w w:val="99"/>
                </w:rPr>
                <w:t>Letter from Marcum LLP to the Securities and Exchange Commission, dated July 30, 2021</w:t>
              </w:r>
            </w:hyperlink>
          </w:p>
        </w:tc>
      </w:tr>
      <w:tr>
        <w:trPr>
          <w:trHeight w:val="237"/>
        </w:trPr>
        <w:tc>
          <w:tcPr>
            <w:tcW w:w="820" w:type="dxa"/>
            <w:vAlign w:val="bottom"/>
          </w:tcPr>
          <w:p>
            <w:pPr>
              <w:ind w:left="10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67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6"/>
              </w:rPr>
            </w:pPr>
            <w:hyperlink r:id="rId878">
              <w:r>
                <w:rPr>
                  <w:rFonts w:ascii="Arial" w:cs="Arial" w:eastAsia="Arial" w:hAnsi="Arial"/>
                  <w:sz w:val="18"/>
                  <w:szCs w:val="18"/>
                  <w:color w:val="0000EE"/>
                  <w:w w:val="96"/>
                </w:rPr>
                <w:t>List of Subsidiaries of Lucid Group, Inc. (incorporated by reference to Exhibit 21.1 to the</w:t>
              </w:r>
            </w:hyperlink>
          </w:p>
        </w:tc>
        <w:tc>
          <w:tcPr>
            <w:tcW w:w="80" w:type="dxa"/>
            <w:vAlign w:val="bottom"/>
            <w:tcBorders>
              <w:top w:val="single" w:sz="8" w:color="0000EE"/>
            </w:tcBorders>
            <w:gridSpan w:val="2"/>
          </w:tcPr>
          <w:p>
            <w:pPr>
              <w:spacing w:after="0"/>
              <w:rPr>
                <w:sz w:val="20"/>
                <w:szCs w:val="20"/>
                <w:color w:val="auto"/>
              </w:rPr>
            </w:pPr>
          </w:p>
        </w:tc>
        <w:tc>
          <w:tcPr>
            <w:tcW w:w="300" w:type="dxa"/>
            <w:vAlign w:val="bottom"/>
            <w:gridSpan w:val="3"/>
          </w:tcPr>
          <w:p>
            <w:pPr>
              <w:spacing w:after="0"/>
              <w:rPr>
                <w:sz w:val="20"/>
                <w:szCs w:val="20"/>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878">
              <w:r>
                <w:rPr>
                  <w:rFonts w:ascii="Arial" w:cs="Arial" w:eastAsia="Arial" w:hAnsi="Arial"/>
                  <w:sz w:val="18"/>
                  <w:szCs w:val="18"/>
                  <w:color w:val="0000EE"/>
                  <w:w w:val="94"/>
                </w:rPr>
                <w:t>Super 8-K)</w:t>
              </w:r>
            </w:hyperlink>
          </w:p>
        </w:tc>
        <w:tc>
          <w:tcPr>
            <w:tcW w:w="6320" w:type="dxa"/>
            <w:vAlign w:val="bottom"/>
            <w:gridSpan w:val="21"/>
          </w:tcPr>
          <w:p>
            <w:pPr>
              <w:spacing w:after="0"/>
              <w:rPr>
                <w:sz w:val="17"/>
                <w:szCs w:val="17"/>
                <w:color w:val="auto"/>
              </w:rPr>
            </w:pPr>
          </w:p>
        </w:tc>
      </w:tr>
      <w:tr>
        <w:trPr>
          <w:trHeight w:val="304"/>
        </w:trPr>
        <w:tc>
          <w:tcPr>
            <w:tcW w:w="820" w:type="dxa"/>
            <w:vAlign w:val="bottom"/>
          </w:tcPr>
          <w:p>
            <w:pPr>
              <w:ind w:left="10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7160" w:type="dxa"/>
            <w:vAlign w:val="bottom"/>
            <w:gridSpan w:val="23"/>
          </w:tcPr>
          <w:p>
            <w:pPr>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230"/>
        </w:trPr>
        <w:tc>
          <w:tcPr>
            <w:tcW w:w="820" w:type="dxa"/>
            <w:vAlign w:val="bottom"/>
          </w:tcPr>
          <w:p>
            <w:pPr>
              <w:ind w:left="100"/>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9"/>
                <w:szCs w:val="19"/>
                <w:color w:val="auto"/>
              </w:rPr>
            </w:pPr>
          </w:p>
        </w:tc>
        <w:tc>
          <w:tcPr>
            <w:tcW w:w="24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08">
              <w:r>
                <w:rPr>
                  <w:rFonts w:ascii="Arial" w:cs="Arial" w:eastAsia="Arial" w:hAnsi="Arial"/>
                  <w:sz w:val="18"/>
                  <w:szCs w:val="18"/>
                  <w:color w:val="0000EE"/>
                  <w:w w:val="95"/>
                </w:rPr>
                <w:t>Consent of Grant Thornton LLP</w:t>
              </w:r>
            </w:hyperlink>
          </w:p>
        </w:tc>
        <w:tc>
          <w:tcPr>
            <w:tcW w:w="4740" w:type="dxa"/>
            <w:vAlign w:val="bottom"/>
            <w:gridSpan w:val="17"/>
          </w:tcPr>
          <w:p>
            <w:pPr>
              <w:spacing w:after="0"/>
              <w:rPr>
                <w:sz w:val="19"/>
                <w:szCs w:val="19"/>
                <w:color w:val="auto"/>
              </w:rPr>
            </w:pPr>
          </w:p>
        </w:tc>
      </w:tr>
      <w:tr>
        <w:trPr>
          <w:trHeight w:val="250"/>
        </w:trPr>
        <w:tc>
          <w:tcPr>
            <w:tcW w:w="820" w:type="dxa"/>
            <w:vAlign w:val="bottom"/>
          </w:tcPr>
          <w:p>
            <w:pPr>
              <w:ind w:left="10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18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09">
              <w:r>
                <w:rPr>
                  <w:rFonts w:ascii="Arial" w:cs="Arial" w:eastAsia="Arial" w:hAnsi="Arial"/>
                  <w:sz w:val="18"/>
                  <w:szCs w:val="18"/>
                  <w:color w:val="0000EE"/>
                  <w:w w:val="95"/>
                </w:rPr>
                <w:t>Consent of Marcum LLP</w:t>
              </w:r>
            </w:hyperlink>
          </w:p>
        </w:tc>
        <w:tc>
          <w:tcPr>
            <w:tcW w:w="5280" w:type="dxa"/>
            <w:vAlign w:val="bottom"/>
            <w:gridSpan w:val="19"/>
          </w:tcPr>
          <w:p>
            <w:pPr>
              <w:spacing w:after="0"/>
              <w:rPr>
                <w:sz w:val="21"/>
                <w:szCs w:val="21"/>
                <w:color w:val="auto"/>
              </w:rPr>
            </w:pPr>
          </w:p>
        </w:tc>
      </w:tr>
      <w:tr>
        <w:trPr>
          <w:trHeight w:val="250"/>
        </w:trPr>
        <w:tc>
          <w:tcPr>
            <w:tcW w:w="820" w:type="dxa"/>
            <w:vAlign w:val="bottom"/>
          </w:tcPr>
          <w:p>
            <w:pPr>
              <w:ind w:left="10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61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04">
              <w:r>
                <w:rPr>
                  <w:rFonts w:ascii="Arial" w:cs="Arial" w:eastAsia="Arial" w:hAnsi="Arial"/>
                  <w:sz w:val="18"/>
                  <w:szCs w:val="18"/>
                  <w:color w:val="0000EE"/>
                  <w:w w:val="95"/>
                </w:rPr>
                <w:t>Power of Attorney (included in the signature page to this Registration Statement)</w:t>
              </w:r>
            </w:hyperlink>
          </w:p>
        </w:tc>
        <w:tc>
          <w:tcPr>
            <w:tcW w:w="1020" w:type="dxa"/>
            <w:vAlign w:val="bottom"/>
            <w:gridSpan w:val="11"/>
          </w:tcPr>
          <w:p>
            <w:pPr>
              <w:spacing w:after="0"/>
              <w:rPr>
                <w:sz w:val="21"/>
                <w:szCs w:val="21"/>
                <w:color w:val="auto"/>
              </w:rPr>
            </w:pPr>
          </w:p>
        </w:tc>
      </w:tr>
      <w:tr>
        <w:trPr>
          <w:trHeight w:val="290"/>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16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101.SCH+</w:t>
            </w:r>
          </w:p>
        </w:tc>
        <w:tc>
          <w:tcPr>
            <w:tcW w:w="716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101.CAL+</w:t>
            </w:r>
          </w:p>
        </w:tc>
        <w:tc>
          <w:tcPr>
            <w:tcW w:w="716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101.DEF+</w:t>
            </w:r>
          </w:p>
        </w:tc>
        <w:tc>
          <w:tcPr>
            <w:tcW w:w="716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rPr>
              <w:t>101.LAB+</w:t>
            </w:r>
          </w:p>
        </w:tc>
        <w:tc>
          <w:tcPr>
            <w:tcW w:w="716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101.PRE+</w:t>
            </w:r>
          </w:p>
        </w:tc>
        <w:tc>
          <w:tcPr>
            <w:tcW w:w="716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hanging="360"/>
        <w:spacing w:after="0"/>
        <w:tabs>
          <w:tab w:leader="none" w:pos="1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260" w:right="4239"/>
        <w:spacing w:after="0" w:line="355" w:lineRule="auto"/>
        <w:tabs>
          <w:tab w:leader="none" w:pos="1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 To be filed by amendment</w:t>
      </w:r>
    </w:p>
    <w:p>
      <w:pPr>
        <w:spacing w:after="0" w:line="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1620" w:hanging="360"/>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980" w:right="579" w:hanging="360"/>
        <w:spacing w:after="0" w:line="277" w:lineRule="auto"/>
        <w:tabs>
          <w:tab w:leader="none" w:pos="1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2340" w:hanging="360"/>
        <w:spacing w:after="0"/>
        <w:tabs>
          <w:tab w:leader="none" w:pos="234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02" w:name="page303"/>
    <w:bookmarkEnd w:id="30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599" w:hanging="360"/>
        <w:spacing w:after="0" w:line="269" w:lineRule="auto"/>
        <w:tabs>
          <w:tab w:leader="none" w:pos="23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4" w:lineRule="exact"/>
        <w:rPr>
          <w:rFonts w:ascii="Arial" w:cs="Arial" w:eastAsia="Arial" w:hAnsi="Arial"/>
          <w:sz w:val="17"/>
          <w:szCs w:val="17"/>
          <w:color w:val="auto"/>
        </w:rPr>
      </w:pPr>
    </w:p>
    <w:p>
      <w:pPr>
        <w:ind w:left="2340" w:right="799" w:hanging="360"/>
        <w:spacing w:after="0" w:line="263" w:lineRule="auto"/>
        <w:tabs>
          <w:tab w:leader="none" w:pos="2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left="1980" w:right="519"/>
        <w:spacing w:after="0" w:line="257"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of this section do not apply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the information required to be included in a post-effective amendment by those paragraphs is contained in reports filed with or furnished to the SEC by the registrant pursuant to Section 13 or Section 15(d) of the Securities and Exchange Act of 1934, as amended (the “ </w:t>
      </w:r>
      <w:r>
        <w:rPr>
          <w:rFonts w:ascii="Arial" w:cs="Arial" w:eastAsia="Arial" w:hAnsi="Arial"/>
          <w:sz w:val="17"/>
          <w:szCs w:val="17"/>
          <w:i w:val="1"/>
          <w:iCs w:val="1"/>
          <w:color w:val="auto"/>
        </w:rPr>
        <w:t>Exchange Act</w:t>
      </w:r>
      <w:r>
        <w:rPr>
          <w:rFonts w:ascii="Arial" w:cs="Arial" w:eastAsia="Arial" w:hAnsi="Arial"/>
          <w:sz w:val="17"/>
          <w:szCs w:val="17"/>
          <w:color w:val="auto"/>
        </w:rPr>
        <w:t>”), that are incorporated by reference in the registration statement, or is contained in a form of prospectus filed pursuant to Rule 424(b) that is part of the registration statement.</w:t>
      </w:r>
    </w:p>
    <w:p>
      <w:pPr>
        <w:spacing w:after="0" w:line="94" w:lineRule="exact"/>
        <w:rPr>
          <w:sz w:val="20"/>
          <w:szCs w:val="20"/>
          <w:color w:val="auto"/>
        </w:rPr>
      </w:pPr>
    </w:p>
    <w:p>
      <w:pPr>
        <w:ind w:left="1980" w:right="599" w:hanging="360"/>
        <w:spacing w:after="0" w:line="259" w:lineRule="auto"/>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44" w:lineRule="exact"/>
        <w:rPr>
          <w:rFonts w:ascii="Arial" w:cs="Arial" w:eastAsia="Arial" w:hAnsi="Arial"/>
          <w:sz w:val="18"/>
          <w:szCs w:val="18"/>
          <w:color w:val="auto"/>
        </w:rPr>
      </w:pPr>
    </w:p>
    <w:p>
      <w:pPr>
        <w:ind w:left="2700" w:right="539" w:hanging="360"/>
        <w:spacing w:after="0" w:line="263" w:lineRule="auto"/>
        <w:tabs>
          <w:tab w:leader="none" w:pos="27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2700" w:right="419" w:hanging="360"/>
        <w:spacing w:after="0" w:line="267" w:lineRule="auto"/>
        <w:tabs>
          <w:tab w:leader="none" w:pos="270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8" w:lineRule="exact"/>
        <w:rPr>
          <w:rFonts w:ascii="Arial" w:cs="Arial" w:eastAsia="Arial" w:hAnsi="Arial"/>
          <w:sz w:val="17"/>
          <w:szCs w:val="17"/>
          <w:color w:val="auto"/>
        </w:rPr>
      </w:pPr>
    </w:p>
    <w:p>
      <w:pPr>
        <w:ind w:left="2340" w:right="619" w:hanging="360"/>
        <w:spacing w:after="0" w:line="308" w:lineRule="auto"/>
        <w:tabs>
          <w:tab w:leader="none" w:pos="23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If the registrant is subject to Rule 430C (§ 230.430C of this chapter), each prospectus filed pursuant to Rule 424(b) as part of a registration statement relating to an offering, other than</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03" w:name="page304"/>
    <w:bookmarkEnd w:id="30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459"/>
        <w:spacing w:after="0" w:line="253" w:lineRule="auto"/>
        <w:rPr>
          <w:sz w:val="20"/>
          <w:szCs w:val="20"/>
          <w:color w:val="auto"/>
        </w:rPr>
      </w:pPr>
      <w:r>
        <w:rPr>
          <w:rFonts w:ascii="Arial" w:cs="Arial" w:eastAsia="Arial" w:hAnsi="Arial"/>
          <w:sz w:val="18"/>
          <w:szCs w:val="18"/>
          <w:color w:val="auto"/>
        </w:rPr>
        <w:t xml:space="preserve">registration statements relying on Rule 430B or other than prospectuses filed in reliance on Rule 430A (§ 230.430A of this chapter), shall be deemed to be part of and included in the registration statement as of the date it is first used after effectiveness.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3" w:lineRule="exact"/>
        <w:rPr>
          <w:sz w:val="20"/>
          <w:szCs w:val="20"/>
          <w:color w:val="auto"/>
        </w:rPr>
      </w:pPr>
    </w:p>
    <w:p>
      <w:pPr>
        <w:ind w:left="1980" w:right="439" w:hanging="360"/>
        <w:spacing w:after="0" w:line="254" w:lineRule="auto"/>
        <w:tabs>
          <w:tab w:leader="none" w:pos="1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7" w:lineRule="exact"/>
        <w:rPr>
          <w:rFonts w:ascii="Arial" w:cs="Arial" w:eastAsia="Arial" w:hAnsi="Arial"/>
          <w:sz w:val="18"/>
          <w:szCs w:val="18"/>
          <w:color w:val="auto"/>
        </w:rPr>
      </w:pPr>
    </w:p>
    <w:p>
      <w:pPr>
        <w:ind w:left="2340" w:right="1059" w:hanging="360"/>
        <w:spacing w:after="0" w:line="277" w:lineRule="auto"/>
        <w:tabs>
          <w:tab w:leader="none" w:pos="23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2340" w:right="1279" w:hanging="360"/>
        <w:spacing w:after="0" w:line="308" w:lineRule="auto"/>
        <w:tabs>
          <w:tab w:leader="none" w:pos="234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65" w:lineRule="exact"/>
        <w:rPr>
          <w:rFonts w:ascii="Arial" w:cs="Arial" w:eastAsia="Arial" w:hAnsi="Arial"/>
          <w:sz w:val="17"/>
          <w:szCs w:val="17"/>
          <w:color w:val="auto"/>
        </w:rPr>
      </w:pPr>
    </w:p>
    <w:p>
      <w:pPr>
        <w:ind w:left="2340" w:right="579" w:hanging="360"/>
        <w:spacing w:after="0" w:line="263" w:lineRule="auto"/>
        <w:tabs>
          <w:tab w:leader="none" w:pos="23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340" w:right="599" w:hanging="360"/>
        <w:spacing w:after="0" w:line="277" w:lineRule="auto"/>
        <w:tabs>
          <w:tab w:leader="none" w:pos="23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620" w:right="459" w:hanging="360"/>
        <w:spacing w:after="0" w:line="253" w:lineRule="auto"/>
        <w:tabs>
          <w:tab w:leader="none" w:pos="1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0" w:lineRule="exact"/>
        <w:rPr>
          <w:rFonts w:ascii="Arial" w:cs="Arial" w:eastAsia="Arial" w:hAnsi="Arial"/>
          <w:sz w:val="18"/>
          <w:szCs w:val="18"/>
          <w:color w:val="auto"/>
        </w:rPr>
      </w:pPr>
    </w:p>
    <w:p>
      <w:pPr>
        <w:ind w:left="1620" w:hanging="360"/>
        <w:spacing w:after="0"/>
        <w:tabs>
          <w:tab w:leader="none" w:pos="1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980" w:right="599" w:hanging="360"/>
        <w:spacing w:after="0" w:line="257" w:lineRule="auto"/>
        <w:tabs>
          <w:tab w:leader="none" w:pos="1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20" w:lineRule="exact"/>
        <w:rPr>
          <w:rFonts w:ascii="Arial" w:cs="Arial" w:eastAsia="Arial" w:hAnsi="Arial"/>
          <w:sz w:val="18"/>
          <w:szCs w:val="18"/>
          <w:color w:val="auto"/>
        </w:rPr>
      </w:pPr>
    </w:p>
    <w:p>
      <w:pPr>
        <w:ind w:left="1980" w:right="559" w:hanging="360"/>
        <w:spacing w:after="0" w:line="259" w:lineRule="auto"/>
        <w:tabs>
          <w:tab w:leader="none" w:pos="1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04" w:name="page305"/>
    <w:bookmarkEnd w:id="30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Newark, State of California, on the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July, 2021.</w:t>
      </w:r>
    </w:p>
    <w:p>
      <w:pPr>
        <w:spacing w:after="0" w:line="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Lucid Group, Inc.</w:t>
      </w:r>
    </w:p>
    <w:p>
      <w:pPr>
        <w:spacing w:after="0" w:line="279" w:lineRule="exact"/>
        <w:rPr>
          <w:sz w:val="20"/>
          <w:szCs w:val="20"/>
          <w:color w:val="auto"/>
        </w:rPr>
      </w:pPr>
    </w:p>
    <w:p>
      <w:pPr>
        <w:ind w:left="5180"/>
        <w:spacing w:after="0"/>
        <w:tabs>
          <w:tab w:leader="none" w:pos="5660" w:val="left"/>
        </w:tabs>
        <w:rPr>
          <w:sz w:val="20"/>
          <w:szCs w:val="20"/>
          <w:color w:val="auto"/>
        </w:rPr>
      </w:pPr>
      <w:r>
        <w:rPr>
          <w:rFonts w:ascii="Arial" w:cs="Arial" w:eastAsia="Arial" w:hAnsi="Arial"/>
          <w:sz w:val="18"/>
          <w:szCs w:val="18"/>
          <w:color w:val="auto"/>
        </w:rPr>
        <w:t>By:</w:t>
        <w:tab/>
        <w:t>/s/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48895</wp:posOffset>
            </wp:positionV>
            <wp:extent cx="240030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8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Peter Rawlinson</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Title:  Chief Executive Officer, Chief Technology</w:t>
      </w:r>
    </w:p>
    <w:p>
      <w:pPr>
        <w:spacing w:after="0" w:line="3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Officer and Director</w:t>
      </w:r>
    </w:p>
    <w:p>
      <w:pPr>
        <w:spacing w:after="0" w:line="17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Peter Rawlinson, Sherry House and Jonathan Butler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11"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00" w:type="dxa"/>
            <w:vAlign w:val="bottom"/>
          </w:tcPr>
          <w:p>
            <w:pPr>
              <w:spacing w:after="0"/>
              <w:rPr>
                <w:sz w:val="16"/>
                <w:szCs w:val="16"/>
                <w:color w:val="auto"/>
              </w:rPr>
            </w:pPr>
          </w:p>
        </w:tc>
        <w:tc>
          <w:tcPr>
            <w:tcW w:w="3480" w:type="dxa"/>
            <w:vAlign w:val="bottom"/>
            <w:gridSpan w:val="2"/>
          </w:tcPr>
          <w:p>
            <w:pPr>
              <w:ind w:left="1500"/>
              <w:spacing w:after="0"/>
              <w:rPr>
                <w:sz w:val="20"/>
                <w:szCs w:val="20"/>
                <w:color w:val="auto"/>
              </w:rPr>
            </w:pPr>
            <w:r>
              <w:rPr>
                <w:rFonts w:ascii="Arial" w:cs="Arial" w:eastAsia="Arial" w:hAnsi="Arial"/>
                <w:sz w:val="14"/>
                <w:szCs w:val="14"/>
                <w:b w:val="1"/>
                <w:bCs w:val="1"/>
                <w:color w:val="auto"/>
              </w:rPr>
              <w:t>Title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
        </w:trPr>
        <w:tc>
          <w:tcPr>
            <w:tcW w:w="3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6"/>
        </w:trPr>
        <w:tc>
          <w:tcPr>
            <w:tcW w:w="3240" w:type="dxa"/>
            <w:vAlign w:val="bottom"/>
          </w:tcPr>
          <w:p>
            <w:pPr>
              <w:jc w:val="center"/>
              <w:spacing w:after="0"/>
              <w:rPr>
                <w:sz w:val="20"/>
                <w:szCs w:val="20"/>
                <w:color w:val="auto"/>
              </w:rPr>
            </w:pPr>
            <w:r>
              <w:rPr>
                <w:rFonts w:ascii="Arial" w:cs="Arial" w:eastAsia="Arial" w:hAnsi="Arial"/>
                <w:sz w:val="18"/>
                <w:szCs w:val="18"/>
                <w:color w:val="auto"/>
                <w:w w:val="95"/>
              </w:rPr>
              <w:t>/s/ Peter Rawlinson</w:t>
            </w:r>
          </w:p>
        </w:tc>
        <w:tc>
          <w:tcPr>
            <w:tcW w:w="200" w:type="dxa"/>
            <w:vAlign w:val="bottom"/>
          </w:tcPr>
          <w:p>
            <w:pPr>
              <w:spacing w:after="0"/>
              <w:rPr>
                <w:sz w:val="24"/>
                <w:szCs w:val="24"/>
                <w:color w:val="auto"/>
              </w:rPr>
            </w:pPr>
          </w:p>
        </w:tc>
        <w:tc>
          <w:tcPr>
            <w:tcW w:w="34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Chief Executive Officer, Chief Technology</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c>
          <w:tcPr>
            <w:tcW w:w="0" w:type="dxa"/>
            <w:vAlign w:val="bottom"/>
          </w:tcPr>
          <w:p>
            <w:pPr>
              <w:spacing w:after="0"/>
              <w:rPr>
                <w:sz w:val="1"/>
                <w:szCs w:val="1"/>
                <w:color w:val="auto"/>
              </w:rPr>
            </w:pPr>
          </w:p>
        </w:tc>
      </w:tr>
      <w:tr>
        <w:trPr>
          <w:trHeight w:val="68"/>
        </w:trPr>
        <w:tc>
          <w:tcPr>
            <w:tcW w:w="324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4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8"/>
              </w:rPr>
              <w:t>Officer and Director</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4"/>
              </w:rPr>
              <w:t>Peter Rawlinson</w:t>
            </w:r>
          </w:p>
        </w:tc>
        <w:tc>
          <w:tcPr>
            <w:tcW w:w="20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4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8"/>
              </w:rPr>
              <w:t>(principal executive officer)</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8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1"/>
        </w:trPr>
        <w:tc>
          <w:tcPr>
            <w:tcW w:w="3240" w:type="dxa"/>
            <w:vAlign w:val="bottom"/>
          </w:tcPr>
          <w:p>
            <w:pPr>
              <w:jc w:val="center"/>
              <w:spacing w:after="0"/>
              <w:rPr>
                <w:sz w:val="20"/>
                <w:szCs w:val="20"/>
                <w:color w:val="auto"/>
              </w:rPr>
            </w:pPr>
            <w:r>
              <w:rPr>
                <w:rFonts w:ascii="Arial" w:cs="Arial" w:eastAsia="Arial" w:hAnsi="Arial"/>
                <w:sz w:val="18"/>
                <w:szCs w:val="18"/>
                <w:color w:val="auto"/>
                <w:w w:val="92"/>
              </w:rPr>
              <w:t>/s/ Sherry House</w:t>
            </w:r>
          </w:p>
        </w:tc>
        <w:tc>
          <w:tcPr>
            <w:tcW w:w="200" w:type="dxa"/>
            <w:vAlign w:val="bottom"/>
          </w:tcPr>
          <w:p>
            <w:pPr>
              <w:spacing w:after="0"/>
              <w:rPr>
                <w:sz w:val="24"/>
                <w:szCs w:val="24"/>
                <w:color w:val="auto"/>
              </w:rPr>
            </w:pPr>
          </w:p>
        </w:tc>
        <w:tc>
          <w:tcPr>
            <w:tcW w:w="34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Chief Financial Officer</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c>
          <w:tcPr>
            <w:tcW w:w="0" w:type="dxa"/>
            <w:vAlign w:val="bottom"/>
          </w:tcPr>
          <w:p>
            <w:pPr>
              <w:spacing w:after="0"/>
              <w:rPr>
                <w:sz w:val="1"/>
                <w:szCs w:val="1"/>
                <w:color w:val="auto"/>
              </w:rPr>
            </w:pPr>
          </w:p>
        </w:tc>
      </w:tr>
      <w:tr>
        <w:trPr>
          <w:trHeight w:val="68"/>
        </w:trPr>
        <w:tc>
          <w:tcPr>
            <w:tcW w:w="324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4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8"/>
              </w:rPr>
              <w:t>(principal financial and accounting officer)</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4"/>
              </w:rPr>
              <w:t>Sherry House</w:t>
            </w:r>
          </w:p>
        </w:tc>
        <w:tc>
          <w:tcPr>
            <w:tcW w:w="200" w:type="dxa"/>
            <w:vAlign w:val="bottom"/>
            <w:vMerge w:val="continue"/>
          </w:tcPr>
          <w:p>
            <w:pPr>
              <w:spacing w:after="0"/>
              <w:rPr>
                <w:sz w:val="12"/>
                <w:szCs w:val="12"/>
                <w:color w:val="auto"/>
              </w:rPr>
            </w:pPr>
          </w:p>
        </w:tc>
        <w:tc>
          <w:tcPr>
            <w:tcW w:w="348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2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8"/>
              </w:rPr>
              <w:t>Turqi Alnowaiser</w:t>
            </w: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40" w:type="dxa"/>
            <w:vAlign w:val="bottom"/>
          </w:tcPr>
          <w:p>
            <w:pPr>
              <w:jc w:val="center"/>
              <w:spacing w:after="0"/>
              <w:rPr>
                <w:sz w:val="20"/>
                <w:szCs w:val="20"/>
                <w:color w:val="auto"/>
              </w:rPr>
            </w:pPr>
            <w:r>
              <w:rPr>
                <w:rFonts w:ascii="Arial" w:cs="Arial" w:eastAsia="Arial" w:hAnsi="Arial"/>
                <w:sz w:val="18"/>
                <w:szCs w:val="18"/>
                <w:color w:val="auto"/>
                <w:w w:val="94"/>
              </w:rPr>
              <w:t>/s/ Glenn R. August</w:t>
            </w:r>
          </w:p>
        </w:tc>
        <w:tc>
          <w:tcPr>
            <w:tcW w:w="200" w:type="dxa"/>
            <w:vAlign w:val="bottom"/>
          </w:tcPr>
          <w:p>
            <w:pPr>
              <w:spacing w:after="0"/>
              <w:rPr>
                <w:sz w:val="24"/>
                <w:szCs w:val="24"/>
                <w:color w:val="auto"/>
              </w:rPr>
            </w:pPr>
          </w:p>
        </w:tc>
        <w:tc>
          <w:tcPr>
            <w:tcW w:w="34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c>
          <w:tcPr>
            <w:tcW w:w="0" w:type="dxa"/>
            <w:vAlign w:val="bottom"/>
          </w:tcPr>
          <w:p>
            <w:pPr>
              <w:spacing w:after="0"/>
              <w:rPr>
                <w:sz w:val="1"/>
                <w:szCs w:val="1"/>
                <w:color w:val="auto"/>
              </w:rPr>
            </w:pPr>
          </w:p>
        </w:tc>
      </w:tr>
      <w:tr>
        <w:trPr>
          <w:trHeight w:val="54"/>
        </w:trPr>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6"/>
              </w:rPr>
              <w:t>Glenn R. August</w:t>
            </w: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40" w:type="dxa"/>
            <w:vAlign w:val="bottom"/>
          </w:tcPr>
          <w:p>
            <w:pPr>
              <w:jc w:val="center"/>
              <w:spacing w:after="0"/>
              <w:rPr>
                <w:sz w:val="20"/>
                <w:szCs w:val="20"/>
                <w:color w:val="auto"/>
              </w:rPr>
            </w:pPr>
            <w:r>
              <w:rPr>
                <w:rFonts w:ascii="Arial" w:cs="Arial" w:eastAsia="Arial" w:hAnsi="Arial"/>
                <w:sz w:val="18"/>
                <w:szCs w:val="18"/>
                <w:color w:val="auto"/>
                <w:w w:val="96"/>
              </w:rPr>
              <w:t>/s/ Nancy Gioia</w:t>
            </w:r>
          </w:p>
        </w:tc>
        <w:tc>
          <w:tcPr>
            <w:tcW w:w="200" w:type="dxa"/>
            <w:vAlign w:val="bottom"/>
          </w:tcPr>
          <w:p>
            <w:pPr>
              <w:spacing w:after="0"/>
              <w:rPr>
                <w:sz w:val="24"/>
                <w:szCs w:val="24"/>
                <w:color w:val="auto"/>
              </w:rPr>
            </w:pPr>
          </w:p>
        </w:tc>
        <w:tc>
          <w:tcPr>
            <w:tcW w:w="34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c>
          <w:tcPr>
            <w:tcW w:w="0" w:type="dxa"/>
            <w:vAlign w:val="bottom"/>
          </w:tcPr>
          <w:p>
            <w:pPr>
              <w:spacing w:after="0"/>
              <w:rPr>
                <w:sz w:val="1"/>
                <w:szCs w:val="1"/>
                <w:color w:val="auto"/>
              </w:rPr>
            </w:pPr>
          </w:p>
        </w:tc>
      </w:tr>
      <w:tr>
        <w:trPr>
          <w:trHeight w:val="54"/>
        </w:trPr>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7"/>
              </w:rPr>
              <w:t>Nancy Gioia</w:t>
            </w: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40" w:type="dxa"/>
            <w:vAlign w:val="bottom"/>
          </w:tcPr>
          <w:p>
            <w:pPr>
              <w:jc w:val="center"/>
              <w:spacing w:after="0"/>
              <w:rPr>
                <w:sz w:val="20"/>
                <w:szCs w:val="20"/>
                <w:color w:val="auto"/>
              </w:rPr>
            </w:pPr>
            <w:r>
              <w:rPr>
                <w:rFonts w:ascii="Arial" w:cs="Arial" w:eastAsia="Arial" w:hAnsi="Arial"/>
                <w:sz w:val="18"/>
                <w:szCs w:val="18"/>
                <w:color w:val="auto"/>
                <w:w w:val="94"/>
              </w:rPr>
              <w:t>/s/ Frank Lindenberg</w:t>
            </w:r>
          </w:p>
        </w:tc>
        <w:tc>
          <w:tcPr>
            <w:tcW w:w="200" w:type="dxa"/>
            <w:vAlign w:val="bottom"/>
          </w:tcPr>
          <w:p>
            <w:pPr>
              <w:spacing w:after="0"/>
              <w:rPr>
                <w:sz w:val="24"/>
                <w:szCs w:val="24"/>
                <w:color w:val="auto"/>
              </w:rPr>
            </w:pPr>
          </w:p>
        </w:tc>
        <w:tc>
          <w:tcPr>
            <w:tcW w:w="34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c>
          <w:tcPr>
            <w:tcW w:w="0" w:type="dxa"/>
            <w:vAlign w:val="bottom"/>
          </w:tcPr>
          <w:p>
            <w:pPr>
              <w:spacing w:after="0"/>
              <w:rPr>
                <w:sz w:val="1"/>
                <w:szCs w:val="1"/>
                <w:color w:val="auto"/>
              </w:rPr>
            </w:pPr>
          </w:p>
        </w:tc>
      </w:tr>
      <w:tr>
        <w:trPr>
          <w:trHeight w:val="54"/>
        </w:trPr>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240" w:type="dxa"/>
            <w:vAlign w:val="bottom"/>
          </w:tcPr>
          <w:p>
            <w:pPr>
              <w:jc w:val="center"/>
              <w:spacing w:after="0"/>
              <w:rPr>
                <w:sz w:val="20"/>
                <w:szCs w:val="20"/>
                <w:color w:val="auto"/>
              </w:rPr>
            </w:pPr>
            <w:r>
              <w:rPr>
                <w:rFonts w:ascii="Arial" w:cs="Arial" w:eastAsia="Arial" w:hAnsi="Arial"/>
                <w:sz w:val="18"/>
                <w:szCs w:val="18"/>
                <w:color w:val="auto"/>
                <w:w w:val="96"/>
              </w:rPr>
              <w:t>Frank Lindenberg</w:t>
            </w: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40" w:type="dxa"/>
            <w:vAlign w:val="bottom"/>
          </w:tcPr>
          <w:p>
            <w:pPr>
              <w:jc w:val="center"/>
              <w:spacing w:after="0"/>
              <w:rPr>
                <w:sz w:val="20"/>
                <w:szCs w:val="20"/>
                <w:color w:val="auto"/>
              </w:rPr>
            </w:pPr>
            <w:r>
              <w:rPr>
                <w:rFonts w:ascii="Arial" w:cs="Arial" w:eastAsia="Arial" w:hAnsi="Arial"/>
                <w:sz w:val="18"/>
                <w:szCs w:val="18"/>
                <w:color w:val="auto"/>
                <w:w w:val="98"/>
              </w:rPr>
              <w:t>/s/ Andrew Liveris</w:t>
            </w:r>
          </w:p>
        </w:tc>
        <w:tc>
          <w:tcPr>
            <w:tcW w:w="200" w:type="dxa"/>
            <w:vAlign w:val="bottom"/>
          </w:tcPr>
          <w:p>
            <w:pPr>
              <w:spacing w:after="0"/>
              <w:rPr>
                <w:sz w:val="24"/>
                <w:szCs w:val="24"/>
                <w:color w:val="auto"/>
              </w:rPr>
            </w:pPr>
          </w:p>
        </w:tc>
        <w:tc>
          <w:tcPr>
            <w:tcW w:w="34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Chairperson of the Board of Directors</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c>
          <w:tcPr>
            <w:tcW w:w="0" w:type="dxa"/>
            <w:vAlign w:val="bottom"/>
          </w:tcPr>
          <w:p>
            <w:pPr>
              <w:spacing w:after="0"/>
              <w:rPr>
                <w:sz w:val="1"/>
                <w:szCs w:val="1"/>
                <w:color w:val="auto"/>
              </w:rPr>
            </w:pPr>
          </w:p>
        </w:tc>
      </w:tr>
      <w:tr>
        <w:trPr>
          <w:trHeight w:val="54"/>
        </w:trPr>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240" w:type="dxa"/>
            <w:vAlign w:val="bottom"/>
          </w:tcPr>
          <w:p>
            <w:pPr>
              <w:jc w:val="center"/>
              <w:spacing w:after="0"/>
              <w:rPr>
                <w:sz w:val="20"/>
                <w:szCs w:val="20"/>
                <w:color w:val="auto"/>
              </w:rPr>
            </w:pPr>
            <w:r>
              <w:rPr>
                <w:rFonts w:ascii="Arial" w:cs="Arial" w:eastAsia="Arial" w:hAnsi="Arial"/>
                <w:sz w:val="18"/>
                <w:szCs w:val="18"/>
                <w:color w:val="auto"/>
                <w:w w:val="99"/>
              </w:rPr>
              <w:t>Andrew Liveris</w:t>
            </w: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40" w:type="dxa"/>
            <w:vAlign w:val="bottom"/>
          </w:tcPr>
          <w:p>
            <w:pPr>
              <w:jc w:val="center"/>
              <w:spacing w:after="0"/>
              <w:rPr>
                <w:sz w:val="20"/>
                <w:szCs w:val="20"/>
                <w:color w:val="auto"/>
              </w:rPr>
            </w:pPr>
            <w:r>
              <w:rPr>
                <w:rFonts w:ascii="Arial" w:cs="Arial" w:eastAsia="Arial" w:hAnsi="Arial"/>
                <w:sz w:val="18"/>
                <w:szCs w:val="18"/>
                <w:color w:val="auto"/>
                <w:w w:val="99"/>
              </w:rPr>
              <w:t>/s/ Nichelle Maynard-Elliott</w:t>
            </w:r>
          </w:p>
        </w:tc>
        <w:tc>
          <w:tcPr>
            <w:tcW w:w="200" w:type="dxa"/>
            <w:vAlign w:val="bottom"/>
          </w:tcPr>
          <w:p>
            <w:pPr>
              <w:spacing w:after="0"/>
              <w:rPr>
                <w:sz w:val="24"/>
                <w:szCs w:val="24"/>
                <w:color w:val="auto"/>
              </w:rPr>
            </w:pPr>
          </w:p>
        </w:tc>
        <w:tc>
          <w:tcPr>
            <w:tcW w:w="34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c>
          <w:tcPr>
            <w:tcW w:w="0" w:type="dxa"/>
            <w:vAlign w:val="bottom"/>
          </w:tcPr>
          <w:p>
            <w:pPr>
              <w:spacing w:after="0"/>
              <w:rPr>
                <w:sz w:val="1"/>
                <w:szCs w:val="1"/>
                <w:color w:val="auto"/>
              </w:rPr>
            </w:pPr>
          </w:p>
        </w:tc>
      </w:tr>
      <w:tr>
        <w:trPr>
          <w:trHeight w:val="54"/>
        </w:trPr>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240" w:type="dxa"/>
            <w:vAlign w:val="bottom"/>
          </w:tcPr>
          <w:p>
            <w:pPr>
              <w:jc w:val="center"/>
              <w:spacing w:after="0"/>
              <w:rPr>
                <w:sz w:val="20"/>
                <w:szCs w:val="20"/>
                <w:color w:val="auto"/>
              </w:rPr>
            </w:pPr>
            <w:r>
              <w:rPr>
                <w:rFonts w:ascii="Arial" w:cs="Arial" w:eastAsia="Arial" w:hAnsi="Arial"/>
                <w:sz w:val="18"/>
                <w:szCs w:val="18"/>
                <w:color w:val="auto"/>
                <w:w w:val="99"/>
              </w:rPr>
              <w:t>Nichelle Maynard-Elliott</w:t>
            </w: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5" w:name="page306"/>
    <w:bookmarkEnd w:id="30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6"/>
                <w:szCs w:val="16"/>
                <w:color w:val="auto"/>
              </w:rPr>
            </w:pPr>
          </w:p>
        </w:tc>
        <w:tc>
          <w:tcPr>
            <w:tcW w:w="3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520"/>
        </w:trPr>
        <w:tc>
          <w:tcPr>
            <w:tcW w:w="3240" w:type="dxa"/>
            <w:vAlign w:val="bottom"/>
          </w:tcPr>
          <w:p>
            <w:pPr>
              <w:jc w:val="center"/>
              <w:spacing w:after="0"/>
              <w:rPr>
                <w:sz w:val="20"/>
                <w:szCs w:val="20"/>
                <w:color w:val="auto"/>
              </w:rPr>
            </w:pPr>
            <w:r>
              <w:rPr>
                <w:rFonts w:ascii="Arial" w:cs="Arial" w:eastAsia="Arial" w:hAnsi="Arial"/>
                <w:sz w:val="18"/>
                <w:szCs w:val="18"/>
                <w:color w:val="auto"/>
                <w:w w:val="92"/>
              </w:rPr>
              <w:t>/s/ Tony Posawatz</w:t>
            </w:r>
          </w:p>
        </w:tc>
        <w:tc>
          <w:tcPr>
            <w:tcW w:w="220" w:type="dxa"/>
            <w:vAlign w:val="bottom"/>
          </w:tcPr>
          <w:p>
            <w:pPr>
              <w:spacing w:after="0"/>
              <w:rPr>
                <w:sz w:val="24"/>
                <w:szCs w:val="24"/>
                <w:color w:val="auto"/>
              </w:rPr>
            </w:pPr>
          </w:p>
        </w:tc>
        <w:tc>
          <w:tcPr>
            <w:tcW w:w="34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r>
      <w:tr>
        <w:trPr>
          <w:trHeight w:val="40"/>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3240" w:type="dxa"/>
            <w:vAlign w:val="bottom"/>
          </w:tcPr>
          <w:p>
            <w:pPr>
              <w:jc w:val="center"/>
              <w:spacing w:after="0"/>
              <w:rPr>
                <w:sz w:val="20"/>
                <w:szCs w:val="20"/>
                <w:color w:val="auto"/>
              </w:rPr>
            </w:pPr>
            <w:r>
              <w:rPr>
                <w:rFonts w:ascii="Arial" w:cs="Arial" w:eastAsia="Arial" w:hAnsi="Arial"/>
                <w:sz w:val="18"/>
                <w:szCs w:val="18"/>
                <w:color w:val="auto"/>
                <w:w w:val="90"/>
              </w:rPr>
              <w:t>Tony Posawatz</w:t>
            </w:r>
          </w:p>
        </w:tc>
        <w:tc>
          <w:tcPr>
            <w:tcW w:w="2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324"/>
        </w:trPr>
        <w:tc>
          <w:tcPr>
            <w:tcW w:w="3240" w:type="dxa"/>
            <w:vAlign w:val="bottom"/>
          </w:tcPr>
          <w:p>
            <w:pPr>
              <w:jc w:val="center"/>
              <w:spacing w:after="0"/>
              <w:rPr>
                <w:sz w:val="20"/>
                <w:szCs w:val="20"/>
                <w:color w:val="auto"/>
              </w:rPr>
            </w:pPr>
            <w:r>
              <w:rPr>
                <w:rFonts w:ascii="Arial" w:cs="Arial" w:eastAsia="Arial" w:hAnsi="Arial"/>
                <w:sz w:val="18"/>
                <w:szCs w:val="18"/>
                <w:color w:val="auto"/>
                <w:w w:val="91"/>
              </w:rPr>
              <w:t>/s/ Janet Wong</w:t>
            </w:r>
          </w:p>
        </w:tc>
        <w:tc>
          <w:tcPr>
            <w:tcW w:w="220" w:type="dxa"/>
            <w:vAlign w:val="bottom"/>
          </w:tcPr>
          <w:p>
            <w:pPr>
              <w:spacing w:after="0"/>
              <w:rPr>
                <w:sz w:val="24"/>
                <w:szCs w:val="24"/>
                <w:color w:val="auto"/>
              </w:rPr>
            </w:pPr>
          </w:p>
        </w:tc>
        <w:tc>
          <w:tcPr>
            <w:tcW w:w="34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July 30, 2021</w:t>
            </w:r>
          </w:p>
        </w:tc>
      </w:tr>
      <w:tr>
        <w:trPr>
          <w:trHeight w:val="41"/>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3240" w:type="dxa"/>
            <w:vAlign w:val="bottom"/>
          </w:tcPr>
          <w:p>
            <w:pPr>
              <w:jc w:val="center"/>
              <w:spacing w:after="0"/>
              <w:rPr>
                <w:sz w:val="20"/>
                <w:szCs w:val="20"/>
                <w:color w:val="auto"/>
              </w:rPr>
            </w:pPr>
            <w:r>
              <w:rPr>
                <w:rFonts w:ascii="Arial" w:cs="Arial" w:eastAsia="Arial" w:hAnsi="Arial"/>
                <w:sz w:val="18"/>
                <w:szCs w:val="18"/>
                <w:color w:val="auto"/>
                <w:w w:val="91"/>
              </w:rPr>
              <w:t>Janet Wong</w:t>
            </w:r>
          </w:p>
        </w:tc>
        <w:tc>
          <w:tcPr>
            <w:tcW w:w="2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22"/>
          <w:szCs w:val="22"/>
          <w:b w:val="1"/>
          <w:bCs w:val="1"/>
          <w:color w:val="auto"/>
        </w:rPr>
        <w:t>Exhibit 16.1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have read the statements made by Lucid Group, Inc. (formerly Churchill Capital Corp IV) under “Change in Auditor” of its Form S-1 dated July 30, 2021. We agree with the statements concerning our Firm in such Form S-1; we are not in a position to agree or disagree with other statements of Lucid Group, Inc.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issued our report dated March 19, 2021, with respect to the consolidated financial statements of Atieva, Inc. and subsidiaries contained in the registration statement and proxy statement/prospectus. We consent to the use of the aforementioned report in the registration statement and proxy statement/prospectus, and to the use of our name as it appears under the caption “Experts”.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22"/>
          <w:szCs w:val="22"/>
          <w:b w:val="1"/>
          <w:bCs w:val="1"/>
          <w:color w:val="auto"/>
        </w:rPr>
        <w:t>Exhibit 23.3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Lucid Group, Inc. on Form S-1 of our report dated March 15, 2021, except for the effects of the restatement disclosed in Note 2 and the subsequent events discussed in Note12 (Legal Proceedings), as to which the date is May 14, 2021, with respect to our audit of the financial statements of Churchill Capital Corp. IV as of December 31, 2020 and for the period from April 30, 2020 (inception) through December 31, 2020, which report appears in the Prospectus, which is part of this Registration Statement. We also consent to the reference to our Firm under the heading “Experts” in such Prospectus.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1)"/>
      <w:numFmt w:val="lowerRoman"/>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1)"/>
      <w:numFmt w:val="lowerLetter"/>
      <w:start w:val="9"/>
    </w:lvl>
  </w:abstractNum>
  <w:abstractNum w:abstractNumId="23">
    <w:nsid w:val="71EA1109"/>
    <w:multiLevelType w:val="hybridMultilevel"/>
    <w:lvl w:ilvl="0">
      <w:lvlJc w:val="left"/>
      <w:lvlText w:val="(%1)"/>
      <w:numFmt w:val="lowerLetter"/>
      <w:start w:val="2"/>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1)"/>
      <w:numFmt w:val="decimal"/>
      <w:start w:val="1"/>
    </w:lvl>
  </w:abstractNum>
  <w:abstractNum w:abstractNumId="37">
    <w:nsid w:val="2DF6D648"/>
    <w:multiLevelType w:val="hybridMultilevel"/>
    <w:lvl w:ilvl="0">
      <w:lvlJc w:val="left"/>
      <w:lvlText w:val="(%1)"/>
      <w:numFmt w:val="decimal"/>
      <w:start w:val="2"/>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1."/>
      <w:numFmt w:val="decimal"/>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1."/>
      <w:numFmt w:val="decimal"/>
      <w:start w:val="2"/>
    </w:lvl>
  </w:abstractNum>
  <w:abstractNum w:abstractNumId="45">
    <w:nsid w:val="26F324BA"/>
    <w:multiLevelType w:val="hybridMultilevel"/>
    <w:lvl w:ilvl="0">
      <w:lvlJc w:val="left"/>
      <w:lvlText w:val="(%1)"/>
      <w:numFmt w:val="upperLetter"/>
      <w:start w:val="1"/>
    </w:lvl>
  </w:abstractNum>
  <w:abstractNum w:abstractNumId="46">
    <w:nsid w:val="7F01579B"/>
    <w:multiLevelType w:val="hybridMultilevel"/>
    <w:lvl w:ilvl="0">
      <w:lvlJc w:val="left"/>
      <w:lvlText w:val="(%1)"/>
      <w:numFmt w:val="upperLetter"/>
      <w:start w:val="27"/>
    </w:lvl>
  </w:abstractNum>
  <w:abstractNum w:abstractNumId="47">
    <w:nsid w:val="49DA307D"/>
    <w:multiLevelType w:val="hybridMultilevel"/>
    <w:lvl w:ilvl="0">
      <w:lvlJc w:val="left"/>
      <w:lvlText w:val="(%1)"/>
      <w:numFmt w:val="upperLetter"/>
      <w:start w:val="27"/>
    </w:lvl>
  </w:abstractNum>
  <w:abstractNum w:abstractNumId="48">
    <w:nsid w:val="7055A5F5"/>
    <w:multiLevelType w:val="hybridMultilevel"/>
    <w:lvl w:ilvl="0">
      <w:lvlJc w:val="left"/>
      <w:lvlText w:val="%1"/>
      <w:numFmt w:val="decimal"/>
      <w:start w:val="1"/>
    </w:lvl>
    <w:lvl w:ilvl="1">
      <w:lvlJc w:val="left"/>
      <w:lvlText w:val="(%2)"/>
      <w:numFmt w:val="upperLetter"/>
      <w:start w:val="31"/>
    </w:lvl>
  </w:abstractNum>
  <w:abstractNum w:abstractNumId="49">
    <w:nsid w:val="5FB8370B"/>
    <w:multiLevelType w:val="hybridMultilevel"/>
    <w:lvl w:ilvl="0">
      <w:lvlJc w:val="left"/>
      <w:lvlText w:val="%1."/>
      <w:numFmt w:val="decimal"/>
      <w:start w:val="3"/>
    </w:lvl>
    <w:lvl w:ilvl="1">
      <w:lvlJc w:val="left"/>
      <w:lvlText w:val="%2"/>
      <w:numFmt w:val="upperLetter"/>
      <w:start w:val="1"/>
    </w:lvl>
  </w:abstractNum>
  <w:abstractNum w:abstractNumId="50">
    <w:nsid w:val="50801EE1"/>
    <w:multiLevelType w:val="hybridMultilevel"/>
    <w:lvl w:ilvl="0">
      <w:lvlJc w:val="left"/>
      <w:lvlText w:val="%1."/>
      <w:numFmt w:val="decimal"/>
      <w:start w:val="4"/>
    </w:lvl>
  </w:abstractNum>
  <w:abstractNum w:abstractNumId="51">
    <w:nsid w:val="488AC1A"/>
    <w:multiLevelType w:val="hybridMultilevel"/>
    <w:lvl w:ilvl="0">
      <w:lvlJc w:val="left"/>
      <w:lvlText w:val="(%1)"/>
      <w:numFmt w:val="lowerRoman"/>
      <w:start w:val="2"/>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1)"/>
      <w:numFmt w:val="lowerLetter"/>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1"/>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1)"/>
      <w:numFmt w:val="lowerRoman"/>
      <w:start w:val="2"/>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1)"/>
      <w:numFmt w:val="lowerRoman"/>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1)"/>
      <w:numFmt w:val="decimal"/>
      <w:start w:val="1"/>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1)"/>
      <w:numFmt w:val="decimal"/>
      <w:start w:val="1"/>
    </w:lvl>
  </w:abstractNum>
  <w:abstractNum w:abstractNumId="77">
    <w:nsid w:val="1CA0C5FA"/>
    <w:multiLevelType w:val="hybridMultilevel"/>
    <w:lvl w:ilvl="0">
      <w:lvlJc w:val="left"/>
      <w:lvlText w:val="(%1)"/>
      <w:numFmt w:val="decimal"/>
      <w:start w:val="1"/>
    </w:lvl>
    <w:lvl w:ilvl="1">
      <w:lvlJc w:val="left"/>
      <w:lvlText w:val="(%2)"/>
      <w:numFmt w:val="lowerRoman"/>
      <w:start w:val="1"/>
    </w:lvl>
  </w:abstractNum>
  <w:abstractNum w:abstractNumId="78">
    <w:nsid w:val="53584BCB"/>
    <w:multiLevelType w:val="hybridMultilevel"/>
    <w:lvl w:ilvl="0">
      <w:lvlJc w:val="left"/>
      <w:lvlText w:val="(%1)"/>
      <w:numFmt w:val="lowerLetter"/>
      <w:start w:val="25"/>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decimal"/>
      <w:start w:val="1"/>
    </w:lvl>
  </w:abstractNum>
  <w:abstractNum w:abstractNumId="86">
    <w:nsid w:val="4BD8591A"/>
    <w:multiLevelType w:val="hybridMultilevel"/>
    <w:lvl w:ilvl="0">
      <w:lvlJc w:val="left"/>
      <w:lvlText w:val="(%1)"/>
      <w:numFmt w:val="decimal"/>
      <w:start w:val="3"/>
    </w:lvl>
  </w:abstractNum>
  <w:abstractNum w:abstractNumId="87">
    <w:nsid w:val="78DF6A55"/>
    <w:multiLevelType w:val="hybridMultilevel"/>
    <w:lvl w:ilvl="0">
      <w:lvlJc w:val="left"/>
      <w:lvlText w:val="(%1)"/>
      <w:numFmt w:val="lowerRoman"/>
      <w:start w:val="3"/>
    </w:lvl>
  </w:abstractNum>
  <w:abstractNum w:abstractNumId="88">
    <w:nsid w:val="39B7AAA2"/>
    <w:multiLevelType w:val="hybridMultilevel"/>
    <w:lvl w:ilvl="0">
      <w:lvlJc w:val="left"/>
      <w:lvlText w:val="(%1)"/>
      <w:numFmt w:val="decimal"/>
      <w:start w:val="1"/>
    </w:lvl>
    <w:lvl w:ilvl="1">
      <w:lvlJc w:val="left"/>
      <w:lvlText w:val="(%2)"/>
      <w:numFmt w:val="lowerRoman"/>
      <w:start w:val="2"/>
    </w:lvl>
  </w:abstractNum>
  <w:abstractNum w:abstractNumId="89">
    <w:nsid w:val="2B0D8DBE"/>
    <w:multiLevelType w:val="hybridMultilevel"/>
    <w:lvl w:ilvl="0">
      <w:lvlJc w:val="left"/>
      <w:lvlText w:val="(%1)"/>
      <w:numFmt w:val="decimal"/>
      <w:start w:val="12"/>
    </w:lvl>
  </w:abstractNum>
  <w:abstractNum w:abstractNumId="90">
    <w:nsid w:val="6C80EC70"/>
    <w:multiLevelType w:val="hybridMultilevel"/>
    <w:lvl w:ilvl="0">
      <w:lvlJc w:val="left"/>
      <w:lvlText w:val="(%1)"/>
      <w:numFmt w:val="decimal"/>
      <w:start w:val="19"/>
    </w:lvl>
  </w:abstractNum>
  <w:abstractNum w:abstractNumId="91">
    <w:nsid w:val="379E21B5"/>
    <w:multiLevelType w:val="hybridMultilevel"/>
    <w:lvl w:ilvl="0">
      <w:lvlJc w:val="left"/>
      <w:lvlText w:val="(%1)"/>
      <w:numFmt w:val="decimal"/>
      <w:start w:val="25"/>
    </w:lvl>
  </w:abstractNum>
  <w:abstractNum w:abstractNumId="92">
    <w:nsid w:val="69E373"/>
    <w:multiLevelType w:val="hybridMultilevel"/>
    <w:lvl w:ilvl="0">
      <w:lvlJc w:val="left"/>
      <w:lvlText w:val="(%1)"/>
      <w:numFmt w:val="decimal"/>
      <w:start w:val="29"/>
    </w:lvl>
    <w:lvl w:ilvl="1">
      <w:lvlJc w:val="left"/>
      <w:lvlText w:val="%2."/>
      <w:numFmt w:val="upperLetter"/>
      <w:start w:val="4"/>
    </w:lvl>
  </w:abstractNum>
  <w:abstractNum w:abstractNumId="93">
    <w:nsid w:val="2C27173B"/>
    <w:multiLevelType w:val="hybridMultilevel"/>
    <w:lvl w:ilvl="0">
      <w:lvlJc w:val="left"/>
      <w:lvlText w:val="%1"/>
      <w:numFmt w:val="decimal"/>
      <w:start w:val="1"/>
    </w:lvl>
    <w:lvl w:ilvl="1">
      <w:lvlJc w:val="left"/>
      <w:lvlText w:val="%2."/>
      <w:numFmt w:val="upperLetter"/>
      <w:start w:val="4"/>
    </w:lvl>
  </w:abstractNum>
  <w:abstractNum w:abstractNumId="94">
    <w:nsid w:val="4C9B0904"/>
    <w:multiLevelType w:val="hybridMultilevel"/>
    <w:lvl w:ilvl="0">
      <w:lvlJc w:val="left"/>
      <w:lvlText w:val="(%1)"/>
      <w:numFmt w:val="decimal"/>
      <w:start w:val="33"/>
    </w:lvl>
  </w:abstractNum>
  <w:abstractNum w:abstractNumId="95">
    <w:nsid w:val="6AA7B75C"/>
    <w:multiLevelType w:val="hybridMultilevel"/>
    <w:lvl w:ilvl="0">
      <w:lvlJc w:val="left"/>
      <w:lvlText w:val="(%1)"/>
      <w:numFmt w:val="decimal"/>
      <w:start w:val="38"/>
    </w:lvl>
  </w:abstractNum>
  <w:abstractNum w:abstractNumId="96">
    <w:nsid w:val="1DF029D3"/>
    <w:multiLevelType w:val="hybridMultilevel"/>
    <w:lvl w:ilvl="0">
      <w:lvlJc w:val="left"/>
      <w:lvlText w:val="(%1)"/>
      <w:numFmt w:val="decimal"/>
      <w:start w:val="39"/>
    </w:lvl>
  </w:abstractNum>
  <w:abstractNum w:abstractNumId="97">
    <w:nsid w:val="5675FF36"/>
    <w:multiLevelType w:val="hybridMultilevel"/>
    <w:lvl w:ilvl="0">
      <w:lvlJc w:val="left"/>
      <w:lvlText w:val="(%1)"/>
      <w:numFmt w:val="decimal"/>
      <w:start w:val="45"/>
    </w:lvl>
  </w:abstractNum>
  <w:abstractNum w:abstractNumId="98">
    <w:nsid w:val="3DD15094"/>
    <w:multiLevelType w:val="hybridMultilevel"/>
    <w:lvl w:ilvl="0">
      <w:lvlJc w:val="left"/>
      <w:lvlText w:val="(%1)"/>
      <w:numFmt w:val="decimal"/>
      <w:start w:val="47"/>
    </w:lvl>
  </w:abstractNum>
  <w:abstractNum w:abstractNumId="99">
    <w:nsid w:val="3DB012B3"/>
    <w:multiLevelType w:val="hybridMultilevel"/>
    <w:lvl w:ilvl="0">
      <w:lvlJc w:val="left"/>
      <w:lvlText w:val="(%1)"/>
      <w:numFmt w:val="decimal"/>
      <w:start w:val="51"/>
    </w:lvl>
  </w:abstractNum>
  <w:abstractNum w:abstractNumId="100">
    <w:nsid w:val="2708C9AF"/>
    <w:multiLevelType w:val="hybridMultilevel"/>
    <w:lvl w:ilvl="0">
      <w:lvlJc w:val="left"/>
      <w:lvlText w:val="(%1)"/>
      <w:numFmt w:val="decimal"/>
      <w:start w:val="58"/>
    </w:lvl>
  </w:abstractNum>
  <w:abstractNum w:abstractNumId="101">
    <w:nsid w:val="5B25ACE2"/>
    <w:multiLevelType w:val="hybridMultilevel"/>
    <w:lvl w:ilvl="0">
      <w:lvlJc w:val="left"/>
      <w:lvlText w:val="(%1)"/>
      <w:numFmt w:val="decimal"/>
      <w:start w:val="64"/>
    </w:lvl>
  </w:abstractNum>
  <w:abstractNum w:abstractNumId="102">
    <w:nsid w:val="175DFCF0"/>
    <w:multiLevelType w:val="hybridMultilevel"/>
    <w:lvl w:ilvl="0">
      <w:lvlJc w:val="left"/>
      <w:lvlText w:val="(%1)"/>
      <w:numFmt w:val="decimal"/>
      <w:start w:val="68"/>
    </w:lvl>
  </w:abstractNum>
  <w:abstractNum w:abstractNumId="103">
    <w:nsid w:val="4F97E3E4"/>
    <w:multiLevelType w:val="hybridMultilevel"/>
    <w:lvl w:ilvl="0">
      <w:lvlJc w:val="left"/>
      <w:lvlText w:val="(%1)"/>
      <w:numFmt w:val="lowerRoman"/>
      <w:start w:val="3"/>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1)"/>
      <w:numFmt w:val="decimal"/>
      <w:start w:val="2"/>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1)"/>
      <w:numFmt w:val="lowerRoman"/>
      <w:start w:val="2"/>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
      <w:numFmt w:val="bullet"/>
      <w:start w:val="1"/>
    </w:lvl>
  </w:abstractNum>
  <w:abstractNum w:abstractNumId="111">
    <w:nsid w:val="4DF72E4E"/>
    <w:multiLevelType w:val="hybridMultilevel"/>
    <w:lvl w:ilvl="0">
      <w:lvlJc w:val="left"/>
      <w:lvlText w:val="(%1)"/>
      <w:numFmt w:val="lowerRoman"/>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1)"/>
      <w:numFmt w:val="lowerRoman"/>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1)"/>
      <w:numFmt w:val="decimal"/>
      <w:start w:val="2"/>
    </w:lvl>
  </w:abstractNum>
  <w:abstractNum w:abstractNumId="119">
    <w:nsid w:val="5399C654"/>
    <w:multiLevelType w:val="hybridMultilevel"/>
    <w:lvl w:ilvl="0">
      <w:lvlJc w:val="left"/>
      <w:lvlText w:val="(%1)"/>
      <w:numFmt w:val="decimal"/>
      <w:start w:val="5"/>
    </w:lvl>
  </w:abstractNum>
  <w:abstractNum w:abstractNumId="120">
    <w:nsid w:val="20EE1348"/>
    <w:multiLevelType w:val="hybridMultilevel"/>
    <w:lvl w:ilvl="0">
      <w:lvlJc w:val="left"/>
      <w:lvlText w:val="(%1)"/>
      <w:numFmt w:val="decimal"/>
      <w:start w:val="7"/>
    </w:lvl>
  </w:abstractNum>
  <w:abstractNum w:abstractNumId="121">
    <w:nsid w:val="4427069A"/>
    <w:multiLevelType w:val="hybridMultilevel"/>
    <w:lvl w:ilvl="0">
      <w:lvlJc w:val="left"/>
      <w:lvlText w:val="(%1)"/>
      <w:numFmt w:val="decimal"/>
      <w:start w:val="298"/>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
      <w:numFmt w:val="bullet"/>
      <w:start w:val="1"/>
    </w:lvl>
  </w:abstractNum>
  <w:abstractNum w:abstractNumId="124">
    <w:nsid w:val="704E1DD5"/>
    <w:multiLevelType w:val="hybridMultilevel"/>
    <w:lvl w:ilvl="0">
      <w:lvlJc w:val="left"/>
      <w:lvlText w:val="(%1)"/>
      <w:numFmt w:val="decimal"/>
      <w:start w:val="1"/>
    </w:lvl>
  </w:abstractNum>
  <w:abstractNum w:abstractNumId="125">
    <w:nsid w:val="57D2F10E"/>
    <w:multiLevelType w:val="hybridMultilevel"/>
    <w:lvl w:ilvl="0">
      <w:lvlJc w:val="left"/>
      <w:lvlText w:val="$"/>
      <w:numFmt w:val="bullet"/>
      <w:start w:val="1"/>
    </w:lvl>
  </w:abstractNum>
  <w:abstractNum w:abstractNumId="126">
    <w:nsid w:val="BFFAE18"/>
    <w:multiLevelType w:val="hybridMultilevel"/>
    <w:lvl w:ilvl="0">
      <w:lvlJc w:val="left"/>
      <w:lvlText w:val="$"/>
      <w:numFmt w:val="bullet"/>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lowerRoman"/>
      <w:start w:val="1"/>
    </w:lvl>
  </w:abstractNum>
  <w:abstractNum w:abstractNumId="130">
    <w:nsid w:val="4BEE5A5B"/>
    <w:multiLevelType w:val="hybridMultilevel"/>
    <w:lvl w:ilvl="0">
      <w:lvlJc w:val="left"/>
      <w:lvlText w:val="(%1)"/>
      <w:numFmt w:val="decimal"/>
      <w:start w:val="16"/>
    </w:lvl>
  </w:abstractNum>
  <w:abstractNum w:abstractNumId="131">
    <w:nsid w:val="5551B9F3"/>
    <w:multiLevelType w:val="hybridMultilevel"/>
    <w:lvl w:ilvl="0">
      <w:lvlJc w:val="left"/>
      <w:lvlText w:val="(%1)"/>
      <w:numFmt w:val="lowerLetter"/>
      <w:start w:val="1"/>
    </w:lvl>
  </w:abstractNum>
  <w:abstractNum w:abstractNumId="132">
    <w:nsid w:val="24F6AB8E"/>
    <w:multiLevelType w:val="hybridMultilevel"/>
    <w:lvl w:ilvl="0">
      <w:lvlJc w:val="left"/>
      <w:lvlText w:val="(%1)"/>
      <w:numFmt w:val="lowerRoman"/>
      <w:start w:val="2"/>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39">
    <w:nsid w:val="69E7F3E5"/>
    <w:multiLevelType w:val="hybridMultilevel"/>
    <w:lvl w:ilvl="0">
      <w:lvlJc w:val="left"/>
      <w:lvlText w:val="(%1)"/>
      <w:numFmt w:val="lowerRoman"/>
      <w:start w:val="2"/>
    </w:lvl>
  </w:abstractNum>
  <w:abstractNum w:abstractNumId="140">
    <w:nsid w:val="2A6DE806"/>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41">
    <w:nsid w:val="1816F8C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42">
    <w:nsid w:val="37DF223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jpe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50" Type="http://schemas.openxmlformats.org/officeDocument/2006/relationships/image" Target="media/image837.png"/><Relationship Id="rId867" Type="http://schemas.openxmlformats.org/officeDocument/2006/relationships/image" Target="media/image838.png"/><Relationship Id="rId879" Type="http://schemas.openxmlformats.org/officeDocument/2006/relationships/image" Target="media/image839.png"/><Relationship Id="rId880" Type="http://schemas.openxmlformats.org/officeDocument/2006/relationships/image" Target="media/image840.png"/><Relationship Id="rId881" Type="http://schemas.openxmlformats.org/officeDocument/2006/relationships/image" Target="media/image841.png"/><Relationship Id="rId882" Type="http://schemas.openxmlformats.org/officeDocument/2006/relationships/image" Target="media/image842.png"/><Relationship Id="rId883" Type="http://schemas.openxmlformats.org/officeDocument/2006/relationships/image" Target="media/image843.png"/><Relationship Id="rId884" Type="http://schemas.openxmlformats.org/officeDocument/2006/relationships/image" Target="media/image844.png"/><Relationship Id="rId885" Type="http://schemas.openxmlformats.org/officeDocument/2006/relationships/image" Target="media/image845.png"/><Relationship Id="rId886" Type="http://schemas.openxmlformats.org/officeDocument/2006/relationships/image" Target="media/image846.png"/><Relationship Id="rId887" Type="http://schemas.openxmlformats.org/officeDocument/2006/relationships/image" Target="media/image847.png"/><Relationship Id="rId888" Type="http://schemas.openxmlformats.org/officeDocument/2006/relationships/image" Target="media/image848.png"/><Relationship Id="rId844" Type="http://schemas.openxmlformats.org/officeDocument/2006/relationships/hyperlink" Target="http://www.sec.gov/Archives/edgar/data/1811210/000110465921026357/tm217491d2_ex2-1.htm" TargetMode="External"/><Relationship Id="rId845" Type="http://schemas.openxmlformats.org/officeDocument/2006/relationships/hyperlink" Target="http://www.sec.gov/Archives/edgar/data/1811210/000110465921095842/tm2120294d5_ex3-1.htm" TargetMode="External"/><Relationship Id="rId846" Type="http://schemas.openxmlformats.org/officeDocument/2006/relationships/hyperlink" Target="http://www.sec.gov/Archives/edgar/data/1811210/000110465921095842/tm2120294d5_ex3-2.htm" TargetMode="External"/><Relationship Id="rId847" Type="http://schemas.openxmlformats.org/officeDocument/2006/relationships/hyperlink" Target="http://www.sec.gov/Archives/edgar/data/1811210/000110465921095842/tm2120294d5_ex4-1.htm" TargetMode="External"/><Relationship Id="rId848" Type="http://schemas.openxmlformats.org/officeDocument/2006/relationships/hyperlink" Target="http://www.sec.gov/Archives/edgar/data/1811210/000110465920090379/tm2026266d1_ex4-1.htm" TargetMode="External"/><Relationship Id="rId849" Type="http://schemas.openxmlformats.org/officeDocument/2006/relationships/hyperlink" Target="http://www.sec.gov/Archives/edgar/data/1811210/000110465921026357/tm217491d2_ex10-1.htm" TargetMode="External"/><Relationship Id="rId851" Type="http://schemas.openxmlformats.org/officeDocument/2006/relationships/hyperlink" Target="http://www.sec.gov/Archives/edgar/data/1811210/000110465921026357/tm217491d2_ex10-2.htm" TargetMode="External"/><Relationship Id="rId852" Type="http://schemas.openxmlformats.org/officeDocument/2006/relationships/hyperlink" Target="http://www.sec.gov/Archives/edgar/data/1811210/000110465921026357/tm217491d2_ex10-4.htm" TargetMode="External"/><Relationship Id="rId853" Type="http://schemas.openxmlformats.org/officeDocument/2006/relationships/hyperlink" Target="http://www.sec.gov/Archives/edgar/data/1811210/000110465921026357/tm217491d2_ex10-3.htm" TargetMode="External"/><Relationship Id="rId854" Type="http://schemas.openxmlformats.org/officeDocument/2006/relationships/hyperlink" Target="http://www.sec.gov/Archives/edgar/data/1811210/000110465921039318/tm219359-1_s4.htm#tANNH" TargetMode="External"/><Relationship Id="rId855" Type="http://schemas.openxmlformats.org/officeDocument/2006/relationships/hyperlink" Target="http://www.sec.gov/Archives/edgar/data/1811210/000110465921039318/tm219359d2_ex10-6.htm" TargetMode="External"/><Relationship Id="rId856" Type="http://schemas.openxmlformats.org/officeDocument/2006/relationships/hyperlink" Target="http://www.sec.gov/Archives/edgar/data/1811210/000110465921039318/tm219359d2_ex10-7.htm" TargetMode="External"/><Relationship Id="rId857" Type="http://schemas.openxmlformats.org/officeDocument/2006/relationships/hyperlink" Target="http://www.sec.gov/Archives/edgar/data/1811210/000110465921039318/tm219359d2_ex10-8.htm" TargetMode="External"/><Relationship Id="rId858" Type="http://schemas.openxmlformats.org/officeDocument/2006/relationships/hyperlink" Target="http://www.sec.gov/Archives/edgar/data/1811210/000110465921039318/tm219359d2_ex10-9.htm" TargetMode="External"/><Relationship Id="rId859" Type="http://schemas.openxmlformats.org/officeDocument/2006/relationships/hyperlink" Target="http://www.sec.gov/Archives/edgar/data/1811210/000110465921039318/tm219359d2_ex10-10.htm" TargetMode="External"/><Relationship Id="rId860" Type="http://schemas.openxmlformats.org/officeDocument/2006/relationships/hyperlink" Target="http://www.sec.gov/Archives/edgar/data/1811210/000110465921039318/tm219359d2_ex10-11.htm" TargetMode="External"/><Relationship Id="rId861" Type="http://schemas.openxmlformats.org/officeDocument/2006/relationships/hyperlink" Target="http://www.sec.gov/Archives/edgar/data/1811210/000110465921039318/tm219359d2_ex10-12.htm" TargetMode="External"/><Relationship Id="rId862" Type="http://schemas.openxmlformats.org/officeDocument/2006/relationships/hyperlink" Target="http://www.sec.gov/Archives/edgar/data/1811210/000110465921039318/tm219359d2_ex10-13.htm" TargetMode="External"/><Relationship Id="rId863" Type="http://schemas.openxmlformats.org/officeDocument/2006/relationships/hyperlink" Target="http://www.sec.gov/Archives/edgar/data/1811210/000110465921039318/tm219359d2_ex10-14.htm" TargetMode="External"/><Relationship Id="rId864" Type="http://schemas.openxmlformats.org/officeDocument/2006/relationships/hyperlink" Target="http://www.sec.gov/Archives/edgar/data/1811210/000110465921039318/tm219359d2_ex10-15.htm" TargetMode="External"/><Relationship Id="rId865" Type="http://schemas.openxmlformats.org/officeDocument/2006/relationships/hyperlink" Target="http://www.sec.gov/Archives/edgar/data/1811210/000110465921039318/tm219359d2_ex10-16.htm" TargetMode="External"/><Relationship Id="rId866" Type="http://schemas.openxmlformats.org/officeDocument/2006/relationships/hyperlink" Target="http://www.sec.gov/Archives/edgar/data/1811210/000110465921039318/tm219359d2_ex10-17.htm" TargetMode="External"/><Relationship Id="rId868" Type="http://schemas.openxmlformats.org/officeDocument/2006/relationships/hyperlink" Target="http://www.sec.gov/Archives/edgar/data/1811210/000110465921039318/tm219359d2_ex10-18.htm" TargetMode="External"/><Relationship Id="rId869" Type="http://schemas.openxmlformats.org/officeDocument/2006/relationships/hyperlink" Target="http://www.sec.gov/Archives/edgar/data/1811210/000110465921039318/tm219359d2_ex10-19.htm" TargetMode="External"/><Relationship Id="rId870" Type="http://schemas.openxmlformats.org/officeDocument/2006/relationships/hyperlink" Target="http://www.sec.gov/Archives/edgar/data/1811210/000110465921067006/tm219359d5_ex10-22.htm" TargetMode="External"/><Relationship Id="rId871" Type="http://schemas.openxmlformats.org/officeDocument/2006/relationships/hyperlink" Target="http://www.sec.gov/Archives/edgar/data/1811210/000110465921067006/tm219359d5_ex10-23.htm" TargetMode="External"/><Relationship Id="rId872" Type="http://schemas.openxmlformats.org/officeDocument/2006/relationships/hyperlink" Target="http://www.sec.gov/Archives/edgar/data/1811210/000110465921067006/tm219359d5_ex10-24.htm" TargetMode="External"/><Relationship Id="rId873" Type="http://schemas.openxmlformats.org/officeDocument/2006/relationships/hyperlink" Target="http://www.sec.gov/Archives/edgar/data/1811210/000110465921067006/tm219359d5_ex10-25.htm" TargetMode="External"/><Relationship Id="rId874" Type="http://schemas.openxmlformats.org/officeDocument/2006/relationships/hyperlink" Target="http://www.sec.gov/Archives/edgar/data/1811210/000110465921095842/tm2120294d5_ex10-25.htm" TargetMode="External"/><Relationship Id="rId875" Type="http://schemas.openxmlformats.org/officeDocument/2006/relationships/hyperlink" Target="http://www.sec.gov/Archives/edgar/data/1811210/000110465921095842/tm2120294d5_ex10-26.htm" TargetMode="External"/><Relationship Id="rId876" Type="http://schemas.openxmlformats.org/officeDocument/2006/relationships/hyperlink" Target="http://www.sec.gov/Archives/edgar/data/1811210/000110465921095842/tm2120294d5_ex10-27.htm" TargetMode="External"/><Relationship Id="rId877" Type="http://schemas.openxmlformats.org/officeDocument/2006/relationships/hyperlink" Target="http://www.sec.gov/Archives/edgar/data/1811210/000110465921095842/tm2120294d5_ex14-1.htm" TargetMode="External"/><Relationship Id="rId878" Type="http://schemas.openxmlformats.org/officeDocument/2006/relationships/hyperlink" Target="http://www.sec.gov/Archives/edgar/data/1811210/000110465921095842/tm2120294d5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2021-08-02T05:33:52Z</dcterms:created>
  <dcterms:modified xsi:type="dcterms:W3CDTF">2021-08-02T05:33:52Z</dcterms:modified>
</cp:coreProperties>
</file>