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Times New Roman;serif" w:hAnsi="Times New Roman;serif"/>
          <w:b/>
          <w:color w:val="000000"/>
          <w:sz w:val="28"/>
        </w:rPr>
      </w:pPr>
      <w:r>
        <w:rPr>
          <w:rFonts w:ascii="Times New Roman;serif" w:hAnsi="Times New Roman;serif"/>
          <w:b/>
          <w:color w:val="000000"/>
          <w:sz w:val="28"/>
        </w:rPr>
        <w:t>UNITED STATES SECURITIES AND EXCHANGE COMMISSION</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60" w:after="283"/>
        <w:jc w:val="center"/>
        <w:rPr/>
      </w:pPr>
      <w:r>
        <w:rPr>
          <w:rFonts w:ascii="Times New Roman;serif" w:hAnsi="Times New Roman;serif"/>
          <w:b/>
          <w:color w:val="000000"/>
          <w:sz w:val="28"/>
        </w:rPr>
        <w:t>FORM</w:t>
      </w:r>
      <w:r>
        <w:rPr>
          <w:color w:val="000000"/>
        </w:rPr>
        <w:t xml:space="preserve"> </w:t>
      </w:r>
      <w:r>
        <w:rPr>
          <w:rFonts w:ascii="Times New Roman;serif" w:hAnsi="Times New Roman;serif"/>
          <w:b/>
          <w:color w:val="000000"/>
          <w:sz w:val="28"/>
        </w:rPr>
        <w:t>10-Q</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quarterly period ended June 30, 2026</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 the transition period from              to             </w:t>
            </w:r>
          </w:p>
        </w:tc>
      </w:tr>
    </w:tbl>
    <w:p>
      <w:pPr>
        <w:pStyle w:val="TextBody"/>
        <w:bidi w:val="0"/>
        <w:spacing w:lineRule="auto" w:line="288" w:before="100" w:after="283"/>
        <w:jc w:val="center"/>
        <w:rPr/>
      </w:pPr>
      <w:r>
        <w:rPr>
          <w:rFonts w:ascii="Times New Roman;serif" w:hAnsi="Times New Roman;serif"/>
          <w:b/>
          <w:color w:val="000000"/>
          <w:sz w:val="20"/>
        </w:rPr>
        <w:t>Commission File Number:</w:t>
      </w:r>
      <w:r>
        <w:rPr>
          <w:color w:val="000000"/>
        </w:rPr>
        <w:t xml:space="preserve"> </w:t>
      </w:r>
      <w:r>
        <w:rPr>
          <w:rFonts w:ascii="Times New Roman;serif" w:hAnsi="Times New Roman;serif"/>
          <w:b/>
          <w:color w:val="000000"/>
          <w:sz w:val="20"/>
        </w:rPr>
        <w:t>001-39408</w:t>
      </w:r>
    </w:p>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Lucid Group, Inc.</w:t>
      </w:r>
    </w:p>
    <w:p>
      <w:pPr>
        <w:pStyle w:val="TextBody"/>
        <w:bidi w:val="0"/>
        <w:spacing w:lineRule="auto" w:line="288" w:before="100" w:after="283"/>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7004" w:type="dxa"/>
        <w:jc w:val="left"/>
        <w:tblInd w:w="0" w:type="dxa"/>
        <w:tblLayout w:type="fixed"/>
        <w:tblCellMar>
          <w:top w:w="28" w:type="dxa"/>
          <w:left w:w="28" w:type="dxa"/>
          <w:bottom w:w="28" w:type="dxa"/>
          <w:right w:w="28" w:type="dxa"/>
        </w:tblCellMar>
      </w:tblPr>
      <w:tblGrid>
        <w:gridCol w:w="1568"/>
        <w:gridCol w:w="1375"/>
        <w:gridCol w:w="1391"/>
        <w:gridCol w:w="780"/>
        <w:gridCol w:w="780"/>
        <w:gridCol w:w="1110"/>
      </w:tblGrid>
      <w:tr>
        <w:trPr/>
        <w:tc>
          <w:tcPr>
            <w:tcW w:w="1568"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Delaware</w:t>
            </w:r>
          </w:p>
        </w:tc>
        <w:tc>
          <w:tcPr>
            <w:tcW w:w="2670"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85-0891392</w:t>
            </w:r>
          </w:p>
        </w:tc>
      </w:tr>
      <w:tr>
        <w:trPr/>
        <w:tc>
          <w:tcPr>
            <w:tcW w:w="433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i/>
                <w:color w:val="000000"/>
                <w:sz w:val="16"/>
              </w:rPr>
            </w:pPr>
            <w:r>
              <w:rPr>
                <w:rFonts w:ascii="Times New Roman;serif" w:hAnsi="Times New Roman;serif"/>
                <w:b/>
                <w:i/>
                <w:color w:val="000000"/>
                <w:sz w:val="16"/>
              </w:rPr>
              <w:t>(State or other jurisdiction of incorporation or organization)</w:t>
            </w:r>
          </w:p>
        </w:tc>
        <w:tc>
          <w:tcPr>
            <w:tcW w:w="2670"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i/>
                <w:color w:val="000000"/>
                <w:sz w:val="16"/>
              </w:rPr>
            </w:pPr>
            <w:r>
              <w:rPr>
                <w:rFonts w:ascii="Times New Roman;serif" w:hAnsi="Times New Roman;serif"/>
                <w:b/>
                <w:i/>
                <w:color w:val="000000"/>
                <w:sz w:val="16"/>
              </w:rPr>
              <w:t>(I.R.S. Employer Identification No.)</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7373 Gateway Boulevard, Newark, CA 94560</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(Address of principal executive offices) (Zip code)</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(510) 648-3553</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(Registrant’s telephone number, including area code)</w:t>
      </w:r>
    </w:p>
    <w:p>
      <w:pPr>
        <w:pStyle w:val="TextBody"/>
        <w:bidi w:val="0"/>
        <w:spacing w:lineRule="auto" w:line="288" w:before="100" w:after="283"/>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9284" w:type="dxa"/>
        <w:jc w:val="left"/>
        <w:tblInd w:w="0" w:type="dxa"/>
        <w:tblLayout w:type="fixed"/>
        <w:tblCellMar>
          <w:top w:w="28" w:type="dxa"/>
          <w:left w:w="28" w:type="dxa"/>
          <w:bottom w:w="28" w:type="dxa"/>
          <w:right w:w="28" w:type="dxa"/>
        </w:tblCellMar>
      </w:tblPr>
      <w:tblGrid>
        <w:gridCol w:w="1371"/>
        <w:gridCol w:w="1205"/>
        <w:gridCol w:w="1219"/>
        <w:gridCol w:w="554"/>
        <w:gridCol w:w="554"/>
        <w:gridCol w:w="556"/>
        <w:gridCol w:w="1118"/>
        <w:gridCol w:w="1118"/>
        <w:gridCol w:w="1589"/>
      </w:tblGrid>
      <w:tr>
        <w:trPr/>
        <w:tc>
          <w:tcPr>
            <w:tcW w:w="1371"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6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$0.0001 par value per share</w:t>
            </w:r>
          </w:p>
        </w:tc>
        <w:tc>
          <w:tcPr>
            <w:tcW w:w="166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6"/>
              </w:rPr>
            </w:pPr>
            <w:r>
              <w:rPr>
                <w:rFonts w:ascii="Times New Roman;serif" w:hAnsi="Times New Roman;serif"/>
                <w:b w:val="false"/>
                <w:color w:val="000000"/>
                <w:sz w:val="16"/>
              </w:rPr>
              <w:t>LCID</w:t>
            </w:r>
          </w:p>
        </w:tc>
        <w:tc>
          <w:tcPr>
            <w:tcW w:w="3825" w:type="dxa"/>
            <w:gridSpan w:val="3"/>
            <w:tcBorders/>
            <w:tcMar>
              <w:top w:w="0" w:type="dxa"/>
              <w:left w:w="0" w:type="dxa"/>
              <w:bottom w:w="0" w:type="dxa"/>
              <w:right w:w="0" w:type="dxa"/>
            </w:tcMar>
            <w:vAlign w:val="center"/>
          </w:tcPr>
          <w:p>
            <w:pPr>
              <w:pStyle w:val="TableContents"/>
              <w:bidi w:val="0"/>
              <w:spacing w:lineRule="auto" w:line="312" w:before="53"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before="100" w:after="283"/>
        <w:jc w:val="both"/>
        <w:rPr/>
      </w:pPr>
      <w:r>
        <w:rPr/>
      </w:r>
    </w:p>
    <w:p>
      <w:pPr>
        <w:pStyle w:val="TextBody"/>
        <w:bidi w:val="0"/>
        <w:spacing w:lineRule="auto" w:line="288" w:before="0" w:after="0"/>
        <w:jc w:val="both"/>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Yes   </w:t>
      </w:r>
      <w:r>
        <w:rPr>
          <w:rFonts w:ascii="Wingdings;sans-serif" w:hAnsi="Wingdings;sans-serif"/>
          <w:b w:val="false"/>
          <w:color w:val="000000"/>
          <w:sz w:val="16"/>
        </w:rPr>
        <w:t>o</w:t>
      </w:r>
      <w:r>
        <w:rPr>
          <w:color w:val="000000"/>
        </w:rPr>
        <w:t>  </w:t>
      </w:r>
      <w:r>
        <w:rPr>
          <w:rFonts w:ascii="Times New Roman;serif" w:hAnsi="Times New Roman;serif"/>
          <w:b w:val="false"/>
          <w:color w:val="000000"/>
          <w:sz w:val="16"/>
        </w:rPr>
        <w:t>No</w:t>
      </w:r>
    </w:p>
    <w:p>
      <w:pPr>
        <w:pStyle w:val="TextBody"/>
        <w:bidi w:val="0"/>
        <w:spacing w:lineRule="auto" w:line="288" w:before="100" w:after="283"/>
        <w:jc w:val="both"/>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Yes    </w:t>
      </w:r>
      <w:r>
        <w:rPr>
          <w:rFonts w:ascii="Wingdings;sans-serif" w:hAnsi="Wingdings;sans-serif"/>
          <w:b w:val="false"/>
          <w:color w:val="000000"/>
          <w:sz w:val="16"/>
        </w:rPr>
        <w:t>o</w:t>
      </w:r>
      <w:r>
        <w:rPr>
          <w:color w:val="000000"/>
        </w:rPr>
        <w:t>  </w:t>
      </w:r>
      <w:r>
        <w:rPr>
          <w:rFonts w:ascii="Times New Roman;serif" w:hAnsi="Times New Roman;serif"/>
          <w:b w:val="false"/>
          <w:color w:val="000000"/>
          <w:sz w:val="16"/>
        </w:rPr>
        <w:t>No</w:t>
      </w:r>
    </w:p>
    <w:p>
      <w:pPr>
        <w:pStyle w:val="TextBody"/>
        <w:bidi w:val="0"/>
        <w:spacing w:lineRule="auto" w:line="288" w:before="100" w:after="283"/>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77"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109"/>
        <w:gridCol w:w="109"/>
        <w:gridCol w:w="109"/>
        <w:gridCol w:w="109"/>
        <w:gridCol w:w="109"/>
        <w:gridCol w:w="109"/>
        <w:gridCol w:w="694"/>
        <w:gridCol w:w="694"/>
        <w:gridCol w:w="69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333" w:before="53" w:after="30"/>
              <w:jc w:val="both"/>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right"/>
              <w:rPr>
                <w:rFonts w:ascii="Wingdings;sans-serif" w:hAnsi="Wingdings;sans-serif"/>
                <w:b w:val="false"/>
                <w:color w:val="000000"/>
                <w:sz w:val="16"/>
              </w:rPr>
            </w:pPr>
            <w:r>
              <w:rPr>
                <w:rFonts w:ascii="Wingdings;sans-serif" w:hAnsi="Wingdings;sans-serif"/>
                <w:b w:val="false"/>
                <w:color w:val="000000"/>
                <w:sz w:val="16"/>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120" w:after="283"/>
              <w:jc w:val="righ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333" w:before="53" w:after="30"/>
              <w:jc w:val="both"/>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right"/>
              <w:rPr>
                <w:rFonts w:ascii="Wingdings;sans-serif" w:hAnsi="Wingdings;sans-serif"/>
                <w:b w:val="false"/>
                <w:color w:val="000000"/>
                <w:sz w:val="16"/>
              </w:rPr>
            </w:pPr>
            <w:r>
              <w:rPr>
                <w:rFonts w:ascii="Wingdings;sans-serif" w:hAnsi="Wingdings;sans-serif"/>
                <w:b w:val="false"/>
                <w:color w:val="000000"/>
                <w:sz w:val="16"/>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333" w:before="53" w:after="30"/>
              <w:jc w:val="both"/>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right"/>
              <w:rPr>
                <w:rFonts w:ascii="Wingdings;sans-serif" w:hAnsi="Wingdings;sans-serif"/>
                <w:b w:val="false"/>
                <w:color w:val="000000"/>
                <w:sz w:val="16"/>
              </w:rPr>
            </w:pPr>
            <w:r>
              <w:rPr>
                <w:rFonts w:ascii="Wingdings;sans-serif" w:hAnsi="Wingdings;sans-serif"/>
                <w:b w:val="false"/>
                <w:color w:val="000000"/>
                <w:sz w:val="16"/>
              </w:rPr>
              <w:t>o</w:t>
            </w:r>
          </w:p>
        </w:tc>
      </w:tr>
    </w:tbl>
    <w:p>
      <w:pPr>
        <w:pStyle w:val="TextBody"/>
        <w:bidi w:val="0"/>
        <w:spacing w:lineRule="auto" w:line="288" w:before="100" w:after="283"/>
        <w:jc w:val="both"/>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100" w:after="283"/>
        <w:jc w:val="both"/>
        <w:rPr/>
      </w:pPr>
      <w:r>
        <w:rPr>
          <w:rFonts w:ascii="Times New Roman;serif" w:hAnsi="Times New Roman;serif"/>
          <w:b w:val="false"/>
          <w:color w:val="000000"/>
          <w:sz w:val="16"/>
        </w:rPr>
        <w:t xml:space="preserve">Indicate by check mark whether the registrant is a shell company (as defined in Rule 12b-2 of the Exchange Act). </w:t>
      </w:r>
      <w:r>
        <w:rPr>
          <w:rFonts w:ascii="Wingdings;sans-serif" w:hAnsi="Wingdings;sans-serif"/>
          <w:b w:val="false"/>
          <w:color w:val="000000"/>
          <w:sz w:val="16"/>
        </w:rPr>
        <w:t>o</w:t>
      </w:r>
      <w:r>
        <w:rPr>
          <w:color w:val="000000"/>
        </w:rPr>
        <w:t>  </w:t>
      </w:r>
      <w:r>
        <w:rPr>
          <w:rFonts w:ascii="Times New Roman;serif" w:hAnsi="Times New Roman;serif"/>
          <w:b w:val="false"/>
          <w:color w:val="000000"/>
          <w:sz w:val="16"/>
        </w:rPr>
        <w:t>Yes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No</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Number of shares of the registrant’s common stock outstanding on July 29, 2026: 394,070,176</w:t>
      </w:r>
    </w:p>
    <w:p>
      <w:pPr>
        <w:pStyle w:val="TextBody"/>
        <w:bidi w:val="0"/>
        <w:spacing w:before="0" w:after="0"/>
        <w:jc w:val="both"/>
        <w:rPr/>
      </w:pPr>
      <w:r>
        <w:rPr/>
      </w:r>
    </w:p>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INDEX TO FORM 10-Q</w:t>
      </w:r>
    </w:p>
    <w:tbl>
      <w:tblPr>
        <w:tblW w:w="10205" w:type="dxa"/>
        <w:jc w:val="center"/>
        <w:tblInd w:w="0" w:type="dxa"/>
        <w:tblLayout w:type="fixed"/>
        <w:tblCellMar>
          <w:top w:w="28" w:type="dxa"/>
          <w:left w:w="28" w:type="dxa"/>
          <w:bottom w:w="28" w:type="dxa"/>
          <w:right w:w="28" w:type="dxa"/>
        </w:tblCellMar>
      </w:tblPr>
      <w:tblGrid>
        <w:gridCol w:w="284"/>
        <w:gridCol w:w="249"/>
        <w:gridCol w:w="249"/>
        <w:gridCol w:w="249"/>
        <w:gridCol w:w="249"/>
        <w:gridCol w:w="249"/>
        <w:gridCol w:w="2692"/>
        <w:gridCol w:w="2692"/>
        <w:gridCol w:w="2747"/>
        <w:gridCol w:w="158"/>
        <w:gridCol w:w="158"/>
        <w:gridCol w:w="229"/>
      </w:tblGrid>
      <w:tr>
        <w:trPr/>
        <w:tc>
          <w:tcPr>
            <w:tcW w:w="28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9660"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3fde11c0f1624a999596a2d901f4bcf4_274">
              <w:r>
                <w:rPr>
                  <w:rStyle w:val="InternetLink"/>
                  <w:rFonts w:ascii="Times New Roman;serif" w:hAnsi="Times New Roman;serif"/>
                  <w:b w:val="false"/>
                  <w:color w:val="0E32E1"/>
                  <w:sz w:val="20"/>
                  <w:u w:val="single"/>
                </w:rPr>
                <w:t>PART I. FINANCIAL INFORMATION</w:t>
              </w:r>
            </w:hyperlink>
          </w:p>
        </w:tc>
        <w:tc>
          <w:tcPr>
            <w:tcW w:w="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de11c0f1624a999596a2d901f4bcf4_10">
              <w:r>
                <w:rPr>
                  <w:rStyle w:val="InternetLink"/>
                  <w:rFonts w:ascii="Times New Roman;serif" w:hAnsi="Times New Roman;serif"/>
                  <w:b w:val="false"/>
                  <w:color w:val="0E32E1"/>
                  <w:sz w:val="20"/>
                  <w:u w:val="single"/>
                </w:rPr>
                <w:t>Cautionary Note Regarding Forward-Looking Statements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de11c0f1624a999596a2d901f4bcf4_10">
              <w:r>
                <w:rPr>
                  <w:rStyle w:val="InternetLink"/>
                  <w:rFonts w:ascii="Times New Roman;serif" w:hAnsi="Times New Roman;serif"/>
                  <w:b w:val="false"/>
                  <w:strike w:val="false"/>
                  <w:dstrike w:val="false"/>
                  <w:color w:val="242424"/>
                  <w:sz w:val="20"/>
                  <w:u w:val="none"/>
                  <w:effect w:val="none"/>
                </w:rPr>
                <w:t>3</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de11c0f1624a999596a2d901f4bcf4_13">
              <w:r>
                <w:rPr>
                  <w:rStyle w:val="InternetLink"/>
                  <w:rFonts w:ascii="Times New Roman;serif" w:hAnsi="Times New Roman;serif"/>
                  <w:b w:val="false"/>
                  <w:color w:val="0E32E1"/>
                  <w:sz w:val="20"/>
                  <w:u w:val="single"/>
                </w:rPr>
                <w:t>Frequently Used Terms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de11c0f1624a999596a2d901f4bcf4_13">
              <w:r>
                <w:rPr>
                  <w:rStyle w:val="InternetLink"/>
                  <w:rFonts w:ascii="Times New Roman;serif" w:hAnsi="Times New Roman;serif"/>
                  <w:b w:val="false"/>
                  <w:strike w:val="false"/>
                  <w:dstrike w:val="false"/>
                  <w:color w:val="000000"/>
                  <w:sz w:val="20"/>
                  <w:u w:val="none"/>
                  <w:effect w:val="none"/>
                </w:rPr>
                <w:t>4</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de11c0f1624a999596a2d901f4bcf4_19">
              <w:r>
                <w:rPr>
                  <w:rStyle w:val="InternetLink"/>
                  <w:rFonts w:ascii="Times New Roman;serif" w:hAnsi="Times New Roman;serif"/>
                  <w:b w:val="false"/>
                  <w:color w:val="0E32E1"/>
                  <w:sz w:val="20"/>
                  <w:u w:val="single"/>
                </w:rPr>
                <w:t>Condensed Consolidated Financial Statements (Unaudited)</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de11c0f1624a999596a2d901f4bcf4_19">
              <w:r>
                <w:rPr>
                  <w:rStyle w:val="InternetLink"/>
                  <w:rFonts w:ascii="Times New Roman;serif" w:hAnsi="Times New Roman;serif"/>
                  <w:b w:val="false"/>
                  <w:strike w:val="false"/>
                  <w:dstrike w:val="false"/>
                  <w:color w:val="000000"/>
                  <w:sz w:val="20"/>
                  <w:u w:val="none"/>
                  <w:effect w:val="none"/>
                </w:rPr>
                <w:t>6</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de11c0f1624a999596a2d901f4bcf4_22">
              <w:r>
                <w:rPr>
                  <w:rStyle w:val="InternetLink"/>
                  <w:rFonts w:ascii="Times New Roman;serif" w:hAnsi="Times New Roman;serif"/>
                  <w:b w:val="false"/>
                  <w:color w:val="000080"/>
                  <w:sz w:val="20"/>
                  <w:u w:val="single"/>
                </w:rPr>
                <w:t xml:space="preserve">Condensed Consolidated Balance Sheets as of </w:t>
              </w:r>
            </w:hyperlink>
            <w:hyperlink w:anchor="i3fde11c0f1624a999596a2d901f4bcf4_22">
              <w:r>
                <w:rPr>
                  <w:rStyle w:val="InternetLink"/>
                  <w:rFonts w:ascii="Times New Roman;serif" w:hAnsi="Times New Roman;serif"/>
                  <w:b w:val="false"/>
                  <w:color w:val="000080"/>
                  <w:sz w:val="20"/>
                  <w:u w:val="single"/>
                </w:rPr>
                <w:t>June</w:t>
              </w:r>
            </w:hyperlink>
            <w:hyperlink w:anchor="i3fde11c0f1624a999596a2d901f4bcf4_22">
              <w:r>
                <w:rPr>
                  <w:rStyle w:val="InternetLink"/>
                  <w:rFonts w:ascii="Times New Roman;serif" w:hAnsi="Times New Roman;serif"/>
                  <w:b w:val="false"/>
                  <w:color w:val="000080"/>
                  <w:sz w:val="20"/>
                  <w:u w:val="single"/>
                </w:rPr>
                <w:t xml:space="preserve"> 3</w:t>
              </w:r>
            </w:hyperlink>
            <w:hyperlink w:anchor="i3fde11c0f1624a999596a2d901f4bcf4_22">
              <w:r>
                <w:rPr>
                  <w:rStyle w:val="InternetLink"/>
                  <w:rFonts w:ascii="Times New Roman;serif" w:hAnsi="Times New Roman;serif"/>
                  <w:b w:val="false"/>
                  <w:color w:val="000080"/>
                  <w:sz w:val="20"/>
                  <w:u w:val="single"/>
                </w:rPr>
                <w:t>0</w:t>
              </w:r>
            </w:hyperlink>
            <w:hyperlink w:anchor="i3fde11c0f1624a999596a2d901f4bcf4_22">
              <w:r>
                <w:rPr>
                  <w:rStyle w:val="InternetLink"/>
                  <w:rFonts w:ascii="Times New Roman;serif" w:hAnsi="Times New Roman;serif"/>
                  <w:b w:val="false"/>
                  <w:color w:val="000080"/>
                  <w:sz w:val="20"/>
                  <w:u w:val="single"/>
                </w:rPr>
                <w:t>, 2026 and December 31, 2025 (Unaudited)</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de11c0f1624a999596a2d901f4bcf4_22">
              <w:r>
                <w:rPr>
                  <w:rStyle w:val="InternetLink"/>
                  <w:rFonts w:ascii="Times New Roman;serif" w:hAnsi="Times New Roman;serif"/>
                  <w:b w:val="false"/>
                  <w:strike w:val="false"/>
                  <w:dstrike w:val="false"/>
                  <w:color w:val="000000"/>
                  <w:sz w:val="20"/>
                  <w:u w:val="none"/>
                  <w:effect w:val="none"/>
                </w:rPr>
                <w:t>6</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de11c0f1624a999596a2d901f4bcf4_25">
              <w:r>
                <w:rPr>
                  <w:rStyle w:val="InternetLink"/>
                  <w:rFonts w:ascii="Times New Roman;serif" w:hAnsi="Times New Roman;serif"/>
                  <w:b w:val="false"/>
                  <w:color w:val="000080"/>
                  <w:sz w:val="20"/>
                  <w:u w:val="single"/>
                </w:rPr>
                <w:t xml:space="preserve">Condensed Consolidated Statements of Operations and Comprehensive Loss for the Three </w:t>
              </w:r>
            </w:hyperlink>
            <w:hyperlink w:anchor="i3fde11c0f1624a999596a2d901f4bcf4_25">
              <w:r>
                <w:rPr>
                  <w:rStyle w:val="InternetLink"/>
                  <w:rFonts w:ascii="Times New Roman;serif" w:hAnsi="Times New Roman;serif"/>
                  <w:b w:val="false"/>
                  <w:color w:val="000080"/>
                  <w:sz w:val="20"/>
                  <w:u w:val="single"/>
                </w:rPr>
                <w:t xml:space="preserve">and Six </w:t>
              </w:r>
            </w:hyperlink>
            <w:hyperlink w:anchor="i3fde11c0f1624a999596a2d901f4bcf4_25">
              <w:r>
                <w:rPr>
                  <w:rStyle w:val="InternetLink"/>
                  <w:rFonts w:ascii="Times New Roman;serif" w:hAnsi="Times New Roman;serif"/>
                  <w:b w:val="false"/>
                  <w:color w:val="000080"/>
                  <w:sz w:val="20"/>
                  <w:u w:val="single"/>
                </w:rPr>
                <w:t xml:space="preserve">Months Ended </w:t>
              </w:r>
            </w:hyperlink>
            <w:hyperlink w:anchor="i3fde11c0f1624a999596a2d901f4bcf4_25">
              <w:r>
                <w:rPr>
                  <w:rStyle w:val="InternetLink"/>
                  <w:rFonts w:ascii="Times New Roman;serif" w:hAnsi="Times New Roman;serif"/>
                  <w:b w:val="false"/>
                  <w:color w:val="000080"/>
                  <w:sz w:val="20"/>
                  <w:u w:val="single"/>
                </w:rPr>
                <w:t>June</w:t>
              </w:r>
            </w:hyperlink>
            <w:hyperlink w:anchor="i3fde11c0f1624a999596a2d901f4bcf4_25">
              <w:r>
                <w:rPr>
                  <w:rStyle w:val="InternetLink"/>
                  <w:rFonts w:ascii="Times New Roman;serif" w:hAnsi="Times New Roman;serif"/>
                  <w:b w:val="false"/>
                  <w:color w:val="000080"/>
                  <w:sz w:val="20"/>
                  <w:u w:val="single"/>
                </w:rPr>
                <w:t xml:space="preserve"> 3</w:t>
              </w:r>
            </w:hyperlink>
            <w:hyperlink w:anchor="i3fde11c0f1624a999596a2d901f4bcf4_25">
              <w:r>
                <w:rPr>
                  <w:rStyle w:val="InternetLink"/>
                  <w:rFonts w:ascii="Times New Roman;serif" w:hAnsi="Times New Roman;serif"/>
                  <w:b w:val="false"/>
                  <w:color w:val="000080"/>
                  <w:sz w:val="20"/>
                  <w:u w:val="single"/>
                </w:rPr>
                <w:t>0</w:t>
              </w:r>
            </w:hyperlink>
            <w:hyperlink w:anchor="i3fde11c0f1624a999596a2d901f4bcf4_25">
              <w:r>
                <w:rPr>
                  <w:rStyle w:val="InternetLink"/>
                  <w:rFonts w:ascii="Times New Roman;serif" w:hAnsi="Times New Roman;serif"/>
                  <w:b w:val="false"/>
                  <w:color w:val="000080"/>
                  <w:sz w:val="20"/>
                  <w:u w:val="single"/>
                </w:rPr>
                <w:t>, 2026 and 2025 (Unaudited)</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de11c0f1624a999596a2d901f4bcf4_25">
              <w:r>
                <w:rPr>
                  <w:rStyle w:val="InternetLink"/>
                  <w:rFonts w:ascii="Times New Roman;serif" w:hAnsi="Times New Roman;serif"/>
                  <w:b w:val="false"/>
                  <w:strike w:val="false"/>
                  <w:dstrike w:val="false"/>
                  <w:color w:val="000000"/>
                  <w:sz w:val="20"/>
                  <w:u w:val="none"/>
                  <w:effect w:val="none"/>
                </w:rPr>
                <w:t>7</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de11c0f1624a999596a2d901f4bcf4_31">
              <w:r>
                <w:rPr>
                  <w:rStyle w:val="InternetLink"/>
                  <w:rFonts w:ascii="Times New Roman;serif" w:hAnsi="Times New Roman;serif"/>
                  <w:b w:val="false"/>
                  <w:color w:val="000080"/>
                  <w:sz w:val="20"/>
                  <w:u w:val="single"/>
                </w:rPr>
                <w:t>Condensed Consolidated Statements of Redeemable Convertible Preferred Stock and Stockholders’ Equity</w:t>
              </w:r>
            </w:hyperlink>
            <w:hyperlink w:anchor="i3fde11c0f1624a999596a2d901f4bcf4_31">
              <w:r>
                <w:rPr>
                  <w:rStyle w:val="InternetLink"/>
                  <w:rFonts w:ascii="Times New Roman;serif" w:hAnsi="Times New Roman;serif"/>
                  <w:b w:val="false"/>
                  <w:color w:val="000080"/>
                  <w:sz w:val="20"/>
                  <w:u w:val="single"/>
                </w:rPr>
                <w:t xml:space="preserve"> </w:t>
              </w:r>
            </w:hyperlink>
            <w:hyperlink w:anchor="i3fde11c0f1624a999596a2d901f4bcf4_31">
              <w:r>
                <w:rPr>
                  <w:rStyle w:val="InternetLink"/>
                  <w:rFonts w:ascii="Times New Roman;serif" w:hAnsi="Times New Roman;serif"/>
                  <w:b w:val="false"/>
                  <w:color w:val="000080"/>
                  <w:sz w:val="20"/>
                  <w:u w:val="single"/>
                </w:rPr>
                <w:t>(</w:t>
              </w:r>
            </w:hyperlink>
            <w:hyperlink w:anchor="i3fde11c0f1624a999596a2d901f4bcf4_31">
              <w:r>
                <w:rPr>
                  <w:rStyle w:val="InternetLink"/>
                  <w:rFonts w:ascii="Times New Roman;serif" w:hAnsi="Times New Roman;serif"/>
                  <w:b w:val="false"/>
                  <w:color w:val="000080"/>
                  <w:sz w:val="20"/>
                  <w:u w:val="single"/>
                </w:rPr>
                <w:t>D</w:t>
              </w:r>
            </w:hyperlink>
            <w:hyperlink w:anchor="i3fde11c0f1624a999596a2d901f4bcf4_31">
              <w:r>
                <w:rPr>
                  <w:rStyle w:val="InternetLink"/>
                  <w:rFonts w:ascii="Times New Roman;serif" w:hAnsi="Times New Roman;serif"/>
                  <w:b w:val="false"/>
                  <w:color w:val="000080"/>
                  <w:sz w:val="20"/>
                  <w:u w:val="single"/>
                </w:rPr>
                <w:t>eficit</w:t>
              </w:r>
            </w:hyperlink>
            <w:hyperlink w:anchor="i3fde11c0f1624a999596a2d901f4bcf4_31">
              <w:r>
                <w:rPr>
                  <w:rStyle w:val="InternetLink"/>
                  <w:rFonts w:ascii="Times New Roman;serif" w:hAnsi="Times New Roman;serif"/>
                  <w:b w:val="false"/>
                  <w:color w:val="000080"/>
                  <w:sz w:val="20"/>
                  <w:u w:val="single"/>
                </w:rPr>
                <w:t>)</w:t>
              </w:r>
            </w:hyperlink>
            <w:hyperlink w:anchor="i3fde11c0f1624a999596a2d901f4bcf4_31">
              <w:r>
                <w:rPr>
                  <w:rStyle w:val="InternetLink"/>
                  <w:rFonts w:ascii="Times New Roman;serif" w:hAnsi="Times New Roman;serif"/>
                  <w:b w:val="false"/>
                  <w:color w:val="000080"/>
                  <w:sz w:val="20"/>
                  <w:u w:val="single"/>
                </w:rPr>
                <w:t xml:space="preserve"> for the Three </w:t>
              </w:r>
            </w:hyperlink>
            <w:hyperlink w:anchor="i3fde11c0f1624a999596a2d901f4bcf4_31">
              <w:r>
                <w:rPr>
                  <w:rStyle w:val="InternetLink"/>
                  <w:rFonts w:ascii="Times New Roman;serif" w:hAnsi="Times New Roman;serif"/>
                  <w:b w:val="false"/>
                  <w:color w:val="000080"/>
                  <w:sz w:val="20"/>
                  <w:u w:val="single"/>
                </w:rPr>
                <w:t xml:space="preserve">and Six </w:t>
              </w:r>
            </w:hyperlink>
            <w:hyperlink w:anchor="i3fde11c0f1624a999596a2d901f4bcf4_31">
              <w:r>
                <w:rPr>
                  <w:rStyle w:val="InternetLink"/>
                  <w:rFonts w:ascii="Times New Roman;serif" w:hAnsi="Times New Roman;serif"/>
                  <w:b w:val="false"/>
                  <w:color w:val="000080"/>
                  <w:sz w:val="20"/>
                  <w:u w:val="single"/>
                </w:rPr>
                <w:t xml:space="preserve">Months Ended </w:t>
              </w:r>
            </w:hyperlink>
            <w:hyperlink w:anchor="i3fde11c0f1624a999596a2d901f4bcf4_31">
              <w:r>
                <w:rPr>
                  <w:rStyle w:val="InternetLink"/>
                  <w:rFonts w:ascii="Times New Roman;serif" w:hAnsi="Times New Roman;serif"/>
                  <w:b w:val="false"/>
                  <w:color w:val="000080"/>
                  <w:sz w:val="20"/>
                  <w:u w:val="single"/>
                </w:rPr>
                <w:t>June</w:t>
              </w:r>
            </w:hyperlink>
            <w:hyperlink w:anchor="i3fde11c0f1624a999596a2d901f4bcf4_31">
              <w:r>
                <w:rPr>
                  <w:rStyle w:val="InternetLink"/>
                  <w:rFonts w:ascii="Times New Roman;serif" w:hAnsi="Times New Roman;serif"/>
                  <w:b w:val="false"/>
                  <w:color w:val="000080"/>
                  <w:sz w:val="20"/>
                  <w:u w:val="single"/>
                </w:rPr>
                <w:t xml:space="preserve"> 3</w:t>
              </w:r>
            </w:hyperlink>
            <w:hyperlink w:anchor="i3fde11c0f1624a999596a2d901f4bcf4_31">
              <w:r>
                <w:rPr>
                  <w:rStyle w:val="InternetLink"/>
                  <w:rFonts w:ascii="Times New Roman;serif" w:hAnsi="Times New Roman;serif"/>
                  <w:b w:val="false"/>
                  <w:color w:val="000080"/>
                  <w:sz w:val="20"/>
                  <w:u w:val="single"/>
                </w:rPr>
                <w:t>0</w:t>
              </w:r>
            </w:hyperlink>
            <w:hyperlink w:anchor="i3fde11c0f1624a999596a2d901f4bcf4_31">
              <w:r>
                <w:rPr>
                  <w:rStyle w:val="InternetLink"/>
                  <w:rFonts w:ascii="Times New Roman;serif" w:hAnsi="Times New Roman;serif"/>
                  <w:b w:val="false"/>
                  <w:color w:val="000080"/>
                  <w:sz w:val="20"/>
                  <w:u w:val="single"/>
                </w:rPr>
                <w:t>, 2026 and 2025 (Unaudited)</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de11c0f1624a999596a2d901f4bcf4_31">
              <w:r>
                <w:rPr>
                  <w:rStyle w:val="InternetLink"/>
                  <w:rFonts w:ascii="Times New Roman;serif" w:hAnsi="Times New Roman;serif"/>
                  <w:b w:val="false"/>
                  <w:strike w:val="false"/>
                  <w:dstrike w:val="false"/>
                  <w:color w:val="000000"/>
                  <w:sz w:val="20"/>
                  <w:u w:val="none"/>
                  <w:effect w:val="none"/>
                </w:rPr>
                <w:t>8</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de11c0f1624a999596a2d901f4bcf4_37">
              <w:r>
                <w:rPr>
                  <w:rStyle w:val="InternetLink"/>
                  <w:rFonts w:ascii="Times New Roman;serif" w:hAnsi="Times New Roman;serif"/>
                  <w:b w:val="false"/>
                  <w:color w:val="000080"/>
                  <w:sz w:val="20"/>
                  <w:u w:val="single"/>
                </w:rPr>
                <w:t xml:space="preserve">Condensed Consolidated Statements of Cash Flows for the </w:t>
              </w:r>
            </w:hyperlink>
            <w:hyperlink w:anchor="i3fde11c0f1624a999596a2d901f4bcf4_37">
              <w:r>
                <w:rPr>
                  <w:rStyle w:val="InternetLink"/>
                  <w:rFonts w:ascii="Times New Roman;serif" w:hAnsi="Times New Roman;serif"/>
                  <w:b w:val="false"/>
                  <w:color w:val="000080"/>
                  <w:sz w:val="20"/>
                  <w:u w:val="single"/>
                </w:rPr>
                <w:t>Six</w:t>
              </w:r>
            </w:hyperlink>
            <w:hyperlink w:anchor="i3fde11c0f1624a999596a2d901f4bcf4_37">
              <w:r>
                <w:rPr>
                  <w:rStyle w:val="InternetLink"/>
                  <w:rFonts w:ascii="Times New Roman;serif" w:hAnsi="Times New Roman;serif"/>
                  <w:b w:val="false"/>
                  <w:color w:val="000080"/>
                  <w:sz w:val="20"/>
                  <w:u w:val="single"/>
                </w:rPr>
                <w:t xml:space="preserve"> Months Ended </w:t>
              </w:r>
            </w:hyperlink>
            <w:hyperlink w:anchor="i3fde11c0f1624a999596a2d901f4bcf4_37">
              <w:r>
                <w:rPr>
                  <w:rStyle w:val="InternetLink"/>
                  <w:rFonts w:ascii="Times New Roman;serif" w:hAnsi="Times New Roman;serif"/>
                  <w:b w:val="false"/>
                  <w:color w:val="000080"/>
                  <w:sz w:val="20"/>
                  <w:u w:val="single"/>
                </w:rPr>
                <w:t>Jun</w:t>
              </w:r>
            </w:hyperlink>
            <w:hyperlink w:anchor="i3fde11c0f1624a999596a2d901f4bcf4_37">
              <w:r>
                <w:rPr>
                  <w:rStyle w:val="InternetLink"/>
                  <w:rFonts w:ascii="Times New Roman;serif" w:hAnsi="Times New Roman;serif"/>
                  <w:b w:val="false"/>
                  <w:color w:val="000080"/>
                  <w:sz w:val="20"/>
                  <w:u w:val="single"/>
                </w:rPr>
                <w:t>e</w:t>
              </w:r>
            </w:hyperlink>
            <w:hyperlink w:anchor="i3fde11c0f1624a999596a2d901f4bcf4_37">
              <w:r>
                <w:rPr>
                  <w:rStyle w:val="InternetLink"/>
                  <w:rFonts w:ascii="Times New Roman;serif" w:hAnsi="Times New Roman;serif"/>
                  <w:b w:val="false"/>
                  <w:color w:val="000080"/>
                  <w:sz w:val="20"/>
                  <w:u w:val="single"/>
                </w:rPr>
                <w:t xml:space="preserve"> 3</w:t>
              </w:r>
            </w:hyperlink>
            <w:hyperlink w:anchor="i3fde11c0f1624a999596a2d901f4bcf4_37">
              <w:r>
                <w:rPr>
                  <w:rStyle w:val="InternetLink"/>
                  <w:rFonts w:ascii="Times New Roman;serif" w:hAnsi="Times New Roman;serif"/>
                  <w:b w:val="false"/>
                  <w:color w:val="000080"/>
                  <w:sz w:val="20"/>
                  <w:u w:val="single"/>
                </w:rPr>
                <w:t>0</w:t>
              </w:r>
            </w:hyperlink>
            <w:hyperlink w:anchor="i3fde11c0f1624a999596a2d901f4bcf4_37">
              <w:r>
                <w:rPr>
                  <w:rStyle w:val="InternetLink"/>
                  <w:rFonts w:ascii="Times New Roman;serif" w:hAnsi="Times New Roman;serif"/>
                  <w:b w:val="false"/>
                  <w:color w:val="000080"/>
                  <w:sz w:val="20"/>
                  <w:u w:val="single"/>
                </w:rPr>
                <w:t>, 2026 and 2025 (Unaudited)</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de11c0f1624a999596a2d901f4bcf4_37">
              <w:r>
                <w:rPr>
                  <w:rStyle w:val="InternetLink"/>
                  <w:rFonts w:ascii="Times New Roman;serif" w:hAnsi="Times New Roman;serif"/>
                  <w:b w:val="false"/>
                  <w:strike w:val="false"/>
                  <w:dstrike w:val="false"/>
                  <w:color w:val="000000"/>
                  <w:sz w:val="20"/>
                  <w:u w:val="none"/>
                  <w:effect w:val="none"/>
                </w:rPr>
                <w:t>10</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de11c0f1624a999596a2d901f4bcf4_40">
              <w:r>
                <w:rPr>
                  <w:rStyle w:val="InternetLink"/>
                  <w:rFonts w:ascii="Times New Roman;serif" w:hAnsi="Times New Roman;serif"/>
                  <w:b w:val="false"/>
                  <w:color w:val="0E32E1"/>
                  <w:sz w:val="20"/>
                  <w:u w:val="single"/>
                </w:rPr>
                <w:t>Notes to Condensed Consolidated Financial Statements (Unaudited)</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de11c0f1624a999596a2d901f4bcf4_40">
              <w:r>
                <w:rPr>
                  <w:rStyle w:val="InternetLink"/>
                  <w:rFonts w:ascii="Times New Roman;serif" w:hAnsi="Times New Roman;serif"/>
                  <w:b w:val="false"/>
                  <w:strike w:val="false"/>
                  <w:dstrike w:val="false"/>
                  <w:color w:val="000000"/>
                  <w:sz w:val="20"/>
                  <w:u w:val="none"/>
                  <w:effect w:val="none"/>
                </w:rPr>
                <w:t>12</w:t>
              </w:r>
            </w:hyperlink>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de11c0f1624a999596a2d901f4bcf4_205">
              <w:r>
                <w:rPr>
                  <w:rStyle w:val="InternetLink"/>
                  <w:rFonts w:ascii="Times New Roman;serif" w:hAnsi="Times New Roman;serif"/>
                  <w:b w:val="false"/>
                  <w:color w:val="0E32E1"/>
                  <w:sz w:val="20"/>
                  <w:u w:val="single"/>
                </w:rPr>
                <w:t>Management’s Discussion and Analysis of Financial Condition and Results of Operations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de11c0f1624a999596a2d901f4bcf4_205">
              <w:r>
                <w:rPr>
                  <w:rStyle w:val="InternetLink"/>
                  <w:rFonts w:ascii="Times New Roman;serif" w:hAnsi="Times New Roman;serif"/>
                  <w:b w:val="false"/>
                  <w:strike w:val="false"/>
                  <w:dstrike w:val="false"/>
                  <w:color w:val="000000"/>
                  <w:sz w:val="20"/>
                  <w:u w:val="none"/>
                  <w:effect w:val="none"/>
                </w:rPr>
                <w:t>47</w:t>
              </w:r>
            </w:hyperlink>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de11c0f1624a999596a2d901f4bcf4_265">
              <w:r>
                <w:rPr>
                  <w:rStyle w:val="InternetLink"/>
                  <w:rFonts w:ascii="Times New Roman;serif" w:hAnsi="Times New Roman;serif"/>
                  <w:b w:val="false"/>
                  <w:color w:val="0E32E1"/>
                  <w:sz w:val="20"/>
                  <w:u w:val="single"/>
                </w:rPr>
                <w:t>Quantitative and Qualitative Disclosures About Market Risk</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de11c0f1624a999596a2d901f4bcf4_265">
              <w:r>
                <w:rPr>
                  <w:rStyle w:val="InternetLink"/>
                  <w:rFonts w:ascii="Times New Roman;serif" w:hAnsi="Times New Roman;serif"/>
                  <w:b w:val="false"/>
                  <w:strike w:val="false"/>
                  <w:dstrike w:val="false"/>
                  <w:color w:val="000000"/>
                  <w:sz w:val="20"/>
                  <w:u w:val="none"/>
                  <w:effect w:val="none"/>
                </w:rPr>
                <w:t>64</w:t>
              </w:r>
            </w:hyperlink>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de11c0f1624a999596a2d901f4bcf4_271">
              <w:r>
                <w:rPr>
                  <w:rStyle w:val="InternetLink"/>
                  <w:rFonts w:ascii="Times New Roman;serif" w:hAnsi="Times New Roman;serif"/>
                  <w:b w:val="false"/>
                  <w:color w:val="0E32E1"/>
                  <w:sz w:val="20"/>
                  <w:u w:val="single"/>
                </w:rPr>
                <w:t>Controls and Procedures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de11c0f1624a999596a2d901f4bcf4_271">
              <w:r>
                <w:rPr>
                  <w:rStyle w:val="InternetLink"/>
                  <w:rFonts w:ascii="Times New Roman;serif" w:hAnsi="Times New Roman;serif"/>
                  <w:b w:val="false"/>
                  <w:strike w:val="false"/>
                  <w:dstrike w:val="false"/>
                  <w:color w:val="000000"/>
                  <w:sz w:val="20"/>
                  <w:u w:val="none"/>
                  <w:effect w:val="none"/>
                </w:rPr>
                <w:t>65</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0"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3fde11c0f1624a999596a2d901f4bcf4_274">
              <w:r>
                <w:rPr>
                  <w:rStyle w:val="InternetLink"/>
                  <w:rFonts w:ascii="Times New Roman;serif" w:hAnsi="Times New Roman;serif"/>
                  <w:b w:val="false"/>
                  <w:color w:val="0E32E1"/>
                  <w:sz w:val="20"/>
                  <w:u w:val="single"/>
                </w:rPr>
                <w:t>PART II. OTHER INFORMATION</w:t>
              </w:r>
            </w:hyperlink>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de11c0f1624a999596a2d901f4bcf4_277">
              <w:r>
                <w:rPr>
                  <w:rStyle w:val="InternetLink"/>
                  <w:rFonts w:ascii="Times New Roman;serif" w:hAnsi="Times New Roman;serif"/>
                  <w:b w:val="false"/>
                  <w:color w:val="0E32E1"/>
                  <w:sz w:val="20"/>
                  <w:u w:val="single"/>
                </w:rPr>
                <w:t>Legal Proceedings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de11c0f1624a999596a2d901f4bcf4_277">
              <w:r>
                <w:rPr>
                  <w:rStyle w:val="InternetLink"/>
                  <w:rFonts w:ascii="Times New Roman;serif" w:hAnsi="Times New Roman;serif"/>
                  <w:b w:val="false"/>
                  <w:strike w:val="false"/>
                  <w:dstrike w:val="false"/>
                  <w:color w:val="000000"/>
                  <w:sz w:val="20"/>
                  <w:u w:val="none"/>
                  <w:effect w:val="none"/>
                </w:rPr>
                <w:t>66</w:t>
              </w:r>
            </w:hyperlink>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de11c0f1624a999596a2d901f4bcf4_280">
              <w:r>
                <w:rPr>
                  <w:rStyle w:val="InternetLink"/>
                  <w:rFonts w:ascii="Times New Roman;serif" w:hAnsi="Times New Roman;serif"/>
                  <w:b w:val="false"/>
                  <w:color w:val="0E32E1"/>
                  <w:sz w:val="20"/>
                  <w:u w:val="single"/>
                </w:rPr>
                <w:t>Risk Factors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de11c0f1624a999596a2d901f4bcf4_280">
              <w:r>
                <w:rPr>
                  <w:rStyle w:val="InternetLink"/>
                  <w:rFonts w:ascii="Times New Roman;serif" w:hAnsi="Times New Roman;serif"/>
                  <w:b w:val="false"/>
                  <w:strike w:val="false"/>
                  <w:dstrike w:val="false"/>
                  <w:color w:val="000000"/>
                  <w:sz w:val="20"/>
                  <w:u w:val="none"/>
                  <w:effect w:val="none"/>
                </w:rPr>
                <w:t>66</w:t>
              </w:r>
            </w:hyperlink>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de11c0f1624a999596a2d901f4bcf4_313">
              <w:r>
                <w:rPr>
                  <w:rStyle w:val="InternetLink"/>
                  <w:rFonts w:ascii="Times New Roman;serif" w:hAnsi="Times New Roman;serif"/>
                  <w:b w:val="false"/>
                  <w:color w:val="0E32E1"/>
                  <w:sz w:val="20"/>
                  <w:u w:val="single"/>
                </w:rPr>
                <w:t>Other Information</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de11c0f1624a999596a2d901f4bcf4_313">
              <w:r>
                <w:rPr>
                  <w:rStyle w:val="InternetLink"/>
                  <w:rFonts w:ascii="Times New Roman;serif" w:hAnsi="Times New Roman;serif"/>
                  <w:b w:val="false"/>
                  <w:strike w:val="false"/>
                  <w:dstrike w:val="false"/>
                  <w:color w:val="000000"/>
                  <w:sz w:val="20"/>
                  <w:u w:val="none"/>
                  <w:effect w:val="none"/>
                </w:rPr>
                <w:t>118</w:t>
              </w:r>
            </w:hyperlink>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de11c0f1624a999596a2d901f4bcf4_319">
              <w:r>
                <w:rPr>
                  <w:rStyle w:val="InternetLink"/>
                  <w:rFonts w:ascii="Times New Roman;serif" w:hAnsi="Times New Roman;serif"/>
                  <w:b w:val="false"/>
                  <w:color w:val="0E32E1"/>
                  <w:sz w:val="20"/>
                  <w:u w:val="single"/>
                </w:rPr>
                <w:t>Exhibits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de11c0f1624a999596a2d901f4bcf4_319">
              <w:r>
                <w:rPr>
                  <w:rStyle w:val="InternetLink"/>
                  <w:rFonts w:ascii="Times New Roman;serif" w:hAnsi="Times New Roman;serif"/>
                  <w:b w:val="false"/>
                  <w:strike w:val="false"/>
                  <w:dstrike w:val="false"/>
                  <w:color w:val="000000"/>
                  <w:sz w:val="20"/>
                  <w:u w:val="none"/>
                  <w:effect w:val="none"/>
                </w:rPr>
                <w:t>118</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0"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3fde11c0f1624a999596a2d901f4bcf4_322">
              <w:r>
                <w:rPr>
                  <w:rStyle w:val="InternetLink"/>
                  <w:rFonts w:ascii="Times New Roman;serif" w:hAnsi="Times New Roman;serif"/>
                  <w:b w:val="false"/>
                  <w:color w:val="0E32E1"/>
                  <w:sz w:val="20"/>
                  <w:u w:val="single"/>
                </w:rPr>
                <w:t>SIGNATURES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de11c0f1624a999596a2d901f4bcf4_322">
              <w:r>
                <w:rPr>
                  <w:rStyle w:val="InternetLink"/>
                  <w:rFonts w:ascii="Times New Roman;serif" w:hAnsi="Times New Roman;serif"/>
                  <w:b w:val="false"/>
                  <w:strike w:val="false"/>
                  <w:dstrike w:val="false"/>
                  <w:color w:val="000000"/>
                  <w:sz w:val="20"/>
                  <w:u w:val="none"/>
                  <w:effect w:val="none"/>
                </w:rPr>
                <w:t>120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CAUTIONARY NOTE REGARDING FORWARD-LOOKING STATEMENTS</w:t>
      </w:r>
    </w:p>
    <w:p>
      <w:pPr>
        <w:pStyle w:val="TextBody"/>
        <w:bidi w:val="0"/>
        <w:spacing w:lineRule="auto" w:line="288" w:before="240" w:after="283"/>
        <w:jc w:val="left"/>
        <w:rPr/>
      </w:pPr>
      <w:r>
        <w:rPr>
          <w:rFonts w:ascii="Times New Roman;serif" w:hAnsi="Times New Roman;serif"/>
          <w:b w:val="false"/>
          <w:color w:val="000000"/>
          <w:sz w:val="20"/>
        </w:rPr>
        <w:t>This Quarterly</w:t>
      </w:r>
      <w:r>
        <w:rPr>
          <w:color w:val="000000"/>
          <w:shd w:fill="FFFFFF" w:val="clear"/>
        </w:rPr>
        <w:t xml:space="preserve"> </w:t>
      </w:r>
      <w:r>
        <w:rPr>
          <w:rFonts w:ascii="Times New Roman;serif" w:hAnsi="Times New Roman;serif"/>
          <w:b w:val="false"/>
          <w:color w:val="000000"/>
          <w:sz w:val="20"/>
          <w:shd w:fill="FFFFFF" w:val="clear"/>
        </w:rPr>
        <w:t xml:space="preserve">Report on Form 10-Q </w:t>
      </w:r>
      <w:r>
        <w:rPr>
          <w:rFonts w:ascii="Times New Roman;serif" w:hAnsi="Times New Roman;serif"/>
          <w:b w:val="false"/>
          <w:color w:val="000000"/>
          <w:sz w:val="20"/>
        </w:rPr>
        <w:t>contains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(the “Securities Act”), and Section 21E of the Securities Exchange Act of 1934, as amended (the “Exchange Act”). Forward-looking statements may be identified by the use of words such as “estimate,” “plan,” “project,” “forecast,” “intend,” “will,” “shall,” “expect,” “anticipate,” “believe,” “seek,” “target,” “continue,” “could,” “may,” “might,” “possible,” “potential,” “predict,” “scheduled,” “aiming,” “targeting,” “objective,” “focus,” “strategic” or other similar expressions that predict or indicate future events or trends or that are not statements of historical matters. They appear in a number of places throughout this Quarterly</w:t>
      </w:r>
      <w:r>
        <w:rPr>
          <w:color w:val="000000"/>
          <w:shd w:fill="FFFFFF" w:val="clear"/>
        </w:rPr>
        <w:t xml:space="preserve"> </w:t>
      </w:r>
      <w:r>
        <w:rPr>
          <w:rFonts w:ascii="Times New Roman;serif" w:hAnsi="Times New Roman;serif"/>
          <w:b w:val="false"/>
          <w:color w:val="000000"/>
          <w:sz w:val="20"/>
          <w:shd w:fill="FFFFFF" w:val="clear"/>
        </w:rPr>
        <w:t xml:space="preserve">Report on Form 10-Q </w:t>
      </w:r>
      <w:r>
        <w:rPr>
          <w:rFonts w:ascii="Times New Roman;serif" w:hAnsi="Times New Roman;serif"/>
          <w:b w:val="false"/>
          <w:color w:val="000000"/>
          <w:sz w:val="20"/>
        </w:rPr>
        <w:t>and include, but are not limited to, statements regarding our intentions, beliefs or current expectations concerning, among other things, results of operations, financial condition, liquidity, capital expenditures, cash flow improvement plan, expected savings, prospects, growth, production volumes, strategies, management, and the markets in which we operate, including expectations of financial and operational metrics, projections of market opportunity, market share and product sales, expectations and timing related to commercial product launches, future strategies and products, including with respect to battery and powertrain systems, software, and strategic partnerships, technology features and capabilities, manufacturing capabilities and facilities, logistics and supply chain, studio openings, sales channels and strategies, changes to future or existing vehicle programs, expansion and the potential success of our distribution strategy, our financial and operating outlook, future market launches and international expansion, including our manufacturing facility in Saudi Arabia and related timing and value to us, our needs for additional financing, and the promise of Lucid’s technology. Such forward-looking statements are based on currently available market material and our current expectations, beliefs and forecasts concerning future developments. Factors that may impact such forward-looking statements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changes in domestic and foreign business, economic, market, financial, political, regulatory and legal conditions, including changes in policies, imposition or proposed imposition of tariffs, export controls, threat of a trade war, the risk of a global economic recession or other downturn, bank closures and liquidity concerns at financial institutions, and global or regional conflicts or other geopolitical events, including the military operations in the Gulf region and the Middle East, and the potential escalation and broadening of the conflict in Iran;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risks related to changes in overall demand for our products and services and cancellation of orders for our vehicles;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risks related to prices and availability of commodities and components, including rare-earth minerals, semiconductors and their related products, and other materials, our supply chain, logistics, inventory management and quality control, and our ability to complete the tooling of our manufacturing facilities over time and scale production of our vehicles;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risks related to the uncertainty of our projected financial and operational information;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risks related to the timing of expected business milestones and commercial product launches;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risks related to the construction and expansion of our manufacturing facilities and the increase of our production capacity;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manage expenses and control costs, including the execution of the cash flow improvement plan;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risks related to future market adoption of our offerings;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quality, reliability, and performance of our vehicles and services;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effects of competition and the pace and depth of EV adoption generally on our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regulatory requirements, policies, and governmental incentives;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fuel and energy prices;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rapidly innovate;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enter into or maintain partnerships with original equipment manufacturers, vendors and technology providers, including our ability to realize the anticipated benefits of existing strategic partnerships, including those with Aston Martin, Uber Technologies, Inc. (“Uber”), Nuro, Inc. (“Nuro”), and NVIDIA Corporation;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effectively recruit, integrate, motivate, and retain key employees, including recent changes to our executive team;</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risks related to potential vehicle recalls;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our ability to establish and expand our brand, and capture additional market share, and the risks associated with negative press or reputational harm;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risks related to our outstanding Redeemable Convertible Preferred Stock and Convertible Senior Notes;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availability, reduction or elimination of, and our ability to obtain and effectively utilize, Zero Emission Vehicle (“ZEV”) credits, tax incentives, and other governmental and regulatory programs and incentives;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conduct equity, equity-linked, or debt financing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pay interest and principal on our indebtedness;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future changes to vehicle specifications which may impact performance, features, pricing, and other expectations;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outcome of any potential litigation, government and regulatory proceedings, investigations and inquiries;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other factors disclosed in this Quarterly</w:t>
      </w:r>
      <w:r>
        <w:rPr>
          <w:color w:val="000000"/>
          <w:shd w:fill="FFFFFF" w:val="clear"/>
        </w:rPr>
        <w:t xml:space="preserve"> </w:t>
      </w:r>
      <w:r>
        <w:rPr>
          <w:rFonts w:ascii="Times New Roman;serif" w:hAnsi="Times New Roman;serif"/>
          <w:b w:val="false"/>
          <w:color w:val="000000"/>
          <w:sz w:val="20"/>
          <w:shd w:fill="FFFFFF" w:val="clear"/>
        </w:rPr>
        <w:t xml:space="preserve">Report on Form 10-Q </w:t>
      </w:r>
      <w:r>
        <w:rPr>
          <w:rFonts w:ascii="Times New Roman;serif" w:hAnsi="Times New Roman;serif"/>
          <w:b w:val="false"/>
          <w:color w:val="000000"/>
          <w:sz w:val="20"/>
        </w:rPr>
        <w:t>or our other filings with the Securities and Exchange Commission (the “SEC”).</w:t>
      </w:r>
    </w:p>
    <w:p>
      <w:pPr>
        <w:pStyle w:val="TextBody"/>
        <w:bidi w:val="0"/>
        <w:spacing w:lineRule="auto" w:line="288" w:before="240" w:after="283"/>
        <w:jc w:val="left"/>
        <w:rPr/>
      </w:pPr>
      <w:r>
        <w:rPr>
          <w:rFonts w:ascii="Times New Roman;serif" w:hAnsi="Times New Roman;serif"/>
          <w:b w:val="false"/>
          <w:color w:val="000000"/>
          <w:sz w:val="20"/>
        </w:rPr>
        <w:t xml:space="preserve">The forward-looking statements contained in this </w:t>
      </w:r>
      <w:r>
        <w:rPr>
          <w:rFonts w:ascii="Times New Roman;serif" w:hAnsi="Times New Roman;serif"/>
          <w:b w:val="false"/>
          <w:color w:val="000000"/>
          <w:sz w:val="20"/>
          <w:shd w:fill="FFFFFF" w:val="clear"/>
        </w:rPr>
        <w:t xml:space="preserve">Quarterly Report on Form 10-Q </w:t>
      </w:r>
      <w:r>
        <w:rPr>
          <w:rFonts w:ascii="Times New Roman;serif" w:hAnsi="Times New Roman;serif"/>
          <w:b w:val="false"/>
          <w:color w:val="000000"/>
          <w:sz w:val="20"/>
        </w:rPr>
        <w:t xml:space="preserve">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Part II, Item 1A. Should one or more of these risks or uncertainties materialize, or should any of the assumptions prove incorrect, actual results may vary in material respects from those projected in these forward-looking statements. There may be additional risks that we currently do not know or that we currently believe are immaterial that could also cause actual results to differ from those contained in the forward-looking statements. In addition, forward-looking statements reflect our expectations, plans or forecasts of future events and views as of the date of this </w:t>
      </w:r>
      <w:r>
        <w:rPr>
          <w:rFonts w:ascii="Times New Roman;serif" w:hAnsi="Times New Roman;serif"/>
          <w:b w:val="false"/>
          <w:color w:val="000000"/>
          <w:sz w:val="20"/>
          <w:shd w:fill="FFFFFF" w:val="clear"/>
        </w:rPr>
        <w:t>Quarterly</w:t>
      </w:r>
      <w:r>
        <w:rPr>
          <w:color w:val="000000"/>
        </w:rPr>
        <w:t xml:space="preserve"> </w:t>
      </w:r>
      <w:r>
        <w:rPr>
          <w:rFonts w:ascii="Times New Roman;serif" w:hAnsi="Times New Roman;serif"/>
          <w:b w:val="false"/>
          <w:color w:val="000000"/>
          <w:sz w:val="20"/>
        </w:rPr>
        <w:t xml:space="preserve">Report on Form 10-Q. We do not undertake any obligation to update or revise any forward-looking statements, whether as a result of new information, future events or otherwise, except as may be required under applicable securities laws. The forward-looking statements should not be relied upon as representing our assessments as of any date subsequent to the date of this </w:t>
      </w:r>
      <w:r>
        <w:rPr>
          <w:rFonts w:ascii="Times New Roman;serif" w:hAnsi="Times New Roman;serif"/>
          <w:b w:val="false"/>
          <w:color w:val="000000"/>
          <w:sz w:val="20"/>
          <w:shd w:fill="FFFFFF" w:val="clear"/>
        </w:rPr>
        <w:t>Quarterly</w:t>
      </w:r>
      <w:r>
        <w:rPr>
          <w:color w:val="000000"/>
        </w:rPr>
        <w:t xml:space="preserve"> </w:t>
      </w:r>
      <w:r>
        <w:rPr>
          <w:rFonts w:ascii="Times New Roman;serif" w:hAnsi="Times New Roman;serif"/>
          <w:b w:val="false"/>
          <w:color w:val="000000"/>
          <w:sz w:val="20"/>
        </w:rPr>
        <w:t xml:space="preserve">Report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Frequently Used Terms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Unless otherwise stated in Item 1. Financial Statements and accompanying footnotes, or the context otherwise requires, references in this Quarterly Report on Form 10-Q to:</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2026 Notes” are to the 1.25% Convertible Senior Notes due 2026;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2030 Notes” are to the 5.00% Convertible Senior Notes due 2030;</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2031 Notes” are to the 7.00% Convertible Senior Notes due 2031;</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AMP-1” are to our Advanced Manufacturing Plant-1 in Casa Grande, Arizona;</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AMP-2” are to our planned Advanced Manufacturing Plant-2 in Saudi Arabia, which consists of a semi knocked-down (“SKD”) portion that has been completed and a completely-built-up (“CBU”) portion for which building construction is substantially completed, with remaining work focused on commissioning and fit-out activities.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Ayar” are to Ayar Third Investment Company, an affiliate of the PIF and the controlling stockholder of the Company;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Board” or “Board of Directors” are to the board of directors of Lucid Group Inc., a Delaware corporation;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Certificate of Designations” refers to Series A Certificate of Designations, Series B Certificate of Designations, and Series C Certificate of Designations, together;</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Churchill” are to Churchill Capital Corp IV, a Delaware corporation and our predecessor company prior to the consummation of the Transactions, which changed its name to Lucid Group, Inc. following the consummation of the Transactions, and its consolidated subsidiaries;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Churchill IPO” are to the initial public offering by Churchill which closed on August 3, 2020;</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Closing” are to the consummation of the Transactions;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Closing Date” are to July 23, 2021, the date on which the Transactions were consummated;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common stock” are to the Class A common stock of Lucid Group, Inc., par value $0.0001 per share;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Convertible Senior Notes” refers to the 2026 Notes, the 2030 Notes, and the 2031 Notes;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EV” are to electric vehicle;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Investor Rights Agreement” are to the Investor Rights Agreement, dated as of February 22, 2021 and as amended from time-to-time, by and among the Company, the Sponsor, Ayar and certain other parties thereto;</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Legacy Lucid” are to Atieva, Inc., d/b/a Lucid Motors, an exempted company incorporated with limited liability under the laws of the Cayman Islands, and its consolidated subsidiaries before the Closing Date;</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Times New Roman;serif" w:hAnsi="Times New Roman;serif"/>
          <w:b w:val="false"/>
          <w:color w:val="000000"/>
          <w:sz w:val="20"/>
        </w:rPr>
        <w:t>LPM-1” are to our Lucid Powertrain Manufacturing Plant-1 in Casa Grande, Arizona;</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Merger” are to the merger of a merger subsidiary of Churchill and Atieva, Inc., with Atieva, Inc. surviving such merger as a wholly owned subsidiary of Churchill;</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Merger Agreement” are to that certain Agreement and Plan of Merger, dated as of February 22, 2021, by and among Churchill, Legacy Lucid and Air Merger Sub, Inc., a Delaware corporation and a direct, wholly-owned subsidiary of Churchill, as the same has been or may be amended, modified, supplemented or waived from time-to-time;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PIF” are to the Public Investment Fund, the sovereign wealth fund of Saudi Arabia;</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Private Placement Warrants” are to Churchill’s warrants issued to the Sponsor in a private placement simultaneously with the closing of the Churchill IPO;</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Redeemable Convertible Preferred Stock” are to the Series A Convertible Preferred Stock, Series B Convertible Preferred Stock, and Series C Convertible Preferred Stock, together;</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Reverse Stock Split” are to the one-for-ten (1:10) reverse stock split of our common stock that became effective on August 29, 2025;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 xml:space="preserve">Series A Certificate of Designations” refers to the Certificate of Designations of Series A Redeemable Convertible Preferred Stock;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Series A Redeemable Convertible Preferred Stock” are to the Series A Convertible Preferred Stock of Lucid Group, Inc., par value $0.0001 per share;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Series A Subscription Agreement” refers to the subscription agreement entered into on March 24, 2024, by the Company and Ayar to purchase from the Company 100,000 shares of its Series A Convertible Preferred Stock;</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 xml:space="preserve">Series B Certificate of Designations” refers to the Certificate of Designations of Series B Redeemable Convertible Preferred Stock;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Series B Redeemable Convertible Preferred Stock” are to the Series B Convertible Preferred Stock of Lucid Group, Inc., par value $0.0001 per share;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Series B Subscription Agreement” refers to the subscription agreement entered into on August 4, 2024, by the Company and Ayar to purchase from the Company 75,000 shares of its Series B Convertible Preferred Stock;</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Series C Certificate of Designations” refers to the Certificate of Designations of Series C Redeemable Convertible Preferred Stock;</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Series C Redeemable Convertible Preferred Stock” are to the Series C Convertible Preferred Stock of Lucid Group, Inc., par value $0.0001 per share;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Series C Subscription Agreement” refers to the subscription agreement entered into on April 14, 2026, by the Company and Ayar to purchase from the Company 55,000 shares of its Series C Convertible Preferred Stock;</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Sponsor” are to Churchill Sponsor IV LLC, a Delaware limited liability company and an affiliate of M. Klein and Company;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Transactions” are to the Merger, together with the other transactions consummated under the Merger Agreement and the related agreements; and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Warrant Agreement” are to the Warrant Agreement, dated July 29, 2020, entered into in connection with the Churchill IPO by and between Continental Stock Transfer &amp; Trust Company and Churchill.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Unless the context otherwise requires, all references in this section to “Lucid,” the “Company,” “we,” “us,” “our,” and other similar terms refer to Legacy Lucid and its subsidiaries prior to the Closing, and Lucid Group, Inc., a Delaware corporation, and its subsidiaries after the Closing.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LUCID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972"/>
        <w:gridCol w:w="2082"/>
        <w:gridCol w:w="2068"/>
        <w:gridCol w:w="109"/>
        <w:gridCol w:w="109"/>
        <w:gridCol w:w="109"/>
        <w:gridCol w:w="196"/>
        <w:gridCol w:w="886"/>
        <w:gridCol w:w="109"/>
        <w:gridCol w:w="109"/>
        <w:gridCol w:w="109"/>
        <w:gridCol w:w="109"/>
        <w:gridCol w:w="196"/>
        <w:gridCol w:w="886"/>
        <w:gridCol w:w="156"/>
      </w:tblGrid>
      <w:tr>
        <w:trPr/>
        <w:tc>
          <w:tcPr>
            <w:tcW w:w="2972"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1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Cash and cash equivalents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732,601 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997,827 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Short-term investments (including nil and $50,000 associated with a related party as of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631,093 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Accounts receivable, net (including $186,581 and $120,540 from a related party as of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223,050 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177,162 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1,378,653 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1,109,529 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59,606 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341,067 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324,434 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2,776,541 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3,299,651 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4,222,841 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3,978,132 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249,019 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241,974 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Long-term investments (including $14,191 and $24,259 associated with a related party as of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512,241 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436,234 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354,983 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7,698,826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8,386,981</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366,907 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487,521 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Finance lease liabilities,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84,222 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Current portion of debt ($503,088 and $467,963 associated with a related party as of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707,142 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671,746 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Other current liabilities (including $73,134 and $81,580 associated with a related party as of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1,359,101 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1,392,641 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2,438,195 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2,636,130 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Finance lease liabilities,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104,559 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Debt, net of current portion (including $497,426 and nil associated with a related party as of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2,546,556 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2,046,576 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Other long-term liabilities (including $123,504 and $123,198 associated with related parties as of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599,441 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582,739 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Derivative liabilities associated with redeemable convertible preferred stock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16,200 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5,850,532 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5,386,204 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xml:space="preserve">Commitments and contingencies (Note </w:t>
            </w:r>
            <w:r>
              <w:rPr>
                <w:rFonts w:ascii="Times New Roman;serif" w:hAnsi="Times New Roman;serif"/>
                <w:b w:val="false"/>
                <w:color w:val="000000"/>
                <w:sz w:val="20"/>
              </w:rPr>
              <w:t>11</w:t>
            </w: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REDEEMABLE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Preferred stock 10,000,000 shares authorized as of June 30, 2026 and December 31, 2025, Series A redeemable convertible preferred stock, par value $0.0001; 100,000 shares issued and outstanding as of June 30, 2026 and December 31, 2025; liquidation preference of $1,470,165 and $1,350,441 as of June 30, 2026 and December 31, 2025, respectively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1,469,464 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1,339,641 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Preferred stock 10,000,000 shares authorized as of June 30, 2026 and December 31, 2025, Series B redeemable convertible preferred stock, par value $0.0001; 75,000 shares issued and outstanding as of June 30, 2026 and December 31, 2025; liquidation preference of $1,032,889 and $949,249 as of June 30, 2026 and December 31, 2025, respectively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1,032,514 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943,849 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Preferred stock 10,000,000 shares authorized as of June 30, 2026 and December 31, 2025, Series C redeemable convertible preferred stock, par value $0.0001; 55,000 and 0 shares issued and outstanding as of June 30, 2026 and December 31, 2025; liquidation preference of $566,859 and nil as of June 30, 2026 and December 31, 2025, respectively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404,279 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redeemable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2,906,257 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2,283,490 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STOCKHOLDERS’ EQUITY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Common stock, par value $0.0001; 1,500,000,000 shares authorized as of June 30, 2026 and December 31, 2025; 394,155,958 and 327,451,844 shares issued and 394,070,176 and 327,366,062 shares outstanding as of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16,636,039 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16,337,023 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Treasury stock, at cost, 85,782 shares at June 30, 2026 and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(20,716)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(20,716)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11,692 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(17,673,940)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(15,610,745)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stockholders’ equity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(1,057,963)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717,287 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color w:val="000000"/>
                <w:sz w:val="17"/>
              </w:rPr>
            </w:pPr>
            <w:r>
              <w:rPr>
                <w:rFonts w:ascii="Times New Roman;serif" w:hAnsi="Times New Roman;serif"/>
                <w:b/>
                <w:color w:val="000000"/>
                <w:sz w:val="17"/>
              </w:rPr>
              <w:t>TOTAL LIABILITIES, REDEEMABLE CONVERTIBLE PREFERRED STOCK AND STOCKHOLDERS’ EQUITY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7,698,826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8,386,981</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LUCID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636"/>
        <w:gridCol w:w="957"/>
        <w:gridCol w:w="960"/>
        <w:gridCol w:w="211"/>
        <w:gridCol w:w="998"/>
        <w:gridCol w:w="109"/>
        <w:gridCol w:w="109"/>
        <w:gridCol w:w="109"/>
        <w:gridCol w:w="109"/>
        <w:gridCol w:w="237"/>
        <w:gridCol w:w="949"/>
        <w:gridCol w:w="109"/>
        <w:gridCol w:w="109"/>
        <w:gridCol w:w="109"/>
        <w:gridCol w:w="109"/>
        <w:gridCol w:w="211"/>
        <w:gridCol w:w="1186"/>
        <w:gridCol w:w="109"/>
        <w:gridCol w:w="109"/>
        <w:gridCol w:w="109"/>
        <w:gridCol w:w="109"/>
        <w:gridCol w:w="211"/>
        <w:gridCol w:w="1186"/>
        <w:gridCol w:w="155"/>
      </w:tblGrid>
      <w:tr>
        <w:trPr/>
        <w:tc>
          <w:tcPr>
            <w:tcW w:w="163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Revenue (including $96,188 and $30,247 from a related party for the three months ended June 30, 2026 and 2025, and $134,558 and $35,343 for the six months ended June 30, 2026 and 2025, respectively)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405,347 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259,432 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687,812 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494,480 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Costs and expenses</w:t>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revenue</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832,072 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531,783 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1,426,242 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995,343 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Research and development</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321,336 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273,839 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657,006 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525,085 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Selling, general and administrative</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300,432 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256,857 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604,608 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469,032 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Workforce reduction charges</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cost and expenses</w:t>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1,487,515 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1,062,479 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2,759,465 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1,989,460 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Loss from operations</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(1,082,168)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(803,047)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(2,071,653)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(1,494,980)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Other income (expense), net</w:t>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 in fair value of common stock warrant liability</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18,183 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 in fair value of equity securities of a related party</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(9,505)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 in fair value of derivative liabilities and subscription agreements associated with redeemable convertible preferred stock (related party)</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393,175 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Gain on extinguishment of debt</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116,360 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income</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96,527 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Interest expense (including $23,363 and $4,912 to a related party for the three months ended June 30, 2026 and 2025, and $34,672 and $8,612 for the six months ended June 30, 2026 and 2025, respectively)</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(35,632)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Other income (expense), net</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(16,789)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(24,656)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other income, net</w:t>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48,367 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261,246 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585,645 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Loss before provision for (benefit from) income taxes</w:t>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(1,033,801)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(541,801)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(2,061,968)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(909,335)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Provision for (benefit from) income taxes</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(3,732)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loss</w:t>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(1,034,851)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(539,432)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(2,063,195)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(905,603)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Accretion of redeemable convertible preferred stock (related party)</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(224,425)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(199,823)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(330,387)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(564,748)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loss attributable to common stockholders, basic</w:t>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(1,259,276)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(739,255)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(2,393,582)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(1,470,351)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 on 2026 Notes</w:t>
            </w:r>
          </w:p>
        </w:tc>
        <w:tc>
          <w:tcPr>
            <w:tcW w:w="120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4,283 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Gain on extinguishment of debt</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(116,360)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loss attributable to common stockholders, diluted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(1,259,276)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(855,306)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(2,393,582)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(1,582,428)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Weighted-average shares outstanding attributable to common stockholders</w:t>
            </w:r>
            <w:r>
              <w:rPr>
                <w:rFonts w:ascii="Times New Roman;serif" w:hAnsi="Times New Roman;serif"/>
                <w:b w:val="false"/>
                <w:color w:val="000000"/>
                <w:sz w:val="12"/>
              </w:rPr>
              <w:t>(1)</w:t>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Basic</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382,098,609 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305,640,483 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355,340,787 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304,641,184 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Diluted</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382,098,609 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305,788,272 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355,340,787 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305,670,808 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Net loss per share attributable to common stockholders</w:t>
            </w:r>
            <w:r>
              <w:rPr>
                <w:rFonts w:ascii="Times New Roman;serif" w:hAnsi="Times New Roman;serif"/>
                <w:b w:val="false"/>
                <w:color w:val="000000"/>
                <w:sz w:val="12"/>
              </w:rPr>
              <w:t>(1)</w:t>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Other comprehensive income (loss)</w:t>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Net unrealized gains (losses) on investments, net of tax</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Reclassification adjustment for realized gains on investments included in net loss</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Foreign currency translation adjustments</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12,870 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other comprehensive income (loss)</w:t>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16,715 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Comprehensive loss</w:t>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(1,037,749)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(530,166)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(2,074,272)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(888,888)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Accretion of redeemable convertible preferred stock (related party)</w:t>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(224,425)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(199,823)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(330,387)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(564,748)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Comprehensive loss attributable to common stockholders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(1,262,174)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(729,989)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(2,404,659)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(1,453,636)</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weighted-average shares outstanding attributable to common stockholders and net loss per share attributable to common stockholders have been adjusted for the prior periods presented to reflect the one-for-ten (1:10) reverse stock split effected on August 29, 2025. See Note 2 “Summary of Significant Accounting Policies” for more information.</w:t>
      </w:r>
    </w:p>
    <w:p>
      <w:pPr>
        <w:pStyle w:val="TextBody"/>
        <w:bidi w:val="0"/>
        <w:spacing w:before="120" w:after="283"/>
        <w:jc w:val="left"/>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LUCID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REDEEMABLE CONVERTIBLE PREFERRED STOCK AND STOCKHOLDERS’ EQUITY (DEFICIT)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before="0" w:after="0"/>
        <w:jc w:val="center"/>
        <w:rPr/>
      </w:pPr>
      <w:r>
        <w:rPr/>
      </w:r>
    </w:p>
    <w:tbl>
      <w:tblPr>
        <w:tblW w:w="14707" w:type="dxa"/>
        <w:jc w:val="center"/>
        <w:tblInd w:w="0" w:type="dxa"/>
        <w:tblLayout w:type="fixed"/>
        <w:tblCellMar>
          <w:top w:w="28" w:type="dxa"/>
          <w:left w:w="28" w:type="dxa"/>
          <w:bottom w:w="28" w:type="dxa"/>
          <w:right w:w="28" w:type="dxa"/>
        </w:tblCellMar>
      </w:tblPr>
      <w:tblGrid>
        <w:gridCol w:w="726"/>
        <w:gridCol w:w="229"/>
        <w:gridCol w:w="231"/>
        <w:gridCol w:w="109"/>
        <w:gridCol w:w="109"/>
        <w:gridCol w:w="109"/>
        <w:gridCol w:w="375"/>
        <w:gridCol w:w="376"/>
        <w:gridCol w:w="211"/>
        <w:gridCol w:w="109"/>
        <w:gridCol w:w="109"/>
        <w:gridCol w:w="109"/>
        <w:gridCol w:w="196"/>
        <w:gridCol w:w="886"/>
        <w:gridCol w:w="109"/>
        <w:gridCol w:w="109"/>
        <w:gridCol w:w="109"/>
        <w:gridCol w:w="109"/>
        <w:gridCol w:w="109"/>
        <w:gridCol w:w="109"/>
        <w:gridCol w:w="109"/>
        <w:gridCol w:w="533"/>
        <w:gridCol w:w="533"/>
        <w:gridCol w:w="211"/>
        <w:gridCol w:w="109"/>
        <w:gridCol w:w="109"/>
        <w:gridCol w:w="109"/>
        <w:gridCol w:w="226"/>
        <w:gridCol w:w="399"/>
        <w:gridCol w:w="126"/>
        <w:gridCol w:w="109"/>
        <w:gridCol w:w="109"/>
        <w:gridCol w:w="109"/>
        <w:gridCol w:w="196"/>
        <w:gridCol w:w="976"/>
        <w:gridCol w:w="109"/>
        <w:gridCol w:w="109"/>
        <w:gridCol w:w="109"/>
        <w:gridCol w:w="109"/>
        <w:gridCol w:w="196"/>
        <w:gridCol w:w="661"/>
        <w:gridCol w:w="109"/>
        <w:gridCol w:w="109"/>
        <w:gridCol w:w="109"/>
        <w:gridCol w:w="109"/>
        <w:gridCol w:w="292"/>
        <w:gridCol w:w="851"/>
        <w:gridCol w:w="163"/>
        <w:gridCol w:w="109"/>
        <w:gridCol w:w="109"/>
        <w:gridCol w:w="109"/>
        <w:gridCol w:w="196"/>
        <w:gridCol w:w="976"/>
        <w:gridCol w:w="109"/>
        <w:gridCol w:w="109"/>
        <w:gridCol w:w="109"/>
        <w:gridCol w:w="109"/>
        <w:gridCol w:w="196"/>
        <w:gridCol w:w="886"/>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Redeemable Convertible </w:t>
              <w:b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Other</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Comprehensive</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Stockholders’</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Equity (Deficit)</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175,000</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2,389,452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330,144,583</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16,304,893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(20,716)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3,513</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(16,639,089)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(351,366)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(1,034,851)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(1,034,851)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 payments for net settlement of employee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vesting of employee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2,058,113 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1,768,507 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2026 Underwriting Agreement,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36,057,692 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2026 Subscription Agreement, net of issuance costs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24,038,462 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199,844 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Series C redeemable convertible preferred stock, net of derivative liability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of redeemable convertible preferred stock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(224,425)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230,000</w:t>
            </w: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2,906,257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394,070,176</w:t>
            </w: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w:t>
            </w:r>
            <w:r>
              <w:rPr>
                <w:color w:val="000000"/>
              </w:rPr>
              <w:t>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16,636,039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(20,716)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615</w:t>
            </w:r>
            <w:r>
              <w:rPr>
                <w:color w:val="000000"/>
              </w:rPr>
              <w:t>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(17,673,940)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(1,057,963)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4707" w:type="dxa"/>
        <w:jc w:val="left"/>
        <w:tblInd w:w="0" w:type="dxa"/>
        <w:tblLayout w:type="fixed"/>
        <w:tblCellMar>
          <w:top w:w="28" w:type="dxa"/>
          <w:left w:w="28" w:type="dxa"/>
          <w:bottom w:w="28" w:type="dxa"/>
          <w:right w:w="28" w:type="dxa"/>
        </w:tblCellMar>
      </w:tblPr>
      <w:tblGrid>
        <w:gridCol w:w="726"/>
        <w:gridCol w:w="229"/>
        <w:gridCol w:w="231"/>
        <w:gridCol w:w="109"/>
        <w:gridCol w:w="109"/>
        <w:gridCol w:w="109"/>
        <w:gridCol w:w="375"/>
        <w:gridCol w:w="376"/>
        <w:gridCol w:w="211"/>
        <w:gridCol w:w="109"/>
        <w:gridCol w:w="109"/>
        <w:gridCol w:w="109"/>
        <w:gridCol w:w="196"/>
        <w:gridCol w:w="886"/>
        <w:gridCol w:w="109"/>
        <w:gridCol w:w="109"/>
        <w:gridCol w:w="109"/>
        <w:gridCol w:w="109"/>
        <w:gridCol w:w="109"/>
        <w:gridCol w:w="109"/>
        <w:gridCol w:w="109"/>
        <w:gridCol w:w="533"/>
        <w:gridCol w:w="533"/>
        <w:gridCol w:w="211"/>
        <w:gridCol w:w="109"/>
        <w:gridCol w:w="109"/>
        <w:gridCol w:w="109"/>
        <w:gridCol w:w="226"/>
        <w:gridCol w:w="399"/>
        <w:gridCol w:w="126"/>
        <w:gridCol w:w="109"/>
        <w:gridCol w:w="109"/>
        <w:gridCol w:w="109"/>
        <w:gridCol w:w="196"/>
        <w:gridCol w:w="976"/>
        <w:gridCol w:w="109"/>
        <w:gridCol w:w="109"/>
        <w:gridCol w:w="109"/>
        <w:gridCol w:w="109"/>
        <w:gridCol w:w="196"/>
        <w:gridCol w:w="661"/>
        <w:gridCol w:w="109"/>
        <w:gridCol w:w="109"/>
        <w:gridCol w:w="109"/>
        <w:gridCol w:w="109"/>
        <w:gridCol w:w="264"/>
        <w:gridCol w:w="893"/>
        <w:gridCol w:w="149"/>
        <w:gridCol w:w="109"/>
        <w:gridCol w:w="109"/>
        <w:gridCol w:w="109"/>
        <w:gridCol w:w="196"/>
        <w:gridCol w:w="976"/>
        <w:gridCol w:w="109"/>
        <w:gridCol w:w="109"/>
        <w:gridCol w:w="109"/>
        <w:gridCol w:w="109"/>
        <w:gridCol w:w="196"/>
        <w:gridCol w:w="886"/>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Redeemable Convertible </w:t>
              <w:b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Common Stock</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Stockholders’</w:t>
              <w:br/>
              <w:t>Equity</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175,000</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1,664,767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304,880,073</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16,477,875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(20,716)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5,350</w:t>
            </w: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(13,278,865)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3,183,675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(539,432)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9,266 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 payments for net settlement of employee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vesting of employee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1,464,206 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685,401 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204,879 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capped call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of redeemable convertible preferred stock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(199,823)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(199,823)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175,000</w:t>
            </w: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1,864,590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307,234,559</w:t>
            </w: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w:t>
            </w:r>
            <w:r>
              <w:rPr>
                <w:color w:val="000000"/>
              </w:rPr>
              <w:t>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16,231,957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(20,716)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14,616</w:t>
            </w:r>
            <w:r>
              <w:rPr>
                <w:color w:val="000000"/>
              </w:rPr>
              <w:t>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(13,818,297)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2,407,591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The number of shares of common stock has been adjusted for the prior periods presented to reflect the one-for-ten (1:10) reverse stock split effected on August 29, 2025. See Note 2 “Summary of Significant Accounting Policies” for more information.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LUCID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REDEEMABLE CONVERTIBLE PREFERRED STOCK AND STOCKHOLDERS’ EQUITY (DEFICIT)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before="0" w:after="0"/>
        <w:jc w:val="center"/>
        <w:rPr/>
      </w:pPr>
      <w:r>
        <w:rPr/>
      </w:r>
    </w:p>
    <w:tbl>
      <w:tblPr>
        <w:tblW w:w="14707" w:type="dxa"/>
        <w:jc w:val="center"/>
        <w:tblInd w:w="0" w:type="dxa"/>
        <w:tblLayout w:type="fixed"/>
        <w:tblCellMar>
          <w:top w:w="28" w:type="dxa"/>
          <w:left w:w="28" w:type="dxa"/>
          <w:bottom w:w="28" w:type="dxa"/>
          <w:right w:w="28" w:type="dxa"/>
        </w:tblCellMar>
      </w:tblPr>
      <w:tblGrid>
        <w:gridCol w:w="726"/>
        <w:gridCol w:w="229"/>
        <w:gridCol w:w="231"/>
        <w:gridCol w:w="109"/>
        <w:gridCol w:w="109"/>
        <w:gridCol w:w="109"/>
        <w:gridCol w:w="375"/>
        <w:gridCol w:w="376"/>
        <w:gridCol w:w="211"/>
        <w:gridCol w:w="109"/>
        <w:gridCol w:w="109"/>
        <w:gridCol w:w="109"/>
        <w:gridCol w:w="196"/>
        <w:gridCol w:w="886"/>
        <w:gridCol w:w="109"/>
        <w:gridCol w:w="109"/>
        <w:gridCol w:w="109"/>
        <w:gridCol w:w="109"/>
        <w:gridCol w:w="109"/>
        <w:gridCol w:w="109"/>
        <w:gridCol w:w="109"/>
        <w:gridCol w:w="533"/>
        <w:gridCol w:w="533"/>
        <w:gridCol w:w="211"/>
        <w:gridCol w:w="109"/>
        <w:gridCol w:w="109"/>
        <w:gridCol w:w="109"/>
        <w:gridCol w:w="226"/>
        <w:gridCol w:w="399"/>
        <w:gridCol w:w="126"/>
        <w:gridCol w:w="109"/>
        <w:gridCol w:w="109"/>
        <w:gridCol w:w="109"/>
        <w:gridCol w:w="196"/>
        <w:gridCol w:w="976"/>
        <w:gridCol w:w="109"/>
        <w:gridCol w:w="109"/>
        <w:gridCol w:w="109"/>
        <w:gridCol w:w="109"/>
        <w:gridCol w:w="196"/>
        <w:gridCol w:w="661"/>
        <w:gridCol w:w="109"/>
        <w:gridCol w:w="109"/>
        <w:gridCol w:w="109"/>
        <w:gridCol w:w="109"/>
        <w:gridCol w:w="264"/>
        <w:gridCol w:w="893"/>
        <w:gridCol w:w="149"/>
        <w:gridCol w:w="109"/>
        <w:gridCol w:w="109"/>
        <w:gridCol w:w="109"/>
        <w:gridCol w:w="196"/>
        <w:gridCol w:w="976"/>
        <w:gridCol w:w="109"/>
        <w:gridCol w:w="109"/>
        <w:gridCol w:w="109"/>
        <w:gridCol w:w="109"/>
        <w:gridCol w:w="196"/>
        <w:gridCol w:w="886"/>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Redeemable Convertible </w:t>
              <w:b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Stockholders’</w:t>
              <w:br/>
              <w:t>Equity (Deficit)</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175,000</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2,283,490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327,366,062</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16,337,023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(20,716)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11,692</w:t>
            </w: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(15,610,745)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717,287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(2,063,195)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(2,063,195)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(11,077)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 payments for net settlement of employee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vesting of employee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4,528,062 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1,768,507 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311,391 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2026 Underwriting Agreement,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36,057,692 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2026 Subscription Agreement, net of issuance costs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24,038,462 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199,844 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Series C redeemable convertible preferred stock, net of derivative liability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of redeemable convertible preferred stock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(330,387)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126,724 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230,000</w:t>
            </w: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2,906,257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394,070,176</w:t>
            </w: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w:t>
            </w:r>
            <w:r>
              <w:rPr>
                <w:color w:val="000000"/>
              </w:rPr>
              <w:t>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16,636,039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(20,716)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615</w:t>
            </w:r>
            <w:r>
              <w:rPr>
                <w:color w:val="000000"/>
              </w:rPr>
              <w:t>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(17,673,940)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(1,057,963)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4707" w:type="dxa"/>
        <w:jc w:val="center"/>
        <w:tblInd w:w="0" w:type="dxa"/>
        <w:tblLayout w:type="fixed"/>
        <w:tblCellMar>
          <w:top w:w="28" w:type="dxa"/>
          <w:left w:w="28" w:type="dxa"/>
          <w:bottom w:w="28" w:type="dxa"/>
          <w:right w:w="28" w:type="dxa"/>
        </w:tblCellMar>
      </w:tblPr>
      <w:tblGrid>
        <w:gridCol w:w="726"/>
        <w:gridCol w:w="229"/>
        <w:gridCol w:w="231"/>
        <w:gridCol w:w="109"/>
        <w:gridCol w:w="109"/>
        <w:gridCol w:w="109"/>
        <w:gridCol w:w="375"/>
        <w:gridCol w:w="376"/>
        <w:gridCol w:w="211"/>
        <w:gridCol w:w="109"/>
        <w:gridCol w:w="109"/>
        <w:gridCol w:w="109"/>
        <w:gridCol w:w="196"/>
        <w:gridCol w:w="886"/>
        <w:gridCol w:w="109"/>
        <w:gridCol w:w="109"/>
        <w:gridCol w:w="109"/>
        <w:gridCol w:w="109"/>
        <w:gridCol w:w="109"/>
        <w:gridCol w:w="109"/>
        <w:gridCol w:w="109"/>
        <w:gridCol w:w="533"/>
        <w:gridCol w:w="533"/>
        <w:gridCol w:w="211"/>
        <w:gridCol w:w="109"/>
        <w:gridCol w:w="109"/>
        <w:gridCol w:w="109"/>
        <w:gridCol w:w="226"/>
        <w:gridCol w:w="399"/>
        <w:gridCol w:w="126"/>
        <w:gridCol w:w="109"/>
        <w:gridCol w:w="109"/>
        <w:gridCol w:w="109"/>
        <w:gridCol w:w="196"/>
        <w:gridCol w:w="976"/>
        <w:gridCol w:w="109"/>
        <w:gridCol w:w="109"/>
        <w:gridCol w:w="109"/>
        <w:gridCol w:w="109"/>
        <w:gridCol w:w="196"/>
        <w:gridCol w:w="661"/>
        <w:gridCol w:w="109"/>
        <w:gridCol w:w="109"/>
        <w:gridCol w:w="109"/>
        <w:gridCol w:w="109"/>
        <w:gridCol w:w="264"/>
        <w:gridCol w:w="893"/>
        <w:gridCol w:w="149"/>
        <w:gridCol w:w="109"/>
        <w:gridCol w:w="109"/>
        <w:gridCol w:w="109"/>
        <w:gridCol w:w="196"/>
        <w:gridCol w:w="976"/>
        <w:gridCol w:w="109"/>
        <w:gridCol w:w="109"/>
        <w:gridCol w:w="109"/>
        <w:gridCol w:w="109"/>
        <w:gridCol w:w="196"/>
        <w:gridCol w:w="886"/>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Redeemable Convertible </w:t>
              <w:b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Common Stock</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Stockholders’</w:t>
              <w:br/>
              <w:t>Equity</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175,000</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1,299,842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303,136,190</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16,808,291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(20,716)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(2,099)</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(12,912,694)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3,872,812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(905,603)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16,715 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 payments for net settlement of employee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vesting of employee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3,173,276 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685,401 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239,692 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Purchase of capped call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of redeemable convertible preferred stock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(564,748)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175,000</w:t>
            </w: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1,864,590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307,234,559</w:t>
            </w: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w:t>
            </w:r>
            <w:r>
              <w:rPr>
                <w:color w:val="000000"/>
              </w:rPr>
              <w:t>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16,231,957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(20,716)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14,616</w:t>
            </w:r>
            <w:r>
              <w:rPr>
                <w:color w:val="000000"/>
              </w:rPr>
              <w:t>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(13,818,297)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2,407,591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The number of shares of common stock has been adjusted for the prior periods presented to reflect the one-for-ten (1:10) reverse stock split effected on August 29, 2025. See Note 2 “Summary of Significant Accounting Policies” for more information.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LUCID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751"/>
        <w:gridCol w:w="2215"/>
        <w:gridCol w:w="2230"/>
        <w:gridCol w:w="211"/>
        <w:gridCol w:w="1019"/>
        <w:gridCol w:w="109"/>
        <w:gridCol w:w="109"/>
        <w:gridCol w:w="109"/>
        <w:gridCol w:w="109"/>
        <w:gridCol w:w="211"/>
        <w:gridCol w:w="976"/>
        <w:gridCol w:w="156"/>
      </w:tblGrid>
      <w:tr>
        <w:trPr/>
        <w:tc>
          <w:tcPr>
            <w:tcW w:w="2751"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7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(905,603)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insurance premium</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operating lease cost</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and firm purchase commitments write-downs</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327,806 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common stock warrant liability</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equity securities of a related party</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liabilities and subscription agreements associated with redeemable convertible preferred stock (related party)</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(393,175)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accretion of investment discounts/premiums</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extinguishment of debt</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(116,360)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items</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Accounts receivable (including $(66,041) and $(5,599) from a related party for the six months ended June 30, 2026 and 2025, respectively)</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(845,554)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(586,043)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(55,824)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2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(2,407,890)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(1,258,854)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 (including $(117,355) and $(67,668) from a related party for the six months ended June 30, 2026 and 2025, respectively)</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(343,904)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maturities of investments (including $50,000 and nil from a related party for the six months ended June 30, 2026 and 2025, respectively)</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1,961,485 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investments</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Purchases of investments (including nil and $(30,000) from a related party for the six months ended June 30, 2026 and 2025, respectively)</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(309,557)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2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592,847 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1,308,024 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under 2026 Underwriting Agreement</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issuance costs for the 2026 Underwriting Agreement</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under 2026 Subscription Agreement to a related party</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issuance of Series C redeemable convertible preferred stock to a related party</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Payments of issuance costs for Series C redeemable convertible preferred stock</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transaction costs for the issuance of 2031 Notes</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2030 Notes</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transaction costs for the issuance of 2030 Notes</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capped calls</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2026 Notes</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(931,433)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borrowings from related parties</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employee stock purchase plan</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 payments for net settlement of employee awards</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for finance lease liabilities</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credit facility issuance costs to related parties</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2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1,581,096 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141,676 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1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190,846 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cash, cash equivalents, and restricted cash</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1,607,052 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806,966 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1,797,898 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LUCID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64"/>
        <w:gridCol w:w="2403"/>
        <w:gridCol w:w="2415"/>
        <w:gridCol w:w="211"/>
        <w:gridCol w:w="782"/>
        <w:gridCol w:w="109"/>
        <w:gridCol w:w="109"/>
        <w:gridCol w:w="109"/>
        <w:gridCol w:w="109"/>
        <w:gridCol w:w="211"/>
        <w:gridCol w:w="826"/>
        <w:gridCol w:w="157"/>
      </w:tblGrid>
      <w:tr>
        <w:trPr/>
        <w:tc>
          <w:tcPr>
            <w:tcW w:w="2764"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24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7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 net of amounts capitalized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investing and financing activity:</w:t>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in purchases of property, plant and equipment included in accounts payable and other 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and right-of-use assets obtained through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143,403 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property, plant, and equipment related to finance lease asset remeasurements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LUCID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NOTE 1</w:t>
      </w:r>
      <w:r>
        <w:rPr>
          <w:color w:val="000000"/>
        </w:rPr>
        <w:t xml:space="preserve"> – </w:t>
      </w:r>
      <w:r>
        <w:rPr>
          <w:rFonts w:ascii="Times New Roman;serif" w:hAnsi="Times New Roman;serif"/>
          <w:b/>
          <w:color w:val="000000"/>
          <w:sz w:val="20"/>
        </w:rPr>
        <w:t>DESCRIPTION OF BUSINESS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Lucid Group, Inc. (“Lucid”) is a technology company that is setting new standards with the world’s most advanced electric vehicles (“EVs”), the award-winning Lucid Air and Lucid Gravity.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Throughout the notes to the condensed consolidated financial statements, unless otherwise noted, the “Company,” “we,” “us” or “our” and similar terms refer to Lucid and its subsidiaries.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devotes its efforts to business planning, sale and servicing of vehicles, providing technology access, research and development, construction of manufacturing facilities, expansion of retail studios and service centers, recruitment of management and technical talent, acquisition of operating assets, and capital-raising activities.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From inception through June 30, 2026, the Company has incurred operating losses and negative cash flows from operating activities. For the six months ended June 30, 2026 and 2025, the Company has incurred net losses of $2,063.2 million and $905.6 million, respectively. The Company had an accumulated deficit of $17.7 billion as of June 30, 2026.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completed the first phase of the construction of its Advanced Manufacturing Plant-1 in Casa Grande, Arizona (“AMP-1”) in 2021, transitioned general assembly to the AMP-1 phase 2 manufacturing facility and completed the semi knocked-down (“SKD”) portion of its Advanced Manufacturing Plant-2 in Saudi Arabia (“AMP-2”) in September 2023. The Company also completed key manufacturing activities, including the paint shop, stamping, a new body shop for the Lucid Gravity, and a majority of the powertrain shop, of the AMP-1 phase 2 manufacturing facility in 2024. The Company began commercial production of its first vehicle, the Lucid Air, in September 2021 and delivered its first vehicles in late October 2021. The Company began commercial production and deliveries of its second vehicle, the Lucid Gravity, in December 2024. Currently, the AMP-1 phase 2 facility manufactures the Lucid Air and the Lucid Gravity. The Company continues to expand AMP-1, construct the completely-built-up (“CBU”) portion of AMP-2 for which building construction is substantially completed, with remaining work focused on commissioning and fit-out activities, and build a network of retail sales and service locations. The Company has plans for continued development of additional vehicle model types for future release, including its upcoming Midsize platform. The aforementioned activities will require considerable capital, which is above and beyond the expected cash inflows from the current sales of Lucid vehicles. As such, the future operating plan involves considerable risk if secure funding sources are not identified and confirmed.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existing sources of liquidity include cash, cash equivalents, investments, and unused available credit amounts from credit facilities. The Company funded operations primarily with issuances of common stock, convertible preferred stock, convertible notes, and loans.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2022, the Company entered into a loan agreement with the Saudi Industrial Development Fund (“SIDF”) with an aggregate principal amount of up to approximately $1.4 billion, a five-year senior secured asset-based revolving credit facility (“ABL Credit Facility”) with an initial aggregate principal commitment amount of up to $1.0 billion, and revolving credit facilities with Gulf International Bank (“GIB”) in an aggregate principal amount of approximately $266.1 million (as amended to increase the aggregate principal to $505.7 million in February 2025, the “2025 GIB Credit Facility”). See Note 6 “Debt” for more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2024, the Company entered into a subscription agreement (the “Series A Subscription Agreement”) with Ayar Third Investment Company, the controlling stockholder of the Company (“Ayar”). Pursuant to the Series A Subscription Agreement, Ayar purchased from the Company 100,000 shares of its Series A convertible preferred stock, par value $0.0001 per share (the “Series A Redeemable Convertible Preferred Stock”), for an aggregate purchase price of $1.0 billion in a private placement. The Company received aggregate net proceeds of $997.6 million. In August 2024, the Company entered into a subscription agreement (the “Series B Subscription Agreement”) with Ayar. Pursuant to the Series B Subscription Agreement, Ayar purchased from the Company 75,000 shares of its Series B convertible preferred stock, par value $0.0001 per share (the “Series B Redeemable Convertible Preferred Stock”), for an aggregate purchase price of $750.0 million in a private placement. The Company received aggregate net proceeds of $749.4 million. In April 2026, the Company entered into a subscription agreement (the “Series C Subscription Agreement”) with Ayar. Pursuant to the Series C Subscription Agreement, Ayar purchased from the Company 55,000 shares of its Series C convertible preferred stock, par value $0.0001 per share (the “Series C Redeemable Convertible Preferred Stock”), for an aggregate purchase price of $550.0 million in a private placement. The Company received aggregate net proceeds of $548.9 million. See Note 7 “Redeemable Convertible Preferred Stock” and Note 15 “Related Party Transactions” for more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Series A Redeemable Convertible Preferred Stock, the Series B Redeemable Convertible Preferred Stock, and the Series C Redeemable Convertible Preferred Stock (collectively, the “Redeemable Convertible Preferred Stock”) are convertible at the option of the holder (i) at any time the closing price per share of the common stock on the trading date immediately preceding the date on which the holder delivers the relevant notice of conversion is at least a certain price threshold as noted in the certificate of designations of Series A Redeemable Convertible Preferred Stock (the “Series A Certificate of Designations”), in the certificate of designations of the Series B Redeemable Convertible Preferred Stock (the “Series B Certificate of Designations”), and in the certificate of designations of the Series C Redeemable Convertible Preferred Stock (the “Series C Certificate of Designations”) of the Company or (ii) during specified periods preceding a fundamental change or optional redemption by the Company under the terms of the Redeemable Convertible Preferred Stock. See Note 7 “Redeemable Convertible Preferred Stock” for more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August 2024, the Company entered into a $750.0 million five-year unsecured delayed draw term loan credit facility (the “DDTL Credit Facility”) with Ayar. In November 2025, the Company and Ayar agreed to increase the aggregate principal amount from $750.0 million to $1.98 billion. In April 2026, the Company borrowed $500.0 million under the DDTL Credit Facility. In April 2026, the Company also entered into an Amendment No.2 to Credit Agreement (the “DDTL Amendment”), pursuant to which the aggregate undrawn delayed commitments under the DDTL Credit Facility were increased by $500.0 million, such that, after giving effect to such increase, the aggregate sum of outstanding delayed draw term loans and aggregate undrawn commitments was increased to approximately $2.48 billion. In July 2026, the Company borrowed an additional $800.0 million under the DDTL Credit Facility. After giving effect to this borrowing, approximately $1.18 billion remains undrawn under the DDTL Credit Facility. See Note 6 “Debt” and Note 17 “Subsequent Events” for more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2024, the Company entered into an underwriting agreement (the “2024 Underwriting Agreement”) with BofA Securities, Inc. (the “Underwriter”), under which the Underwriter agreed to purchase from the Company shares of common stock in a public offering. The Company also granted the Underwriter a 30-day option to purchase additional shares of its common stock (the “Overallotment Option”), which the Underwriter exercised to purchase additional shares. In October 2024, the Company also entered into a subscription agreement (the “2024 Subscription Agreement”) with Ayar, pursuant to which Ayar agreed to purchase from the Company shares of common stock in a private placement. In addition, given the Underwriter’s exercise of the Overallotment Option, Ayar agreed to purchase additional shares of common stock. In October 2024, the Company completed the public offering pursuant to the 2024 Underwriting Agreement for aggregate net proceeds of $718.4 million and also consummated the private placement of shares to Ayar pursuant to the 2024 Subscription Agreement for aggregate net proceeds of $1,025.7 million. See Note 15 “Related Party Transactions” for more information.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2025, the Company entered into a subscription agreement (the “2025 Subscription Agreement”) with SMB Holding Corporation (“SMB”), a subsidiary of Uber, under which the Company agreed to issue and SMB agreed to purchase, in a private placement, the Company’s common stock equal to (i) $300.0 million in cash divided by (ii) an amount equal to the arithmetic average of the daily volume-weighted average price of the common stock over a period of 30 consecutive trading days ending on, and including, July 15, 2025. In September 2025, the Company and SMB entered into an amendment to the 2025 Subscription Agreement to reflect the adjustments made to the number of placement shares and purchase price per placement share therein due to the Reverse Stock Split (as defined below), and consummated the private placement of shares to SMB for aggregate net proceeds of $299.7 million. In April 2026, the Company entered into a subscription agreement with SMB (the “2026 Subscription Agreement”), under which the Company issued to SMB, in a private placement, and received aggregate net proceeds of $199.8 million of the Company’s common stock. See Note 8 “Stockholders’ Equity” for more information.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2026, the Company entered into an underwriting agreement (the “2026 Underwriting Agreement”) with the Underwriter, under which the Underwriter purchased from the Company shares of common stock in a registered offering, and the Company received aggregate net proceeds of $291.5 million. See Note 8 “Stockholders’ Equity” for more information.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April 2025, the Company issued $1.10 billion aggregate principal amount of 5.00% convertible senior notes due in April 2030 (the “2030 Notes”) in a private offering. The net proceeds from the offering were $1.08 billion, after deducting debt issuance costs. In connection with the 2030 Notes offering, the Company paid $118.3 million to enter into privately negotiated capped call transactions with certain financial institutions to increase the effective conversion premium. Contemporaneously with the 2030 Notes offering, the Company repurchased $1,052.5 million aggregate principal amount of its 1.25% convertible senior notes due 2026 (the “2026 Notes”), using $931.4 million of the net proceeds of the 2030 Notes. See Note 6 “Debt” for more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November 2025, the Company issued $975.0 million aggregate principal amount of 7.00% convertible senior notes due in November 2031 (the “2031 Notes”) in a private offering. The net proceeds from the offering were $962.2 million, after deducting debt issuance costs. Contemporaneously with the 2031 Notes offering, the Company repurchased $755.7 million aggregate principal amount of the 2026 Notes, using $748.2 million of the net proceeds of the 2031 Notes. See Note 6 “Debt” 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Certain Significant Risks and Uncertainties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current business activities consist of (i) generating sales from the deliveries and service of vehicles, (ii) research and development efforts to design, engineer and develop high-performance EVs and advanced EV powertrain components, including battery pack systems, (iii) construction of the CBU portion of AMP-2 in Saudi Arabia, (iv) further expansion of AMP-1 in Casa Grande, Arizona, (v) expansion of its retail studios and service center capabilities throughout North America and across the globe, (vi) building strategic partnerships in an effort to accelerate growth, and (vii) advancement of autonomous driving technology and expansion into new markets such as robotaxis. The Company is subject to the risks associated with such activities, including the need to further develop its technology, its marketing, and distribution channels; the need to further develop its sourcing, logistics, supply chain and manufacturing; and the need to hire additional management and other employees. Successful completion of the Company’s development program and, ultimately, the attainment of profitable operations, are dependent upon future events, including our ability to access potential markets, and secure long-term financing on commercially reasonable terms.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participates in dynamic high-technology industries. Changes in any of the following areas could have a material adverse impact on the Company’s future financial position, results of operations, or cash flows: changes in the overall demand for its products and services; changes to future or existing vehicle programs; advances and trends in new technologies; competitive pressures; acceptance of the Company’s products and services; litigation or claims against the Company based on intellectual property (including patents); supply chain and logistical challenges and uncertainties; uncertainties surrounding trade policies as well as domestic and foreign tariffs and export controls; political, regulatory, social, environmental and economic conditions or other factors; and the Company’s ability to attract and retain employees necessary to support its business operations.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global economic recession, downturn or other adverse economic conditions, whether due to changes or uncertainties in trade policies, the imposition or proposed imposition of tariffs, export controls, threat of a trade war, persistent inflation, political instability, global or regional conflicts or other geopolitical events, public health crises, interest rate changes or other central bank policy actions, bank closures and liquidity concerns at financial institutions, or other factors, have in the past and may in the future have an adverse impact on the Company’s business, prospects, financial condition and results of operations. If any of the Company’s suppliers, sub-suppliers or partners experience financial distress, insolvency or disruptions in operations, they may be unable to fulfill their obligations or meet the Company’s production and quality requirements. Adverse economic conditions and uncertainty about the current and future domestic or global economic conditions may also cause the Company’s customers to defer purchases or cancel their orders in response to higher interest rates, limited consumer credit availability, lower cash reserves, fluctuations in foreign currency exchange rates, and weakened consumer confidence. A reduction in demand for the Company’s products may result in a decline in product sales, with a corresponding material adverse impact on the Company’s business, prospects, financial condition and results of operations. Given the Company’s premium brand positioning and pricing, an economic recession or downturn is likely to have a disproportionate adverse effect on the Company compared to its competitors in the EV and traditional automotive sectors, to the extent that consumer demand for luxury goods declines in favor of more cost-conscious alternatives. In addition, adverse economic conditions and uncertainties surrounding trade policies, tariffs and export controls have caused, and may continue to cause, supply chain and logistical challenges and operational risks. In particular, the U.S. federal government enacted the law commonly referred to as the One Big, Beautiful Bill Act (“OBBBA”), which eliminates, limits or phases out certain tax credits that had previously provided significant benefits to lessees and purchasers of EVs and adds new eligibility requirements on manufacturers to continue claiming tax credits on EV components. It also eliminates certain penalties for noncompliance with certain fuel efficiency standards and introduces certain key tax law modifications.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Taken together, adverse economic conditions and uncertainties surrounding trade policies, tariffs and export controls, coupled with supply chain challenges and the potential difficulty of passing costs to customers or sharing the burden with suppliers, could reduce demand for the Company’s products and have a material adverse effect on the Company’s business, prospects, results of operations and financial condition. In addition, the deterioration of conditions in the financial markets may limit the Company’s ability to obtain external financing to fund its operations and capital expenditures for business growth on terms favorable to the Company, if at all. See “Risk Factors” in Part II, Item 1A of this Quarterly Report on Form 10-Q (the “Quarterly Report”) for more information regarding risks associated with a global economic recession, downturn or other adverse economic conditions.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the current circumstances, any impact on the Company’s financial condition, results of operations or cash flows in the future continues to be difficult to estimate and predict, as it depends on future events that are highly uncertain and cannot be predicted with accuracy.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color w:val="000000"/>
          <w:sz w:val="20"/>
        </w:rPr>
        <w:t>NOTE 2</w:t>
      </w:r>
      <w:r>
        <w:rPr>
          <w:color w:val="000000"/>
        </w:rPr>
        <w:t xml:space="preserve"> – </w:t>
      </w:r>
      <w:r>
        <w:rPr>
          <w:rFonts w:ascii="Times New Roman;serif" w:hAnsi="Times New Roman;serif"/>
          <w:b/>
          <w:color w:val="000000"/>
          <w:sz w:val="20"/>
        </w:rPr>
        <w:t>SUMMARY OF SIGNIFICANT ACCOUNTING POLICIES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Basis of Presentation and Principles of Consolidation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included herein have been prepared in accordance with generally accepted accounting principles in the United States of America (“U.S. GAAP”) and applicable rules and regulations of the U.S. Securities and Exchange Commission (the “SEC”) regarding interim financial reporting. Certain information and disclosures normally included in the financial statements prepared in accordance with U.S. GAAP have been condensed or omitted pursuant to such rules and regulations. These unaudited condensed consolidated financial statements should be read in conjunction with the audited consolidated financial statements and notes included in the Company’s Form 10-K filed with the SEC on February 24, 2026.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management’s opinion, these unaudited condensed consolidated financial statements have been prepared on the same basis as the annual financial statements and reflect all adjustments, which include normal recurring adjustments, necessary for the fair statement of the Company’s financial position as of June 30, 2026 and the results of operations for the three and six months ended June 30, 2026 and 2025. The results of operations for the three and six months ended June 30, 2026 are not necessarily indicative of the results to be expected for the full year ending December 31, 2026 or any other future interim or annual period.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August 29, 2025, the Company effected a reverse stock split of its common stock at a ratio of one-for-ten (1:10) (the “Reverse Stock Split”) and a corresponding reduction of the authorized shares of common stock, as approved by the Company’s board of directors (the “Board of Directors”) and stockholders. The shares of the common stock began trading on a reverse split-adjusted basis at market open on September 2, 2025. Unless otherwise noted, the share, per share, and related information in this Quarterly Report on Form 10-Q reflects the effect of the Reverse Stock Split. The share and per share information of the Redeemable Convertible Preferred Stock remains unchanged, except for the information relating to the common stock underlying the Redeemable Convertible Preferred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financial statements include the accounts of the Company and its wholly owned subsidiaries. All significant intercompany balances and transactions have been eliminated in consolidation.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Based on available liquidity and projected operating cash flows, future capital expenditure requirements, existing funding arrangements, and the anticipated benefits of operational initiatives implemented or underway, management believes it is probable that the Company will have sufficient liquidity to meet its obligations as they become due for at least one year after the date these condensed consolidated financial statements are issued.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identified approximately $1.4 billion in cash flow improvements for 2026. These opportunities span inventory, capital expenditures, and operating expenses, and together are intended to improve liquidity, reduce cash burn, and increase capital efficiency while preserving key growth programs, including its Midsize platform and autonomous commercialization initiatives. As part of such efforts, the Company has reduced its production volume to better align production plans with anticipated demand to improve working capital. Furthermore, the Company has in the past reduced the size of its workforce, and recently implemented workforce reduction plans and other actions relating to contractors in the first half of 2026, including the elimination of the second shift of production at the AMP-1 factory.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Segment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that it operates in one operating and one reportable segment, as the CODM reviews financial information presented on a consolidated basis for purposes of making operating decisions, allocating resources, and evaluating financial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amounts reported in the financial statements and accompanying notes. Significant estimates, assumptions and judgments made by management include, among others, inventory valuation, warranty reserve, useful lives of property, plant and equipment, fair value of derivative liabilities associated with the Redeemable Convertible Preferred Stock, estimates of residual value guarantee (“RVG”) liability, deferred revenue related to technology access fees and over-the-air (“OTA”) software updates, sales return reserves, assumptions used to measure stock-based compensation expense, income taxes, and estimated incremental borrowing rates for assessing operating and finance leases.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Actual results may differ from these estimates under different assumptions or conditions due to the inherent uncertainty involved in making those estimates and any such differences may be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Reclassification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Certain prior-period amounts have been reclassified in the accompanying condensed consolidated financial statements and notes thereto in order to conform to the current period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Cash, Cash Equivalents and Restricted Cash</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considers all highly liquid investments with an original maturity at the date of purchase of three months or less to be cash equivalents.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is primarily related to cash reserved or letters of credit issued for certain lease arrangements.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to amounts shown in the statements of cash flows (in thousands):</w:t>
      </w:r>
    </w:p>
    <w:tbl>
      <w:tblPr>
        <w:tblW w:w="7044" w:type="dxa"/>
        <w:jc w:val="left"/>
        <w:tblInd w:w="0" w:type="dxa"/>
        <w:tblLayout w:type="fixed"/>
        <w:tblCellMar>
          <w:top w:w="28" w:type="dxa"/>
          <w:left w:w="28" w:type="dxa"/>
          <w:bottom w:w="28" w:type="dxa"/>
          <w:right w:w="28" w:type="dxa"/>
        </w:tblCellMar>
      </w:tblPr>
      <w:tblGrid>
        <w:gridCol w:w="1532"/>
        <w:gridCol w:w="1345"/>
        <w:gridCol w:w="1353"/>
        <w:gridCol w:w="211"/>
        <w:gridCol w:w="826"/>
        <w:gridCol w:w="109"/>
        <w:gridCol w:w="109"/>
        <w:gridCol w:w="109"/>
        <w:gridCol w:w="109"/>
        <w:gridCol w:w="211"/>
        <w:gridCol w:w="976"/>
        <w:gridCol w:w="154"/>
      </w:tblGrid>
      <w:tr>
        <w:trPr/>
        <w:tc>
          <w:tcPr>
            <w:tcW w:w="1532"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997,827 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noncurrent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806,966 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1,040,913 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Accounts Receivable, Net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consists of receivables from our customers and from financial institutions offering financing products to our customers for the sale of vehicles, sales of powertrain kits, services, and regulatory credits. The Company provides an allowance against accounts receivable for any potential uncollectible amounts. The Company recorded an immaterial allowance for uncollectible amounts as of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Concentration of Credit Risk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concentration of credit risk consist of cash, cash equivalents, investments, and accounts receivable. The Company places its cash primarily with domestic financial institutions that are federally insured within statutory limits; however, its deposits exceed federally insured limits. The Company invests in highly rated securities, primarily issued by the U.S. government or liquid money market funds. As of June 30, 2026 and December 31, 2025, accounts receivable from the EV purchase agreement with the Government of Saudi Arabia, a related party of the Public Investment Fund (“PIF”), which is an affiliate of Ayar, as represented by the Ministry of Finance (the “EV Purchase Agreement”), represented 83.6% and 68.0% of the total accounts receivable balance, respectively. See Note 15 “Related Party Transactions” for more information.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Concentration of Supply Risk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is dependent on its suppliers, the majority of which are single-source suppliers. The inability or unwillingness of these suppliers to deliver necessary components of our products according to the schedule and at prices, quality levels, and volumes acceptable to the Company, whether due to changes or uncertainties in trade policies, the imposition or proposed imposition of tariffs, threat of a trade war or otherwise, or its inability to efficiently manage these components, or the unavailability of stable domestic suppliers, could have a material adverse effect on the Company’s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Revenue from Contracts with Customers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Vehicle Sales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Vehicle sales revenue is generated from the sale of EVs to customers. The Company generated total vehicle sales revenue of $350.6 million and $615.3 million during the three and six months ended June 30, 2026, respectively, and $222.7 million and $417.6 million for the same periods in the prior year, respectively. The performance obligations identified in vehicle sale arrangements include delivery of the vehicle equipped with an onboard advanced driver assistance system (“ADAS”), the provision of maintenance services, the remarketing activities, and the right to unspecified OTA software updates as they become available over the term of the basic vehicle warranty, which is generally four years.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Payment is typically received at the time of delivery or shortly after delivery of the vehicle to the customer, except for vehicle sales under the EV Purchase Agreement. The Company recognizes revenue related to the vehicle when the customer obtains control of the vehicle which occurs at a point in time either upon completion of delivery to the agreed-upon delivery location or upon pick up of the vehicle by the customer. As the unspecified OTA software updates are provided when-and-if they become available, revenue related to OTA software updates is recognized ratably over the basic vehicle warranty term, commencing when control of the vehicle is transferred to the customer. Payments received before the customer obtains control of the vehicle are recorded within other current liabilities in the condensed consolidated balance sheets.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At the time of revenue recognition, the Company reduces the transaction price and records a sales return reserve against revenue for estimated variable consideration related to future returns. Return rate estimates are based on historical experience and the sales return reserve balance was not material as of June 30, 2026 and December 31,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recorded $93.2 million and $87.5 million of total deferred revenue from all vehicle sales related to OTA, maintenance services, and remarketing activities for vehicle sales, respectively. The Company recorded $29.5 million and $30.0 million of the total deferred revenue within other current liabilities and the remaining $63.7 million and $57.5 million within other long-term liabilities in the condensed consolidated balance sheets as of June 30, 2026 and December 31, 2025, respectively. Revenue recognized that was included in the deferred revenue at the beginning of the period was not material during the three and six months ended June 30, 2026 and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provides a residual value guarantee to its commercial banking partners in connection with its vehicle leasing program. Related vehicle sales represented approximately 33% and 36% of total revenue during the three and six months ended June 30, 2026, respectively, and 51% and 54% for the same periods in the prior year, respectively. Under the vehicle leasing program, the Company recognizes revenue when control transfers upon delivery when the consumer-lessee takes physical possession of the vehicle, and bifurcates the RVG at fair value and accounts for it as a reduction to revenue and a guarantee liability. The remaining amount of the transaction price is allocated among the performance obligations. Any fees or incentives that are paid or payable by the Company to commercial banking partners are recognized as a reduction to vehicle sales revenue.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guarantee liability represents the estimated amount the Company expects to pay at the end of the lease term. The Company is released from residual risk upon either expiration or settlement of the RVG. The Company evaluates variables such as third-party residual value publications, risk of future price deterioration due to changes in market conditions and reconditioning costs to determine the estimated RVG liability. RVG liability is assessed subsequently for any changes on a quarterly basis. The Company recorded $131.5 million and $114.0 million of RVG liabilities as of June 30, 2026 and December 31, 2025, respectively, in other current liabilities and other long-term liabilities in the condensed consolidated balance sheets. As the Company accumulates more data related to the resale value of our vehicles or as market conditions change, there could be material changes to the estimated guarantee liabilities. The maximum potential amount of future payments (in excess of RVG liabilities recorded) that the Company could be required to make was $724.5 million and $705.9 million as of June 30, 2026 and December 31, 2025, respectively.</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Vehicle Operating Lease Revenue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sales of vehicles with repurchase obligations as operating leases. The Company sells vehicles primarily to rental companies with an obligation to repurchase the vehicles at an agreed-upon repurchase price. The Company records the difference between the proceeds received and the agreed-upon repurchase price as vehicle leasing revenue on a straight-line basis over the term of the lease. Deferred leasing revenue and repurchase obligation were recorded in other current liabilities and other long-term liabilities in the condensed consolidated balance sheets, and were not material as of June 30, 2026 and December 31, 2025. The operating lease revenue was not material for the three and six months ended June 30, 2026 and 2025. </w:t>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Sale and Leaseback Transactions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enters into sale and leaseback transactions in which the Company transfers control of vehicles to rental companies and simultaneously leases them back as operating leases. The Company recognizes revenue related to the vehicles under the arrangement when the rental companies obtain control of the vehicles and separately recognizes the lease obligations based on the present value of the future payments to the rental companies within other current liabilities and other long-term liabilities. The Company also records right-of-use assets which are amortized over the term of the leaseback. Operating lease expense is recognized on a straight-line basis over the term of the leaseback.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recorded revenue from sale and leaseback transactions of $16.6 million and $51.0 million during the three and six months ended June 30, 2026, respectively, and $19.0 million and $44.9 million for the same periods in the prior year, respectively. Operating lease expenses were not material.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Other consists primarily of revenue from non-warranty after-sales vehicle services and parts, sales of battery pack systems, powertrain kits, retail merchandise, regulatory credits, and sales of non-Lucid vehicles acquired as part of the trade-in program. The Company generates regulatory credits revenue from the sale of tradable credits the Company earns under various regulations. This includes credits related to ZEVs and greenhouse gas (“GHG”), and the Corporate Average Fuel Economy (“CAFE”) credits. Regulatory credit revenue totaled $25.4 million during the three and six months ended June 30, 2026, and $18.7 million and $50.2 million for the same periods in the prior year, respectively. The revenue from sales of non-Lucid vehicles was not material for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Redeemable Convertible Preferred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Accounting for the redeemable convertible preferred stock requires an evaluation to determine if liability classification is required under Accounting Standards Codification (“ASC”) 480-10. Liability classification is required for freestanding financial instruments that are (1) subject to an unconditional obligation requiring the issuer to redeem the instrument by transferring assets, such as those that are mandatorily redeemable, (2) instruments other than equity shares that embody an obligation of the issuer to repurchase its equity shares, or (3) certain types of instruments that obligate the issuer to issue a variable number of equity shares.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Securities that do not meet the scoping criteria to be classified as a liability under ASC 480 are subject to redeemable equity guidance, which prescribes securities that may be subject to redemption upon an event not solely within the Company’s control to be classified as temporary equity. Securities classified in temporary equity are initially measured at the proceeds received, net of issuance costs and excluding the fair value of bifurcated embedded derivatives, and change in fair value of the redeemable convertible preferred stock contract as measured upon settlement based on the difference between the fair value of the redeemable convertible preferred stock at issuance versus the cash purchase price negotiated at fair value at contract inception, if any. Subsequent measurement of the carrying value of the redeemable convertible preferred stock is required as the instrument is probable of becoming redeemable. The Company accretes the redeemable convertible preferred stock to its redemption value. In certain circumstances, the redemption price may vary based on changes in stock price, in which case the Company recognizes changes in the redemption value immediately as they occur and adjust the carrying value of the security to equal the then current maximum redemption value at the end of each reporting period.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Derivative Liabilities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evaluates all of its financial instruments, including convertible notes and redeemable convertible preferred stock, to determine if such instruments are derivatives or contain features that qualify as embedded derivatives. The Company applies significant judgment to identify and evaluate complex terms and conditions in these contracts and agreements to determine whether embedded derivatives exist. Embedded derivatives must be separately measured from the host contracts if all the requirements for bifurcation are met. The assessment of the conditions surrounding the bifurcation of embedded derivatives depends on the nature of the host contract. Bifurcated embedded derivatives are recognized at fair value, with changes in fair value recognized in the condensed consolidated statements of operations and comprehensive loss at each reporting period end. Bifurcated embedded derivatives are classified as a separate liability in the condensed consolidated balance sheet.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derivative liabilities are related to the conversion features embedded in the Redeemable Convertible Preferred Stock. See Note 7 “Redeemable Convertible Preferred Stock” for more information.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Except for the policies described above, there have been no significant changes to accounting policies during the three and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3 - WORKFORCE REDUCTION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June 22, 2026, the Company announced a reduction of its current U.S. workforce (the “June 2026 Plan”) that was designed to advance the Company’s path toward profitability and positive cash flow generation by streamlining its organizational structure, optimizing operating expenses, and aligning production plans with anticipated demand. The Company expects to substantially complete the June 2026 Plan by the end of the third quarter of 2026, subject to local law and consultation requirements. As a result of the June 2026 Plan, the Company expects to incur total workforce reduction charges of approximately $34 million.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February 20, 2026, the Company announced a reduction of its current U.S. workforce (the “February 2026 Plan”) that intended to align with its long-term operating goals as it focuses on the start of production of its Midsize platform, expansion into the robotaxi market and development of ADAS technologies, as well as the sale and distribution of its current models in existing and new geographies. The Company substantially completed the February 2026 Plan in the second quarter of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May 24, 2024, the Company announced a plan (the “May 2024 Plan”) intended to optimize operating expenses in response to evolving business needs and productivity improvement through a reduction in workforce. The Company completed the May 2024 Plan during the first quarter of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recorded workforce reduction charges of $33.7 million and $71.6 million, respectively, in the condensed consolidated statements of operations and comprehensive loss. The workforce reduction charges are comprised of $33.3 million related to the June 2026 Plan for the three and six months ended June 30, 2026, and $0.4 million and $38.3 million related to the February 2026 Plan for the three and six months ended June 30, 2026, respectively. The workforce reduction charges were primarily related to severance payments, employee benefits, employee transition, and acceleration of stock-based compensation expense.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summary of accrued liabilities associated with the workforce reduction plans was as follows (in thousands):</w:t>
      </w:r>
    </w:p>
    <w:tbl>
      <w:tblPr>
        <w:tblW w:w="9706" w:type="dxa"/>
        <w:jc w:val="left"/>
        <w:tblInd w:w="0" w:type="dxa"/>
        <w:tblLayout w:type="fixed"/>
        <w:tblCellMar>
          <w:top w:w="28" w:type="dxa"/>
          <w:left w:w="28" w:type="dxa"/>
          <w:bottom w:w="28" w:type="dxa"/>
          <w:right w:w="28" w:type="dxa"/>
        </w:tblCellMar>
      </w:tblPr>
      <w:tblGrid>
        <w:gridCol w:w="1781"/>
        <w:gridCol w:w="1565"/>
        <w:gridCol w:w="1574"/>
        <w:gridCol w:w="228"/>
        <w:gridCol w:w="780"/>
        <w:gridCol w:w="117"/>
        <w:gridCol w:w="117"/>
        <w:gridCol w:w="117"/>
        <w:gridCol w:w="117"/>
        <w:gridCol w:w="228"/>
        <w:gridCol w:w="439"/>
        <w:gridCol w:w="117"/>
        <w:gridCol w:w="109"/>
        <w:gridCol w:w="109"/>
        <w:gridCol w:w="109"/>
        <w:gridCol w:w="211"/>
        <w:gridCol w:w="721"/>
        <w:gridCol w:w="109"/>
        <w:gridCol w:w="109"/>
        <w:gridCol w:w="109"/>
        <w:gridCol w:w="109"/>
        <w:gridCol w:w="211"/>
        <w:gridCol w:w="466"/>
        <w:gridCol w:w="154"/>
      </w:tblGrid>
      <w:tr>
        <w:trPr/>
        <w:tc>
          <w:tcPr>
            <w:tcW w:w="1781"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 beginning of period</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Workforce reduction charges excluding non-cash items</w:t>
            </w:r>
            <w:r>
              <w:rPr>
                <w:rFonts w:ascii="Times New Roman;serif" w:hAnsi="Times New Roman;serif"/>
                <w:b w:val="false"/>
                <w:color w:val="000000"/>
                <w:sz w:val="13"/>
              </w:rPr>
              <w:t>(1)(2)</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 end of period</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30,132 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Excluded non-cash items of $4.7 million for the three and six months ended June 30, 2026 related to the June 2026 Plan, comprised of the acceleration of stock-based compensation expenses.</w:t>
      </w:r>
    </w:p>
    <w:p>
      <w:pPr>
        <w:pStyle w:val="TextBody"/>
        <w:bidi w:val="0"/>
        <w:spacing w:lineRule="auto" w:line="288"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Excluded non-cash items of $1.4 million credit for the six months ended June 30, 2026 related to the February 2026 Plan, which was net of accelerated stock-based compensation expense of $1.9 million and a reversal of $3.3 million related to previously recognized stock-based compensation expenses for unvested restricted stock awards.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accrued liabilities of $30.1 million associated with the June 2026 Plan and February 2026 Plan were included in other current liabilities on the condensed consolidated balance sheet.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4 – BALANCE SHEETS COMPONENTS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Inventory as of June 30, 2026 and December 31, 2025 was as follows (in thousands): </w:t>
      </w:r>
    </w:p>
    <w:tbl>
      <w:tblPr>
        <w:tblW w:w="4463" w:type="dxa"/>
        <w:jc w:val="left"/>
        <w:tblInd w:w="0" w:type="dxa"/>
        <w:tblLayout w:type="fixed"/>
        <w:tblCellMar>
          <w:top w:w="28" w:type="dxa"/>
          <w:left w:w="28" w:type="dxa"/>
          <w:bottom w:w="28" w:type="dxa"/>
          <w:right w:w="28" w:type="dxa"/>
        </w:tblCellMar>
      </w:tblPr>
      <w:tblGrid>
        <w:gridCol w:w="543"/>
        <w:gridCol w:w="476"/>
        <w:gridCol w:w="480"/>
        <w:gridCol w:w="211"/>
        <w:gridCol w:w="976"/>
        <w:gridCol w:w="109"/>
        <w:gridCol w:w="109"/>
        <w:gridCol w:w="109"/>
        <w:gridCol w:w="109"/>
        <w:gridCol w:w="211"/>
        <w:gridCol w:w="976"/>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479,754 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progress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Finished goods</w:t>
            </w:r>
            <w:r>
              <w:rPr>
                <w:color w:val="000000"/>
              </w:rPr>
              <w:t xml:space="preserve">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1,378,653 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1,109,529 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Inventory as of June 30, 2026 and December 31, 2025 was comprised of raw materials, work in progress related to the production of vehicles for sale and SKD units for final assembly in Saudi Arabia, and finished goods inventory including new vehicles available for sale, vehicles in transit to fulfill customer orders, and used vehicles which the Company intends to sell. The Company recorded write-downs of $299.7 million and $537.6 million for the three and six months ended June 30, 2026, respectively, and $184.7 million and $336.3 million for the same periods in the prior year, respectively, to reduce its inventories to its net realizable values and for any excess or obsolete inventories, as well as losses from firm purchase commitments (“LCNRV”). While the final scope and application of recently announced changes in trade policy remain uncertain at this time, higher tariffs on imports and subsequent retaliatory tariffs could adversely impact the Company’s financial results.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Property, plant and equipment, net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net as of June 30, 2026 and December 31, 2025 was as follows (in thousands):</w:t>
      </w:r>
    </w:p>
    <w:tbl>
      <w:tblPr>
        <w:tblW w:w="7014" w:type="dxa"/>
        <w:jc w:val="left"/>
        <w:tblInd w:w="0" w:type="dxa"/>
        <w:tblLayout w:type="fixed"/>
        <w:tblCellMar>
          <w:top w:w="28" w:type="dxa"/>
          <w:left w:w="28" w:type="dxa"/>
          <w:bottom w:w="28" w:type="dxa"/>
          <w:right w:w="28" w:type="dxa"/>
        </w:tblCellMar>
      </w:tblPr>
      <w:tblGrid>
        <w:gridCol w:w="1466"/>
        <w:gridCol w:w="1289"/>
        <w:gridCol w:w="1295"/>
        <w:gridCol w:w="211"/>
        <w:gridCol w:w="976"/>
        <w:gridCol w:w="109"/>
        <w:gridCol w:w="109"/>
        <w:gridCol w:w="109"/>
        <w:gridCol w:w="109"/>
        <w:gridCol w:w="211"/>
        <w:gridCol w:w="976"/>
        <w:gridCol w:w="154"/>
      </w:tblGrid>
      <w:tr>
        <w:trPr/>
        <w:tc>
          <w:tcPr>
            <w:tcW w:w="146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land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Building and improvements</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Machinery, tooling and vehicles</w:t>
            </w:r>
            <w:r>
              <w:rPr>
                <w:rFonts w:ascii="Times New Roman;serif" w:hAnsi="Times New Roman;serif"/>
                <w:b w:val="false"/>
                <w:color w:val="000000"/>
                <w:sz w:val="13"/>
              </w:rPr>
              <w:t>(2)(3)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970,960 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5,656,580 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5,200,462 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(1,222,330)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4,222,841 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3,978,132 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As of June 30, 2026 and December 31, 2025,</w:t>
      </w:r>
      <w:r>
        <w:rPr>
          <w:color w:val="000000"/>
        </w:rPr>
        <w:t xml:space="preserve"> </w:t>
      </w:r>
      <w:r>
        <w:rPr>
          <w:rFonts w:ascii="Times New Roman;serif" w:hAnsi="Times New Roman;serif"/>
          <w:b w:val="false"/>
          <w:color w:val="000000"/>
          <w:sz w:val="16"/>
        </w:rPr>
        <w:t>$127.5 million of capital expenditure support received from Ministry of Investment of Saudi Arabia (“MISA”) was primarily recorded as a deduction to the AMP-2 building balance. See Note 15 “Related Party Transactions” for more information.</w:t>
      </w:r>
    </w:p>
    <w:p>
      <w:pPr>
        <w:pStyle w:val="TextBody"/>
        <w:bidi w:val="0"/>
        <w:spacing w:lineRule="auto" w:line="288" w:before="0" w:after="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Included $28.4 million and $47.2 million of service loaner vehicles as of June 30, 2026 and December 31, 2025, respectively.</w:t>
      </w:r>
    </w:p>
    <w:p>
      <w:pPr>
        <w:pStyle w:val="TextBody"/>
        <w:bidi w:val="0"/>
        <w:spacing w:lineRule="auto" w:line="288" w:before="0" w:after="0"/>
        <w:jc w:val="left"/>
        <w:rPr/>
      </w:pPr>
      <w:r>
        <w:rPr>
          <w:rFonts w:ascii="Times New Roman;serif" w:hAnsi="Times New Roman;serif"/>
          <w:b w:val="false"/>
          <w:color w:val="000000"/>
          <w:sz w:val="10"/>
        </w:rPr>
        <w:t xml:space="preserve">(3) </w:t>
      </w:r>
      <w:r>
        <w:rPr>
          <w:rFonts w:ascii="Times New Roman;serif" w:hAnsi="Times New Roman;serif"/>
          <w:b w:val="false"/>
          <w:color w:val="000000"/>
          <w:sz w:val="16"/>
        </w:rPr>
        <w:t>Included $32.8 million and $33.7 million of operating lease vehicles sold to rental companies as of June 30, 2026 and December 31,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 represents the costs incurred in connection with the construction of buildings or new additions to the Company’s plant facilities, including tooling with outside vendors. Costs classified as construction in progress include all costs of obtaining the asset, installation of the asset, and bringing it to the location and the condition necessary for its intended use. No depreciation is provided for construction in progress until such time as the asset is completed and is ready for its intended use. Construction in progress consisted of the following (in thousands):</w:t>
      </w:r>
    </w:p>
    <w:tbl>
      <w:tblPr>
        <w:tblW w:w="5978" w:type="dxa"/>
        <w:jc w:val="left"/>
        <w:tblInd w:w="0" w:type="dxa"/>
        <w:tblLayout w:type="fixed"/>
        <w:tblCellMar>
          <w:top w:w="28" w:type="dxa"/>
          <w:left w:w="28" w:type="dxa"/>
          <w:bottom w:w="28" w:type="dxa"/>
          <w:right w:w="28" w:type="dxa"/>
        </w:tblCellMar>
      </w:tblPr>
      <w:tblGrid>
        <w:gridCol w:w="1146"/>
        <w:gridCol w:w="1006"/>
        <w:gridCol w:w="1012"/>
        <w:gridCol w:w="211"/>
        <w:gridCol w:w="976"/>
        <w:gridCol w:w="109"/>
        <w:gridCol w:w="109"/>
        <w:gridCol w:w="109"/>
        <w:gridCol w:w="109"/>
        <w:gridCol w:w="211"/>
        <w:gridCol w:w="826"/>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tooling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418,426 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Construction of AMP-1 and AMP-2</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512,502 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Leasehold improvements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construction in progress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1,449,228 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970,960 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As of June 30, 2026 and December 31, 2025, $67.3 million of capital expenditure support received from MISA was recorded primarily as a deduction to the AMP-2 facility construction in progress balance. See Note 15 “Related Party Transactions” for more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expense was $122.2 million and $238.6 million for the three and six months ended June 30, 2026, respectively, and $111.1 million and $209.0 million for the same periods in the prior year, respectively. The amount of interest capitalized on construction in progress related to significant capital asset constructions was not material for the three and six months ended June 30, 2026 and 2025.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Other current liabilities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 as of June 30, 2026 and December 31, 2025 were as follows (in thousands):</w:t>
      </w:r>
    </w:p>
    <w:tbl>
      <w:tblPr>
        <w:tblW w:w="7733" w:type="dxa"/>
        <w:jc w:val="left"/>
        <w:tblInd w:w="0" w:type="dxa"/>
        <w:tblLayout w:type="fixed"/>
        <w:tblCellMar>
          <w:top w:w="28" w:type="dxa"/>
          <w:left w:w="28" w:type="dxa"/>
          <w:bottom w:w="28" w:type="dxa"/>
          <w:right w:w="28" w:type="dxa"/>
        </w:tblCellMar>
      </w:tblPr>
      <w:tblGrid>
        <w:gridCol w:w="1727"/>
        <w:gridCol w:w="1519"/>
        <w:gridCol w:w="1523"/>
        <w:gridCol w:w="211"/>
        <w:gridCol w:w="976"/>
        <w:gridCol w:w="109"/>
        <w:gridCol w:w="109"/>
        <w:gridCol w:w="109"/>
        <w:gridCol w:w="109"/>
        <w:gridCol w:w="211"/>
        <w:gridCol w:w="976"/>
        <w:gridCol w:w="154"/>
      </w:tblGrid>
      <w:tr>
        <w:trPr/>
        <w:tc>
          <w:tcPr>
            <w:tcW w:w="1727"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design, and testing accrual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 expenditures accrual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Accrued purchases</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leasehold improvements accrual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Third-party services accrual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Tooling liability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loss on firm inventory purchase commitments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warranty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Deferred revenue</w:t>
            </w:r>
            <w:r>
              <w:rPr>
                <w:rFonts w:ascii="Times New Roman;serif" w:hAnsi="Times New Roman;serif"/>
                <w:b w:val="false"/>
                <w:color w:val="000000"/>
                <w:sz w:val="13"/>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incentive accrual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RVG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current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1,359,101 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1,392,641 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Primarily represent accruals for inventory related purchases and transportation charges that had not been invoiced.</w:t>
      </w:r>
    </w:p>
    <w:p>
      <w:pPr>
        <w:pStyle w:val="TextBody"/>
        <w:bidi w:val="0"/>
        <w:spacing w:lineRule="auto" w:line="288"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Represent deferred revenue from vehicle sales primarily related to OTA and remarketing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Other long-term liabilities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 as of June 30, 2026 and December 31, 2025 were as follows (in thousands):</w:t>
      </w:r>
    </w:p>
    <w:tbl>
      <w:tblPr>
        <w:tblW w:w="6683" w:type="dxa"/>
        <w:jc w:val="left"/>
        <w:tblInd w:w="0" w:type="dxa"/>
        <w:tblLayout w:type="fixed"/>
        <w:tblCellMar>
          <w:top w:w="28" w:type="dxa"/>
          <w:left w:w="28" w:type="dxa"/>
          <w:bottom w:w="28" w:type="dxa"/>
          <w:right w:w="28" w:type="dxa"/>
        </w:tblCellMar>
      </w:tblPr>
      <w:tblGrid>
        <w:gridCol w:w="1453"/>
        <w:gridCol w:w="1279"/>
        <w:gridCol w:w="1287"/>
        <w:gridCol w:w="211"/>
        <w:gridCol w:w="826"/>
        <w:gridCol w:w="109"/>
        <w:gridCol w:w="109"/>
        <w:gridCol w:w="109"/>
        <w:gridCol w:w="109"/>
        <w:gridCol w:w="211"/>
        <w:gridCol w:w="826"/>
        <w:gridCol w:w="154"/>
      </w:tblGrid>
      <w:tr>
        <w:trPr/>
        <w:tc>
          <w:tcPr>
            <w:tcW w:w="1453"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long-term liabilities</w:t>
            </w:r>
            <w:r>
              <w:rPr>
                <w:rFonts w:ascii="Times New Roman;serif" w:hAnsi="Times New Roman;serif"/>
                <w:b w:val="false"/>
                <w:color w:val="000000"/>
                <w:sz w:val="13"/>
              </w:rPr>
              <w:t>(1)(2)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long-term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599,441 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582,739 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As of June 30, 2026 and December 31, 2025, $114.8 million of deferred revenue was recorded within other long-term liabilities in the condensed consolidated balance sheets, respectively, in connection with the strategic technology and supply arrangement, and integration and supply arrangements with Aston Martin Lagonda Global Holdings plc (together with its subsidiaries, “Aston Martin”). See Note 15 “Related Party Transactions” for more information.</w:t>
      </w:r>
    </w:p>
    <w:p>
      <w:pPr>
        <w:pStyle w:val="TextBody"/>
        <w:bidi w:val="0"/>
        <w:spacing w:lineRule="auto" w:line="288" w:before="0" w:after="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Included accrued warranty balance of $98.5 million and $93.4 million as of June 30, 2026 and December 31, 2025, respectively.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Accrued warranty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Accrued warranty activities consisted of the following (in thousands):</w:t>
      </w:r>
    </w:p>
    <w:tbl>
      <w:tblPr>
        <w:tblW w:w="9089" w:type="dxa"/>
        <w:jc w:val="left"/>
        <w:tblInd w:w="0" w:type="dxa"/>
        <w:tblLayout w:type="fixed"/>
        <w:tblCellMar>
          <w:top w:w="28" w:type="dxa"/>
          <w:left w:w="28" w:type="dxa"/>
          <w:bottom w:w="28" w:type="dxa"/>
          <w:right w:w="28" w:type="dxa"/>
        </w:tblCellMar>
      </w:tblPr>
      <w:tblGrid>
        <w:gridCol w:w="1260"/>
        <w:gridCol w:w="1106"/>
        <w:gridCol w:w="111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26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Accrued warranty - beginning of period</w:t>
            </w:r>
            <w:r>
              <w:rPr>
                <w:rFonts w:ascii="Times New Roman;serif" w:hAnsi="Times New Roman;serif"/>
                <w:b w:val="false"/>
                <w:color w:val="000000"/>
                <w:sz w:val="13"/>
              </w:rPr>
              <w:t>(2)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costs incurred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Provision for warranty</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Accrued warranty - end of period</w:t>
            </w:r>
            <w:r>
              <w:rPr>
                <w:rFonts w:ascii="Times New Roman;serif" w:hAnsi="Times New Roman;serif"/>
                <w:b w:val="false"/>
                <w:color w:val="000000"/>
                <w:sz w:val="13"/>
              </w:rPr>
              <w:t>(2)</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Provision for warranty for the three and six months ended June 30, 2026 and 2025 included estimated costs related to the recalls identified and/or special campaigns to repair or replace items under warranties.</w:t>
      </w:r>
    </w:p>
    <w:p>
      <w:pPr>
        <w:pStyle w:val="TextBody"/>
        <w:bidi w:val="0"/>
        <w:spacing w:lineRule="auto" w:line="288" w:before="0" w:after="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Accrued warranty balance of $74.9 million and $58.8 million was recorded within other current liabilities, and $98.5 million and $93.4 million was recorded within other long-term liabilities, in the condensed consolidated balance sheets as of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5 - FAIR VALUE MEASUREMENTS AND FINANCIAL INSTRUMENTS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accounting standard for fair value measurements provides a framework for measuring fair value and requires expanded disclosures regarding fair value measurements. Fair value is defined as the price that would be received for an asset or the “exit price” that would be paid to transfer a liability in the principal or most advantageous market in an orderly transaction between independent market participants on the measurement date. The Company measures certain financial assets and liabilities at fair value at each reporting period using a fair value hierarchy, which requires the Company to maximize the use of observable inputs and minimize the use of unobservable inputs when measuring fair value. A financial instrument classification within the fair value hierarchy is based upon the lowest level of input that is significant to the fair value measurement. This hierarchy prioritizes the inputs into three broad levels as follows:</w:t>
      </w:r>
    </w:p>
    <w:p>
      <w:pPr>
        <w:pStyle w:val="TextBody"/>
        <w:bidi w:val="0"/>
        <w:spacing w:lineRule="auto" w:line="288" w:before="240" w:after="283"/>
        <w:ind w:left="0" w:right="0" w:hanging="360"/>
        <w:jc w:val="both"/>
        <w:rPr/>
      </w:pPr>
      <w:r>
        <w:rPr>
          <w:color w:val="000000"/>
        </w:rPr>
        <w:t>•</w:t>
      </w:r>
      <w:r>
        <w:rPr>
          <w:rFonts w:ascii="Times New Roman;serif" w:hAnsi="Times New Roman;serif"/>
          <w:b/>
          <w:i/>
          <w:color w:val="000000"/>
          <w:sz w:val="20"/>
        </w:rPr>
        <w:t>Level 1</w:t>
      </w:r>
      <w:r>
        <w:rPr>
          <w:color w:val="000000"/>
        </w:rPr>
        <w:t>—</w:t>
      </w:r>
      <w:r>
        <w:rPr>
          <w:rFonts w:ascii="Times New Roman;serif" w:hAnsi="Times New Roman;serif"/>
          <w:b w:val="false"/>
          <w:color w:val="000000"/>
          <w:sz w:val="20"/>
        </w:rPr>
        <w:t>Quoted prices (unadjusted) in active markets for identical assets or liabilities.</w:t>
      </w:r>
    </w:p>
    <w:p>
      <w:pPr>
        <w:pStyle w:val="TextBody"/>
        <w:bidi w:val="0"/>
        <w:spacing w:lineRule="auto" w:line="288" w:before="240" w:after="283"/>
        <w:ind w:left="0" w:right="0" w:hanging="360"/>
        <w:jc w:val="left"/>
        <w:rPr/>
      </w:pPr>
      <w:r>
        <w:rPr>
          <w:color w:val="000000"/>
        </w:rPr>
        <w:t>•</w:t>
      </w:r>
      <w:r>
        <w:rPr>
          <w:rFonts w:ascii="Times New Roman;serif" w:hAnsi="Times New Roman;serif"/>
          <w:b/>
          <w:i/>
          <w:color w:val="000000"/>
          <w:sz w:val="20"/>
        </w:rPr>
        <w:t>Level 2</w:t>
      </w:r>
      <w:r>
        <w:rPr>
          <w:color w:val="000000"/>
        </w:rPr>
        <w:t>—</w:t>
      </w:r>
      <w:r>
        <w:rPr>
          <w:rFonts w:ascii="Times New Roman;serif" w:hAnsi="Times New Roman;serif"/>
          <w:b w:val="false"/>
          <w:color w:val="000000"/>
          <w:sz w:val="20"/>
        </w:rPr>
        <w:t>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pStyle w:val="TextBody"/>
        <w:bidi w:val="0"/>
        <w:spacing w:lineRule="auto" w:line="288" w:before="240" w:after="283"/>
        <w:ind w:left="0" w:right="0" w:hanging="360"/>
        <w:jc w:val="left"/>
        <w:rPr/>
      </w:pPr>
      <w:r>
        <w:rPr>
          <w:color w:val="000000"/>
        </w:rPr>
        <w:t>•</w:t>
      </w:r>
      <w:r>
        <w:rPr>
          <w:rFonts w:ascii="Times New Roman;serif" w:hAnsi="Times New Roman;serif"/>
          <w:b/>
          <w:i/>
          <w:color w:val="000000"/>
          <w:sz w:val="20"/>
        </w:rPr>
        <w:t>Level 3</w:t>
      </w:r>
      <w:r>
        <w:rPr>
          <w:color w:val="000000"/>
        </w:rPr>
        <w:t>—</w:t>
      </w:r>
      <w:r>
        <w:rPr>
          <w:rFonts w:ascii="Times New Roman;serif" w:hAnsi="Times New Roman;serif"/>
          <w:b w:val="false"/>
          <w:color w:val="000000"/>
          <w:sz w:val="20"/>
        </w:rPr>
        <w:t>Inputs that are generally unobservable and typically reflect management’s estimates of assumptions that market participants would use in pricing the asset or liability. Factors used to develop the estimated fair value are unobservable inputs that are not supported by market activity. The sensitivity of the fair value measurement to changes in unobservable inputs may result in a significantly higher or lower measurement.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cash equivalents, and investments are reported at their respective fair values on the Company’s condensed consolidated balance sheets. The Company’s short-term and long-term investments are classified as available-for-sale securities. Carrying amounts of accounts receivable, accounts payable, and other current liabilities approximate their estimated fair values.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financial assets subject to fair value measurements on a recurring basis by level within the fair value hierarchy as of June 30, 2026 and December 31, 2025 (in thousands):</w:t>
      </w:r>
    </w:p>
    <w:tbl>
      <w:tblPr>
        <w:tblW w:w="10205" w:type="dxa"/>
        <w:jc w:val="left"/>
        <w:tblInd w:w="0" w:type="dxa"/>
        <w:tblLayout w:type="fixed"/>
        <w:tblCellMar>
          <w:top w:w="28" w:type="dxa"/>
          <w:left w:w="28" w:type="dxa"/>
          <w:bottom w:w="28" w:type="dxa"/>
          <w:right w:w="28" w:type="dxa"/>
        </w:tblCellMar>
      </w:tblPr>
      <w:tblGrid>
        <w:gridCol w:w="698"/>
        <w:gridCol w:w="325"/>
        <w:gridCol w:w="295"/>
        <w:gridCol w:w="213"/>
        <w:gridCol w:w="835"/>
        <w:gridCol w:w="110"/>
        <w:gridCol w:w="109"/>
        <w:gridCol w:w="109"/>
        <w:gridCol w:w="109"/>
        <w:gridCol w:w="319"/>
        <w:gridCol w:w="615"/>
        <w:gridCol w:w="166"/>
        <w:gridCol w:w="109"/>
        <w:gridCol w:w="109"/>
        <w:gridCol w:w="109"/>
        <w:gridCol w:w="321"/>
        <w:gridCol w:w="619"/>
        <w:gridCol w:w="167"/>
        <w:gridCol w:w="109"/>
        <w:gridCol w:w="109"/>
        <w:gridCol w:w="109"/>
        <w:gridCol w:w="232"/>
        <w:gridCol w:w="910"/>
        <w:gridCol w:w="120"/>
        <w:gridCol w:w="109"/>
        <w:gridCol w:w="109"/>
        <w:gridCol w:w="109"/>
        <w:gridCol w:w="247"/>
        <w:gridCol w:w="968"/>
        <w:gridCol w:w="127"/>
        <w:gridCol w:w="109"/>
        <w:gridCol w:w="109"/>
        <w:gridCol w:w="109"/>
        <w:gridCol w:w="247"/>
        <w:gridCol w:w="847"/>
        <w:gridCol w:w="189"/>
      </w:tblGrid>
      <w:tr>
        <w:trPr/>
        <w:tc>
          <w:tcPr>
            <w:tcW w:w="69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 As:</w:t>
            </w:r>
          </w:p>
        </w:tc>
      </w:tr>
      <w:tr>
        <w:trPr/>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Short-Term Investments</w:t>
            </w:r>
          </w:p>
        </w:tc>
      </w:tr>
      <w:tr>
        <w:trPr/>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378,128 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378,128 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378,128 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1:</w:t>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90,713 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90,713 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90,713 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222,534 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222,532 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198,616 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313,247 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313,245 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289,329 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23,916 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2:</w:t>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65,144 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65,144 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69,951 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69,940 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65,144 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4,796 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761,326 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761,313 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732,601 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28,712 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790" w:type="dxa"/>
        <w:jc w:val="left"/>
        <w:tblInd w:w="0" w:type="dxa"/>
        <w:tblLayout w:type="fixed"/>
        <w:tblCellMar>
          <w:top w:w="28" w:type="dxa"/>
          <w:left w:w="28" w:type="dxa"/>
          <w:bottom w:w="28" w:type="dxa"/>
          <w:right w:w="28" w:type="dxa"/>
        </w:tblCellMar>
      </w:tblPr>
      <w:tblGrid>
        <w:gridCol w:w="511"/>
        <w:gridCol w:w="231"/>
        <w:gridCol w:w="189"/>
        <w:gridCol w:w="211"/>
        <w:gridCol w:w="976"/>
        <w:gridCol w:w="109"/>
        <w:gridCol w:w="109"/>
        <w:gridCol w:w="109"/>
        <w:gridCol w:w="109"/>
        <w:gridCol w:w="211"/>
        <w:gridCol w:w="616"/>
        <w:gridCol w:w="109"/>
        <w:gridCol w:w="109"/>
        <w:gridCol w:w="109"/>
        <w:gridCol w:w="109"/>
        <w:gridCol w:w="257"/>
        <w:gridCol w:w="495"/>
        <w:gridCol w:w="134"/>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51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9"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 As:</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Short-Term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Long-Term Investments</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1:</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2:</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Time deposits</w:t>
            </w:r>
            <w:r>
              <w:rPr>
                <w:rFonts w:ascii="Times New Roman;serif" w:hAnsi="Times New Roman;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2,109,805 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2,116,902 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997,827 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631,093 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487,982 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Included $50.0 million of time deposits with GIB in short-term investments. GIB is a related party of the PIF, which is an affiliate of Ayar. See Note 15 “Related Party Transactions” for more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the Company recorded realized gains of nil and $5.7 million on the sale of available-for-sale securities, and immaterial realized gains for the same periods in the prior year. Accrued interest receivable excluded from both the fair value and amortized cost basis of the available-for-sale securities was immaterial and $13.1 million as of June 30, 2026 and December 31, 2025, respectively, and was recorded in other current assets on its condensed consolidated balance sheets. As of June 30, 2026 and December 31, 2025, no allowance for credit losses was recorded related to an impairment of available-for-sale securities.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available-for-sale securities by contractual maturity:</w:t>
      </w:r>
    </w:p>
    <w:tbl>
      <w:tblPr>
        <w:tblW w:w="4645" w:type="dxa"/>
        <w:jc w:val="left"/>
        <w:tblInd w:w="0" w:type="dxa"/>
        <w:tblLayout w:type="fixed"/>
        <w:tblCellMar>
          <w:top w:w="28" w:type="dxa"/>
          <w:left w:w="28" w:type="dxa"/>
          <w:bottom w:w="28" w:type="dxa"/>
          <w:right w:w="28" w:type="dxa"/>
        </w:tblCellMar>
      </w:tblPr>
      <w:tblGrid>
        <w:gridCol w:w="515"/>
        <w:gridCol w:w="454"/>
        <w:gridCol w:w="456"/>
        <w:gridCol w:w="243"/>
        <w:gridCol w:w="831"/>
        <w:gridCol w:w="125"/>
        <w:gridCol w:w="109"/>
        <w:gridCol w:w="109"/>
        <w:gridCol w:w="109"/>
        <w:gridCol w:w="329"/>
        <w:gridCol w:w="1125"/>
        <w:gridCol w:w="240"/>
      </w:tblGrid>
      <w:tr>
        <w:trPr/>
        <w:tc>
          <w:tcPr>
            <w:tcW w:w="51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Within one year</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28,712 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November 6, 2023, the Company received 28,352,273 ordinary shares of Aston Martin with an initial fair value of $73.2 million. The Company remeasured the shares and recorded fair values of $14.2 million and $24.3 million within long-term investments in the condensed consolidated balance sheets as of June 30, 2026 and December 31, 2025, respectively. These equity securities are publicly traded stocks (where shares are denominated in GBP) measured at fair value on a recurring basis and classified within level 1 in the fair value hierarchy. The Company recognized an unrealized gain of $0.5 million and an unrealized loss of $9.7 million during the three and six months ended June 30, 2026, respectively, and an unrealized gain of $3.9 million and an unrealized loss of $9.5 million for the same periods in the prior year, respectively, in change of fair value of equity securities of a related party in the condensed consolidated statement of operations and comprehensive loss. The Company also recognized an unrealized foreign currency gain of $0.1 million and an unrealized foreign currency loss of $0.4 million during the three and six months ended June 30, 2026, respectively, and unrealized foreign currency gains of $1.6 million and $2.8 million for the same periods in the prior year, respectively, related to these equity securities in other income (expense), net in the condensed consolidated statement of operations and comprehensive loss. See Note 15 “Related Party Transactions” for more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Level 3 liabilities consist of the common stock warrant liability and the derivative liabilities associated with the Redeemable Convertible Preferred Stock, of which the fair values were measured upon issuance of the Private Placement Warrants and the Redeemable Convertible Preferred Stock and are remeasured at each reporting period. The valuation methodology and underlying assumptions for the Redeemable Convertible Preferred Stock are discussed further in Note 7 “Redeemable Convertible Preferred Stock”. The fair value of the common stock warrant liability remains unchanged and was nil as of June 30, 2026 and December 31, 2025. Level 3 liabilities also consist of residual value guarantee liabilities, of which the fair value is measured initially upon delivery of vehicles and assessed subsequently for any changes on a quarterly basis. Significant changes in the unobservable inputs used in determining the fair value would result in significant changes to the fair value measurement.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a reconciliation of the common stock warrant liability and derivative liabilities associated with the Redeemable Convertible Preferred Stock measured and recorded at fair value on a recurring basis (in thousands):</w:t>
      </w:r>
    </w:p>
    <w:tbl>
      <w:tblPr>
        <w:tblW w:w="10205" w:type="dxa"/>
        <w:jc w:val="left"/>
        <w:tblInd w:w="0" w:type="dxa"/>
        <w:tblLayout w:type="fixed"/>
        <w:tblCellMar>
          <w:top w:w="28" w:type="dxa"/>
          <w:left w:w="28" w:type="dxa"/>
          <w:bottom w:w="28" w:type="dxa"/>
          <w:right w:w="28" w:type="dxa"/>
        </w:tblCellMar>
      </w:tblPr>
      <w:tblGrid>
        <w:gridCol w:w="587"/>
        <w:gridCol w:w="516"/>
        <w:gridCol w:w="519"/>
        <w:gridCol w:w="241"/>
        <w:gridCol w:w="706"/>
        <w:gridCol w:w="124"/>
        <w:gridCol w:w="109"/>
        <w:gridCol w:w="109"/>
        <w:gridCol w:w="109"/>
        <w:gridCol w:w="241"/>
        <w:gridCol w:w="705"/>
        <w:gridCol w:w="124"/>
        <w:gridCol w:w="109"/>
        <w:gridCol w:w="109"/>
        <w:gridCol w:w="109"/>
        <w:gridCol w:w="231"/>
        <w:gridCol w:w="907"/>
        <w:gridCol w:w="119"/>
        <w:gridCol w:w="109"/>
        <w:gridCol w:w="109"/>
        <w:gridCol w:w="109"/>
        <w:gridCol w:w="236"/>
        <w:gridCol w:w="807"/>
        <w:gridCol w:w="122"/>
        <w:gridCol w:w="109"/>
        <w:gridCol w:w="109"/>
        <w:gridCol w:w="109"/>
        <w:gridCol w:w="241"/>
        <w:gridCol w:w="705"/>
        <w:gridCol w:w="124"/>
        <w:gridCol w:w="109"/>
        <w:gridCol w:w="109"/>
        <w:gridCol w:w="109"/>
        <w:gridCol w:w="231"/>
        <w:gridCol w:w="904"/>
        <w:gridCol w:w="180"/>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A Derivative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B Derivative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C Derivative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A Derivative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B Derivative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C Derivative Liability</w:t>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value-beginning of period</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115,390 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115,390 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47,190 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47,190 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value-end of period</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162,580 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162,580 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3"/>
        <w:gridCol w:w="495"/>
        <w:gridCol w:w="497"/>
        <w:gridCol w:w="221"/>
        <w:gridCol w:w="867"/>
        <w:gridCol w:w="114"/>
        <w:gridCol w:w="109"/>
        <w:gridCol w:w="109"/>
        <w:gridCol w:w="109"/>
        <w:gridCol w:w="221"/>
        <w:gridCol w:w="866"/>
        <w:gridCol w:w="114"/>
        <w:gridCol w:w="109"/>
        <w:gridCol w:w="109"/>
        <w:gridCol w:w="109"/>
        <w:gridCol w:w="231"/>
        <w:gridCol w:w="676"/>
        <w:gridCol w:w="119"/>
        <w:gridCol w:w="109"/>
        <w:gridCol w:w="109"/>
        <w:gridCol w:w="109"/>
        <w:gridCol w:w="221"/>
        <w:gridCol w:w="867"/>
        <w:gridCol w:w="114"/>
        <w:gridCol w:w="109"/>
        <w:gridCol w:w="109"/>
        <w:gridCol w:w="109"/>
        <w:gridCol w:w="221"/>
        <w:gridCol w:w="866"/>
        <w:gridCol w:w="114"/>
        <w:gridCol w:w="109"/>
        <w:gridCol w:w="109"/>
        <w:gridCol w:w="109"/>
        <w:gridCol w:w="227"/>
        <w:gridCol w:w="778"/>
        <w:gridCol w:w="178"/>
      </w:tblGrid>
      <w:tr>
        <w:trPr/>
        <w:tc>
          <w:tcPr>
            <w:tcW w:w="56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A Derivative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B Derivative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Warrant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Series A Derivative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B Derivative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Warrant Liability</w:t>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value-beginning of period</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232,100 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125,625 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408,800 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230,625 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(76,900)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(253,600)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(139,575)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value-end of period</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155,200 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91,050 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155,200 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91,050 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6 –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carrying value of the Company’s debt as of June 30, 2026 and December 31, 2025 was as follows (in millions):</w:t>
      </w:r>
    </w:p>
    <w:tbl>
      <w:tblPr>
        <w:tblW w:w="5204" w:type="dxa"/>
        <w:jc w:val="left"/>
        <w:tblInd w:w="0" w:type="dxa"/>
        <w:tblLayout w:type="fixed"/>
        <w:tblCellMar>
          <w:top w:w="28" w:type="dxa"/>
          <w:left w:w="28" w:type="dxa"/>
          <w:bottom w:w="28" w:type="dxa"/>
          <w:right w:w="28" w:type="dxa"/>
        </w:tblCellMar>
      </w:tblPr>
      <w:tblGrid>
        <w:gridCol w:w="842"/>
        <w:gridCol w:w="737"/>
        <w:gridCol w:w="746"/>
        <w:gridCol w:w="109"/>
        <w:gridCol w:w="109"/>
        <w:gridCol w:w="109"/>
        <w:gridCol w:w="211"/>
        <w:gridCol w:w="766"/>
        <w:gridCol w:w="109"/>
        <w:gridCol w:w="109"/>
        <w:gridCol w:w="109"/>
        <w:gridCol w:w="109"/>
        <w:gridCol w:w="212"/>
        <w:gridCol w:w="772"/>
        <w:gridCol w:w="155"/>
      </w:tblGrid>
      <w:tr>
        <w:trPr/>
        <w:tc>
          <w:tcPr>
            <w:tcW w:w="84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2031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GIB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DDTL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portion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Convertible Senior Notes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accounted for the issuances of the 2026 Notes, the 2030 Notes, and the 2031 Notes as single liabilities measured at its respective amortized cost, as no other embedded features require bifurcation and recognition as derivatives. It determined the fair value of the Convertible Senior Notes based on quoted prices in markets that are not active, which is considered a Level 2 valuation input. The following table sets forth a summary of the 2026 Notes, the 2030 Notes, and the 2031 Notes as of June 30, 2026 and December 31, 2025 (in millions):</w:t>
      </w:r>
    </w:p>
    <w:tbl>
      <w:tblPr>
        <w:tblW w:w="10205" w:type="dxa"/>
        <w:jc w:val="left"/>
        <w:tblInd w:w="0" w:type="dxa"/>
        <w:tblLayout w:type="fixed"/>
        <w:tblCellMar>
          <w:top w:w="28" w:type="dxa"/>
          <w:left w:w="28" w:type="dxa"/>
          <w:bottom w:w="28" w:type="dxa"/>
          <w:right w:w="28" w:type="dxa"/>
        </w:tblCellMar>
      </w:tblPr>
      <w:tblGrid>
        <w:gridCol w:w="774"/>
        <w:gridCol w:w="678"/>
        <w:gridCol w:w="688"/>
        <w:gridCol w:w="254"/>
        <w:gridCol w:w="924"/>
        <w:gridCol w:w="131"/>
        <w:gridCol w:w="109"/>
        <w:gridCol w:w="109"/>
        <w:gridCol w:w="109"/>
        <w:gridCol w:w="718"/>
        <w:gridCol w:w="1791"/>
        <w:gridCol w:w="373"/>
        <w:gridCol w:w="109"/>
        <w:gridCol w:w="109"/>
        <w:gridCol w:w="109"/>
        <w:gridCol w:w="299"/>
        <w:gridCol w:w="1086"/>
        <w:gridCol w:w="154"/>
        <w:gridCol w:w="109"/>
        <w:gridCol w:w="109"/>
        <w:gridCol w:w="109"/>
        <w:gridCol w:w="211"/>
        <w:gridCol w:w="766"/>
        <w:gridCol w:w="109"/>
        <w:gridCol w:w="109"/>
        <w:gridCol w:w="159"/>
      </w:tblGrid>
      <w:tr>
        <w:trPr/>
        <w:tc>
          <w:tcPr>
            <w:tcW w:w="77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268" w:type="dxa"/>
            <w:gridSpan w:val="2"/>
            <w:tcBorders/>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Unamortized Debt Discounts and Issuance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Notes</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2030 Notes</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2031 Notes</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convertible senior notes</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2,279.3 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74"/>
        <w:gridCol w:w="678"/>
        <w:gridCol w:w="688"/>
        <w:gridCol w:w="254"/>
        <w:gridCol w:w="924"/>
        <w:gridCol w:w="131"/>
        <w:gridCol w:w="109"/>
        <w:gridCol w:w="109"/>
        <w:gridCol w:w="109"/>
        <w:gridCol w:w="718"/>
        <w:gridCol w:w="1791"/>
        <w:gridCol w:w="373"/>
        <w:gridCol w:w="109"/>
        <w:gridCol w:w="109"/>
        <w:gridCol w:w="109"/>
        <w:gridCol w:w="299"/>
        <w:gridCol w:w="1086"/>
        <w:gridCol w:w="154"/>
        <w:gridCol w:w="109"/>
        <w:gridCol w:w="109"/>
        <w:gridCol w:w="109"/>
        <w:gridCol w:w="211"/>
        <w:gridCol w:w="766"/>
        <w:gridCol w:w="109"/>
        <w:gridCol w:w="109"/>
        <w:gridCol w:w="159"/>
      </w:tblGrid>
      <w:tr>
        <w:trPr/>
        <w:tc>
          <w:tcPr>
            <w:tcW w:w="77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268" w:type="dxa"/>
            <w:gridSpan w:val="2"/>
            <w:tcBorders/>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Unamortized Debt Discounts and Issuance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Notes</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Notes</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Notes</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convertible senior notes</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2,279.3 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effective interest rate for the 2026 Notes, the 2030 Notes, and the 2031 Notes is 1.5%, 5.4%, and 7.3%, respectively. The components of interest expense related to the 2026 Notes, the 2030 Notes, and the 2031 Notes were as follows (in millions):</w:t>
      </w:r>
    </w:p>
    <w:p>
      <w:pPr>
        <w:pStyle w:val="TextBody"/>
        <w:bidi w:val="0"/>
        <w:spacing w:before="0" w:after="0"/>
        <w:jc w:val="left"/>
        <w:rPr/>
      </w:pPr>
      <w:r>
        <w:rPr/>
      </w:r>
    </w:p>
    <w:tbl>
      <w:tblPr>
        <w:tblW w:w="9278" w:type="dxa"/>
        <w:jc w:val="left"/>
        <w:tblInd w:w="0" w:type="dxa"/>
        <w:tblLayout w:type="fixed"/>
        <w:tblCellMar>
          <w:top w:w="28" w:type="dxa"/>
          <w:left w:w="28" w:type="dxa"/>
          <w:bottom w:w="28" w:type="dxa"/>
          <w:right w:w="28" w:type="dxa"/>
        </w:tblCellMar>
      </w:tblPr>
      <w:tblGrid>
        <w:gridCol w:w="1655"/>
        <w:gridCol w:w="1456"/>
        <w:gridCol w:w="1464"/>
        <w:gridCol w:w="240"/>
        <w:gridCol w:w="582"/>
        <w:gridCol w:w="124"/>
        <w:gridCol w:w="124"/>
        <w:gridCol w:w="124"/>
        <w:gridCol w:w="124"/>
        <w:gridCol w:w="240"/>
        <w:gridCol w:w="582"/>
        <w:gridCol w:w="124"/>
        <w:gridCol w:w="109"/>
        <w:gridCol w:w="109"/>
        <w:gridCol w:w="109"/>
        <w:gridCol w:w="219"/>
        <w:gridCol w:w="531"/>
        <w:gridCol w:w="113"/>
        <w:gridCol w:w="113"/>
        <w:gridCol w:w="113"/>
        <w:gridCol w:w="113"/>
        <w:gridCol w:w="219"/>
        <w:gridCol w:w="531"/>
        <w:gridCol w:w="160"/>
      </w:tblGrid>
      <w:tr>
        <w:trPr/>
        <w:tc>
          <w:tcPr>
            <w:tcW w:w="1655"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discounts and debt issuance costs</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2026 Notes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2021, the Company issued an aggregate of $2,012.5 million principal amount of 1.25% convertible senior notes due in December 2026 in a private offering to qualified institutional buyers pursuant to Rule 144A under the Securities Act, at an issuance price equal to 99.5% of the principal amount of 2026 Notes. The Company has designated the 2026 Notes as green bonds, whose proceeds will be allocated in accordance with the Company’s green bond framework. The 2026 Notes were issued pursuant to and are governed by an indenture dated December 14, 2021, between the Company and U.S. Bank National Association as the trustee. The proceeds from the issuance of the 2026 Notes were $1,986.6 million, net of the issuance discount and debt issuance costs.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2026 Notes are unsecured obligations which bear regular interest at 1.25% per annum and are payable semi-annually in arrears on June 15 and December 15 of each year, beginning on June 15, 2022. The 2026 Notes will mature on December 15, 2026, unless repurchased, redeemed, or converted in accordance with their terms prior to such date. The 2026 Notes are convertible into cash, shares of the Company’s common stock, or a combination of cash and shares of the Company’s common stock, at the Company’s election, at an initial conversion rate of 1.8255 shares of the Company’s common stock per $1,000 principal amount of 2026 Notes, which is equivalent to an initial conversion price of approximately $547.80 per share of the Company’s common stock. The conversion rate and conversion price will be subject to customary adjustments upon the occurrence of certain events, including a reverse stock split. The Company may redeem for cash all or any portion of the 2026 Notes, at the Company’s option, on or after December 20, 2024 if the last reported sale price of the Company’s common stock has been at least 130% of the conversion price then in effect for at least 20 trading days at a redemption price equal to 100% of the principal amount of the 2026 Notes to be redeemed, plus accrued and unpaid interest up to the day before the redemption date. The holders may require the Company to repurchase the 2026 Notes upon the occurrence of certain fundamental change transactions at a redemption price equal to 100% of the principal amount of the 2026 Notes redeemed, plus accrued and unpaid interest up to the day before the redemption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Holders of the 2026 Notes may convert all or a portion of their 2026 Notes at their option prior to September 15, 2026, in multiples of $1,000 principal amounts, only under the following circumstances: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during any calendar quarter commencing after the quarter ended on March 31, 2022 (and only during such calendar quarter), if the Company’s common stock price exceeds 130% of the conversion price for at least 20 trading days during the 30 consecutive trading days at the end of the prior calendar quarter;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during the five consecutive business days immediately after any 10 consecutive trading day period in which the trading price per $1,000 principal amount of notes for each trading day of the measurement period was less than 98% of the product of the last reported sale price per share of the Company’s common stock on such trading day and the conversion rate on such trading day;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upon the occurrence of specified corporate events; or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if the Company calls any or all 2026 Notes for redemption, at any time prior to the close of business on the scheduled trading day immediately preceding the redemption date, but only with respect to the notes called for redemption.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or after September 15, 2026, the 2026 Notes are convertible at any time until the close of business on the second scheduled trading day immediately preceding the maturity date. Holders of the 2026 Notes who convert the 2026 Notes in connection with a make-whole fundamental change, as defined in the indenture governing the 2026 Notes, or in connection with a redemption may be entitled to an increase in the conversion rate.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April 2025, contemporaneously with the 2030 Notes offering, the Company repurchased $1,052.5 million aggregate principal amount of the 2026 Notes, using $931.4 million of the net proceeds of the 2030 Notes. The difference between the consideration paid with the net proceeds from the 2030 Notes to repurchase a portion of the 2026 Notes principal amount and the then carrying value of the 2026 Notes resulted in a gain of $116.4 million. Following the redemption, the Company’s outstanding principal balance of the 2026 Notes was $960.0 million. In November 2025, contemporaneously with the 2031 Notes offering, the Company repurchased $755.7 million aggregate principal amount of the 2026 Notes, using $748.2 million of the net proceeds of the 2031 Notes. The difference between the consideration paid with the net proceeds from the 2031 Notes to repurchase a portion of the 2026 Notes principal amount and the then carrying value of the 2026 Notes resulted in a gain of $5.4 million. Following the redemption, the Company’s outstanding principal balance of the 2026 Notes was $204.3 million. The repurchases of the 2026 Notes were accounted for as debt extinguishments. During the year ended December 31, 2025, the Company recorded a total gain of $121.8 million within gain on extinguishment of debt in the consolidated statement of operations and comprehensive loss.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2026 Notes were not eligible for conversion as of June 30, 2026 and December 31, 2025. No sinking fund is provided for the 2026 Notes, which means that the Company is not required to redeem or retire them periodically. As of June 30, 2026 and December 31, 2025, the Company was in compliance with applicable covenants under the indentures governing the 2026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2030 Notes and Capped Call Transactions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2030 Notes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April 2025, the Company issued an aggregate of $1,100.0 million principal amount of 5.00% convertible senior notes due in April 2030 in a private offering to qualified institutional buyers pursuant to Rule 144A under the Securities Act, at an issuance price equal to 100.0% of the principal amount of the 2030 Notes. The 2030 Notes were issued pursuant to and are governed by an indenture dated April 8, 2025, between the Company and U.S. Bank Trust Company, National Association as the trustee. The proceeds from the issuance of the 2030 Notes were $1,081.8 million, net of the debt issuance costs. Contemporaneously with the 2030 Notes offering, the Company entered into privately negotiated transactions with certain holders of the 2026 Notes to repurchase $1,052.5 million aggregate principal amount of the 2026 Notes, using $931.4 million of the net proceeds of the 2030 Notes.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2030 Notes are unsecured obligations which bear regular interest at 5.00% per annum and are payable semi-annually in arrears on April 1 and October 1 of each year, beginning on October 1, 2025. The 2030 Notes will mature on April 1, 2030, unless repurchased, redeemed, or converted in accordance with their terms prior to such date. The 2030 Notes are convertible into cash, shares of the Company’s common stock, or a combination of cash and shares of the Company’s common stock, at the Company’s election, at an initial conversion rate of 33.3333 shares of the Company’s common stock per $1,000 principal amount of the 2030 Notes, which is equivalent to an initial conversion price of approximately $30.00 per share of the Company’s common stock. The conversion rate and conversion price will be subject to customary adjustments upon the occurrence of certain events, including a reverse stock split. The Company may redeem for cash all or any portion of the 2030 Notes, at the Company’s option, on or after April 6, 2028 if the last reported sale price of the Company’s common stock has been at least 130% of the conversion price then in effect for at least 20 trading days at a redemption price equal to 100% of the principal amount of the 2030 Notes to be redeemed, plus accrued and unpaid interest up to the day before the redemption date. The holders may require the Company to repurchase the 2030 Notes upon the occurrence of certain fundamental change transactions at a redemption price equal to 100% of the principal amount of the 2030 Notes redeemed, plus accrued and unpaid interest up to the day before the redemption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Holders of the 2030 Notes may convert all or a portion of their 2030 Notes at their option prior to January 1, 2030, in multiples of $1,000 principal amounts, only under the following circumstances: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during any calendar quarter commencing after the quarter ended on June 30, 2025 (and only during such calendar quarter), if the Company’s common stock price exceeds 130% of the conversion price for at least 20 trading days during the 30 consecutive trading days at the end of the prior calendar quarter;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during the five consecutive business days immediately after any 10 consecutive trading day period in which the trading price per $1,000 principal amount of notes for each trading day of the measurement period was less than 98% of the product of the last reported sale price per share of the Company’s common stock on such trading day and the conversion rate on such trading day;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upon the occurrence of specified corporate events; or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if the Company calls any or all 2030 Notes for redemption, at any time prior to the close of business on the scheduled trading day immediately preceding the redemption date, but only with respect to the notes called for redemption.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or after January 1, 2030, the 2030 Notes are convertible at any time until the close of business on the second scheduled trading day immediately preceding the maturity date. Holders of the 2030 Notes who convert the 2030 Notes in connection with a make-whole fundamental change, as defined in the indenture governing the 2030 Notes, or in connection with a redemption may be entitled to an increase in the conversion rate.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2030 Notes were not eligible for conversion as of June 30, 2026 and December 31, 2025. No sinking fund is provided for the 2030 Notes, which means that the Company is not required to redeem or retire them periodically. As of June 30, 2026 and December 31, 2025, the Company was in compliance with applicable covenants under the indentures governing the 2030 Notes.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Capped Call Transactions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2030 Notes offering, the Company paid $118.3 million to enter into privately negotiated capped call transactions (the “Capped Call Transactions”) with certain financial institutions. The Capped Call Transactions cover, subject to anti-dilution adjustments, the number of shares of the Company’s common stock initially underlying the 2030 Notes. The Capped Call Transactions have an expiration date of April 1, 2030.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expects the Capped Call Transactions generally would reduce the potential dilution to the Company’s common stock upon conversion of the notes or offset any cash payments that the Company could be required to make in excess of the principal amount of any converted notes, as the case may be, in the event that the market price per share of Lucid’s common stock, as measured under the terms of the Capped Call Transactions, is greater than the strike price of the Capped Call Transactions. The initial strike price of the Capped Call Transactions corresponds to the initial conversion price of the 2030 Notes, or approximately $30.00 per share of the Company’s common stock. The initial cap price of the Capped Call Transactions was $48.00 per share of the Company’s common stock and is subject to customary anti-dilution adjustments.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Capped Call Transactions were separate transactions, entered into by the Company with certain financial institutions, and were not part of the terms of the 2030 Notes. Holders of the 2030 Notes will not have any rights with respect to the Capped Call Transactions. The Company recorded the Capped Call Transactions as a reduction to additional paid-in capital in the condensed consolidated balance sheets as of June 30, 2026 and December 31, 2025, with no remeasurement in subsequent periods as they meet the conditions for equity classification.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2031 Notes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November 2025, the Company issued an aggregate of $975.0 million principal amount of 7.00% convertible senior notes due in November 2031 in a private offering to qualified institutional buyers pursuant to Rule 144A under the Securities Act, at an issuance price equal to 100% of the principal amount of the 2031 Notes. The 2031 Notes were issued pursuant to and are governed by an indenture dated November 17, 2025, between the Company and U.S. Bank Trust Company, National Association as the trustee. The proceeds from the issuance of the 2031 Notes were $962.2 million, net of the debt issuance costs. Contemporaneously with the 2031 Notes offering, the Company entered into privately negotiated transactions with certain holders of the 2026 Notes to repurchase $755.7 million aggregate principal amount of the 2026 Notes, using $748.2 million of the net proceeds of the 2031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2031 Notes are unsecured obligations which bear regular interest at 7.00% per annum and are payable semi-annually in arrears on May 1 and November 1 of each year, beginning on May 1, 2026. The 2031 Notes will mature on November 1, 2031, unless repurchased, redeemed, or converted in accordance with their terms prior to such date. The 2031 Notes are convertible into cash, shares of the Company’s common stock, or a combination of cash and shares of the Company’s common stock, at the Company’s election, at an initial conversion rate of 48.0475 shares of the Company’s common stock per $1,000 principal amount of the 2031 Notes, which is equivalent to an initial conversion price of approximately $20.81 per share of the Company’s common stock. The conversion rate and conversion price will be subject to customary adjustments upon the occurrence of certain events, including a reverse stock split. The Company may redeem for cash all or any portion of the 2031 Notes, at the Company’s option, on or after November 6, 2028 and on or before the 31st scheduled trading day immediately preceding the maturity date, if the last reported sale price of the Company’s common stock has been at least 130% of the conversion price then in effect for at least 20 trading days at a redemption price equal to 100% of the principal amount of the 2031 Notes to be redeemed, plus accrued and unpaid interest up to the day before the redemption date. The holders may require the Company to repurchase the 2031 Notes on November 1, 2029 or upon the occurrence of certain fundamental change transactions at a redemption price equal to 100% of the principal amount of the 2031 Notes redeemed, plus accrued and unpaid interest up to the day before the redemption date.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Holders of the 2031 Notes may convert all or a portion of their 2031 Notes at their option prior to August 1, 2031, in multiples of $1,000 principal amounts, only under the following circumstances: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during any calendar quarter commencing after the quarter ended on March 31, 2026 (and only during such calendar quarter), if the Company’s common stock price exceeds 130% of the conversion price for at least 20 trading days during the 30 consecutive trading days at the end of the prior calendar quarter;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during the five consecutive business days immediately after any 10 consecutive trading day period in which the trading price per $1,000 principal amount of notes for each trading day of the measurement period was less than 98% of the product of the last reported sale price per share of the Company’s common stock on such trading day and the conversion rate on such trading day;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upon the occurrence of specified corporate events; or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if the Company calls any or all 2031 Notes for redemption, at any time prior to the close of business on the scheduled trading day immediately preceding the redemption date, but only with respect to the notes called for redemption.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or after August 1, 2031, the 2031 Notes are convertible at any time until the close of business on the second scheduled trading day immediately preceding the maturity date. Holders of the 2031 Notes who convert the 2031 Notes in connection with a make-whole fundamental change, as defined in the indenture governing the 2031 Notes, or in connection with a redemption may be entitled to an increase in the conversion rate.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2031 Notes were not eligible for conversion as of June 30, 2026 and December 31, 2025. No sinking fund is provided for the 2031 Notes, which means that the Company is not required to redeem or retire them periodically. As of June 30, 2026 and December 31, 2025, the Company was in compliance with applicable covenants under the indentures governing the 2031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Ayar Prepaid Forward Transactions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pricing of the 2030 Notes, Ayar entered into a privately negotiated prepaid forward transaction with a forward counterparty that is an affiliate of one of the initial purchasers of the 2030 Notes (the “Forward Counterparty”), pursuant to which Ayar will purchase approximately $430.0 million of the Company’s common stock with delivery expected to occur on or about the maturity date for the 2030 Notes, subject to the ability of the Forward Counterparty to elect to settle all or a portion of the prepaid forward transaction early.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pricing of the 2031 Notes, Ayar entered into a privately negotiated prepaid forward transaction with the Forward Counterparty, pursuant to which Ayar will purchase approximately $636.7 million of the Company’s common stock with delivery expected to occur on or about the maturity date for the 2031 Notes, subject to the ability of the Forward Counterparty to elect to settle all or a portion of the prepaid forward transaction early.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is not a party to the prepaid forward transactions. In connection with Ayar agreeing to enter into and fund the prepaid forward transactions, the Company has agreed to pay a periodic cash fee to Ayar, which shall initially accrue at a rate of 0.5% per annum on the amount of prepaid forward transactions and be recalculated to reflect any early settlement of the prepaid forward transactions. The periodic fee incurred associated with the prepaid forward transactions was not material for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SIDF Loan Agreement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February 27, 2022, Lucid LLC, a limited liability company established in Saudi Arabia and a subsidiary of the Company (“Lucid LLC”) entered into a loan agreement (as subsequently amended, the “SIDF Loan Agreement”) with SIDF, a related party of the PIF, which is an affiliate of Ayar. Under the SIDF Loan Agreement, SIDF has committed to provide loans (the “SIDF Loans”) to Lucid LLC in an aggregate principal amount of up to SAR 5.19 billion (approximately $1.4 billion); provided that SIDF may reduce the availability of SIDF Loans under the facility in certain circumstances. SIDF Loans will be subject to repayment in semi-annual installments in amounts ranging from SAR 25 million (approximately $6.7 million) to SAR 350 million (approximately $93.2 million). SIDF Loans are financing and will be used to finance certain costs in connection with the development and construction of AMP-2. Lucid LLC may repay SIDF Loans earlier than the maturity date without penalty. Obligations under the SIDF Loan Agreement do not extend to the Company or any of its other subsidiaries.</w:t>
      </w:r>
    </w:p>
    <w:p>
      <w:pPr>
        <w:pStyle w:val="TextBody"/>
        <w:bidi w:val="0"/>
        <w:spacing w:lineRule="auto" w:line="288" w:before="240" w:after="283"/>
        <w:jc w:val="left"/>
        <w:rPr/>
      </w:pPr>
      <w:r>
        <w:rPr>
          <w:rFonts w:ascii="Times New Roman;serif" w:hAnsi="Times New Roman;serif"/>
          <w:b w:val="false"/>
          <w:color w:val="000000"/>
          <w:sz w:val="20"/>
        </w:rPr>
        <w:t xml:space="preserve">SIDF Loans will not bear interest. Instead, Lucid LLC will be required to pay SIDF service fees, consisting of follow-up and technical evaluation fees, ranging, in aggregate, from SAR 415 million (approximately $110.5 million) to SAR 1.77 billion (approximately $471.1 million), over the term of the SIDF Loans. SIDF Loans will be secured by security interests in the </w:t>
      </w:r>
      <w:r>
        <w:rPr>
          <w:rFonts w:ascii="Times New Roman;serif" w:hAnsi="Times New Roman;serif"/>
          <w:b w:val="false"/>
          <w:color w:val="242424"/>
          <w:sz w:val="20"/>
          <w:shd w:fill="FFFFFF" w:val="clear"/>
        </w:rPr>
        <w:t>equipment, machines and assets funded thereby.</w:t>
      </w:r>
    </w:p>
    <w:p>
      <w:pPr>
        <w:pStyle w:val="TextBody"/>
        <w:bidi w:val="0"/>
        <w:spacing w:lineRule="auto" w:line="288" w:before="240" w:after="283"/>
        <w:jc w:val="left"/>
        <w:rPr/>
      </w:pPr>
      <w:r>
        <w:rPr>
          <w:rFonts w:ascii="Times New Roman;serif" w:hAnsi="Times New Roman;serif"/>
          <w:b w:val="false"/>
          <w:color w:val="000000"/>
          <w:sz w:val="20"/>
        </w:rPr>
        <w:t xml:space="preserve">The SIDF Loan Agreement contains certain restrictive financial covenants and imposes annual caps on Lucid LLC’s payment of dividends, distributions of paid-in capital, or certain capital expenditures. The SIDF Loan Agreement also defines customary events of default, including abandonment of or failure to commence operations at the plant in the King Abdullah Economic City (“KAEC”), and drawdowns under the SIDF Loan Agreement are subject to certain conditions precedent. </w:t>
      </w:r>
      <w:r>
        <w:rPr>
          <w:rFonts w:ascii="Times New Roman;serif" w:hAnsi="Times New Roman;serif"/>
          <w:b w:val="false"/>
          <w:color w:val="242424"/>
          <w:sz w:val="20"/>
          <w:shd w:fill="FFFFFF" w:val="clear"/>
        </w:rPr>
        <w:t xml:space="preserve">As of </w:t>
      </w:r>
      <w:r>
        <w:rPr>
          <w:rFonts w:ascii="Times New Roman;serif" w:hAnsi="Times New Roman;serif"/>
          <w:b w:val="false"/>
          <w:color w:val="000000"/>
          <w:sz w:val="20"/>
        </w:rPr>
        <w:t>June 30, 2026 and December 31,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no </w:t>
      </w:r>
      <w:r>
        <w:rPr>
          <w:rFonts w:ascii="Times New Roman;serif" w:hAnsi="Times New Roman;serif"/>
          <w:b w:val="false"/>
          <w:color w:val="000000"/>
          <w:sz w:val="20"/>
          <w:shd w:fill="FFFFFF" w:val="clear"/>
        </w:rPr>
        <w:t xml:space="preserve">amount </w:t>
      </w:r>
      <w:r>
        <w:rPr>
          <w:rFonts w:ascii="Times New Roman;serif" w:hAnsi="Times New Roman;serif"/>
          <w:b w:val="false"/>
          <w:color w:val="242424"/>
          <w:sz w:val="20"/>
          <w:shd w:fill="FFFFFF" w:val="clear"/>
        </w:rPr>
        <w:t>was outstanding under the SIDF Loan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242424"/>
          <w:sz w:val="20"/>
          <w:shd w:fill="FFFFFF" w:val="clear"/>
        </w:rPr>
      </w:pPr>
      <w:r>
        <w:rPr>
          <w:rFonts w:ascii="Times New Roman;serif" w:hAnsi="Times New Roman;serif"/>
          <w:b/>
          <w:i/>
          <w:color w:val="242424"/>
          <w:sz w:val="20"/>
          <w:shd w:fill="FFFFFF" w:val="clear"/>
        </w:rPr>
        <w:t>GIB Facility Agreement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April 29, 2022, Lucid LLC entered into the GIB Facility Agreement with GIB, maturing on February 28, 2025. GIB is a related party of the PIF, which is an affiliate of Ayar. The GIB Facility Agreement provided for two committed revolving credit facilities in an aggregate principal amount of SAR 1.0 billion (approximately $266.1 million). On March 12, 2023, Lucid LLC entered into the 2023 Amended GIB Facility Agreement to combine the two committed revolving credit facilities into a committed SAR 1.0 billion (approximately $266.1 million) 2023 GIB Credit Facility which may be used for general corporate purposes. Loans under the 2023 Amended GIB Facility Agreement had a maturity of no more than 12 months and bore interest at a rate of 1.40% per annum over SAIBOR (based on the term of borrowing) and associated fees. Under the 2023 Amended GIB Facility Agreement, the Company was required to pay a quarterly commitment fee of 0.15% per annum based on the unutilized portion of the 2023 GIB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February 24, 2025, Lucid LLC entered into the 2025 GIB Credit Facility maturing on February 24, 2028 to increase the credit facility committed amount from SAR 1.0 billion (approximately $266.1 million) to SAR 1.9 billion (approximately $505.7 million). Loans under the 2025 GIB Credit Facility may be used for general corporate purposes, have a maturity of no more than 12 months, and bear interest at a rate of 1.40% per annum over SAIBOR (based on the term of borrowing) and associated fees. The Company is required to pay a quarterly commitment fee of 0.25% per annum based on the unutilized portion of the 2025 GIB Credit Facility. Commitments under the 2025 GIB Credit Facility will terminate, and all amounts then outstanding thereunder would become payable, on the maturity date of the 2025 GIB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commitment fees for the three and six months ended June 30, 2026 and 2025 were not material. The 2025 GIB Credit Facility contains certain conditions precedent to drawdowns, representations and warranties and covenants of Lucid LLC and events of default.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had outstanding borrowings of SAR 1,890.0 million (approximately $503.1 million) and SAR 1,755.0 million (approximately $468.0 million), respectively. The outstanding borrowings were recorded within current portion of debt in the condensed consolidated balance sheets. The weighted average interest rate on the outstanding borrowings was 6.18% and 6.44% as of June 30, 2026 and December 31, 2025, respectively. As of June 30, 2026 and December 31, 2025, availability under the GIB credit facility was SAR 8.7 million (approximately $2.3 million) and SAR 143.5 million (approximately $38.3 million), respectively, after giving effect to the outstanding letters of credit. The Company recorded interest expense of SAR 29.7 million (approximately $7.9 million) and SAR 59.4 million (approximately $15.8 million) during the three and six months ended June 30, 2026, respectively, and $3.6 million and $6.1 million for the same periods in the prior year. As of June 30, 2026 and December 31, 2025, the Company was in compliance with applicable covenants under the GIB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ABL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2022, the Company entered into the ABL Credit Facility with a syndicate of banks that may be used for working capital and general corporate purposes. The ABL Credit Facility provides for an initial aggregate principal commitment amount of up to $1.0 billion (including a $350.0 million letter of credit subfacility and a $100.0 million swingline loan subfacility) and has a stated maturity date of June 9, 2027. Borrowings under the ABL Credit Facility bear interest at the applicable interest rates specified in the credit agreement governing the ABL Credit Facility. In June 2024, the Company amended the ABL Credit Facility to update the Canadian reference rate. Availability under the ABL Credit Facility is subject to the value of eligible assets in the borrowing base and is reduced by outstanding loan borrowings and issuances of letters of credit which bear customary letter of credit fees. Subject to certain terms and conditions, the Company may request one or more increases in the amount of credit commitments under the ABL Credit Facility in an aggregate amount up to the sum of $500.0 million plus certain other amounts. The Company is required to pay a quarterly commitment fee of 0.25% per annum based on the unutilized portion of the ABL Credit Facility.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ABL Credit Facility contains customary covenants that limit the ability of the Company and the ability of its restricted subsidiaries to, among other activities, pay dividends, incur debt, create liens and encumbrances, redeem or repurchase stock, dispose of certain assets, consummate acquisitions or other investments, prepay certain debt, engage in transactions with affiliates, engage in sale and leaseback transactions or consummate mergers and other fundamental changes. The ABL Credit Facility also includes a minimum liquidity covenant which, at the Company’s option following satisfaction of certain pre-conditions, may be replaced with a springing, minimum fixed charge coverage ratio financial covenant, in each case on terms set forth in the credit agreement governing the ABL Credit Facility. As of June 30, 2026 and December 31, 2025, the Company was in compliance with applicable covenants under the ABL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had no outstanding borrowings under the ABL Credit Facility. Outstanding letters of credit under the ABL Credit Facility were $136.2 million and $104.1 million as of June 30, 2026 and December 31, 2025, respectively. Availability under the ABL Credit Facility was $413.3 million (including $142.9 million cash and cash equivalents) and $596.0 million (including $199.2 million cash and cash equivalents) as of June 30, 2026 and December 31, 2025, respectively, after giving effect to the borrowing base and the outstanding letters of credit. The Company incurred issuance costs of $6.3 million to obtain the ABL Credit Facility, which was capitalized within other noncurrent assets in the condensed consolidated balance sheets and amortized over the facility term using the straight-line method. Commitment fee and amortization of the deferred issuance costs were not material for the three and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DDTL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August 2024, the Company entered into the DDTL Credit Facility with Ayar, that may be used for working capital and general corporate purposes. The DDTL Credit Facility provides for a delayed draw term loan credit facility in an aggregate principal amount of $750.0 million and has a stated maturity date of August 4, 2029. Borrowings under the DDTL Credit Facility bear interest at the applicable interest rates specified in the credit agreement governing the DDTL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November 2025, the Company increased the aggregate principal amount of the DDTL Credit Facility from $750.0 million to $1.98 billion. In April 2026, the Company borrowed $500.0 million under the DDTL Credit Facility. In April 2026, the Company also entered into the DDTL Amendment, pursuant to which the aggregate undrawn delayed commitments under the DDTL Credit Facility were increased by $500.0 million, such that, after giving effect to such increase, the aggregate sum of outstanding delayed draw term loans and aggregate undrawn commitments was increased to approximately $2.48 billion. The Company is required to pay a quarterly undrawn fee of 0.50% per annum based on the unutilized portion of the DDTL Credit Facility. In July 2026, the Company borrowed an additional $800.0 million under the DDTL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DDTL Credit Facility contains customary covenants that limit the ability of the Company and the ability of its restricted subsidiaries to, among other activities, pay dividends, incur debt, create liens and encumbrances, redeem or repurchase stock, dispose of certain assets, consummate acquisitions or other investments, prepay certain debt, engage in sale and leaseback transactions or consummate mergers and other fundamental changes. The DDTL Credit Facility included a minimum liquidity covenant, which was eliminated under the DDTL Amendment. The DDTL Amendment also removed the requirement that the Company fully utilize the borrowing availability under the ABL Credit Facility prior to making borrowings under the DDTL Credit Facility. As of June 30, 2026 and December 31, 2025, the Company was in compliance with applicable covenants under the DDTL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Company had outstanding borrowings of $500.0 million and nil, respectively, under the DDTL Credit Facility. The outstanding borrowings were recorded within debt, net of current portion in the condensed consolidated balance sheet. The interest rate on the outstanding borrowings was 9.54% as of June 30, 2026. As of June 30, 2026 and December 31, 2025, availability under the DDTL credit facility was $1.98 billion. The Company recorded interest expense of $11.9 million during the three and six months ended June 30, 2026, and nil for the same periods in the prior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incurred issuance costs of $6.2 million to obtain the DDTL Credit Facility during the year ended December 31, 2024, which was capitalized within other noncurrent assets in the condensed consolidated balance sheet and amortized over the facility term using the straight-line method. The Company incurred issuance costs of $9.2 million and $3.8 million to increase the aggregate delayed draw term commitment of the DDTL Credit Facility during the year ended December 31, 2025, and during the six months ended June 30, 2026, respectively. These costs were capitalized within other noncurrent assets in the condensed consolidated balance sheets. During the three and six months ended June 30, 2026, the Company reclassified $2.8 million of the issuance cost and recorded it as an adjustment to the principal amount of the $500.0 million borrowed in April 2026 within debt, net of current portion in the condensed consolidated balance sheet. The issuance cost recorded within other noncurrent assets and debt, net of current portion are amortized over the remaining term of the facility using the straight-line method.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Commitment fee, amortization of the deferred issuance costs and amortization of the adjustment to the outstanding borrowings were $3.6 million and $7.0 million for the three and six months ended June 30, 2026, and were not material for the same periods in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7 – REDEEMABLE CONVERTIBLE PREFERRED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2024, the Company sold 100,000 shares of the Series A Redeemable Convertible Preferred Stock to Ayar for an aggregate purchase price of $1.0 billion in a private placement. In August 2024, the Company sold 75,000 shares of the Series B Redeemable Convertible Preferred Stock to Ayar for an aggregate purchase price of $750.0 million in a private placement.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On April 14, 2026, the Company entered into the Series C Subscription Agreement with Ayar. Pursuant to the Series C Subscription Agreement, Ayar agreed to purchase from the Company 55,000 shares of the Series C Redeemable Convertible Preferred Stock for an aggregate purchase price of $550.0 million in a private placement. Subsequently, on April 28, 2026, the Company issued the shares to Ayar pursuant to the Series C Subscription Agreement and received aggregate gross proceeds of $550.0 million. The Company determined that the Subscription Agreement was required to be accounted for at fair value between the execution date and the settlement date as it represented a contract to sell redeemable stock as further elaborated below. As a result, the Company recognized a gain of $142.2 million reflecting the change in fair value of the contract as measured upon settlement based on the difference between the fair value of the Series C Redeemable Convertible Preferred Stock at issuance versus the cash purchase price negotiated at fair value at contract inception, such that the Series C Redeemable Convertible Preferred Stock is initially recognized at fair value of $292.4 million on the issuance date. The valuation models and assumptions used to value the contract during this period are consistent with the models described below with respect to the valuation of the embedded derivative for the Series C Redeemable Convertible Preferred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shares of the Series A Redeemable Convertible Preferred Stock, the Series B Redeemable Convertible Preferred Stock and the Series C Redeemable Convertible Preferred Stock were issued pursuant to the Series A Certificate of Designations, the Series B Certificate of Designations and the Series C Certificate of Designations (the “Certificate of Designations”), respectively. Pursuant to the respective purchase agreements, Ayar has agreed, with certain exceptions, that without prior written consent of the Company, it will not sell or transfer the Redeemable Convertible Preferred Stock for the twelve months after the date of the closing of the respective private placement. </w:t>
      </w:r>
    </w:p>
    <w:p>
      <w:pPr>
        <w:pStyle w:val="TextBody"/>
        <w:bidi w:val="0"/>
        <w:spacing w:lineRule="auto" w:line="288" w:before="240" w:after="283"/>
        <w:jc w:val="left"/>
        <w:rPr/>
      </w:pPr>
      <w:r>
        <w:rPr>
          <w:rFonts w:ascii="Times New Roman;serif" w:hAnsi="Times New Roman;serif"/>
          <w:b/>
          <w:i/>
          <w:color w:val="000000"/>
          <w:sz w:val="20"/>
        </w:rPr>
        <w:t>Dividends:</w:t>
      </w:r>
      <w:r>
        <w:rPr>
          <w:color w:val="000000"/>
        </w:rPr>
        <w:t xml:space="preserve"> </w:t>
      </w:r>
      <w:r>
        <w:rPr>
          <w:rFonts w:ascii="Times New Roman;serif" w:hAnsi="Times New Roman;serif"/>
          <w:b w:val="false"/>
          <w:color w:val="000000"/>
          <w:sz w:val="20"/>
        </w:rPr>
        <w:t xml:space="preserve">The Redeemable Convertible Preferred Stock ranks senior to the common stock with respect to dividends and distributions of assets upon the Company’s liquidation, dissolution or winding up. The Redeemable Convertible Preferred Stock has an initial value of $10,000 per share (the “Initial Value” and the Initial Value plus compounded and accrued dividends, the “Accrued Value”). Dividends on the Redeemable Convertible Preferred Stock are payable in the form of compounded cumulative dividends upon each share of the Redeemable Convertible Preferred Stock (paid-in-kind). Dividends accrue daily on the Initial Value (as increased for any compounded dividends previously compounded thereon) of each share of the Redeemable Convertible Preferred Stock at a rate of 9% per annum and compound on the basis of quarterly dividend payment dates on each March 31, June 30, September 30 and December 31 of each year, commencing June 30, 2024 for the Series A Redeemable Convertible Preferred Stock, September 30, 2024 for the Series B Redeemable Convertible Preferred Stock and June 30, 2026 for the Series C Redeemable Convertible Preferred Stock. </w:t>
      </w:r>
    </w:p>
    <w:p>
      <w:pPr>
        <w:pStyle w:val="TextBody"/>
        <w:bidi w:val="0"/>
        <w:spacing w:lineRule="auto" w:line="288" w:before="240" w:after="283"/>
        <w:jc w:val="left"/>
        <w:rPr/>
      </w:pPr>
      <w:r>
        <w:rPr>
          <w:rFonts w:ascii="Times New Roman;serif" w:hAnsi="Times New Roman;serif"/>
          <w:b/>
          <w:i/>
          <w:color w:val="000000"/>
          <w:sz w:val="20"/>
        </w:rPr>
        <w:t>Liquidation Preference:</w:t>
      </w:r>
      <w:r>
        <w:rPr>
          <w:color w:val="000000"/>
        </w:rPr>
        <w:t xml:space="preserve"> </w:t>
      </w:r>
      <w:r>
        <w:rPr>
          <w:rFonts w:ascii="Times New Roman;serif" w:hAnsi="Times New Roman;serif"/>
          <w:b w:val="false"/>
          <w:color w:val="000000"/>
          <w:sz w:val="20"/>
        </w:rPr>
        <w:t>Upon a liquidation, dissolution or winding up of the Company, each holder of shares of the Redeemable Convertible Preferred Stock (“Holder”) will be entitled to receive, with respect to each share of then-outstanding Redeemable Convertible Preferred Stock, out of the assets of the Company available for distribution to its stockholders an amount in cash equal to the greater of (a) an amount per share of the Redeemable Convertible Preferred Stock as of the date of such liquidation, dissolution or winding up equal to (i) the per share Accrued Value as of the relevant date multiplied by (ii) the relevant percentage (the product of (i) and (ii), the “Minimum Consideration”); and (b) the amount that such Holder would have received with respect to such share of the Redeemable Convertible Preferred Stock if all shares of the Redeemable Convertible Preferred Stock had been converted at their Accrued Value into shares of common stock on the business day immediately prior to the date of such liquidation, dissolution or winding up. As of June 30, 2026 and December 31, 2025, the liquidation preference of the Series A Redeemable Convertible Preferred Stock was $1,470.2 million and $1,350.4 million, respectively. As of June 30, 2026 and December 31, 2025, the liquidation preference of the Series B Redeemable Convertible Preferred Stock was $1,032.9 million and $949.2 million, respectively. As of June 30, 2026, the liquidation preference of the Series C Redeemable Convertible Preferred Stock was $566.9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i/>
          <w:color w:val="000000"/>
          <w:sz w:val="20"/>
        </w:rPr>
        <w:t xml:space="preserve">Voting Rights: </w:t>
      </w:r>
      <w:r>
        <w:rPr>
          <w:rFonts w:ascii="Times New Roman;serif" w:hAnsi="Times New Roman;serif"/>
          <w:b w:val="false"/>
          <w:color w:val="000000"/>
          <w:sz w:val="20"/>
        </w:rPr>
        <w:t>Each Holder is entitled to the number of votes equal to the number of whole shares of common stock into which the aggregate shares of the Redeemable Convertible Preferred Stock held by such Holder are convertible on the record date for determining stockholders entitled to vote on any matter presented to the stockholders of the Company for their action or consideration at any meeting of stockholders and on which matter holders of the common stock shall be entitled to vote. Holders are entitled to notice of any meeting of stockholders and, except as otherwise provided in the Certificate of Designations or otherwise required by law, to vote together as a single class with the holders of the common stock and any other class or series of stock entitled to vote thereon. The voting power of Holders for Series A Redeemable Convertible Preferred Stock and Series B Redeemable Convertible Preferred Stock is subject to a voting cap per share equal to the quotient of the $10,000 Initial Value and the minimum price ($27.70 for the Series A Redeemable Convertible Preferred Stock and $31.20 for the Series B Redeemable Convertible Preferred Stock). The voting power of Holders for Series C Redeemable Convertible Preferred Stock is subject to a voting cap equal to 301.4993 votes per share.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long as at least 10% of the aggregate number of shares issued on the respective initial issue date remain outstanding, and subject to certain other conditions, Holders are entitled to a separate class vote with respect to, among other things, amendments to the Company’s organizational documents that have an adverse effect on the Redeemable Convertible Preferred Stock, authorizations or issuances by the Company of capital stock of the Company that ranks senior or equal to the Redeemable Convertible Preferred Stock with respect to dividends or distributions on liquidation or the terms of which provide for cash dividends (other than the common stock), winding-up and dissolution, and decreases in the number of authorized shares of the Redeemable Convertible Preferred Stock. The Company also agreed that as long as Ayar owns at least 50% of the shares issued on the respective initial issue date, the Company will comply with certain debt incurrence covenants in its Credit Agreement, (i) dated as of June 9, 2022, by and among the Company, as the Borrower Representative, the other Borrowers party thereto from time-to-time, the Lenders and Issuing Banks from time-to-time party thereto and Bank of America, N.A., as Administrative Agent, as amended, which agreement may be waived with the sole consent of Ayar (ii) dated as of August 4, 2024, by and among the Company, as the Borrower, the Lenders party thereto and Ayar, as Administrative Agent, as amended, amended and restated, modified or waived from time-to-time.</w:t>
      </w:r>
    </w:p>
    <w:p>
      <w:pPr>
        <w:pStyle w:val="TextBody"/>
        <w:bidi w:val="0"/>
        <w:spacing w:lineRule="auto" w:line="288" w:before="240" w:after="283"/>
        <w:jc w:val="left"/>
        <w:rPr/>
      </w:pPr>
      <w:r>
        <w:rPr>
          <w:rFonts w:ascii="Times New Roman;serif" w:hAnsi="Times New Roman;serif"/>
          <w:b/>
          <w:i/>
          <w:color w:val="000000"/>
          <w:sz w:val="20"/>
        </w:rPr>
        <w:t>Conversion:</w:t>
      </w:r>
      <w:r>
        <w:rPr>
          <w:color w:val="000000"/>
        </w:rPr>
        <w:t xml:space="preserve"> </w:t>
      </w:r>
      <w:r>
        <w:rPr>
          <w:rFonts w:ascii="Times New Roman;serif" w:hAnsi="Times New Roman;serif"/>
          <w:b w:val="false"/>
          <w:color w:val="000000"/>
          <w:sz w:val="20"/>
        </w:rPr>
        <w:t xml:space="preserve">Each share of the Redeemable Convertible Preferred Stock is convertible, at the option of the respective Holder, from time-to-time after the initial issue date, and without the payment of additional consideration by the Holder, (a) at any time that the closing price per share of the common stock on the trading day immediately preceding the date on which the Holder delivers the relevant notice of conversion is at least $55.00 for Series A Redeemable Convertible Preferred Stock and Series B Redeemable Convertible Preferred Stock, and $16.30 for Series C Redeemable Convertible Preferred Stock (subject to certain adjustments), unless the Company otherwise consents to such conversion in its sole discretion, or (b) in all events during certain specified periods relating to a fundamental change or optional redemption by the Company, into such number of fully paid and non-assessable shares of common stock as is determined by dividing (i) the applicable Accrued Value as of the conversion date by (ii) the applicable conversion price in effect as of such conversion date, which shall initially be $35.9520 for the Series A Redeemable Convertible Preferred Stock, $43.7990 for the Series B Redeemable Convertible Preferred Stock and $10.8160 for the Series C Redeemable Convertible Preferred Stock, subject to customary anti-dilution adjustments, including in the event of any stock split, stock dividend, recapitalization or similar events (the “Conversion Price”). </w:t>
      </w:r>
    </w:p>
    <w:p>
      <w:pPr>
        <w:pStyle w:val="TextBody"/>
        <w:bidi w:val="0"/>
        <w:spacing w:lineRule="auto" w:line="288" w:before="240" w:after="283"/>
        <w:jc w:val="left"/>
        <w:rPr/>
      </w:pPr>
      <w:r>
        <w:rPr>
          <w:rFonts w:ascii="Times New Roman;serif" w:hAnsi="Times New Roman;serif"/>
          <w:b/>
          <w:i/>
          <w:color w:val="000000"/>
          <w:sz w:val="20"/>
        </w:rPr>
        <w:t xml:space="preserve">Mandatory Conversion: </w:t>
      </w:r>
      <w:r>
        <w:rPr>
          <w:rFonts w:ascii="Times New Roman;serif" w:hAnsi="Times New Roman;serif"/>
          <w:b w:val="false"/>
          <w:color w:val="000000"/>
          <w:sz w:val="20"/>
        </w:rPr>
        <w:t>On or after the third anniversary of the initial issue date, if at any time (i) the daily VWAP of the common stock has been at least 200% of the Conversion Price for at least twenty (20) trading days (whether or not consecutive) during any thirty (30) consecutive trading days (including the last day of such period) and (ii) certain common stock liquidity conditions are satisfied, the Company will have the right, exercisable at its election within fifteen (15) business days following completion of the applicable thirty (30) trading day period, to cause all or any portion of the Redeemable Convertible Preferred Stock to convert into a number of fully paid and non-assessable shares of common stock, as determined by dividing (i) the applicable Accrued Value as of the conversion date by (ii) the Conversion Price in effect as of such conversion date. The Company will be required to pay an additional amount per share of the Redeemable Convertible Preferred Stock payable in cash, shares of common stock valued based on a five-day average daily VWAP or a combination thereof in respect of such conversion equal to the greater of (x) the difference between (i) the Minimum Consideration and (ii) the value of the shares of common stock delivered upon mandatory conversion thereof and (y) zero.</w:t>
      </w:r>
    </w:p>
    <w:p>
      <w:pPr>
        <w:pStyle w:val="TextBody"/>
        <w:bidi w:val="0"/>
        <w:spacing w:lineRule="auto" w:line="288" w:before="240" w:after="283"/>
        <w:jc w:val="left"/>
        <w:rPr/>
      </w:pPr>
      <w:r>
        <w:rPr>
          <w:rFonts w:ascii="Times New Roman;serif" w:hAnsi="Times New Roman;serif"/>
          <w:b/>
          <w:i/>
          <w:color w:val="000000"/>
          <w:sz w:val="20"/>
        </w:rPr>
        <w:t xml:space="preserve">Fundamental Change: </w:t>
      </w:r>
      <w:r>
        <w:rPr>
          <w:rFonts w:ascii="Times New Roman;serif" w:hAnsi="Times New Roman;serif"/>
          <w:b w:val="false"/>
          <w:color w:val="000000"/>
          <w:sz w:val="20"/>
        </w:rPr>
        <w:t xml:space="preserve">Upon a fundamental change, the Holders will be entitled, on the fundamental change repurchase date specified by the Company, to receive an amount equal to the greater of (a) the Minimum Consideration and (b) an amount equal to the value that such Holder would have received if it had converted its shares of the Redeemable Convertible Preferred Stock into shares of common stock on the business day immediately before the fundamental change repurchase date. The fundamental change repurchase price may be paid in cash, shares of common stock (or other securities to be received by a holder of common stock in such fundamental change) valued based on a five-day average daily VWAP (with the number of shares of common stock rounded up to the nearest whole share), or a combination thereof, at the Company’s election. The Company may not elect to deliver shares of its common stock (or other securities to be received by a holder of common stock in such fundamental change) in partial or full satisfaction of the fundamental change repurchase price, if certain common stock liquidity conditions are not satisfied.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i/>
          <w:color w:val="000000"/>
          <w:sz w:val="20"/>
        </w:rPr>
        <w:t xml:space="preserve">Optional Redemption: </w:t>
      </w:r>
      <w:r>
        <w:rPr>
          <w:rFonts w:ascii="Times New Roman;serif" w:hAnsi="Times New Roman;serif"/>
          <w:b w:val="false"/>
          <w:color w:val="000000"/>
          <w:sz w:val="20"/>
        </w:rPr>
        <w:t>On or after the fifth anniversary of the initial issue date, the Company may redeem all or any portion of the Redeemable Convertible Preferred Stock at a redemption price per share equal to the greater of (a) the Minimum Consideration and (b) an amount equal to the value (calculated based on a twenty (20)-day average daily VWAP) of the number of shares of common stock if it had converted its shares of the Redeemable Convertible Preferred Stock into shares of common stock as of the redemption date. Such redemption price may be paid in cash, shares of common stock valued based on a twenty (20)-day average daily VWAP, or a combination thereof, at the Company’s election. The Company may not pay any portion of such redemption price in shares of common stock if the common stock liquidity conditions are not satisfied.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While the Redeemable Convertible Preferred Stock is callable after five years at the Company’s option, the Redeemable Convertible Preferred Stock is considered redeemable at the option of Ayar and was classified as mezzanine equity, because it is the majority shareholder of the Company.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accretes the Redeemable Convertible Preferred Stock to its redemption value, which is greater of (a) the Minimum Consideration and (b) an amount equal to the value that such Holder would have received if it had converted its shares of the Redeemable Convertible Preferred Stock into shares of common stock as of the Redemption Date. In certain circumstances, the redemption price may vary based on changes in stock price, in which case the Company recognizes changes in the redemption value immediately as they occur and adjusts the carrying value of the security to equal the then current maximum redemption value at the end of each reporting period. The Company recorded accretion of $67.3 million and $129.8 million related to the Series A Redeemable Convertible Preferred Stock during the three and six months ended June 30, 2026, respectively, and $129.2 million and $354.5 million for the same periods in the prior year, respectively. The Company recorded accretion of $45.2 million and $88.7 million related to the Series B Redeemable Convertible Preferred Stock during the three and six months ended June 30, 2026, respectively, and $70.6 million and $210.2 million for the same periods in the prior year, respectively. The Company recorded accretion of $111.9 million related to the Series C Redeemable Convertible Preferred Stock during the three and six months ended June 30, 2026.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Accretion of the Redeemable Convertible Preferred Stock was reflected as adjustments to additional paid-in capital in the condensed consolidated balance sheets as of June 30, 2026 and December 31, 2025. The carrying value of the Series A Redeemable Convertible Preferred Stock was $1,469.5 million and $1,339.6 million as of June 30, 2026 and December 31, 2025, respectively. The carrying value of the Series B Redeemable Convertible Preferred Stock was $1,032.5 million and $943.8 million as of June 30, 2026 and December 31, 2025, respectively. The carrying value of the Series C Redeemable Convertible Preferred Stock was $404.3 million as of June 30, 2026.</w:t>
      </w:r>
    </w:p>
    <w:p>
      <w:pPr>
        <w:pStyle w:val="TextBody"/>
        <w:bidi w:val="0"/>
        <w:spacing w:lineRule="auto" w:line="288" w:before="240" w:after="283"/>
        <w:jc w:val="left"/>
        <w:rPr/>
      </w:pPr>
      <w:r>
        <w:rPr>
          <w:rFonts w:ascii="Times New Roman;serif" w:hAnsi="Times New Roman;serif"/>
          <w:b w:val="false"/>
          <w:color w:val="000000"/>
          <w:sz w:val="20"/>
        </w:rPr>
        <w:t>The Company assessed the above features to determine whether any features are required to be bifurcated and separately accounted for as an embedded feature. The Company concluded that the conversion features, inclusive of all settlement outcomes where the pay-off is indexed to the if-converted value, meets all the requirements to be separately accounted for as a bifurcated derivative. As a result, the Company bifurcated the Redeemable Convertible Preferred Stock between (i) the host contracts which are accounted for within mezzanine equity as described above, and (ii) the bifurcated derivative liabilities related to the conversion features. The proceeds from issuance were first allocated to the fair value of the bifurcated derivatives with the residual being allocated to the host contracts. The bifurcated derivatives are remeasured to fair value at each reporting period with changes in fair value recorded in the condensed consolidated statement of operations and comprehensi</w:t>
      </w:r>
      <w:r>
        <w:rPr>
          <w:rFonts w:ascii="Times New Roman;serif" w:hAnsi="Times New Roman;serif"/>
          <w:b w:val="false"/>
          <w:color w:val="000000"/>
          <w:sz w:val="20"/>
          <w:shd w:fill="FFFFFF" w:val="clear"/>
        </w:rPr>
        <w:t>ve loss</w:t>
      </w:r>
      <w:r>
        <w:rPr>
          <w:rFonts w:ascii="Times New Roman;serif" w:hAnsi="Times New Roman;serif"/>
          <w:b w:val="false"/>
          <w:color w:val="000000"/>
          <w:sz w:val="20"/>
        </w:rPr>
        <w:t xml:space="preserve">.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remeasured the derivative liabilities for the Redeemable Convertible Preferred Stock to fair value of $163.7 million and $16.2 million, comprising of $0.7 million and $10.8 million related to Series A Redeemable Convertible Preferred Stock, $0.4 million and $5.4 million related to Series B Redeemable Convertible Preferred Stock and $162.6 million and nil related to Series C Redeemable Convertible Preferred Stock, respectively. The Company recognized losses of $39.4 million and $32.0 million for the three and six months ended June 30, 2026, respectively, and gains of $111.5 million and $393.2 million for the same periods in the prior year, respectively, in change in fair value of derivative liabilities and subscription agreements associated with redeemable convertible preferred stock (related party) in the condensed consolidated statements of operations and comprehensive loss.</w:t>
      </w:r>
    </w:p>
    <w:p>
      <w:pPr>
        <w:pStyle w:val="TextBody"/>
        <w:bidi w:val="0"/>
        <w:spacing w:lineRule="auto" w:line="288" w:before="240" w:after="283"/>
        <w:jc w:val="left"/>
        <w:rPr/>
      </w:pPr>
      <w:r>
        <w:rPr>
          <w:rFonts w:ascii="Times New Roman;serif" w:hAnsi="Times New Roman;serif"/>
          <w:b w:val="false"/>
          <w:color w:val="000000"/>
          <w:sz w:val="20"/>
          <w:shd w:fill="FFFFFF" w:val="clear"/>
        </w:rPr>
        <w:t>The Company estimated the fair value of the derivative liabilities using a binomial lattice model with the volatility, credit spread, and term</w:t>
      </w:r>
      <w:r>
        <w:rPr>
          <w:color w:val="000000"/>
        </w:rPr>
        <w:t xml:space="preserve"> </w:t>
      </w:r>
      <w:r>
        <w:rPr>
          <w:rFonts w:ascii="Times New Roman;serif" w:hAnsi="Times New Roman;serif"/>
          <w:b w:val="false"/>
          <w:color w:val="000000"/>
          <w:sz w:val="20"/>
          <w:shd w:fill="FFFFFF" w:val="clear"/>
        </w:rPr>
        <w:t>as significant unobservable inputs. Assumptions used in the valuation also take into account the contractual terms as well as the quoted price of the Company’s common stock in an active</w:t>
      </w:r>
      <w:r>
        <w:rPr>
          <w:color w:val="000000"/>
        </w:rPr>
        <w:t xml:space="preserve"> </w:t>
      </w:r>
      <w:r>
        <w:rPr>
          <w:rFonts w:ascii="Times New Roman;serif" w:hAnsi="Times New Roman;serif"/>
          <w:b w:val="false"/>
          <w:color w:val="000000"/>
          <w:sz w:val="20"/>
        </w:rPr>
        <w:t xml:space="preserve">market. Significant changes in any of those inputs in isolation would result in significant changes to the fair value measurement.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val="false"/>
          <w:color w:val="000000"/>
          <w:sz w:val="20"/>
          <w:shd w:fill="FFFFFF" w:val="clear"/>
        </w:rPr>
        <w:t>The level 3 fair value inputs</w:t>
      </w:r>
      <w:r>
        <w:rPr>
          <w:color w:val="000000"/>
        </w:rPr>
        <w:t xml:space="preserve"> </w:t>
      </w:r>
      <w:r>
        <w:rPr>
          <w:rFonts w:ascii="Times New Roman;serif" w:hAnsi="Times New Roman;serif"/>
          <w:b w:val="false"/>
          <w:color w:val="000000"/>
          <w:sz w:val="20"/>
        </w:rPr>
        <w:t xml:space="preserve">used in the valuation of the derivative liabilities associated with the Redeemable Convertible Preferred Stock were as follows: </w:t>
      </w:r>
    </w:p>
    <w:tbl>
      <w:tblPr>
        <w:tblW w:w="10205" w:type="dxa"/>
        <w:jc w:val="left"/>
        <w:tblInd w:w="0" w:type="dxa"/>
        <w:tblLayout w:type="fixed"/>
        <w:tblCellMar>
          <w:top w:w="28" w:type="dxa"/>
          <w:left w:w="28" w:type="dxa"/>
          <w:bottom w:w="28" w:type="dxa"/>
          <w:right w:w="28" w:type="dxa"/>
        </w:tblCellMar>
      </w:tblPr>
      <w:tblGrid>
        <w:gridCol w:w="477"/>
        <w:gridCol w:w="418"/>
        <w:gridCol w:w="421"/>
        <w:gridCol w:w="319"/>
        <w:gridCol w:w="774"/>
        <w:gridCol w:w="410"/>
        <w:gridCol w:w="109"/>
        <w:gridCol w:w="109"/>
        <w:gridCol w:w="109"/>
        <w:gridCol w:w="319"/>
        <w:gridCol w:w="774"/>
        <w:gridCol w:w="410"/>
        <w:gridCol w:w="109"/>
        <w:gridCol w:w="109"/>
        <w:gridCol w:w="109"/>
        <w:gridCol w:w="319"/>
        <w:gridCol w:w="774"/>
        <w:gridCol w:w="410"/>
        <w:gridCol w:w="109"/>
        <w:gridCol w:w="109"/>
        <w:gridCol w:w="109"/>
        <w:gridCol w:w="290"/>
        <w:gridCol w:w="847"/>
        <w:gridCol w:w="372"/>
        <w:gridCol w:w="109"/>
        <w:gridCol w:w="109"/>
        <w:gridCol w:w="109"/>
        <w:gridCol w:w="286"/>
        <w:gridCol w:w="838"/>
        <w:gridCol w:w="439"/>
      </w:tblGrid>
      <w:tr>
        <w:trPr/>
        <w:tc>
          <w:tcPr>
            <w:tcW w:w="47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Series A </w:t>
              <w:br/>
              <w:t>Derivative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Series B </w:t>
              <w:br/>
              <w:t>Derivative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Series C </w:t>
              <w:br/>
              <w:t>Derivative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Series A </w:t>
              <w:br/>
              <w:t>Derivative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Series B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Derivative Liability</w:t>
            </w:r>
          </w:p>
        </w:tc>
      </w:tr>
      <w:tr>
        <w:trPr/>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Credit spread</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 (in years)</w:t>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8 – STOCKHOLDERS’ EQUITY (DEFICIT)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July 2025, the Company entered into a Vehicle Production Agreement (the “First VPA”) with Uber and the 2025 Subscription Agreement with SMB, a subsidiary of Uber. Under the First VPA, Uber and its designated fleet operators have agreed to purchase a minimum commitment of 20,000 Lucid Gravity vehicles that have been modified to include certain autonomous driving hardware and other features (the “Lucid Gravity Plus vehicles”). Under the 2025 Subscription Agreement, the Company agreed to issue and SMB agreed to purchase, in a private placement, the Company’s common stock equal to (i) $300.0 million in cash divided by (ii) an amount equal to the arithmetic average of the daily volume-weighted average price of the common stock over a period of 30 consecutive trading days ending on, and including, July 15, 2025. In September 2025, the Company and SMB entered into an amendment to the 2025 Subscription Agreement to reflect the adjustments made to the number of placement shares and purchase price per placement share therein due to the Reverse Stock Split. The Company also consummated the private placement of shares to SMB and issued 13,715,121 shares at a price per share of $21.87, for aggregate net proceeds of $299.7 million after deducting issuance costs of $0.3 million in September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April 2026, the Company entered into a Second Vehicle Production Agreement (as amended by the Amendment No. 1 to the Second Vehicle Production Agreement dated July 10, 2026, the “Second VPA”, together with the First VPA, the “VPAs”) with Uber and the 2026 Subscription Agreement with SMB. Under the Second VPA, Uber and its designated fleet operators have agreed to purchase a minimum commitment (the “Minimum Quantity Guarantee”) of 25,000 Lucid Midsize platform vehicles for use as robotaxis that have been modified to include certain autonomous driving hardware and other features (the “Lucid Midsize Plus vehicles”) over a six-year period following the start of production. Start of production of Lucid Midsize Plus vehicles is targeted to occur in late 2028. Pursuant to the offset provisions under the First VPA the Company entered into with Uber in July 2025, the Minimum Quantity Guarantee increased the aggregate number of Lucid Gravity Plus and Lucid Midsize Plus vehicles Uber is committed to purchase to at least 35,000 units. Under the 2026 Subscription Agreement, the Company agreed to issue and SMB agreed to purchase, in a private placement, $200.0 million of its common stock. The Company also consummated the private placement of shares to SMB and issued 24,038,462 shares at a price per share of $8.32, for aggregate net proceeds of $199.8 million after deducting issuance costs of $0.2 million in April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shares of common stock sold to SMB pursuant to the 2025 Subscription Agreement and the 2026 Subscription Agreement were sold based upon reliance on the exemption from registration provided in Section 4(a)(2) of the Securities Act. SMB may not transfer the shares of common stock acquired under the 2025 Subscription Agreement and the 2026 Subscription Agreement for a period of 18 months after the closing of the private placement.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April 2026, the Company entered into the 2026 Underwriting Agreement with the Underwriter, under which the Underwriter agreed to purchase 36,057,692 shares of the Company’s common stock. In April 2026, the Company issued the shares to the Underwriter pursuant to the 2026 Underwriting Agreement at a price per share of $8.11, and received aggregate net proceeds of $291.5 million after deducting issuance costs of $1.0 million.</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Issuance costs incurred were recorded as a reduction of the gross proceeds received from the equity offerings within additional paid-in capital in the consolidated balance sheets.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Treasury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2021, the Company repurchased an aggregate of 85,782 shares of its common stock, including 71,274 shares from certain employees and 14,508 shares from board of directors of the Company’s predecessor, Atieva, Inc. at $241.50 per share. No common stock was repurchased during the three and six months ended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Common Stock Reserved for Issuance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common stock reserved for future issuances as of June 30, 2026 was as follows:</w:t>
      </w:r>
    </w:p>
    <w:tbl>
      <w:tblPr>
        <w:tblW w:w="8392" w:type="dxa"/>
        <w:jc w:val="left"/>
        <w:tblInd w:w="0" w:type="dxa"/>
        <w:tblLayout w:type="fixed"/>
        <w:tblCellMar>
          <w:top w:w="28" w:type="dxa"/>
          <w:left w:w="28" w:type="dxa"/>
          <w:bottom w:w="28" w:type="dxa"/>
          <w:right w:w="28" w:type="dxa"/>
        </w:tblCellMar>
      </w:tblPr>
      <w:tblGrid>
        <w:gridCol w:w="2434"/>
        <w:gridCol w:w="2139"/>
        <w:gridCol w:w="2147"/>
        <w:gridCol w:w="592"/>
        <w:gridCol w:w="594"/>
        <w:gridCol w:w="486"/>
      </w:tblGrid>
      <w:tr>
        <w:trPr/>
        <w:tc>
          <w:tcPr>
            <w:tcW w:w="2434"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Warrants to purchase common stock</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4,435,000 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outstanding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2,617,550 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outstanding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16,437,935 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future grants under equity plans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23,118,397 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If-converted common shares from 2026 Notes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372,950 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If-converted common shares from 2030 Notes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36,666,630 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If-converted common shares from 2031 Notes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46,846,313 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If-converted common shares from Series A redeemable convertible preferred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34,006,758 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If-converted common shares from Series B redeemable convertible preferred stock</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20,239,798 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If-converted common shares from Series C redeemable convertible preferred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51,651,489 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of common stock reserved</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236,392,820 </w:t>
            </w:r>
          </w:p>
        </w:tc>
        <w:tc>
          <w:tcPr>
            <w:tcW w:w="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9 – STOCK-BASED AWARDS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summary of stock option activity, excluding performance-based stock options (“PSOs”), for the six months ended June 30, 2026 was as follows:</w:t>
      </w:r>
    </w:p>
    <w:tbl>
      <w:tblPr>
        <w:tblW w:w="10205" w:type="dxa"/>
        <w:jc w:val="left"/>
        <w:tblInd w:w="0" w:type="dxa"/>
        <w:tblLayout w:type="fixed"/>
        <w:tblCellMar>
          <w:top w:w="28" w:type="dxa"/>
          <w:left w:w="28" w:type="dxa"/>
          <w:bottom w:w="28" w:type="dxa"/>
          <w:right w:w="28" w:type="dxa"/>
        </w:tblCellMar>
      </w:tblPr>
      <w:tblGrid>
        <w:gridCol w:w="950"/>
        <w:gridCol w:w="835"/>
        <w:gridCol w:w="837"/>
        <w:gridCol w:w="499"/>
        <w:gridCol w:w="487"/>
        <w:gridCol w:w="355"/>
        <w:gridCol w:w="109"/>
        <w:gridCol w:w="109"/>
        <w:gridCol w:w="109"/>
        <w:gridCol w:w="375"/>
        <w:gridCol w:w="1097"/>
        <w:gridCol w:w="193"/>
        <w:gridCol w:w="109"/>
        <w:gridCol w:w="109"/>
        <w:gridCol w:w="109"/>
        <w:gridCol w:w="826"/>
        <w:gridCol w:w="826"/>
        <w:gridCol w:w="828"/>
        <w:gridCol w:w="109"/>
        <w:gridCol w:w="109"/>
        <w:gridCol w:w="109"/>
        <w:gridCol w:w="238"/>
        <w:gridCol w:w="696"/>
        <w:gridCol w:w="182"/>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3" w:type="dxa"/>
            <w:gridSpan w:val="21"/>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Outstanding Options</w:t>
            </w:r>
          </w:p>
        </w:tc>
      </w:tr>
      <w:tr>
        <w:trPr/>
        <w:tc>
          <w:tcPr>
            <w:tcW w:w="2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Number of 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Weighted-Average Remaining Contractual 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 xml:space="preserve">Intrinsic Value </w:t>
              <w:br/>
              <w:t>(in thousands)</w:t>
            </w:r>
          </w:p>
        </w:tc>
      </w:tr>
      <w:tr>
        <w:trPr/>
        <w:tc>
          <w:tcPr>
            <w:tcW w:w="26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2,030,874 </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19.09 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2,918 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(311,391)</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Options canceled/forfeited</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(101,933)</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45.03 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1,617,550 </w:t>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19.41 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Options vested and exercisable as of June 30, 2026</w:t>
            </w:r>
          </w:p>
        </w:tc>
        <w:tc>
          <w:tcPr>
            <w:tcW w:w="9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1,556,611 </w:t>
            </w:r>
          </w:p>
        </w:tc>
        <w:tc>
          <w:tcPr>
            <w:tcW w:w="3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17.71 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unrecognized stock-based compensation cost related to outstanding unvested stock options, excluding PSOs, that are expected to vest was $1.1 million, and is expected to be recognized over a weighted-average period of 1.0 year.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April 2026, the Company granted 1,000,000 shares of PSOs to its current CEO. These PSOs have a contractual term of 10 years from the date of grant. These awards are subject to both market capitalization targets and time-based vesting conditions during a 5-year performance period commencing on the date of grant, and are subject to the CEO’s continued employment with the Company. As of June 30, 2026, none of the market capitalization targets or time-based vesting conditions had been achieved. The related stock-based compensation expense for the three and six months ended June 30, 2026 was immaterial. As of June 30, 2026, unrecognized stock-based compensation cost related to these awards was $4.6 million, which is expected to be recognized over a weighted-average period of 2.9 years.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RSUs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summary of RSUs activity for the six months ended June 30, 2026 was as follows:</w:t>
      </w:r>
    </w:p>
    <w:tbl>
      <w:tblPr>
        <w:tblW w:w="10205" w:type="dxa"/>
        <w:jc w:val="left"/>
        <w:tblInd w:w="0" w:type="dxa"/>
        <w:tblLayout w:type="fixed"/>
        <w:tblCellMar>
          <w:top w:w="28" w:type="dxa"/>
          <w:left w:w="28" w:type="dxa"/>
          <w:bottom w:w="28" w:type="dxa"/>
          <w:right w:w="28" w:type="dxa"/>
        </w:tblCellMar>
      </w:tblPr>
      <w:tblGrid>
        <w:gridCol w:w="760"/>
        <w:gridCol w:w="668"/>
        <w:gridCol w:w="670"/>
        <w:gridCol w:w="540"/>
        <w:gridCol w:w="541"/>
        <w:gridCol w:w="411"/>
        <w:gridCol w:w="109"/>
        <w:gridCol w:w="109"/>
        <w:gridCol w:w="109"/>
        <w:gridCol w:w="605"/>
        <w:gridCol w:w="605"/>
        <w:gridCol w:w="606"/>
        <w:gridCol w:w="109"/>
        <w:gridCol w:w="109"/>
        <w:gridCol w:w="109"/>
        <w:gridCol w:w="540"/>
        <w:gridCol w:w="541"/>
        <w:gridCol w:w="275"/>
        <w:gridCol w:w="109"/>
        <w:gridCol w:w="109"/>
        <w:gridCol w:w="109"/>
        <w:gridCol w:w="528"/>
        <w:gridCol w:w="1542"/>
        <w:gridCol w:w="392"/>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Restricted Stock Units</w:t>
            </w:r>
          </w:p>
        </w:tc>
      </w:tr>
      <w:tr>
        <w:trPr/>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Time-Based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Performance-Based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Grant-Date Fair Value</w:t>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17,337,857 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2,645,726 </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19,983,583 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5,114,901 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43,504 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5,158,405 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(4,100,489)</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(569,025)</w:t>
            </w:r>
          </w:p>
        </w:tc>
        <w:tc>
          <w:tcPr>
            <w:tcW w:w="6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(4,669,514)</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Canceled/Forfeited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(3,128,662)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(905,877)</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(4,034,539)</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15,223,607 </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1,214,328 </w:t>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16,437,935 </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unrecognized stock-based compensation cost related to outstanding unvested time-based RSUs that are expected to vest was $249.6 million, which is expected to be recognized over a weighted-average period of 1.8 years.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granted 1,383,475 shares of the time-based RSUs to the former CEO that were scheduled to vest in sixteen equal quarterly installments, beginning on December 5, 2021, and were subject to continuous employment. The Company recognized compensation expense for these time-based RSUs on a graded vesting schedule over the requisite vesting period. The Company withheld approximately 47,712 and 95,424 shares of common stock for the three and six months ended June 30, 2025, by net settlement to meet the related tax withholding requirements related to the former CEO’s time-based RSUs. In February 2025, the Company announced the former CEO’s resignation and transition. In connection with this transition, the Company recorded a reversal of $41.6 million related to previously recognized stock-based compensation expenses for his unvested time-based RSUs. As of December 31, 2025, there were no unrecognized stock-based compensation expenses related to the former CEO’s time-based RSUs.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granted performance-based RSUs to certain employees and they are subject to (i) corporate performance conditions and individual performance and (ii) a service condition that is generally satisfied over 3 years. The number of awards granted represents 100% of the target goal. Under the terms of the awards, the recipient may earn between 0% to 150% of the original number of grants based on actual achievement of corporate performance goals and individual performance. Stock-based compensation expense is recognized when the relevant performance condition is considered probable of achievement for the performance-based award. During the three and six months ended June 30, 2026, the Company recorded a net stock-based compensation expense reversal of $1.9 million and stock-based compensation expenses of $3.7 million, respectively, related to these performance-based RSUs. During the three and six months ended June 30, 2025, the Company recorded stock-based compensation expenses of $3.5 million and $12.4 million, respectively. As of June 30, 2026, the unamortized expense for the performance-based RSUs was $5.3 million, which will be recognized over a weighted-average period of 0.9 years primarily contingent upon realization of the corporate performance conditions.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ESPP</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ESPP authorizes the issuance of shares of common stock pursuant to purchase rights granted to employees. The plan provides for 24-month offering periods beginning in December and June of each year, and each offering period will consist of four six-month purchase periods. The purchase price for each share purchased during an offering period will be the lesser of 85% of the fair market value of the share on the purchase date or 85% of the fair market value of the share on the offering date. As of June 30, 2026, unrecognized stock-based compensation cost related to the ESPP was $22.4 million, which is expected to be recognized over a weighted-average period of 1.9 years.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Total employee and nonemployee stock-based compensation expense for the three and six months ended June 30, 2026 and 2025, was classified in the condensed consolidated statements of operations and comprehensive loss as follows (in thousands):</w:t>
      </w:r>
    </w:p>
    <w:tbl>
      <w:tblPr>
        <w:tblW w:w="8249" w:type="dxa"/>
        <w:jc w:val="left"/>
        <w:tblInd w:w="0" w:type="dxa"/>
        <w:tblLayout w:type="fixed"/>
        <w:tblCellMar>
          <w:top w:w="28" w:type="dxa"/>
          <w:left w:w="28" w:type="dxa"/>
          <w:bottom w:w="28" w:type="dxa"/>
          <w:right w:w="28" w:type="dxa"/>
        </w:tblCellMar>
      </w:tblPr>
      <w:tblGrid>
        <w:gridCol w:w="1068"/>
        <w:gridCol w:w="941"/>
        <w:gridCol w:w="945"/>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4"/>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Workforce reduction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capitalized stock-based compensation expenses of $8.0 million and $19.1 million for the three and six months ended June 30, 2026, respectively, and $8.5 million and $18.3 million for the same periods in the prior year, respectively, primarily as part of the cost of inventory.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10 – LEASES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various non-cancellable operating and finance lease agreements for certain of the Company’s offices, manufacturing and warehouse facilities, retail and service locations, equipment and vehicles, worldwide.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August 2022, the Company entered into a four-year agreement (“Lease Agreement”) to lease land in Casa Grande, Arizona adjacent to our manufacturing facility. The Company classified this lease as a finance lease because the Lease Agreement contained a purchase option which the Company was reasonably certain to exercise. As of December 31, 2025, assets and liabilities associated with the finance lease were $79.3 million and $79.4 million, respectively. During the six months ended June 30, 2026, the Company elected not to exercise the purchase option. As a result, the Company remeasured the lease</w:t>
        <w:noBreakHyphen/>
        <w:t>related assets and liabilities, and the remaining balances were immaterial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Contemporaneously with the execution of the Lease Agreement, the Company entered into a sale agreement, pursuant to which the Company sold certain parcels of land for $31.7 million to the lessor and leased back these parcels of land under the Lease Agreement. The sale of the land and subsequent lease did not result in change in the transfer of control of the land; therefore, the sale-leaseback transaction is accounted for as a failed sale and leaseback financing obligation. The Company recorded $31.7 million of sales proceeds received as a financial liability within other current liabilities in the condensed consolidated balance sheets as of June 30, 2026 and December 31,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balances for the operating and finance leases where the Company is the lessee are presented as follows within the Company’s condensed consolidated balance sheets (in thousands):</w:t>
      </w:r>
    </w:p>
    <w:tbl>
      <w:tblPr>
        <w:tblW w:w="6519" w:type="dxa"/>
        <w:jc w:val="left"/>
        <w:tblInd w:w="0" w:type="dxa"/>
        <w:tblLayout w:type="fixed"/>
        <w:tblCellMar>
          <w:top w:w="28" w:type="dxa"/>
          <w:left w:w="28" w:type="dxa"/>
          <w:bottom w:w="28" w:type="dxa"/>
          <w:right w:w="28" w:type="dxa"/>
        </w:tblCellMar>
      </w:tblPr>
      <w:tblGrid>
        <w:gridCol w:w="1396"/>
        <w:gridCol w:w="1225"/>
        <w:gridCol w:w="1234"/>
        <w:gridCol w:w="211"/>
        <w:gridCol w:w="826"/>
        <w:gridCol w:w="109"/>
        <w:gridCol w:w="109"/>
        <w:gridCol w:w="109"/>
        <w:gridCol w:w="109"/>
        <w:gridCol w:w="211"/>
        <w:gridCol w:w="826"/>
        <w:gridCol w:w="154"/>
      </w:tblGrid>
      <w:tr>
        <w:trPr/>
        <w:tc>
          <w:tcPr>
            <w:tcW w:w="139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Right-of-use assets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lease liabilities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leases: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Property, plant and equipment, net</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Finance lease liabilities, current portion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 net of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finance lease liabilities</w:t>
            </w:r>
            <w:r>
              <w:rPr>
                <w:rFonts w:ascii="Times New Roman;serif" w:hAnsi="Times New Roman;serif"/>
                <w:b w:val="false"/>
                <w:color w:val="000000"/>
                <w:sz w:val="13"/>
              </w:rPr>
              <w:t>(1)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As of June 30, 2026 and December 31, 2025, the Company recorded finance lease assets of $92.7 million and $95.3 million, respectively, and finance lease liabilities of $98.8 million and $98.9 million, respectively, related to certain facility leases assumed in connection with the asset acquisition from Nikola Corporation.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lease expense were as follows within the Company’s condensed consolidated statements of operations and comprehensive loss (in thousands):</w:t>
      </w:r>
    </w:p>
    <w:tbl>
      <w:tblPr>
        <w:tblW w:w="7664" w:type="dxa"/>
        <w:jc w:val="left"/>
        <w:tblInd w:w="0" w:type="dxa"/>
        <w:tblLayout w:type="fixed"/>
        <w:tblCellMar>
          <w:top w:w="28" w:type="dxa"/>
          <w:left w:w="28" w:type="dxa"/>
          <w:bottom w:w="28" w:type="dxa"/>
          <w:right w:w="28" w:type="dxa"/>
        </w:tblCellMar>
      </w:tblPr>
      <w:tblGrid>
        <w:gridCol w:w="896"/>
        <w:gridCol w:w="786"/>
        <w:gridCol w:w="79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 expense: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lease expense</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lease expense: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leased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Excluded short-term leases, which were not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Other information related to leases where the Company is the lessee was as follows:</w:t>
      </w:r>
    </w:p>
    <w:tbl>
      <w:tblPr>
        <w:tblW w:w="7059" w:type="dxa"/>
        <w:jc w:val="left"/>
        <w:tblInd w:w="0" w:type="dxa"/>
        <w:tblLayout w:type="fixed"/>
        <w:tblCellMar>
          <w:top w:w="28" w:type="dxa"/>
          <w:left w:w="28" w:type="dxa"/>
          <w:bottom w:w="28" w:type="dxa"/>
          <w:right w:w="28" w:type="dxa"/>
        </w:tblCellMar>
      </w:tblPr>
      <w:tblGrid>
        <w:gridCol w:w="1603"/>
        <w:gridCol w:w="1408"/>
        <w:gridCol w:w="1413"/>
        <w:gridCol w:w="308"/>
        <w:gridCol w:w="308"/>
        <w:gridCol w:w="399"/>
        <w:gridCol w:w="109"/>
        <w:gridCol w:w="109"/>
        <w:gridCol w:w="109"/>
        <w:gridCol w:w="308"/>
        <w:gridCol w:w="308"/>
        <w:gridCol w:w="677"/>
      </w:tblGrid>
      <w:tr>
        <w:trPr/>
        <w:tc>
          <w:tcPr>
            <w:tcW w:w="16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remaining lease term (in years):</w:t>
            </w:r>
          </w:p>
        </w:tc>
        <w:tc>
          <w:tcPr>
            <w:tcW w:w="10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discount rate:</w:t>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maturities of the Company’s operating and finance lease liabilities (excluding short-term leases) were as follows (in thousands):</w:t>
      </w:r>
    </w:p>
    <w:tbl>
      <w:tblPr>
        <w:tblW w:w="6176" w:type="dxa"/>
        <w:jc w:val="left"/>
        <w:tblInd w:w="0" w:type="dxa"/>
        <w:tblLayout w:type="fixed"/>
        <w:tblCellMar>
          <w:top w:w="28" w:type="dxa"/>
          <w:left w:w="28" w:type="dxa"/>
          <w:bottom w:w="28" w:type="dxa"/>
          <w:right w:w="28" w:type="dxa"/>
        </w:tblCellMar>
      </w:tblPr>
      <w:tblGrid>
        <w:gridCol w:w="1179"/>
        <w:gridCol w:w="1034"/>
        <w:gridCol w:w="1042"/>
        <w:gridCol w:w="251"/>
        <w:gridCol w:w="984"/>
        <w:gridCol w:w="129"/>
        <w:gridCol w:w="109"/>
        <w:gridCol w:w="109"/>
        <w:gridCol w:w="109"/>
        <w:gridCol w:w="218"/>
        <w:gridCol w:w="853"/>
        <w:gridCol w:w="159"/>
      </w:tblGrid>
      <w:tr>
        <w:trPr/>
        <w:tc>
          <w:tcPr>
            <w:tcW w:w="117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Finance Leases</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 of the year)</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48,733 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86,930 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71,888 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60,086 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47,379 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62,071 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170,750 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lease payments</w:t>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402,524 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227,457 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(107,285)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(119,727)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obligations</w:t>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295,239 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107,730 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(67,198)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portion of lease obligations</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228,041 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102,685 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entered into additional leases for facilities that have not yet commenced with undiscounted future lease payments of $25.4 million. The leases are expected to commence over the next twelve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11 - COMMITMENTS AND CONTINGENCIES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had $0.7 billion and $0.9 billion in commitments related to AMP-1 and AMP-2 plant and equipment, respectively. These commitments represent future expected payments on open purchase orders entered into as of June 30, 2026 and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non-cancellable long-term commitments primarily related to certain inventory component purchases. As of June 30, 2026, pursuant to the terms of agreements the Company entered into in connection with the supply of lithium-ion battery cells, the Company had remaining minimum purchase commitments of an aggregate of approximately $2.47 billion, calculated using the current base prices, which could vary period-to-period primarily as a result of changes in raw material indexes. The estimated future payments having a remaining term in excess of one year as of June 30, 2026 were as follows (in thousands):</w:t>
      </w:r>
    </w:p>
    <w:tbl>
      <w:tblPr>
        <w:tblW w:w="3756" w:type="dxa"/>
        <w:jc w:val="left"/>
        <w:tblInd w:w="0" w:type="dxa"/>
        <w:tblLayout w:type="fixed"/>
        <w:tblCellMar>
          <w:top w:w="28" w:type="dxa"/>
          <w:left w:w="28" w:type="dxa"/>
          <w:bottom w:w="28" w:type="dxa"/>
          <w:right w:w="28" w:type="dxa"/>
        </w:tblCellMar>
      </w:tblPr>
      <w:tblGrid>
        <w:gridCol w:w="875"/>
        <w:gridCol w:w="768"/>
        <w:gridCol w:w="772"/>
        <w:gridCol w:w="211"/>
        <w:gridCol w:w="976"/>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Years ended December 31,</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Minimum</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Purchase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Commitment</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 of the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414,673 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494,859 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488,529 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494,959 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498,089 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2,545,730 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both"/>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From time-to-time, the Company may become subject to legal proceedings, claims and litigation arising in the ordinary course of business. Some of these claims, lawsuits and other proceedings may involve highly complex issues that are subject to substantial uncertainties, and could result in damages, fines, penalties, non-monetary sanctions or relief.</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 re Lucid Group, Inc. Securities Litigation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April 1, 2022, and May 31, 2022, two alleged shareholders filed putative class actions under the federal securities laws in the United States District Court for the Northern District of California against the Company and certain officers of the Company relating to alleged statements, updated projections and guidance provided from late 2021 to early 2022. The two matters were consolidated as In re Lucid Group, Inc. Securities Litigation. The complaint alleges that the Company and its former CEO made false or misleading statements about the Company’s 2022 production targets in violation of Sections 10(b) and 20(a) of the Exchange Act. Defendants deny these allegations and are vigorously defending the case. At this point in the matter, we are unable to predict the outcome or potential exposure.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Nine purported shareholders have filed derivative cases in various courts putatively on behalf of the Company against certain of the Company’s current and former directors based on allegations similar to those in the In re Lucid Group, Inc. Securities Litigation action. These cases raise claims such as a breach of fiduciary duty, unjust enrichment, waste of corporate assets, and aiding and abetting a breach of fiduciary duty. On July 11, 2022, a derivative case raising such claims was filed in the Superior Court of California, Alameda County, and is currently stayed. Between September 2024 and December 2024, three other derivative lawsuits were filed in the Delaware Court of Chancery raising similar claims. Two were consolidated into a single action. On January 29, 2025, February 7, 2025 and August 6, 2025, three other derivative lawsuits were filed in the Northern District of California also raising similar claims. The court has granted the parties stipulation to consolidate and stay the cases. Between February 28, 2025, and March 7, 2025, two other derivative lawsuits raising similar claims were also filed in the United States District Court for the District of Delaware. They were consolidated into a single action and are currently stayed.</w:t>
      </w:r>
    </w:p>
    <w:p>
      <w:pPr>
        <w:pStyle w:val="TextBody"/>
        <w:bidi w:val="0"/>
        <w:spacing w:lineRule="auto" w:line="288" w:before="240" w:after="283"/>
        <w:jc w:val="left"/>
        <w:rPr/>
      </w:pPr>
      <w:r>
        <w:rPr>
          <w:rFonts w:ascii="Times New Roman;serif" w:hAnsi="Times New Roman;serif"/>
          <w:b/>
          <w:i/>
          <w:color w:val="000000"/>
          <w:sz w:val="20"/>
          <w:u w:val="single"/>
        </w:rPr>
        <w:t>Eke v. Lucid Group, Inc., et al.</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May 29, 2026, a shareholder filed a putative class action alleging claims under Sections 10(b) and 20(a) of the Exchange Act and Rule 10b-5 against the Company, the Company’s then Interim Chief Executive Officer Marc Winterhoff, and Chief Financial Officer Taoufiq Boussaid (Eke v. Lucid Group Inc. et al., U.S. District Court N.D. Cal., Case No. 3:26-cv-05128). The complaint alleges that Defendants made false or misleading statements about and/or failed to disclose, among other things, that a supplier quality issue had significantly disrupted deliveries of the Lucid Gravity. Defendants deny these allegations and plan to vigorously defend the case. At this point in the matter, we are unable to predict the outcome or potential exposure. </w:t>
      </w:r>
    </w:p>
    <w:p>
      <w:pPr>
        <w:pStyle w:val="TextBody"/>
        <w:bidi w:val="0"/>
        <w:spacing w:lineRule="auto" w:line="288" w:before="240" w:after="283"/>
        <w:jc w:val="left"/>
        <w:rPr/>
      </w:pPr>
      <w:r>
        <w:rPr>
          <w:rFonts w:ascii="Times New Roman;serif" w:hAnsi="Times New Roman;serif"/>
          <w:b w:val="false"/>
          <w:color w:val="000000"/>
          <w:sz w:val="20"/>
        </w:rPr>
        <w:t xml:space="preserve">On June 16, 2026, a shareholder filed a derivative action on behalf of the Company against certain current and former directors and officers alleging claims substantially similar to those in </w:t>
      </w:r>
      <w:r>
        <w:rPr>
          <w:rFonts w:ascii="Times New Roman;serif" w:hAnsi="Times New Roman;serif"/>
          <w:b w:val="false"/>
          <w:i/>
          <w:color w:val="000000"/>
          <w:sz w:val="20"/>
        </w:rPr>
        <w:t>Eke v. Lucid Group, Inc. et al</w:t>
      </w:r>
      <w:r>
        <w:rPr>
          <w:rFonts w:ascii="Times New Roman;serif" w:hAnsi="Times New Roman;serif"/>
          <w:b w:val="false"/>
          <w:color w:val="000000"/>
          <w:sz w:val="20"/>
        </w:rPr>
        <w:t>. The case alleges claims such as a breach of fiduciary duty, unjust enrichment, and waste of corporate assets. Defendants deny these allegations and plan to vigorously defend the case. At this point in the matter, we are unable to predict the outcome or potential exposure.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is evaluating certain loss contingencies arising from supplier contract claims that could result in additional obligations of the Company. As of June 30, 2026, the Company had recorded an immaterial accrual for losses deemed probable and reasonably estimable. While the ultimate outcome of these matters remains uncertain, it is reasonably possible that the Company may incur losses in excess of the amounts accrued. The Company will continue to assess these contingencies as additional information becomes available and will update its estimates, as appropriate, in future reporting periods.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While we have registered and applied for trademarks in an effort to protect our brand and goodwill with customers, competitors or other third parties have previously opposed, currently oppose, and may continue to oppose our trademark applications or otherwise challenge our use of the trademarks and other brand names in which we have invested. Such oppositions and challenges can be expensive and may adversely affect our ability to maintain the goodwill gained in connection with a particular trademark. In addition, we may lose our trademark or be unable to submit specimens of use by the applicable deadline to perfect such trademark rights.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At this time, the Company does not consider any such claims, lawsuits or proceedings that are currently pending, individually or in the aggregate, including the matters referenced above, to be material to the Company’s business or likely to result in a material adverse effect on its future operating results, financial condition or cash flows should such proceedings be resolved unfavorably.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Indemnification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may provide indemnification of varying scope and terms to customers, vendors, investors, directors, officers, and certain key employees with respect to certain matters, including, but not limited to, losses arising out of our breach of such agreements, services to be provided by the Company, or from intellectual property infringement claims made by third parties. These indemnification provisions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has never paid a material claim, nor has it been sued in connection with these indemnification arrangements. The Company has indemnification obligations with respect to letters of credit and surety bond primarily used as security against facility leases, utilities infrastructure and other agreements that require securitization. The indemnification obligations were $174.5 million and $130.9 million as of June 30, 2026 and December 31, 2025, respectively, for which no liabilities are recorded in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12 - INCOME TAXES</w:t>
      </w:r>
    </w:p>
    <w:p>
      <w:pPr>
        <w:pStyle w:val="TextBody"/>
        <w:bidi w:val="0"/>
        <w:spacing w:lineRule="auto" w:line="288" w:before="240" w:after="283"/>
        <w:jc w:val="left"/>
        <w:rPr/>
      </w:pPr>
      <w:r>
        <w:rPr>
          <w:rFonts w:ascii="Times New Roman;serif" w:hAnsi="Times New Roman;serif"/>
          <w:b w:val="false"/>
          <w:color w:val="231F20"/>
          <w:sz w:val="20"/>
        </w:rPr>
        <w:t>The Compa</w:t>
      </w:r>
      <w:r>
        <w:rPr>
          <w:rFonts w:ascii="Times New Roman;serif" w:hAnsi="Times New Roman;serif"/>
          <w:b w:val="false"/>
          <w:color w:val="000000"/>
          <w:sz w:val="20"/>
        </w:rPr>
        <w:t>ny’s provision for (benefit from) income taxes for interim periods is determined using its effective tax rate that arise during the period. The Company’s quarterly tax provision is subject to variation due to several factors, including variability in pre-tax income (or loss), the mix of jurisdictions to which such income relates, changes in how the Company does business, the valuation allowance against deferred tax assets, and tax law developments.</w:t>
      </w:r>
    </w:p>
    <w:p>
      <w:pPr>
        <w:pStyle w:val="TextBody"/>
        <w:bidi w:val="0"/>
        <w:spacing w:lineRule="auto" w:line="288" w:before="240" w:after="283"/>
        <w:jc w:val="left"/>
        <w:rPr/>
      </w:pPr>
      <w:r>
        <w:rPr>
          <w:rFonts w:ascii="Times New Roman;serif" w:hAnsi="Times New Roman;serif"/>
          <w:b w:val="false"/>
          <w:color w:val="000000"/>
          <w:sz w:val="20"/>
        </w:rPr>
        <w:t>The Company’s effective tax rate was (0.1)%</w:t>
      </w:r>
      <w:r>
        <w:rPr>
          <w:color w:val="B6B6B6"/>
        </w:rPr>
        <w:t xml:space="preserve"> </w:t>
      </w:r>
      <w:r>
        <w:rPr>
          <w:rFonts w:ascii="Times New Roman;serif" w:hAnsi="Times New Roman;serif"/>
          <w:b w:val="false"/>
          <w:color w:val="000000"/>
          <w:sz w:val="20"/>
        </w:rPr>
        <w:t>for the three and six months ended June 30, 2026, and 0.4% for the same periods in the prior year, due to minimal profits in foreign jurisdictions and U.S. losses for which no benefit will be realized.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July 4, 2025, the OBBBA was signed into law, introducing significant changes to the U.S. federal income tax code. The OBBBA included provisions that allow for the immediate expensing of domestic research and development expenses and certain capital expenditures, as well as other changes related to the U.S. taxation of profits derived from foreign operations. The Company elected to fully amortize its previously capitalized domestic research and development expenses. Due to the Company’s full valuation allowance on its U.S. deferred tax assets, the net tax impact of the legislation is immaterial.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13 - NET LOSS PER SHARE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share attributable to common stockholders are calculated as follows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541"/>
        <w:gridCol w:w="1141"/>
        <w:gridCol w:w="1164"/>
        <w:gridCol w:w="211"/>
        <w:gridCol w:w="1025"/>
        <w:gridCol w:w="109"/>
        <w:gridCol w:w="109"/>
        <w:gridCol w:w="109"/>
        <w:gridCol w:w="109"/>
        <w:gridCol w:w="237"/>
        <w:gridCol w:w="949"/>
        <w:gridCol w:w="109"/>
        <w:gridCol w:w="109"/>
        <w:gridCol w:w="109"/>
        <w:gridCol w:w="109"/>
        <w:gridCol w:w="211"/>
        <w:gridCol w:w="1025"/>
        <w:gridCol w:w="109"/>
        <w:gridCol w:w="109"/>
        <w:gridCol w:w="109"/>
        <w:gridCol w:w="109"/>
        <w:gridCol w:w="211"/>
        <w:gridCol w:w="1025"/>
        <w:gridCol w:w="157"/>
      </w:tblGrid>
      <w:tr>
        <w:trPr/>
        <w:tc>
          <w:tcPr>
            <w:tcW w:w="154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(1,034,851)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(539,432)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(2,063,195)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(905,603)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redeemable convertible preferred stock (related party)</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(564,748)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common stockholders, basic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(1,259,276)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(739,255)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(2,393,582)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(1,470,351)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on 2026 Notes</w:t>
            </w:r>
          </w:p>
        </w:tc>
        <w:tc>
          <w:tcPr>
            <w:tcW w:w="12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4,283 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extinguishment of debt</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(116,360)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 attributable to common stockholders, diluted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(1,259,276)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(855,306)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(2,393,582)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(1,582,428)</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basic</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382,098,609 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305,640,483 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355,340,787 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304,641,184 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Dilutive effect of 2026 Notes, using if-converted method</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1,029,624 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diluted</w:t>
            </w:r>
          </w:p>
        </w:tc>
        <w:tc>
          <w:tcPr>
            <w:tcW w:w="12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382,098,609 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305,788,272 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355,340,787 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305,670,808 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 per share:</w:t>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outstanding shares of potentially dilutive securities were excluded from the computation of diluted net loss per share attributable to common stockholders because including them would have had an anti-dilutive effect:</w:t>
      </w:r>
    </w:p>
    <w:tbl>
      <w:tblPr>
        <w:tblW w:w="9787" w:type="dxa"/>
        <w:jc w:val="left"/>
        <w:tblInd w:w="0" w:type="dxa"/>
        <w:tblLayout w:type="fixed"/>
        <w:tblCellMar>
          <w:top w:w="28" w:type="dxa"/>
          <w:left w:w="28" w:type="dxa"/>
          <w:bottom w:w="28" w:type="dxa"/>
          <w:right w:w="28" w:type="dxa"/>
        </w:tblCellMar>
      </w:tblPr>
      <w:tblGrid>
        <w:gridCol w:w="2428"/>
        <w:gridCol w:w="2138"/>
        <w:gridCol w:w="2153"/>
        <w:gridCol w:w="592"/>
        <w:gridCol w:w="594"/>
        <w:gridCol w:w="156"/>
        <w:gridCol w:w="109"/>
        <w:gridCol w:w="109"/>
        <w:gridCol w:w="109"/>
        <w:gridCol w:w="592"/>
        <w:gridCol w:w="594"/>
        <w:gridCol w:w="213"/>
      </w:tblGrid>
      <w:tr>
        <w:trPr/>
        <w:tc>
          <w:tcPr>
            <w:tcW w:w="2428"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Excluded Securities</w:t>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Warrants to purchase common stock</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4,435,000 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4,435,000 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outstanding to purchase common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1,617,550 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2,207,319 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outstanding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15,486,506 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8,640,651 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5,407,704 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2,296,613 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If-converted common shares from 2026 Notes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1,752,521 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If-converted common shares from 2030 Notes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36,666,630 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36,666,663 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If-converted common shares from 2031 Notes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46,846,313 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If-converted common shares from Series A redeemable convertible preferred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34,006,758 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31,110,856 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If-converted common shares from Series B redeemable convertible preferred stock</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20,239,798 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18,516,244 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If-converted common shares from Series C redeemable convertible preferred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51,651,489 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216,730,698 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105,625,867 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Capped Call Transactions were also excluded from the computation of diluted net loss per share as they would be anti-dilutive. As of June 30, 2026, 1,000,000 shares of common stock equivalents related to stock options were excluded from the anti-dilutive table above. In addition, 951,429 and 828,090 shares of common stock equivalents related to RSUs were excluded from the anti-dilutive table above as of June 30, 2026 and 2025, respectively. The underlying shares associated with these stock options and RSUs remain contingently issuable because the applicable market or corporate performance vesting conditions had not been satisfied as of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14 - EMPLOYEE BENEFIT PLAN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employer-matching contribution. The matching contribution expense under the Company’s 401(k) Plan was not material for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15 - 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February 2022, the Company entered into a lease agreement with KAEC, a related party of the PIF, which is an affiliate of Ayar, for its first international manufacturing plant in Saudi Arabia. The lease has an initial term of 25 years expiring in 2047. The right-of-use asset related to this lease was $3.8 million and $4.0 million as of June 30, 2026 and December 31, 2025, respectively. The lease liability was $6.7 million and $6.5 million as of June 30, 2026 and December 31, 2025, respectively. The right-of-use asset and lease liability were recorded in right-of-use assets and other long-term liabilities in the condensed consolidated balance sheets, respectively. The lease expense recorded for the three and six months ended June 30, 2026 and 2025 was immaterial.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July 2023, the Company entered into a lease agreement with King Abdullah Financial District Development and Management Company, a subsidiary of the PIF, which is an affiliate of Ayar, for its corporate office in Saudi Arabia. The lease has an initial term of six years expiring in 2029. The right-of-use asset related to this lease was $1.5 million and $1.7 million as of June 30, 2026 and December 31, 2025, respectively. The lease liability was $2.5 million and $2.4 million as of June 30, 2026 and December 31, 2025, respectively. The right-of-use asset and lease liability were recorded in right-of-use assets and primarily in other long-term liabilities in the condensed consolidated balance sheets, respectively. The lease expense recorded for the three and six months ended June 30, 2026 and 2025 was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SIDF Loan Agreement</w:t>
      </w:r>
    </w:p>
    <w:p>
      <w:pPr>
        <w:pStyle w:val="TextBody"/>
        <w:bidi w:val="0"/>
        <w:spacing w:lineRule="auto" w:line="288" w:before="240" w:after="283"/>
        <w:jc w:val="left"/>
        <w:rPr/>
      </w:pPr>
      <w:r>
        <w:rPr>
          <w:rFonts w:ascii="Times New Roman;serif" w:hAnsi="Times New Roman;serif"/>
          <w:b w:val="false"/>
          <w:color w:val="000000"/>
          <w:sz w:val="20"/>
        </w:rPr>
        <w:t>In February 2022, Lucid LLC entered into the SIDF Loan Agreement with the SIDF, a related party of the PIF, which is an affiliate of Ayar. Under the SIDF Loan Agreement, SIDF has committed to provide the SIDF Loans to Lucid LLC in an aggregate principal amount of up to SAR 5.19 billion (approximately $1.4 billion); provided that SIDF may reduce the availability of SIDF Loans under the facility in certain circumstances.</w:t>
      </w:r>
      <w:r>
        <w:rPr>
          <w:color w:val="242424"/>
          <w:shd w:fill="FFFFFF" w:val="clear"/>
        </w:rPr>
        <w:t xml:space="preserve"> </w:t>
      </w:r>
      <w:r>
        <w:rPr>
          <w:rFonts w:ascii="Times New Roman;serif" w:hAnsi="Times New Roman;serif"/>
          <w:b w:val="false"/>
          <w:color w:val="000000"/>
          <w:sz w:val="20"/>
        </w:rPr>
        <w:t>See Note 6 “Debt”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MISA Agreements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February 2022, Lucid LLC entered into agreements with MISA, a related party of the PIF, which is an affiliate of Ayar, pursuant to which MISA has agreed to provide economic support for certain capital expenditures in connection with Lucid LLC’s ongoing design and construction of AMP-2. The support by MISA is subject to Lucid LLC’s completion of certain milestones related to the construction and operation of AMP-2. Following the commencement of construction, if operations at the plant do not commence within 30 months, or if the agreed scope of operations is not attained within 55 months, MISA may suspend availability of subsequent support.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agreements, MISA has the right to require Lucid LLC to transfer the ownership of AMP-2 to MISA, at the fair market value thereof, reduced by an amortized value of the support provided in the event of customary events of default including abandonment or material and chronically low utilization of AMP-2. Alternatively, Lucid LLC is entitled to avoid the transfer of the ownership of AMP-2 by electing to pay such amortized value. The agreements will terminate on the fifteenth anniversary of the commencement of CBU operations at AMP-2 at the latest.</w:t>
      </w:r>
    </w:p>
    <w:p>
      <w:pPr>
        <w:pStyle w:val="TextBody"/>
        <w:bidi w:val="0"/>
        <w:spacing w:lineRule="auto" w:line="288" w:before="240" w:after="283"/>
        <w:jc w:val="left"/>
        <w:rPr/>
      </w:pPr>
      <w:r>
        <w:rPr>
          <w:rFonts w:ascii="Times New Roman;serif" w:hAnsi="Times New Roman;serif"/>
          <w:b w:val="false"/>
          <w:color w:val="000000"/>
          <w:sz w:val="20"/>
        </w:rPr>
        <w:t>During the year ended December 31, 2023, the Company received support of SAR 366 million (approximately $97.5 million) in cash. As of December 31, 2024, the Company recorded $97.5 million as a deduction in calculating the carrying amount of the related assets in the consolidated balance sheet. During the year ended December 31, 2025 and three and six months ended June 30, 2026, there were no further</w:t>
      </w:r>
      <w:r>
        <w:rPr>
          <w:color w:val="B6B6B6"/>
        </w:rPr>
        <w:t xml:space="preserve"> </w:t>
      </w:r>
      <w:r>
        <w:rPr>
          <w:rFonts w:ascii="Times New Roman;serif" w:hAnsi="Times New Roman;serif"/>
          <w:b w:val="false"/>
          <w:color w:val="000000"/>
          <w:sz w:val="20"/>
        </w:rPr>
        <w:t xml:space="preserve">deductions to the carrying value of the related assets in the condensed consolidated balance sheets. There were no unfulfilled conditions and contingencies attached to the payments received.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GIB Facility Agreement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April 2022, Lucid LLC entered into revolving credit facilities with GIB in an aggregate principal amount of SAR 1.0 billion (approximately $266.1 million). In February 2025, Lucid LLC entered into the 2025 GIB Credit Facility to increase the credit facility aggregate principal to SAR 1.9 billion (approximately $505.7 million). See Note 6 “Debt”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Construction Service Contract </w:t>
      </w:r>
    </w:p>
    <w:p>
      <w:pPr>
        <w:pStyle w:val="TextBody"/>
        <w:bidi w:val="0"/>
        <w:spacing w:lineRule="auto" w:line="288" w:before="240" w:after="283"/>
        <w:jc w:val="left"/>
        <w:rPr/>
      </w:pPr>
      <w:r>
        <w:rPr>
          <w:rFonts w:ascii="Times New Roman;serif" w:hAnsi="Times New Roman;serif"/>
          <w:b w:val="false"/>
          <w:color w:val="000000"/>
          <w:sz w:val="20"/>
        </w:rPr>
        <w:t xml:space="preserve">Lucid LLC entered into agreements with Al Bawani Company Limited (“Al Bawani”), an </w:t>
      </w:r>
      <w:r>
        <w:rPr>
          <w:rFonts w:ascii="Times New Roman;serif" w:hAnsi="Times New Roman;serif"/>
          <w:b w:val="false"/>
          <w:color w:val="000000"/>
          <w:sz w:val="20"/>
          <w:shd w:fill="FFFFFF" w:val="clear"/>
        </w:rPr>
        <w:t xml:space="preserve">affiliate of the </w:t>
      </w:r>
      <w:r>
        <w:rPr>
          <w:rFonts w:ascii="Times New Roman;serif" w:hAnsi="Times New Roman;serif"/>
          <w:b w:val="false"/>
          <w:color w:val="000000"/>
          <w:sz w:val="20"/>
        </w:rPr>
        <w:t>PIF, which is an affiliate of Ayar, for certain design and construction services in connection with the development of AMP-2. The capital expenditures incurred to date under these agreements were SAR 2,563.6 million (approximately $682.4 million) and SAR 2,147.8 million (approximately $572.7 million) as of June 30, 2026 and December 31, 2025, respectively. Amounts due to Al Bawani under these agreements was SAR 280.8 million (approximately $74.8 million) and SAR 306.0 million (approximately $81.6 million) as of June 30, 2026 and December 31, 2025, respectively, which was primarily recorded within other current liabilities in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Subscription Agreements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March 2024, the Company entered into the Series A Subscription Agreement with Ayar, pursuant to which Ayar agreed to purchase from the Company 100,000 shares of its Series A Redeemable Convertible Preferred Stock for an aggregate purchase price of $1.0 billion in a private placement. Subsequently, in March 2024, the Company issued the shares to Ayar pursuant to the Series A Subscription Agreement and received aggregate net proceeds of $997.6 million after deducting issuance cost of $2.4 million. In August 2024, the Company entered into the Series B Subscription Agreement with Ayar, pursuant to which Ayar agreed to purchase from the Company 75,000 shares of its Series B Redeemable Convertible Preferred Stock for an aggregate purchase price of $750.0 million in a private placement. Subsequently, in August 2024, the Company issued the shares to Ayar pursuant to the Series B Subscription Agreement and received aggregate net proceeds of $749.4 million after deducting issuance costs of $0.6 million. On April 14, 2026, the Company entered into the Series C Subscription Agreement with Ayar, pursuant to which Ayar agreed to purchase from the Company 55,000 shares of its Series C Redeemable Convertible Preferred Stock for an aggregate purchase price of $550.0 million in a private placement. Subsequently, on April 28, 2026, the Company issued the shares to Ayar pursuant to the Series C Subscription Agreement and received aggregate net proceeds of $548.9 million after deducting issuance costs of $1.1 million. See Note 7 “Redeemable Convertible Preferred Stock” for more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2024, the Company entered into the 2024 Subscription Agreement, pursuant to which Ayar agreed to purchase from the Company 37,471,793 shares of common stock in a private placement. In addition, Ayar agreed to purchase an additional 2,147,045 shares of common stock. As of October 31, 2024, the Company consummated the private placement of shares to Ayar pursuant to the 2024 Subscription Agreement, at a price per share of $25.91, for aggregate net proceeds of $1,025.7 million after deducting issuance costs of $0.8 million.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Common stock acquired by Ayar under the 2024 Subscription Agreement, the Redeemable Convertible Preferred Stock acquired by Ayar under the Series A Subscription Agreement, the Series B Subscription Agreement and the Series C Subscription Agreement, and the common stock issuable upon conversion thereof are subject to the Investor Rights Agreement, which governs the registration for resale of such common stock and the Redeemable Convertible Preferred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Human Resources Development Fund (“HRDF”) Joint Cooperation Agreements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March 2023 and July 2025, Lucid LLC entered into joint cooperation agreements with HRDF, a related party of the PIF, which is an affiliate of Ayar. Pursuant to the agreements, Lucid LLC will train and develop local personnel in Saudi Arabia, and HRDF agreed to reimburse the Company training related costs in aggregate maximum amounts of SAR 29.3 million (approximately $7.8 million) and SAR 24.7 million (approximately $6.6 million), respectively.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received payments of SAR 10.9 million (approximately $2.9 million) in cash during the years ended December 31, 2025 and 2024. Payments received during the three and six months ended June 30, 2026 were immaterial. The deferred liability was nil as of June 30, 2026 and December 31, 2025, and the Company recorded the remaining deferred liability balance as a deduction to operating expenses in the condensed consolidated statement of operations and comprehensive loss. The deduction recorded to operating expenses in the condensed consolidated statement of operations and comprehensive loss was not material for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EV Purchase Agreement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2023, Lucid LLC entered into the EV Purchase Agreement with the Government of Saudi Arabia, a related party of the PIF, which is an affiliate of Ayar, as represented by the Ministry of Finance. The EV Purchase Agreement supersedes the letter of undertaking that Lucid LLC entered into in April 2022. Pursuant to the terms of the EV Purchase Agreement, the Government of Saudi Arabia and its entities and corporate subsidiaries and other beneficiaries (collectively, the “Purchaser”) may purchase up to 100,000 vehicles, with a minimum purchase quantity of 50,000 vehicles and an option to purchase up to an additional 50,000 vehicles during a ten-year period. Under the EV Purchase Agreement, the Purchaser may reduce the minimum vehicle purchase quantity by the number of vehicles set out in any purchase order not accepted by us or by the number of any vehicles that Lucid LLC fails to deliver within six months from the date of the applicable purchase order. The Purchaser also has sole and absolute discretion to decide whether to exercise the option to purchase the additional 50,000 vehicles.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recognized net vehicle sales amount of SAR 361.5 million (approximately $96.2 million) and SAR 505.5 million (approximately $134.6 million) during the three and six months ended June 30, 2026, respectively, and SAR 113.5 million (approximately $30.2 million) and SAR 132.6 million (approximately $35.3 million) during the same periods in the prior year, respectively. The deferred revenue from the vehicle sales was primarily related to OTA and was recorded within other current liabilities and other long-term liabilities in the condensed consolidated balance sheets. As of June 30, 2026 and December 31, 2025, the deferred revenue balance was not material. The Company recorded amounts due from the Purchaser of SAR 700.9 million (approximately $186.6 million) and SAR 452.1 million (approximately $120.5 million) in accounts receivable, net in the condensed consolidated balance sheets as of June 30, 2026 and December 31, 2025, respectively. See “Vehicle Sales” section under Note 2 “Summary of Significant Accounting Policies” for the revenue recognition policies.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Implementation Agreement with Aston Martin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June 2023, the Company entered into an agreement (the “Implementation Agreement”) with Aston Martin, a related party of the PIF, which is an affiliate of Ayar, under which the Company and Aston Martin have established a long-term strategic technology and supply arrangement. On November 6, 2023, pursuant to the terms of the Implementation Agreement, integration and supply arrangements became effective, under which the Company will provide Aston Martin access to its powertrain, battery system, and software technologies, work with Aston Martin to integrate its powertrain and battery components with Aston Martin’s battery EV chassis, and supply powertrain and battery components to Aston Martin (collectively, the “Strategic Technology Arrangement”). In connection with the commencement of the Strategic Technology Arrangement, the Company received technology access fees in 28,352,273 ordinary shares of Aston Martin and the first cash installment of $33.0 million. These shares were initially measured at a fair value of $73.2 million. As of June 30, 2026 and December 31, 2025, the Company remeasured the shares and recorded fair values of $14.2 million and $24.3 million within long-term investments in the condensed consolidated balance sheets, respectively. The Company will receive the remaining cash payments of $99 million phased over a period of three years. Aston Martin has also committed to an effective minimum spend with the Company on powertrain components of $225 million. In connection with the Strategic Technology Arrangement, the Company will also receive an aggregate of $10 million for integration service fees phased over a period of three years, of which the Company received $5.8 million from inception through June 30, 2026. As of June 30, 2026 and December 31, 2025, the Company recorded accounts receivable of $2.8 million. The Company accounts for technology access, integration service, and supply arrangement as a single performance obligation and recognizes revenue related to technology access and integration service based on estimated units of delivery under the supply arrangement. As of June 30, 2026 and December 31, 2025, the Company recorded $114.8 million as deferred revenue within other long-term liabilities in the condensed consolidated balance sheets,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DDTL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August 2024, the Company entered into a $750.0 million five year DDTL Credit Facility with Ayar, which may be used for working capital and general corporate purposes. In November 2025, the Company increased the aggregate principal amount of the DDTL Credit Facility from $750.0 million to $1.98 billion.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April 2026, the Company borrowed $500.0 million under the DDTL Credit Facility. In April 2026, the Company also entered into the DDTL Amendment, pursuant to which the aggregate undrawn delayed commitments under the DDTL Credit Facility were increased by $500.0 million, such that, after giving effect to such increase, the aggregate sum of outstanding delayed draw term loans and aggregate undrawn commitments was increased to approximately $2.48 billion. In July 2026, the Company borrowed another $800.0 million under the DDTL Credit Facility. See Note 6 “Debt” and Note 17 “Subsequent Events”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Time Deposit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purchases time deposits with GIB from time-to-time. GIB is a related party of the PIF, which is an affiliate of Ayar. As of June 30, 2026 and December 31, 2025, the Company recorded time deposit balance of nil and $50.0 million within short-term investments in the condensed consolidated balance sheets, respectively. See Note 5 “Fair Value Measurements and Financial Instruments”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Ayar Prepaid Forward Transactions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pricing of the 2030 Notes, Ayar entered into a privately negotiated prepaid forward transaction with the Forward Counterparty, pursuant to which Ayar will purchase approximately $430.0 million of the Company’s common stock with delivery expected to occur on or about the maturity date for the 2030 Notes, subject to the ability of the Forward Counterparty to elect to settle all or a portion of the prepaid forward transaction early. The periodic fee incurred associated with the prepaid forward transaction was not material for the three and six months ended June 30, 2026. See Note 6 “Debt” for more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pricing of the 2031 Notes, Ayar entered into a privately negotiated prepaid forward transaction with the Forward Counterparty, pursuant to which Ayar will purchase approximately $636.7 million of the Company’s common stock with delivery expected to occur on or about the maturity date for the 2031 Notes, subject to the ability of the Forward Counterparty to elect to settle all or a portion of the prepaid forward transaction early. The periodic fee incurred associated with the prepaid forward transaction was not material for the three and six months ended June 30, 2026. See Note 6 “Debt”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Uber Agreements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Uber is a related party of the Company. Uber, through its subsidiary SMB, owned approximately 9.6% of the Company’s outstanding common stock as of June 30, 2026. In addition, the Chairman of the Company’s Board of Directors serves on Uber’s Board of Directors, and the Company’s Board of Directors appointed Uber’s Chief Product Officer as a director in June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July 2025, the Company entered into the First VPA with Uber and the 2025 Subscription Agreement with SMB, a subsidiary of Uber. Under the First VPA, Uber and its designated fleet operators have agreed to purchase a minimum commitment of Lucid Gravity Plus vehicles. Under the 2025 Subscription Agreement, the Company agreed to issue and SMB agreed to purchase, in a private placement, the Company’s common stock equal to (i) $300.0 million in cash divided by (ii) an amount equal to the arithmetic average of the daily volume-weighted average price of the common stock over a period of 30 consecutive trading days ending on, and including, July 15, 2025. The Company consummated the private placement of shares to SMB and issued 13,715,121 shares at a price per share of $21.87, for aggregate net proceeds of $299.7 million.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April 2026, the Company entered into the Second VPA with Uber and the 2026 Subscription Agreement with SMB. Under the Second VPA, Uber and its designated fleet operators have agreed to purchase a minimum commitment of Lucid Midsize Plus vehicles. Under the 2026 Subscription Agreement, the Company agreed to issue and SMB agreed to purchase, in a private placement, $200 million of its common stock. The Company also consummated the private placement of shares to SMB and issued 24,038,462 shares at a price per share of $8.32, for aggregate net proceeds of $199.8 million. See Note 8 – Stockholders’ Equity for more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no material amounts due from or due to Uber or SMB related to these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16 – SEGMENT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operates in one reportable segment, as the CODM reviews financial information presented on a consolidated basis for purposes of making operating decisions, allocating resources, and evaluating financial performance. The Company’s CODM is its Chief Executive Officer. The Company derives segment revenue primarily from the sale of EVs to customers, and the Company’s reported measure of the segment’s profit or loss is the consolidated net loss reported in the condensed consolidated statements of operations and comprehensive loss. The CODM uses the consolidated net loss for monitoring actual results to assess the Company’s financial performance. The Company’s CODM does not evaluate its reportable segment using asset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disaggregation of the Company’s revenue by geographic area based on the sales location where the sales originated was as follows (in thousands):</w:t>
      </w:r>
    </w:p>
    <w:tbl>
      <w:tblPr>
        <w:tblW w:w="7275" w:type="dxa"/>
        <w:jc w:val="left"/>
        <w:tblInd w:w="0" w:type="dxa"/>
        <w:tblLayout w:type="fixed"/>
        <w:tblCellMar>
          <w:top w:w="28" w:type="dxa"/>
          <w:left w:w="28" w:type="dxa"/>
          <w:bottom w:w="28" w:type="dxa"/>
          <w:right w:w="28" w:type="dxa"/>
        </w:tblCellMar>
      </w:tblPr>
      <w:tblGrid>
        <w:gridCol w:w="602"/>
        <w:gridCol w:w="530"/>
        <w:gridCol w:w="53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North America</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441,267 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Middle East</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687,812 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494,480 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U.S. revenue was $284.4 million and $509.7 million for the three and six months ended June 30, 2026, respectively, and $212.7 million and $431.1 million for the same periods in the prior year, respectively.</w:t>
      </w:r>
    </w:p>
    <w:p>
      <w:pPr>
        <w:pStyle w:val="TextBody"/>
        <w:bidi w:val="0"/>
        <w:spacing w:lineRule="auto" w:line="288" w:before="0" w:after="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Kingdom of Saudi Arabia revenue was $98.2 million and $140.2 million for the three and six months ended June 30, 2026, respectively, and $35.9 million and $43.4 million for the same periods in the prior year,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included information about reported segment revenue, segment profit or loss, and significant segment expenses (in thousands): </w:t>
      </w:r>
    </w:p>
    <w:tbl>
      <w:tblPr>
        <w:tblW w:w="10205" w:type="dxa"/>
        <w:jc w:val="left"/>
        <w:tblInd w:w="0" w:type="dxa"/>
        <w:tblLayout w:type="fixed"/>
        <w:tblCellMar>
          <w:top w:w="28" w:type="dxa"/>
          <w:left w:w="28" w:type="dxa"/>
          <w:bottom w:w="28" w:type="dxa"/>
          <w:right w:w="28" w:type="dxa"/>
        </w:tblCellMar>
      </w:tblPr>
      <w:tblGrid>
        <w:gridCol w:w="1664"/>
        <w:gridCol w:w="1245"/>
        <w:gridCol w:w="1260"/>
        <w:gridCol w:w="211"/>
        <w:gridCol w:w="1007"/>
        <w:gridCol w:w="109"/>
        <w:gridCol w:w="109"/>
        <w:gridCol w:w="109"/>
        <w:gridCol w:w="109"/>
        <w:gridCol w:w="211"/>
        <w:gridCol w:w="857"/>
        <w:gridCol w:w="109"/>
        <w:gridCol w:w="109"/>
        <w:gridCol w:w="109"/>
        <w:gridCol w:w="109"/>
        <w:gridCol w:w="211"/>
        <w:gridCol w:w="1007"/>
        <w:gridCol w:w="109"/>
        <w:gridCol w:w="109"/>
        <w:gridCol w:w="109"/>
        <w:gridCol w:w="109"/>
        <w:gridCol w:w="211"/>
        <w:gridCol w:w="857"/>
        <w:gridCol w:w="156"/>
      </w:tblGrid>
      <w:tr>
        <w:trPr/>
        <w:tc>
          <w:tcPr>
            <w:tcW w:w="1664"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494,480 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Less: </w:t>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 - excluding LCNRV and provision for warranty</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(631,756)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 LCNRV</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(537,559)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 - provision for warranty</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(525,085)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(469,032)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Workforce reduction charges</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common stock warrant liability</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equity securities</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liabilities and subscription agreements associated with redeemable convertible preferred stock (related party)</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393,175 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extinguishment of debt</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(35,632)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(provision for) income taxes</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net loss</w:t>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(1,034,851)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(539,432)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(2,063,195)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(905,603)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(1,034,851)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(539,432)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(2,063,195)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(905,603)</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expenses were $122.2 million and $238.6 million for the three and six months ended June 30, 2026, respectively, and $111.1 million and $209.0 million for the same periods in the prior year, respectively.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long-lived assets by geographic area were as follows (in thousands): </w:t>
      </w:r>
    </w:p>
    <w:tbl>
      <w:tblPr>
        <w:tblW w:w="4929" w:type="dxa"/>
        <w:jc w:val="left"/>
        <w:tblInd w:w="0" w:type="dxa"/>
        <w:tblLayout w:type="fixed"/>
        <w:tblCellMar>
          <w:top w:w="28" w:type="dxa"/>
          <w:left w:w="28" w:type="dxa"/>
          <w:bottom w:w="28" w:type="dxa"/>
          <w:right w:w="28" w:type="dxa"/>
        </w:tblCellMar>
      </w:tblPr>
      <w:tblGrid>
        <w:gridCol w:w="713"/>
        <w:gridCol w:w="624"/>
        <w:gridCol w:w="628"/>
        <w:gridCol w:w="211"/>
        <w:gridCol w:w="976"/>
        <w:gridCol w:w="109"/>
        <w:gridCol w:w="109"/>
        <w:gridCol w:w="109"/>
        <w:gridCol w:w="109"/>
        <w:gridCol w:w="211"/>
        <w:gridCol w:w="976"/>
        <w:gridCol w:w="154"/>
      </w:tblGrid>
      <w:tr>
        <w:trPr/>
        <w:tc>
          <w:tcPr>
            <w:tcW w:w="71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3,487,142 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Foreign</w:t>
            </w:r>
            <w:r>
              <w:rPr>
                <w:rFonts w:ascii="Times New Roman;serif" w:hAnsi="Times New Roman;serif"/>
                <w:b w:val="false"/>
                <w:color w:val="000000"/>
                <w:sz w:val="10"/>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732,964 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long-lived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4,471,860 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4,220,106 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Kingdom of Saudi Arabia long-lived assets balance was $899.1 million</w:t>
      </w:r>
      <w:r>
        <w:rPr>
          <w:color w:val="000000"/>
        </w:rPr>
        <w:t xml:space="preserve"> </w:t>
      </w:r>
      <w:r>
        <w:rPr>
          <w:rFonts w:ascii="Times New Roman;serif" w:hAnsi="Times New Roman;serif"/>
          <w:b w:val="false"/>
          <w:color w:val="000000"/>
          <w:sz w:val="16"/>
        </w:rPr>
        <w:t>and</w:t>
      </w:r>
      <w:r>
        <w:rPr>
          <w:color w:val="000000"/>
        </w:rPr>
        <w:t xml:space="preserve"> </w:t>
      </w:r>
      <w:r>
        <w:rPr>
          <w:rFonts w:ascii="Times New Roman;serif" w:hAnsi="Times New Roman;serif"/>
          <w:b w:val="false"/>
          <w:color w:val="000000"/>
          <w:sz w:val="16"/>
        </w:rPr>
        <w:t xml:space="preserve">$658.6 million as of June 30, 2026 and December 31, 2025. No other individual foreign country had more than 10% of the total long-lived assets balance as of June 30, 2026 and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17 – SUBSEQUENT EVENTS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preparation of the condensed consolidated financial statements for the three and six months ended June 30, 2026, the Company evaluated subsequent events and concluded there were no subsequent events that required recognition in the condensed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DDTL Credit Facility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July 2026, the Company borrowed an additional $800.0 million under the DDTL Credit Facility. After giving effect to this borrowing, approximately $1.18 billion remains undrawn under the DDTL Credit Facility.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CFO Transition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July 2026, the Board appointed Alexander De Bock as the Company’s incoming Chief Financial Officer. Mr. De Bock will join the Company as its Chief Financial Officer, effective August 5, 2026. Taoufiq Boussaid, the Company’s current Chief Financial Officer, will take on an advisory role for a period of time to help ensure a smooth transition.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Management’s Discussion and Analysis of Financial Condition and Results of Operations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condensed consolidated financial statements and related notes included elsewhere in this Quarterly Report and our Annual Report on Form 10-K for the year ended December 31, 2025, filed with the SEC on February 24, 2026. This discussion may contain forward-looking statements based upon Lucid’s current expectations, estimates and projections that involve risks and uncertainties. Our actual results could differ materially from those anticipated in these forward-looking statements as a result of various factors, including those set forth under “Risk Factors”, in Part II, Item 1A of this Quarterly Report.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Unless otherwise noted, the share, per share, and related information in this Quarterly Report has been retrospectively adjusted to reflect the Reverse Stock Split.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are a technology company that is shaping the future of mobility through our innovations, advanced technology, and software-defined vehicle platforms. Our award-winning Lucid Air and Lucid Gravity set new standards with their unmatched combination of performance, range, space, and efficiency. Our focus on in-house hardware and software innovation, vertical integration, and a “clean sheet” approach to engineering and design led to the development of the award-winning Lucid Air and Lucid Gravity, and our upcoming Midsize platform.</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sell vehicles directly to consumers through our retail sales network and online channels, including Lucid Financial Services, in North America and the Middle East. We believe that owning and operating our sales network provides the best opportunity to closely manage the customer experience, gather direct feedback, and ensure that every interaction is tailored to customer needs. We are also actively exploring, and have adopted in certain international markets, alternative importer and agency models to enhance flexibility, preserve capital, and optimize our distribution strategy in response to evolving market dynamics. We also own and operate a vehicle service network comprised of service centers in major metropolitan areas and a fleet of mobile service vehicles. In addition to our in-house capabilities, we continue to grow an approved list of specially trained collision repair shops, which in some cases serve as repair hubs for mobile service.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Workforce Reduction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June 2026, we announced the June 2026 Plan that was designed to advance our path toward profitability and positive cash flow generation by streamlining our organizational structure, optimizing operating expenses, and aligning production plans with anticipated demand. We expect to substantially complete the June 2026 Plan by the end of the third quarter of 2026, subject to local law and consultation requirements. As a result of the June 2026 Plan, we expect to incur total workforce reduction charges of approximately $34 million, primarily related to severance payments, employee benefits, and employee transition. We expect the Plan to provide us with an annualized cost savings of approximately $158 million.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Cash Flow Improvement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identified approximately $1.4 billion in cash flow improvements for 2026. These opportunities span inventory, capital expenditures, and operating expenses, and together are intended to improve liquidity, reduce cash burn, and increase capital efficiency while preserving key growth programs, including our Midsize platform and autonomous commercialization initiatives. As part of such efforts, we have reduced our production volume to better align production plans with anticipated demand to improve working capital. Furthermore, we have in the past reduced the size of our workforce, and recently implemented workforce reduction plans and other actions relating to contractors in the first half of 2026, including the elimination of the second shift of production at our AMP-1 factory.</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Midsize Platform</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quarter, we continued to make steady progress toward the start of production of our Midsize platform. The next major phases of the program include additional prototype and quality-launch builds, completion of regulatory and homologation activities, expanded manufacturing validation, and preparation for the start and ramp of production. We will provide additional updates as milestones are achieved and we continue to expect to ramp up Midsize production in the second half of 2027.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Executive Leadership Changes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Effective as of June 1, 2026, Mr. Silvio Napoli has been appointed as our Chief Executive Officer and principal executive officer. Mr. Marc Winterhoff resumed his previous role of our Chief Operating Officer effective as of the same day, and subsequently departed our company following the elimination of the Chief Operating Officer position in June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July 2, 2026, the Board appointed Alexander De Bock as our incoming Chief Financial Officer. Mr. De Bock will join the Company as its Chief Financial Officer, effective August 5, 2026. Taoufiq Boussaid, the Company’s current Chief Financial Officer, will take on an advisory role for a period of time to help ensure a smooth transition. On July 2, 2026, we also announced several additional organizational and leadership changes.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DDTL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July 2026, we borrowed an additional $800.0 million under the DDTL Credit Facility. After giving effect to this borrowing, approximately $1.18 billion remains undrawn under the DDTL Credit Facility.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Potential Impact of Adverse Economic Conditions and Trade Policy Uncertainties on our Business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global economic recession, downturn or other adverse economic conditions, whether due to changes or uncertainties in trade policies, the imposition or proposed imposition of tariffs, export controls, threat of a trade war, persistent inflation, political instability, global or regional conflicts or other geopolitical events, public health crises, interest rate increases or other central bank policy actions, bank closures and liquidity concerns at financial institutions, or other factors, have in the past and may in the future have an adverse impact on our business, prospects, financial condition and results of operations. If any of our suppliers, sub-suppliers or partners experience financial distress, insolvency or disruptions in operations, they may be unable to fulfill their obligations or meet our production and quality requirements. Adverse economic conditions and uncertainty about the current and future domestic or global economic conditions may also cause our customers to defer purchases or cancel their orders in response to higher interest rates, limited consumer credit availability, lower cash reserves, fluctuations in foreign currency exchange rates, and weakened consumer confidence. A reduction in demand for our products may result in a decline in product sales, with a corresponding material adverse impact on our business, prospects, financial condition and results of operations. Given our premium brand positioning and pricing, an economic recession or downturn is likely to have a disproportionate adverse effect on us compared to our competitors in the EV and traditional automotive sectors, to the extent that consumer demand for luxury goods declines in favor of more cost-conscious alternatives. In addition, adverse economic conditions and uncertainties surrounding trade policies, tariffs and export controls could also cause supply chain and logistical challenges and operational risks. In particular, the U.S. federal government enacted the law commonly referred to as the OBBBA, which eliminates, limits or phases out certain tax credits that had previously provided significant benefits to lessees and purchasers of EVs and adds new eligibility requirements on manufacturers to continue claiming tax credits on EV components. It also eliminates certain penalties for noncompliance with certain fuel efficiency standards and introduces certain key tax law modifications.</w:t>
      </w:r>
    </w:p>
    <w:p>
      <w:pPr>
        <w:pStyle w:val="TextBody"/>
        <w:bidi w:val="0"/>
        <w:spacing w:lineRule="auto" w:line="288" w:before="240" w:after="283"/>
        <w:jc w:val="left"/>
        <w:rPr/>
      </w:pPr>
      <w:r>
        <w:rPr>
          <w:rFonts w:ascii="Times New Roman;serif" w:hAnsi="Times New Roman;serif"/>
          <w:b w:val="false"/>
          <w:color w:val="000000"/>
          <w:sz w:val="20"/>
        </w:rPr>
        <w:t xml:space="preserve">Taken together, adverse economic conditions and uncertainties surrounding trade policies, tariffs and export controls, coupled with supply chain challenges and the potential difficulty of passing costs to consumers or sharing the burden with suppliers, could reduce demand for our products and have a material adverse effect on our business, prospects, results of operations and financial condition. In addition, the deterioration of conditions in the financial markets may limit our ability to obtain external financing to fund our operations and capital expenditures for business growth on terms favorable to us, if at all. See “Risk Factors” in Part II, Item 1A of this Quarterly Report for more information regarding risks associated with a global economic downturn or recession, changes or uncertainties in trade policies, or the imposition or proposed imposition of tariffs, including under the captions </w:t>
      </w:r>
      <w:r>
        <w:rPr>
          <w:color w:val="000000"/>
        </w:rPr>
        <w:t>“</w:t>
      </w:r>
      <w:r>
        <w:rPr>
          <w:rFonts w:ascii="Times New Roman;serif" w:hAnsi="Times New Roman;serif"/>
          <w:b w:val="false"/>
          <w:i/>
          <w:color w:val="000000"/>
          <w:sz w:val="20"/>
        </w:rPr>
        <w:t xml:space="preserve">A global economic recession, downturn or other adverse economic conditions may have a material adverse impact on our business, prospects, results of operations and financial condition.” and “Changes in U.S. trade policy, including the imposition of or uncertainties surrounding tariffs or revocation of normal trade relations and the resulting consequences, could adversely affect our business, prospects, results of operations and financial condition.”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Key Factors Affecting Our Performance</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believe that our future success and financial performance depend on a number of factors that present significant opportunities for our business, but also pose risks and challenges, including those discussed below and in the section entitled “Risk Factors” in Part II, Item 1A of this Quarterly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i/>
          <w:color w:val="000000"/>
          <w:sz w:val="20"/>
        </w:rPr>
        <w:t>Design and Technology Leadership</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believe that we are positioned to be a leader in the EV market by unlocking the potential for advanced, high-performance, and long-range EVs to co-exist. We designed the Lucid Air and the Lucid Gravity with race-proven battery and powertrain technologies, offering robust performance together with a sleek exterior design and expansive interior space due to our miniaturized key drivetrain components. The Lucid Gravity is a groundbreaking new class of SUV, conceived from the ground up. Enabled by our revolutionary technology, the Lucid Gravity provides the interior space and practicality of a full-size SUV within the exterior footprint of a mid-size SUV. As a result, it provides a sophisticated space for up to seven adults, game-changing versatility, and an unparalleled driving experience.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Lucid Air and the Lucid Gravity are software-defined vehicles, designed to improve over time, with OTA software updates and key hardware already in place in the vehicle. This holistic systems approach to the integration of hardware and software is what allows us to provide these continuous OTA updates.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designed the Lucid Gravity to share components with the Lucid Air where possible. These measures enable efficiency in design, engineering, and capital expenditure deployment for the Lucid Gravity. We anticipate continued consumer demand for our vehicles based on their luxurious design, high-performance technology, sustainability leadership, and the acceptance of EVs as substitutes for gasoline-fueled vehicles. We also anticipate that these attributes will drive customer demand for our future models, including our upcoming Midsize platform.</w:t>
      </w:r>
    </w:p>
    <w:p>
      <w:pPr>
        <w:pStyle w:val="TextBody"/>
        <w:bidi w:val="0"/>
        <w:spacing w:lineRule="auto" w:line="288" w:before="240" w:after="283"/>
        <w:jc w:val="left"/>
        <w:rPr/>
      </w:pPr>
      <w:r>
        <w:rPr>
          <w:rFonts w:ascii="Times New Roman;serif" w:hAnsi="Times New Roman;serif"/>
          <w:b/>
          <w:i/>
          <w:color w:val="000000"/>
          <w:sz w:val="20"/>
        </w:rPr>
        <w:t>Distribution Models</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a direct-to-consumer sales and service model in North America, which we believe allows us to offer a personalized experience for our customers based on their purchase and ownership preferences. We expect to continue to incur significant expenses in our sales, service and marketing operations for sales of our current vehicles and any future vehicle programs, including the upcoming Midsize platform, that we may offer over the coming decade, including to open additional studios, expand our sales force, grow marketing and brand awareness, and establish a robust service center operation. As of June 30, 2026, we have opened 62 studios and service centers (excluding temporary and satellite service centers): 39 in the U.S. (14 in California, four in New York, three in Florida, two in each of Arizona, Illinois, Massachusetts, New Jersey, Texas, Virginia and Washington, and one in each of Colorado, Georgia, Michigan and Pennsylvania), seven in Germany, five in Canada, four in Saudi Arabia, three in Switzerland, two in Norway, one in the Netherlands, and one in the United Arab Emirates. We also plan to hire additional sales, customer service, and service center personnel. We believe that investing in our direct-to-consumer sales and service model will be critical to delivering and servicing the Lucid EVs we currently manufacture and sell.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we expand globally, our strategy includes establishing third-party distribution partnerships through proven business models such as importer, dealer, agent, and authorized repairer relationships. Introducing these channels is expected to enable growth in these markets while optimizing the capital required to build a comprehensive sales and service network. All third-party partnerships are expected to be governed by robust agreements, standards, and guidelines to ensure compliance and maintain the Lucid customer experience throughout the entire journey.</w:t>
      </w:r>
    </w:p>
    <w:p>
      <w:pPr>
        <w:pStyle w:val="TextBody"/>
        <w:bidi w:val="0"/>
        <w:spacing w:lineRule="auto" w:line="288" w:before="240" w:after="283"/>
        <w:jc w:val="left"/>
        <w:rPr/>
      </w:pPr>
      <w:r>
        <w:rPr>
          <w:rFonts w:ascii="Times New Roman;serif" w:hAnsi="Times New Roman;serif"/>
          <w:b/>
          <w:i/>
          <w:color w:val="000000"/>
          <w:sz w:val="20"/>
        </w:rPr>
        <w:t>Expanding and Improving Manufacturing Capacity and Processes</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Achieving commercialization and growth for each generation of our EVs requires us to make significant capital expenditures to scale our production capacity and improve our supply chain processes in the U.S. and internationally. We expect our capital expenditures to increase as we continue constructing and putting into operation the CBU portion of AMP-2 and expanding AMP-1. The amount and timing of our future manufacturing capacity requirements, and resulting capital expenditures, will depend on many factors, including the pace and results of our research and development efforts to meet technological development milestones, our ability to develop and launch new EVs, our ability to achieve sales and meet customer demand at anticipated levels, our ability to utilize planned capacity in our existing facilities and our ability to enter new markets.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Technology Innovation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develop in-house battery, powertrain, and software technology, which requires significant capital investment in research and development. The EV market is highly competitive, including both established automotive manufacturers and new entrants. To establish market position and attract customers, we plan to continue making substantial investments in research and development for the commercialization and continued enhancements of our current vehicles where strategically warranted, the development of our Midsize platform, as well as future generations of our EVs and other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i/>
          <w:color w:val="000000"/>
          <w:sz w:val="20"/>
        </w:rPr>
        <w:t>Revenue</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revenue for the periods presented (in thousands):</w:t>
      </w:r>
    </w:p>
    <w:tbl>
      <w:tblPr>
        <w:tblW w:w="11058" w:type="dxa"/>
        <w:jc w:val="left"/>
        <w:tblInd w:w="0" w:type="dxa"/>
        <w:tblLayout w:type="fixed"/>
        <w:tblCellMar>
          <w:top w:w="28" w:type="dxa"/>
          <w:left w:w="28" w:type="dxa"/>
          <w:bottom w:w="28" w:type="dxa"/>
          <w:right w:w="28" w:type="dxa"/>
        </w:tblCellMar>
      </w:tblPr>
      <w:tblGrid>
        <w:gridCol w:w="266"/>
        <w:gridCol w:w="234"/>
        <w:gridCol w:w="236"/>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200"/>
        <w:gridCol w:w="200"/>
        <w:gridCol w:w="471"/>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2"/>
        <w:gridCol w:w="192"/>
        <w:gridCol w:w="532"/>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recognize revenue from vehicle sales when the customer obtains control of the vehicle, which is upon delivery. We also generate revenue from non-warranty after-sale vehicle services and parts, sales of battery pack systems, powertrain kits, retail merchandise, regulatory credits, and sales of non-Lucid vehicles acquired as part of the trade-in program. We generate regulatory credits revenue from the sale of tradable credits we earn under various regulations. This includes credits related to ZEVs and GHG, and CAFE credits.</w:t>
      </w:r>
    </w:p>
    <w:p>
      <w:pPr>
        <w:pStyle w:val="TextBody"/>
        <w:bidi w:val="0"/>
        <w:spacing w:lineRule="auto" w:line="288" w:before="240" w:after="283"/>
        <w:jc w:val="left"/>
        <w:rPr/>
      </w:pPr>
      <w:r>
        <w:rPr>
          <w:rFonts w:ascii="Times New Roman;serif" w:hAnsi="Times New Roman;serif"/>
          <w:b w:val="false"/>
          <w:color w:val="000000"/>
          <w:sz w:val="20"/>
        </w:rPr>
        <w:t>Revenue increased by $145.9 million, or 56% and $193.3 million, or 39% for the three and six months ended June 30, 2026, respectively, as compared to the same periods in the prior year. The increases were primarily driven by higher Lucid vehicle deliveries for the three and six months ended June 30, 2026, as compared to the same periods in the prior year. In addition, our ramp-up of the Lucid Gravity, which has a higher average selling price, resulted in a favorable product mix that further contributed to the increases in revenue. The increase in revenue was partially offset by a decrease of $24.8 million in regulatory credit sales for the six months ended June 30, 2026 as compared to the same period in the prior year. We believe the recent proposal to lower the U.S. federal fuel economy standards and eliminate CAFE EV credit trading may create uncertainties regarding our ability to generate future regulatory credit sales. Please see “</w:t>
      </w:r>
      <w:r>
        <w:rPr>
          <w:rFonts w:ascii="Times New Roman;serif" w:hAnsi="Times New Roman;serif"/>
          <w:b w:val="false"/>
          <w:i/>
          <w:color w:val="000000"/>
          <w:sz w:val="20"/>
        </w:rPr>
        <w:t>Risk Factors — Risks Related to Our Business and Operations — The unavailability, reduction or elimination of certain government and economic programs could have a material adverse effect on our business, prospects, financial condition and results of operations</w:t>
      </w:r>
      <w:r>
        <w:rPr>
          <w:color w:val="000000"/>
        </w:rPr>
        <w:t>”</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Revenue and Gross Profit (Loss)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cost of revenue and gross profit (loss) for the periods presented (in thousands):</w:t>
      </w:r>
    </w:p>
    <w:tbl>
      <w:tblPr>
        <w:tblW w:w="11208" w:type="dxa"/>
        <w:jc w:val="left"/>
        <w:tblInd w:w="0" w:type="dxa"/>
        <w:tblLayout w:type="fixed"/>
        <w:tblCellMar>
          <w:top w:w="28" w:type="dxa"/>
          <w:left w:w="28" w:type="dxa"/>
          <w:bottom w:w="28" w:type="dxa"/>
          <w:right w:w="28" w:type="dxa"/>
        </w:tblCellMar>
      </w:tblPr>
      <w:tblGrid>
        <w:gridCol w:w="245"/>
        <w:gridCol w:w="215"/>
        <w:gridCol w:w="216"/>
        <w:gridCol w:w="196"/>
        <w:gridCol w:w="751"/>
        <w:gridCol w:w="109"/>
        <w:gridCol w:w="109"/>
        <w:gridCol w:w="109"/>
        <w:gridCol w:w="109"/>
        <w:gridCol w:w="196"/>
        <w:gridCol w:w="751"/>
        <w:gridCol w:w="109"/>
        <w:gridCol w:w="109"/>
        <w:gridCol w:w="109"/>
        <w:gridCol w:w="109"/>
        <w:gridCol w:w="196"/>
        <w:gridCol w:w="751"/>
        <w:gridCol w:w="109"/>
        <w:gridCol w:w="109"/>
        <w:gridCol w:w="109"/>
        <w:gridCol w:w="109"/>
        <w:gridCol w:w="200"/>
        <w:gridCol w:w="200"/>
        <w:gridCol w:w="471"/>
        <w:gridCol w:w="109"/>
        <w:gridCol w:w="109"/>
        <w:gridCol w:w="109"/>
        <w:gridCol w:w="196"/>
        <w:gridCol w:w="871"/>
        <w:gridCol w:w="109"/>
        <w:gridCol w:w="109"/>
        <w:gridCol w:w="109"/>
        <w:gridCol w:w="109"/>
        <w:gridCol w:w="196"/>
        <w:gridCol w:w="751"/>
        <w:gridCol w:w="109"/>
        <w:gridCol w:w="109"/>
        <w:gridCol w:w="109"/>
        <w:gridCol w:w="109"/>
        <w:gridCol w:w="196"/>
        <w:gridCol w:w="751"/>
        <w:gridCol w:w="109"/>
        <w:gridCol w:w="109"/>
        <w:gridCol w:w="109"/>
        <w:gridCol w:w="109"/>
        <w:gridCol w:w="192"/>
        <w:gridCol w:w="192"/>
        <w:gridCol w:w="532"/>
      </w:tblGrid>
      <w:tr>
        <w:trPr/>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Gross profit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(426,725)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(154,374)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(500,863)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(237,567)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8280" w:type="dxa"/>
        <w:jc w:val="left"/>
        <w:tblInd w:w="0" w:type="dxa"/>
        <w:tblLayout w:type="fixed"/>
        <w:tblCellMar>
          <w:top w:w="28" w:type="dxa"/>
          <w:left w:w="28" w:type="dxa"/>
          <w:bottom w:w="28" w:type="dxa"/>
          <w:right w:w="28" w:type="dxa"/>
        </w:tblCellMar>
      </w:tblPr>
      <w:tblGrid>
        <w:gridCol w:w="396"/>
        <w:gridCol w:w="348"/>
        <w:gridCol w:w="350"/>
        <w:gridCol w:w="314"/>
        <w:gridCol w:w="316"/>
        <w:gridCol w:w="256"/>
        <w:gridCol w:w="109"/>
        <w:gridCol w:w="109"/>
        <w:gridCol w:w="109"/>
        <w:gridCol w:w="314"/>
        <w:gridCol w:w="316"/>
        <w:gridCol w:w="256"/>
        <w:gridCol w:w="109"/>
        <w:gridCol w:w="109"/>
        <w:gridCol w:w="109"/>
        <w:gridCol w:w="109"/>
        <w:gridCol w:w="109"/>
        <w:gridCol w:w="109"/>
        <w:gridCol w:w="109"/>
        <w:gridCol w:w="109"/>
        <w:gridCol w:w="109"/>
        <w:gridCol w:w="109"/>
        <w:gridCol w:w="109"/>
        <w:gridCol w:w="109"/>
        <w:gridCol w:w="109"/>
        <w:gridCol w:w="109"/>
        <w:gridCol w:w="109"/>
        <w:gridCol w:w="314"/>
        <w:gridCol w:w="316"/>
        <w:gridCol w:w="256"/>
        <w:gridCol w:w="109"/>
        <w:gridCol w:w="109"/>
        <w:gridCol w:w="109"/>
        <w:gridCol w:w="314"/>
        <w:gridCol w:w="316"/>
        <w:gridCol w:w="256"/>
        <w:gridCol w:w="109"/>
        <w:gridCol w:w="109"/>
        <w:gridCol w:w="109"/>
        <w:gridCol w:w="109"/>
        <w:gridCol w:w="109"/>
        <w:gridCol w:w="109"/>
        <w:gridCol w:w="109"/>
        <w:gridCol w:w="109"/>
        <w:gridCol w:w="109"/>
        <w:gridCol w:w="109"/>
        <w:gridCol w:w="109"/>
        <w:gridCol w:w="154"/>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Cost of vehicle sales includes direct parts, materials, shipping and handling costs, allocable overhead costs such as depreciation of manufacturing related equipment and facilities, information technology costs, personnel costs, including wages and stock-based compensation, estimated warranty costs, charges to reduce inventories to their net realizable value, charges for any excess or obsolete inventories, and losses from firm purchase commitments. Cost of vehicle sales also includes depreciation of operating lease vehicles. Manufacturing credits earned are recorded as a reduction to cost of vehicle sales.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Cost of other revenue includes direct parts, material and labor costs, depreciation of tooling costs, shipping and logistic costs. Cost of other revenue also includes costs associated with providing non-warranty after-sales services and costs for retail merchandise.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Cost of revenue increased by $300.3 million, or 56% and $430.9 million, or 43% for the three and six months ended June 30, 2026, as compared to the same periods in the prior year. The increases were primarily due to higher deliveries of Lucid vehicles and higher inventory write-downs associated with inventory optimization actions, partially offset by reduction in losses on firm commitment as a result of lower volume for the three and six months ended June 30, 2026, as compared to the same periods in the prior year. The increases were also partially offset by the IEEPA tariff refund of approximately $9.5 million and $62.5 million recorded during the three and six months ended June 30, 2026, following the U.S. Supreme Court’s February 2026 ruling that certain tariffs imposed under the IEEPA were unlawful. In the near term, we expect our production volume of vehicles to continue to be less than our manufacturing capacity.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recorded write-downs of $299.7 million and $537.6 million for the three and six months ended June 30, 2026, respectively, and $184.7 million and $336.3 million for the same periods in the prior year, respectively, to reduce our inventories to their net realizable values, for any excess or obsolete inventories, and losses from firm purchase commitments. The increases in the write-downs were primarily due to higher inventory balances driven by higher Lucid Gravity mix for the three and six months ended June 30, 2026, as compared to the same periods in the prior year.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August 16, 2022, the Inflation Reduction Act of 2022 (the “IRA”) was enacted with clean energy incentives. The impact of the IRA on our results of operations was not material for the three and six months ended June 30, 2026 and 2025. We will continue to evaluate the expected future impact of the IRA on our business and financial statements upon issuance of additional regulatory guidance.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Gross margin for the three months ended June 30, 2026 remained flat as compared to the same period in the prior year, as higher Lucid vehicle deliveries and a favorable product mix were substantially offset by higher inventory write-down.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Gross margin worsened slightly for the six months ended June 30, 2026, as compared to the same period in the prior year. The decrease in gross margin was primarily driven by higher inventory write-downs, partially offset by the IEEPA tariff refund of approximately $62.5 million and a favorable product mix, during the six months ended June 30, 2026, as compared to the same period in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i/>
          <w:color w:val="000000"/>
          <w:sz w:val="20"/>
        </w:rPr>
        <w:t>Operating Expenses</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operating expenses for the periods presented (in thousands):</w:t>
      </w:r>
    </w:p>
    <w:tbl>
      <w:tblPr>
        <w:tblW w:w="11568" w:type="dxa"/>
        <w:jc w:val="left"/>
        <w:tblInd w:w="0" w:type="dxa"/>
        <w:tblLayout w:type="fixed"/>
        <w:tblCellMar>
          <w:top w:w="28" w:type="dxa"/>
          <w:left w:w="28" w:type="dxa"/>
          <w:bottom w:w="28" w:type="dxa"/>
          <w:right w:w="28" w:type="dxa"/>
        </w:tblCellMar>
      </w:tblPr>
      <w:tblGrid>
        <w:gridCol w:w="460"/>
        <w:gridCol w:w="325"/>
        <w:gridCol w:w="326"/>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200"/>
        <w:gridCol w:w="200"/>
        <w:gridCol w:w="471"/>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2"/>
        <w:gridCol w:w="192"/>
        <w:gridCol w:w="532"/>
      </w:tblGrid>
      <w:tr>
        <w:trPr/>
        <w:tc>
          <w:tcPr>
            <w:tcW w:w="46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Workforce reduction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*nm</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655,443 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530,696 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1,333,223 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994,117 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339,106 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60" w:after="283"/>
        <w:jc w:val="left"/>
        <w:rPr/>
      </w:pPr>
      <w:r>
        <w:rPr>
          <w:rFonts w:ascii="Times New Roman;serif" w:hAnsi="Times New Roman;serif"/>
          <w:b w:val="false"/>
          <w:i/>
          <w:color w:val="000000"/>
          <w:sz w:val="16"/>
        </w:rPr>
        <w:t xml:space="preserve">*nm </w:t>
      </w:r>
      <w:r>
        <w:rPr>
          <w:rFonts w:ascii="Times New Roman;serif" w:hAnsi="Times New Roman;serif"/>
          <w:b w:val="false"/>
          <w:color w:val="000000"/>
          <w:sz w:val="16"/>
        </w:rPr>
        <w:t>- not meaningful</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research and development efforts have primarily focused on the development of our battery and powertrain technology, the Lucid Air, the Lucid Gravity, future generations of our EVs, including our Midsize platform, and our robotaxi program. Research and development expenses primarily consist of materials, supplies, personnel-related expenses for employees involved in the engineering, designing, and testing of EVs, and contractor fees. Personnel-related expenses primarily include salaries, benefits and stock-based compensation. In addition, research and development expenses include prototype material, engineering, design and testing services, and allocated facilities costs, such as office and rent expense and depreciation expense.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 increased by $47.5 million, or 17% for the three months ended June 30, 2026, as compared to the same period in the prior year. The increase was primarily attributable to increases of $41.1 million in engineering, design and testing services, and prototype materials related mostly to the Midsize platform, $8.4 million in payroll related expenses and $3.9 million in facilities and rental related costs, partially offset with $8.6 million in lower stock-based compensation expenses.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 increased by $131.9 million, or 25% for the six months ended June 30, 2026, as compared to the same period in the prior year. The increase was primarily attributable to increases of $84.0 million in engineering, design and testing services, and prototype materials related mostly to the Midsize platform, $36.0 million in payroll related expenses, and $11.1 million in utilization of contractors and professional fees primarily related to an increase in headcount to support our Midsize platform, partially offset by $5.7 million in lower stock-based compensation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val="false"/>
          <w:i/>
          <w:color w:val="000000"/>
          <w:sz w:val="20"/>
        </w:rPr>
        <w:t>Selling, General, and Administrative</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primarily consist of personnel-related expenses for employees involved in general corporate, selling and marketing functions, including executive management and administration, legal, human resources, facilities and real estate, accounting, finance, tax, and information technology. Personnel-related expenses primarily include salaries, benefits and stock-based compensation. Selling, general, and administrative expenses also include allocated facilities costs, such as office, rent and depreciation expenses, professional services fees, sales and marketing expenses and other general corporate expenses. As we continue to grow as a company, build out our sales force, and commercialize the Lucid Air and Lucid Gravity, and future generations of our EVs, including our Midsize platform, we expect an increase to our selling, general and administrative costs.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increased by $43.6 million, or 17% for the three months ended June 30, 2026, as compared to the same period in the prior year. The increase was primarily attributable to increases of $15.5 million in sales and marketing expenses, $14.7 million in utilization of contractors and professional fees, and $8.5 million in other general corporate expense.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increased by $135.6 million, or 29% for the six months ended June 30, 2026, as compared to the same period in the prior year. The increase was primarily attributable to increases of $31.3 million in sales and marketing expenses, $26.3 million in stock-based compensation expenses, primarily driven by a reversal of previously recognized expenses for the former CEO’s unvested time-based RSUs during the six months ended June 30, 2025, $24.3 million in payroll related expenses due to our continued commercialization and growth strategy, $19.4 million in facilities and rental related costs and $17.2 million in utilization of contractors and professional fees.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Workforce Reduction Charges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June 22, 2026, we announced the June 2026 Plan that was designed to advance our path toward profitability and positive cash flow generation by streamlining our organizational structure, optimizing operating expenses, and aligning production plans with anticipated demand. We expect to substantially complete the June 2026 Plan by the end of the third quarter of 2026, subject to local law and consultation requirements. As a result of the June 2026 Plan, we expect to incur total workforce reduction charges of approximately $34 million.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20, 2026, we announced the February 2026 Plan that intended to align with our long-term operating goals as we focus on the start of production of our Midsize platform, expansion into the robotaxi market and development of ADAS technologies, as well as the sale and distribution of our current models in existing and new geographies. We substantially completed the February 2026 Plan in the second quarter of 2026.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we recorded workforce reduction charges of $33.7 million and $71.6 million, respectively, in the condensed consolidated statements of operations and comprehensive loss. The workforce reduction charges are comprised of $33.3 million related to the June 2026 Plan for the three and six months ended June 30, 2026, and $0.4 million and $38.3 million related to the February 2026 Plan for the three and six months ended June 30, 2026, respectively. The workforce reduction charges were primarily related to severance payments, employee benefits, employee transition, and acceleration of stock-based compensation expense. See Note 3 “Workforce Reduction” to our condensed consolidated financial statements included elsewhere in this Quarterly Report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other income, net for the periods presented (in thousands):</w:t>
      </w:r>
    </w:p>
    <w:p>
      <w:pPr>
        <w:pStyle w:val="TextBody"/>
        <w:bidi w:val="0"/>
        <w:spacing w:before="0" w:after="0"/>
        <w:jc w:val="left"/>
        <w:rPr/>
      </w:pPr>
      <w:r>
        <w:rPr/>
      </w:r>
    </w:p>
    <w:tbl>
      <w:tblPr>
        <w:tblW w:w="11371" w:type="dxa"/>
        <w:jc w:val="left"/>
        <w:tblInd w:w="0" w:type="dxa"/>
        <w:tblLayout w:type="fixed"/>
        <w:tblCellMar>
          <w:top w:w="28" w:type="dxa"/>
          <w:left w:w="28" w:type="dxa"/>
          <w:bottom w:w="28" w:type="dxa"/>
          <w:right w:w="28" w:type="dxa"/>
        </w:tblCellMar>
      </w:tblPr>
      <w:tblGrid>
        <w:gridCol w:w="684"/>
        <w:gridCol w:w="258"/>
        <w:gridCol w:w="259"/>
        <w:gridCol w:w="196"/>
        <w:gridCol w:w="646"/>
        <w:gridCol w:w="109"/>
        <w:gridCol w:w="109"/>
        <w:gridCol w:w="109"/>
        <w:gridCol w:w="109"/>
        <w:gridCol w:w="196"/>
        <w:gridCol w:w="736"/>
        <w:gridCol w:w="109"/>
        <w:gridCol w:w="109"/>
        <w:gridCol w:w="109"/>
        <w:gridCol w:w="109"/>
        <w:gridCol w:w="196"/>
        <w:gridCol w:w="751"/>
        <w:gridCol w:w="109"/>
        <w:gridCol w:w="109"/>
        <w:gridCol w:w="109"/>
        <w:gridCol w:w="109"/>
        <w:gridCol w:w="218"/>
        <w:gridCol w:w="218"/>
        <w:gridCol w:w="471"/>
        <w:gridCol w:w="109"/>
        <w:gridCol w:w="109"/>
        <w:gridCol w:w="109"/>
        <w:gridCol w:w="196"/>
        <w:gridCol w:w="556"/>
        <w:gridCol w:w="109"/>
        <w:gridCol w:w="109"/>
        <w:gridCol w:w="109"/>
        <w:gridCol w:w="109"/>
        <w:gridCol w:w="196"/>
        <w:gridCol w:w="736"/>
        <w:gridCol w:w="109"/>
        <w:gridCol w:w="109"/>
        <w:gridCol w:w="109"/>
        <w:gridCol w:w="109"/>
        <w:gridCol w:w="196"/>
        <w:gridCol w:w="751"/>
        <w:gridCol w:w="109"/>
        <w:gridCol w:w="109"/>
        <w:gridCol w:w="109"/>
        <w:gridCol w:w="109"/>
        <w:gridCol w:w="218"/>
        <w:gridCol w:w="218"/>
        <w:gridCol w:w="532"/>
      </w:tblGrid>
      <w:tr>
        <w:trPr/>
        <w:tc>
          <w:tcPr>
            <w:tcW w:w="68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common stock warrant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equity securities of a related party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derivative liabilities and subscription agreements associated with redeemable convertible preferred stock (related party)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extinguishment of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net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261,246 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(212,879)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585,645 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(575,960)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left"/>
        <w:rPr/>
      </w:pPr>
      <w:r>
        <w:rPr>
          <w:rFonts w:ascii="Times New Roman;serif" w:hAnsi="Times New Roman;serif"/>
          <w:b w:val="false"/>
          <w:i/>
          <w:color w:val="000000"/>
          <w:sz w:val="16"/>
        </w:rPr>
        <w:t xml:space="preserve">*nm </w:t>
      </w:r>
      <w:r>
        <w:rPr>
          <w:rFonts w:ascii="Times New Roman;serif" w:hAnsi="Times New Roman;serif"/>
          <w:b w:val="false"/>
          <w:color w:val="000000"/>
          <w:sz w:val="16"/>
        </w:rPr>
        <w:t>-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Change in Fair Value of Common Stock Warrant Liability </w:t>
      </w:r>
    </w:p>
    <w:p>
      <w:pPr>
        <w:pStyle w:val="TextBody"/>
        <w:bidi w:val="0"/>
        <w:spacing w:lineRule="auto" w:line="276" w:before="240" w:after="283"/>
        <w:jc w:val="left"/>
        <w:rPr>
          <w:rFonts w:ascii="Times New Roman;serif" w:hAnsi="Times New Roman;serif"/>
          <w:b w:val="false"/>
          <w:color w:val="231F20"/>
          <w:sz w:val="20"/>
        </w:rPr>
      </w:pPr>
      <w:r>
        <w:rPr>
          <w:rFonts w:ascii="Times New Roman;serif" w:hAnsi="Times New Roman;serif"/>
          <w:b w:val="false"/>
          <w:color w:val="231F20"/>
          <w:sz w:val="20"/>
        </w:rPr>
        <w:t>Our common stock warrant liability relates to the Private Placement Warrants to purchase shares of our common stock that were effectively issued upon the closing in connection with the Merger. Our common stock warrant liability is subject to remeasurement to fair value at each reporting period.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Private Placement Warrants remained unexercised as of June 30, 2026, and the liability was remeasured to a fair value of nil as of June 30, 2026 and December 31, 2025. The changes in fair value were nil during the three and six months ended June 30, 2026, and resulted in unrealized gains of $5.3 million and $18.2 million for the same periods in the prior year, respectively. The change in fair value was classified within change in fair value of common stock warrant liability in the condensed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Change in Fair Value of Equity Securities of a Related Party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November 6, 2023, in connection with the commencement of the Strategic Technology Arrangement with Aston Martin, we received 28,352,273 ordinary shares of Aston Martin. The ordinary shares of Aston Martin are subject to remeasurement to fair value at each reporting period. Such shares were remeasured to fair values of $14.2 million and $24.3 million as of June 30, 2026 and December 31, 2025, respectively. The changes in fair value resulted in an unrealized gain of $0.5 million and an unrealized loss of $9.7 million for the three and six months ended June 30, 2026, respectively, and an unrealized gain of $3.9 million and an unrealized loss of $9.5 million for the same periods in the prior year, respectively, and were classified within change in fair value of equity securities of a related party in the condensed consolidated statements of operations and comprehensive loss. See Note 5 “Fair Value Measurements and Financial Instruments” and Note 15 “Related Party Transactions” to our condensed consolidated financial statements included elsewhere in this Quarterly Report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Change in Fair Value of Derivative Liabilities and Subscription Agreements Associated with Redeemable Convertible Preferred Stock (Related Party)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March 2024, we sold 100,000 shares of our Series A Redeemable Convertible Preferred Stock to Ayar for an aggregate purchase price of $1.0 billion in a private placement. In August 2024, we sold 75,000 shares of our Series B Redeemable Convertible Preferred Stock to Ayar for an aggregate purchase price of $750.0 million in a private placement.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April 14, 2026, we entered into the Series C Subscription Agreement with Ayar. Pursuant to the Series C Subscription Agreement, Ayar agreed to purchase from us 55,000 shares of our Series C Redeemable Convertible Preferred Stock, for an aggregate purchase price of $550.0 million in a private placement. Subsequently, on April 28, 2026, we issued the shares to Ayar pursuant to the Series C Subscription Agreement and received aggregate net proceeds of $548.9 million after deducting issuance costs of $1.1 million. We determined that the Subscription Agreement was required to be accounted for at fair value between the execution date and the settlement date as it represented a contract to sell redeemable stock. As a result, we recognized a gain of $142.2 million reflecting the change in fair value of the contract as measured upon settlement based on the difference between the fair value of the Series C Redeemable Convertible Preferred Stock at issuance versus the cash purchase price negotiated at fair value at contract inception, such that the Series C Redeemable Convertible Preferred Stock is initially recognized at fair value of $292.4 million on the issuance date.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concluded that the conversion features, inclusive of all settlement outcomes where the pay-off is indexed to the if-converted value, meets all the requirements to be separately accounted for as a bifurcated derivative. As a result, we bifurcated the Redeemable Convertible Preferred Stock between (i) the host contracts which are accounted for within mezzanine equity, and (ii) the bifurcated derivative liabilities related to the conversion features. The bifurcated derivatives are remeasured to fair value at each reporting period with changes in fair value recorded in the condensed consolidated statement of operations and comprehensive loss.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derivative liabilities of the Redeemable Convertible Preferred Stock were remeasured to a fair value of $163.7 million and $16.2 million as of June 30, 2026 and December 31, 2025, respectively. We recognized gains of $102.8 million and $110.2 million for the three and six months ended June 30, 2026, respectively, and gains of $111.5 million and $393.2 million for the same periods in the prior year, respectively, primarily driven by changes in our stock price. The gains for the three and six months ended June 30, 2026 includes $142.2 million of gain from Series C Subscription Agreement. The change in fair value are recorded within change in fair value of derivative liabilities and subscription agreements associated with redeemable convertible preferred stock (related party) in the condensed consolidated statements of operations and comprehensive loss. See Note 7 “Redeemable Convertible Preferred Stock” to our condensed consolidated financial statements included elsewhere in this Quarterly Report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Gain on Extinguishment of Debt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April 2025, we repurchased $1,052.5 million aggregate principal amount of the 2026 Notes, using $931.4 million of the net proceeds of the 2030 Notes. The repurchases of the 2026 Notes were accounted for as a debt extinguishment. The difference between the consideration paid to repurchase a portion of the 2026 Notes and the then carrying value of the 2026 Notes resulted in a gain of $116.4 million, and was recorded within gain on extinguishment of debt in the condensed consolidated statement of operations and comprehensive loss during the three and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Interest income decreased by $34.7 million, or 78% for the three months ended June 30, 2026, as compared to the same period in the prior year, primarily due to lower average cash and investment balances and lower interest rates on investments.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Interest income decreased by $73.8 million, or 76% for the six months ended June 30, 2026, as compared to the same period in the prior year, primarily due to lower average cash and investment balances.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primarily consists of contractual interest and amortization of debt discounts and debt issuance costs incurred related to the 2026 Notes, the 2030 Notes, and the 2031 Notes, commitment fees and amortization of deferred issuance costs from the ABL Credit Facility and the DDTL Credit Facility, interest on borrowings from the DDTL Credit Facility, GIB credit facility and on our finance leases, and capitalized interest on construction in progress related to significant capital asset construction.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increased by $24.1 million, or 101% and $53.3 million, or 149% for the three and six months ended June 30, 2026, respectively, as compared to the same periods in the prior year. The increases were primarily due to higher interest expense of $18.1 million and $48.9 million from the issuances of the 2030 Notes and the 2031 Notes in April 2025 and November 2025, respectively, and higher interest expense of $16.1 million and $21.6 million from the GIB credit facility and DDTL Credit Facility resulting from higher average borrowings, partially offset by increases of $7.8 million and $15.9 million in interest capitalized on construction in progress related to significant capital asset construction during the three and six months ended June 30, 2026, respectively, as compared to the same periods in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Other Income (Expense), net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 primarily consists of foreign currency gains and losses, changes in residual value guarantee reserve, and realized gains or losses on the sale of available-for-sale securities. Our foreign currency exchange gains and losses relate to transactions and monetary asset and liability balances denominated in currencies other than the U.S. dollar. We expect our foreign currency gains and losses to continue to fluctuate in the future due to changes in foreign currency exchange rates.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 changed by $20.4 million and $31.2 million for the three and six months ended June 30, 2026, as compared to the same periods in the prior year, primarily due to changes in foreign exchange rates and residual value guarantee reserve. The change for the six months ended June 30, 2026 is also due to realized gains on the sale of available-for-sale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i/>
          <w:color w:val="000000"/>
          <w:sz w:val="20"/>
        </w:rPr>
        <w:t>Provision for (Benefit from) Income Taxes</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provision for (benefit from) income taxes for the periods presented (in thousands):</w:t>
      </w:r>
    </w:p>
    <w:tbl>
      <w:tblPr>
        <w:tblW w:w="10205" w:type="dxa"/>
        <w:jc w:val="left"/>
        <w:tblInd w:w="0" w:type="dxa"/>
        <w:tblLayout w:type="fixed"/>
        <w:tblCellMar>
          <w:top w:w="28" w:type="dxa"/>
          <w:left w:w="28" w:type="dxa"/>
          <w:bottom w:w="28" w:type="dxa"/>
          <w:right w:w="28" w:type="dxa"/>
        </w:tblCellMar>
      </w:tblPr>
      <w:tblGrid>
        <w:gridCol w:w="333"/>
        <w:gridCol w:w="292"/>
        <w:gridCol w:w="293"/>
        <w:gridCol w:w="196"/>
        <w:gridCol w:w="557"/>
        <w:gridCol w:w="109"/>
        <w:gridCol w:w="109"/>
        <w:gridCol w:w="109"/>
        <w:gridCol w:w="109"/>
        <w:gridCol w:w="196"/>
        <w:gridCol w:w="575"/>
        <w:gridCol w:w="109"/>
        <w:gridCol w:w="109"/>
        <w:gridCol w:w="109"/>
        <w:gridCol w:w="109"/>
        <w:gridCol w:w="196"/>
        <w:gridCol w:w="556"/>
        <w:gridCol w:w="109"/>
        <w:gridCol w:w="109"/>
        <w:gridCol w:w="109"/>
        <w:gridCol w:w="109"/>
        <w:gridCol w:w="290"/>
        <w:gridCol w:w="290"/>
        <w:gridCol w:w="291"/>
        <w:gridCol w:w="109"/>
        <w:gridCol w:w="109"/>
        <w:gridCol w:w="109"/>
        <w:gridCol w:w="196"/>
        <w:gridCol w:w="556"/>
        <w:gridCol w:w="109"/>
        <w:gridCol w:w="109"/>
        <w:gridCol w:w="109"/>
        <w:gridCol w:w="109"/>
        <w:gridCol w:w="196"/>
        <w:gridCol w:w="573"/>
        <w:gridCol w:w="109"/>
        <w:gridCol w:w="109"/>
        <w:gridCol w:w="109"/>
        <w:gridCol w:w="109"/>
        <w:gridCol w:w="196"/>
        <w:gridCol w:w="556"/>
        <w:gridCol w:w="109"/>
        <w:gridCol w:w="109"/>
        <w:gridCol w:w="109"/>
        <w:gridCol w:w="109"/>
        <w:gridCol w:w="268"/>
        <w:gridCol w:w="268"/>
        <w:gridCol w:w="388"/>
      </w:tblGrid>
      <w:tr>
        <w:trPr/>
        <w:tc>
          <w:tcPr>
            <w:tcW w:w="33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(benefit from) income taxes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*nm</w:t>
            </w:r>
          </w:p>
        </w:tc>
      </w:tr>
    </w:tbl>
    <w:p>
      <w:pPr>
        <w:pStyle w:val="TextBody"/>
        <w:bidi w:val="0"/>
        <w:spacing w:lineRule="auto" w:line="288" w:before="0" w:after="0"/>
        <w:jc w:val="left"/>
        <w:rPr/>
      </w:pPr>
      <w:r>
        <w:rPr>
          <w:rFonts w:ascii="Times New Roman;serif" w:hAnsi="Times New Roman;serif"/>
          <w:b w:val="false"/>
          <w:i/>
          <w:color w:val="000000"/>
          <w:sz w:val="16"/>
        </w:rPr>
        <w:t xml:space="preserve">*nm </w:t>
      </w:r>
      <w:r>
        <w:rPr>
          <w:rFonts w:ascii="Times New Roman;serif" w:hAnsi="Times New Roman;serif"/>
          <w:b w:val="false"/>
          <w:color w:val="000000"/>
          <w:sz w:val="16"/>
        </w:rPr>
        <w:t>- not meaningful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provision for (benefit from) income taxes consists primarily of U.S., state and foreign income taxes in jurisdictions in which we operate. We maintain a valuation allowance against the full value of our U.S. and state net deferred tax assets because we believe it is more likely than not that the recoverability of these deferred tax assets will not be realized.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July 4, 2025, the OBBBA was signed into law. We elected to fully amortize our previously capitalized domestic research and development expenses. Due to the full valuation allowance on our U.S. deferred tax assets, the net tax impact of the legislation is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color w:val="000000"/>
          <w:sz w:val="20"/>
        </w:rPr>
        <w:t>Liquidity and Capital Resources</w:t>
      </w:r>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we had $775.5 million of cash, cash equivalents, and investments. We also had $1.98 billion, $270.4 million, and $2.3 million of unused available credit amounts from the DDTL Credit Facility, the ABL Credit Facility, and the 2025 GIB Credit Facility, respectively, as of June 30, 2026. Our existing sources of liquidity include cash, cash equivalents, investments, and unused available credit amounts from credit facilities. We funded operations primarily with issuances of common stock, convertible preferred stock, convertible notes, and loans.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expect that our current sources of liquidity together with our projection of cash flows from operating activities will provide us with adequate liquidity for at least the next 12 months, including investment in funding (i) ongoing operations, (ii) research and development projects for new products/ technologies, (iii) further expansion of AMP-1 in Casa Grande, Arizona, (iv) construction of the CBU portion of AMP-2 in Saudi Arabia, (v) vendor tooling, (vi) expansion of retail studios and service centers, and (vii) other initiatives related to the sale of vehicles or technology.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anticipate our cumulative spending on capital expenditures to be approximately $1.0 billion for the fiscal year 2026 to support our continued commercialization and growth objectives as we strategically invest in manufacturing capacity and capabilities, our retail studios and service center capabilities throughout North America and across the globe, development of different products and technologies, and other areas supporting the growth of Lucid’s business. We expect to continue to receive financing and support for certain capital expenditures in connection with AMP-2 construction and purchases of machinery, tooling, and equipment. Refer to Note 6 “Debt”, Note 15 “Related Party Transactions” and Note 17 “Subsequent Events” to the condensed consolidated financial statements included elsewhere in this Quarterly Report for more information. Our future capital expenditures may vary and will depend on many factors including the timing and extent of spending and other growth initiatives. In addition, we expect our operating expenses to increase in order to grow and support the operations of a global technology automotive company targeting volumes in line with Lucid’s aspirations.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our total minimum lease payments are $630.0 million, of which $55.3 million is due in fiscal year 2026. We also have non-cancellable long-term commitments of approximately $2.55 billion, primarily relating to certain inventory component purchases. For details regarding these obligations, refer to Note 10 “Leases” and Note 11 “Commitments and Contingencies” to the condensed consolidated financial statements included elsewhere in this Quarterly Report for more information.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2026 Notes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December 2021, we issued $2,012.5 million of the 2026 Notes. The 2026 Notes accrue interest at a rate of 1.25% per annum, payable semi-annually in arrears on June 15 and December 15 of each year, beginning on June 15, 2022. The 2026 Notes will mature on December 15, 2026, unless earlier repurchased, redeemed or converted. Before the close of business on the business day immediately before September 15, 2026, noteholders will have the right to convert their 2026 Notes only upon the occurrence of certain events. From and after September 15, 2026, noteholders may elect at any time to convert their 2026 Notes until the close of business on the second scheduled trading day immediately before the maturity date. We will settle conversions by paying or delivering, as applicable, cash, shares of our common stock or a combination of cash and shares of our common stock, at our election. The initial conversion rate is 1.8255 shares of common stock per $1,000 principal amount of the 2026 Notes, which represents an initial conversion price of approximately $547.80 per share of common stock. The conversion rate and conversion price will be subject to customary adjustments upon the occurrence of certain events, including a reverse stock split. In addition, if certain corporate events that constitute a make-whole fundamental change (as defined in the indenture) occur, then the conversion rate will, in certain circumstances, be increased for a specified period of time. As of June 30, 2026 and December 31, 2025, we were in compliance with applicable covenants under the indenture governing the 2026 Notes.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In April 2025, contemporaneously with the 2030 Notes offering, we repurchased $1,052.5 million aggregate principal amount of the 2026 Notes, using $931.4 million of the net proceeds of the 2030 Notes. In November 2025, we repurchased $755.7 million aggregate principal amount of the 2026 Notes, using $748.2 million of the net proceeds of the 2031 Notes. Following the redemption, our outstanding principal balance of the 2026 Notes was $204.3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2030 Notes and Capped Call Transactions</w:t>
      </w:r>
    </w:p>
    <w:p>
      <w:pPr>
        <w:pStyle w:val="TextBody"/>
        <w:bidi w:val="0"/>
        <w:spacing w:lineRule="auto" w:line="26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2030 Notes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April 2025, we issued $1,100.0 million of the 2030 Notes. Contemporaneously with the 2030 Notes offering, we entered into privately negotiated transactions with certain holders of the 2026 Notes to repurchase $1,052.5 million aggregate principal amount of the 2026 Notes, using $931.4 million of the net proceeds of the 2030 Notes. The 2030 Notes accrue interest at a rate of 5.00% per annum, payable semi-annually in arrears on April 1 and October 1 of each year, beginning on October 1, 2025. The 2030 Notes will mature on April 1, 2030, unless earlier repurchased, redeemed or converted. Before the close of business on the business day immediately before January 1, 2030, noteholders will have the right to convert their 2030 Notes only upon the occurrence of certain events. From and after January 1, 2030, noteholders may elect at any time to convert their 2030 Notes until the close of business on the second scheduled trading day immediately before the maturity date. We will settle conversions by paying or delivering, as applicable, cash, shares of our common stock or a combination of cash and shares of our common stock, at our election. The initial conversion rate is 33.3333 shares of common stock per $1,000 principal amount of the 2030 Notes, which represents an initial conversion price of approximately $30.00 per share of common stock. The conversion rate and conversion price will be subject to customary adjustments upon the occurrence of certain events, including a reverse stock split. In addition, if certain corporate events that constitute a make-whole fundamental change (as defined in the indenture) occur, then the conversion rate will, in certain circumstances, be increased for a specified period of time. As of June 30, 2026 and December 31, 2025, we were in compliance with applicable covenants under the indenture governing the 2030 Notes.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Capped Call Transactions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2030 Notes offering, we paid $118.3 million to enter into the Capped Call Transactions with certain financial institutions. The Capped Call Transactions cover, subject to anti-dilution adjustments, the number of shares of our common stock initially underlying the 2030 Notes. The Capped Call Transactions have an expiration date of April 1, 2030.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expect the Capped Call Transactions generally would reduce the potential dilution to our common stock upon conversion of the notes and/or offset any cash payments that we could be required to make in excess of the principal amount of any converted notes, as the case may be, in the event that the market price per share of our common stock, as measured under the terms of the Capped Call Transactions, is greater than the strike price of the Capped Call Transactions. The initial strike price of the Capped Call Transactions corresponds to the initial conversion price of the 2030 Notes, or approximately $30.00 per share of our common stock. The initial cap price of the Capped Call Transactions was $48.00 per share of our common stock and is subject to customary anti-dilution adjustments.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2031 Notes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November 2025, we issued $975.0 million of the 2031 Notes. Contemporaneously with the 2031 Notes offering, we entered into privately negotiated transactions with certain holders of the 2026 Notes to repurchase $755.7 million aggregate principal amount of the 2026 Notes, using $748.2 million of the net proceeds of the 2031 Notes. The 2031 Notes accrue interest at a rate of 7.00% per annum, payable semi-annually in arrears on May 1 and November 1 of each year, beginning on May 1, 2026. The 2031 Notes will mature on November 1, 2031, unless earlier repurchased, redeemed or converted. The holders may require us to repurchase the 2031 Notes on November 1, 2029. Before the close of business on the business day immediately before August 1, 2031, noteholders will have the right to convert their 2031 Notes only upon the occurrence of certain events. From and after August 1, 2031, noteholders may elect at any time to convert their 2031 Notes until the close of business on the second scheduled trading day immediately before the maturity date. We will settle conversions by paying or delivering, as applicable, cash, shares of our common stock or a combination of cash and shares of our common stock, at our election. The initial conversion rate is 48.0475 shares of common stock per $1,000 principal amount of the 2031 Notes, which represents an initial conversion price of approximately $20.81 per share of common stock. The conversion rate and conversion price will be subject to customary adjustments upon the occurrence of certain events, including a reverse stock split. In addition, if certain corporate events that constitute a make-whole fundamental change (as defined in the indenture) occur, then the conversion rate will, in certain circumstances, be increased for a specified period of time. As of June 30, 2026 and December 31, 2025, we were in compliance with applicable covenants under the indenture governing the 2031 Notes.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International Manufacturing Expansion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February 27, 2022, we announced the selection of KAEC in Saudi Arabia as the location of our first international manufacturing plant and signed related agreements with the MISA, the SIDF, and the Economic City at KAEC. We started the AMP-2 operations with re-assembly of the Lucid Air vehicle “kits” pre-manufactured in the U.S. and we expect to commence production of complete vehicles in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SIDF Loan Agreement</w:t>
      </w:r>
    </w:p>
    <w:p>
      <w:pPr>
        <w:pStyle w:val="TextBody"/>
        <w:bidi w:val="0"/>
        <w:spacing w:lineRule="auto" w:line="288" w:before="240" w:after="283"/>
        <w:jc w:val="left"/>
        <w:rPr/>
      </w:pPr>
      <w:r>
        <w:rPr>
          <w:rFonts w:ascii="Times New Roman;serif" w:hAnsi="Times New Roman;serif"/>
          <w:b w:val="false"/>
          <w:color w:val="000000"/>
          <w:sz w:val="20"/>
        </w:rPr>
        <w:t>On February 27, 2022, Lucid LLC entered into the SIDF Loan Agreement with SIDF, a related party of the PIF, which is an affiliate of Ayar. Under the SIDF Loan Agreement, SIDF has committed to provide SIDF Loans to Lucid LLC in an aggregate principal amount of up to SAR 5.19 billion (approximately $1.4 billion); provided that SIDF may reduce the availability of SIDF Loans under the facility in certain circumstances. SIDF Loans will be subject to repayment in semi-annual installments in amounts ranging from SAR 25 million (approximately</w:t>
      </w:r>
      <w:r>
        <w:rPr>
          <w:color w:val="929292"/>
        </w:rPr>
        <w:t xml:space="preserve"> </w:t>
      </w:r>
      <w:r>
        <w:rPr>
          <w:rFonts w:ascii="Times New Roman;serif" w:hAnsi="Times New Roman;serif"/>
          <w:b w:val="false"/>
          <w:color w:val="000000"/>
          <w:sz w:val="20"/>
        </w:rPr>
        <w:t>$6.7 million) to SAR 350 million (approximately $93.2 million). SIDF Loans are financing and will be used to finance certain costs in connection with the development and construction of AMP-2. Lucid LLC may repay SIDF Loans earlier than the maturity date without penalty. Obligations under the SIDF Loan Agreement do not extend to us or any of our other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SIDF Loans will not bear interest. Instead, Lucid LLC will be required to pay SIDF service fees, consisting of follow-up and technical evaluation fees, ranging, in aggregate, from SAR 415 million (approximately $110.5 million) to SAR 1.77 billion (approximately $471.1 million), over the term of the SIDF Loans. SIDF Loans will be secured by security interests in the equipment, machines and assets funded thereby.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SIDF Loan Agreement contains certain restrictive financial covenants and imposes annual caps on Lucid LLC’s payment of dividends, distributions of paid-in capital, or certain capital expenditures. The SIDF Loan Agreement also defines customary events of default, including abandonment of or failure to commence operations at the plant in KAEC, and drawdowns under the SIDF Loan Agreement are subject to certain conditions precedent. As of June 30, 2026 and December 31, 2025, no amount was outstanding under the SIDF Loan Agreement.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MISA Agreements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2022, Lucid LLC entered into agreements with MISA, a related party of the PIF, which is an affiliate of Ayar, pursuant to which MISA has agreed to provide economic support for certain capital expenditures in connection with Lucid LLC’s ongoing design and construction of AMP-2. The support by MISA is subject to Lucid LLC’s completion of certain milestones related to the construction and operation of AMP-2. Following the commencement of construction, if operations at the plant do not commence within 30 months, or if the agreed scope of operations is not attained within 55 months, MISA may suspend availability of subsequent support.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agreements, MISA has the right to require Lucid LLC to transfer the ownership of AMP-2 to MISA, at the fair market value thereof, reduced by an amortized value of the support provided in the event of customary events of default including abandonment or material and chronically low utilization of AMP-2. Alternatively, Lucid LLC is entitled to avoid the transfer of the ownership of AMP-2 by electing to pay such amortized value. The agreements will terminate on the fifteenth anniversary of the commencement of CBU operations at AMP-2 at the latest.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2023, we received support of SAR 366 million (approximately $97.5 million) in cash. As of December 31, 2024, we recorded $97.5 million as a deduction in calculating the carrying amount of the related assets in the consolidated balance sheet. During the year ended December 31, 2025 and three and six months ended June 30, 2026, there were no further deductions to the carrying value of the related assets in the condensed consolidated balance sheets. There were no unfulfilled conditions and contingencies attached to the payments received. </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GIB Facility Agreement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April 29, 2022, Lucid LLC entered into the GIB Facility Agreement with GIB, maturing on February 28, 2025. GIB is a related party of the PIF, which is an affiliate of Ayar. The GIB Facility Agreement provided for two committed revolving credit facilities in an aggregate principal amount of SAR 1.0 billion (approximately $266.1 million). On March 12, 2023, Lucid LLC entered into the 2023 Amended GIB Facility Agreement to combine the two committed revolving credit facilities into a committed SAR 1.0 billion (approximately $266.1 million) 2023 GIB Credit Facility which may be used for general corporate purposes. Loans under the 2023 Amended GIB Facility Agreement had a maturity of no more than 12 months and bore interest at a rate of 1.40% per annum over SAIBOR (based on the term of borrowing) and associated fees. Under the 2023 Amended GIB Facility Agreement, we were required to pay a quarterly commitment fee of 0.15% per annum based on the unutilized portion of the 2023 GIB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February 24, 2025, Lucid LLC entered into the 2025 GIB Credit Facility maturing on February 24, 2028 to increase the credit facility committed amount from SAR 1.0 billion (approximately $266.1 million) to SAR 1.9 billion (approximately $505.7 million). Loans under the 2025 GIB Credit Facility may be used for general corporate purposes, have a maturity of no more than 12 months, and bear interest at a rate of 1.40% per annum over SAIBOR (based on the term of borrowing) and associated fees. We are required to pay a quarterly commitment fee of 0.25% per annum based on the unutilized portion of the 2025 GIB Credit Facility. Commitments under the 2025 GIB Credit Facility will terminate, and all amounts then outstanding thereunder would become payable, on the maturity date of the 2025 GIB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2025 GIB Credit Facility contains certain conditions precedent to drawdowns, representations and warranties and covenants of Lucid LLC and events of default.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we had outstanding borrowings of SAR 1,890.0 million (approximately $503.1 million) and SAR 1,755.0 million (approximately $468.0 million), respectively. The outstanding borrowings were recorded within current portion of debt in the condensed consolidated balance sheets. The weighted average interest rate on the outstanding borrowings was 6.18% and 6.44% as of June 30, 2026 and December 31, 2025, respectively. As of June 30, 2026 and December 31, 2025, availability under the GIB credit facility was SAR 8.7 million (approximately $2.3 million) and SAR 143.5 million (approximately $38.3 million), respectively, after giving effect to the outstanding letters of credit. As of June 30, 2026 and December 31, 2025, we were in compliance with applicable covenants under the GIB credit facility.</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ABL Credit Facility</w:t>
      </w:r>
    </w:p>
    <w:p>
      <w:pPr>
        <w:pStyle w:val="TextBody"/>
        <w:bidi w:val="0"/>
        <w:spacing w:lineRule="auto" w:line="288" w:before="240" w:after="283"/>
        <w:jc w:val="left"/>
        <w:rPr/>
      </w:pPr>
      <w:r>
        <w:rPr>
          <w:rFonts w:ascii="Times New Roman;serif" w:hAnsi="Times New Roman;serif"/>
          <w:b w:val="false"/>
          <w:color w:val="000000"/>
          <w:sz w:val="20"/>
        </w:rPr>
        <w:t xml:space="preserve">In June 2022, we entered into the ABL Credit Facility with a syndicate of banks that may be used for working capital and general corporate purposes. The ABL Credit Facility provides for an initial aggregate principal commitment amount of up to $1.0 billion (including a $350.0 million letter of credit subfacility and a $100.0 million swingline loan subfacility) and has a stated maturity date of June 9, 2027. Borrowings under the ABL Credit Facility bear interest at the applicable interest rates specified in the credit agreement governing the ABL Credit Facility. </w:t>
      </w:r>
      <w:r>
        <w:rPr>
          <w:rFonts w:ascii="Times New Roman;serif" w:hAnsi="Times New Roman;serif"/>
          <w:b w:val="false"/>
          <w:color w:val="242424"/>
          <w:sz w:val="20"/>
        </w:rPr>
        <w:t>In June 2024, we amended the ABL Credit Facility to update the Canadian reference rate.</w:t>
      </w:r>
      <w:r>
        <w:rPr>
          <w:color w:val="000000"/>
        </w:rPr>
        <w:t xml:space="preserve"> </w:t>
      </w:r>
      <w:r>
        <w:rPr>
          <w:rFonts w:ascii="Times New Roman;serif" w:hAnsi="Times New Roman;serif"/>
          <w:b w:val="false"/>
          <w:color w:val="000000"/>
          <w:sz w:val="20"/>
        </w:rPr>
        <w:t xml:space="preserve">Availability under the ABL Credit Facility is subject to the value of eligible assets in the borrowing base and is reduced by outstanding loan borrowings and issuances of letters of credit which bear customary letter of credit fees. Subject to certain terms and conditions, we may request one or more increases in the amount of credit commitments under the ABL Credit Facility in an aggregate amount up to the sum of $500.0 million plus certain other amounts. We are required to pay a quarterly commitment fee of 0.25% per annum based on the unutilized portion of the ABL Credit Facility.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ABL Credit Facility contains customary covenants that limit our ability and the ability of our restricted subsidiaries to, among other activities, pay dividends, incur debt, create liens and encumbrances, redeem or repurchase stock, dispose of certain assets, consummate acquisitions or other investments, prepay certain debt, engage in transactions with affiliates, engage in sale and leaseback transactions or consummate mergers and other fundamental changes. The ABL Credit Facility also includes a minimum liquidity covenant which, at our option following satisfaction of certain pre-conditions, may be replaced with a springing, minimum fixed charge coverage ratio financial covenant, in each case on terms set forth in the credit agreement governing the ABL Credit Facility. As of June 30, 2026 and December 31, 2025, we were in compliance with applicable covenants under the ABL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we had no outstanding borrowings under the ABL Credit Facility. Outstanding letters of credit under the ABL Credit Facility were $136.2 million and $104.1 million as of June 30, 2026 and December 31, 2025, respectively. Availability under the ABL Credit Facility was $413.3 million (including $142.9 million cash and cash equivalents) and $596.0 million (including $199.2 million cash and cash equivalents) as of June 30, 2026 and December 31, 2025, respectively, after giving effect to the borrowing base and the outstanding letters of credit.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DDTL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August 2024, we entered into the DDTL Credit Facility with Ayar that may be used for working capital and general corporate purposes. The DDTL Credit Facility provides for a delayed draw term loan credit facility in an aggregate principal amount of $750.0 million and has a stated maturity date of August 4, 2029. Borrowings under the DDTL Credit Facility bear interest at the applicable interest rates specified in the credit agreement governing the DDTL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2025, we increased the aggregate principal amount of the DDTL Credit Facility from $750.0 million to $1.98 billion. In April 2026, we borrowed $500.0 million under the DDTL Credit Facility. In April 2026, we also entered into the DDTL Amendment, pursuant to which the aggregate undrawn delayed commitments under the DDTL Credit Facility were increased by $500.0 million, such that, after giving effect to such increase, the aggregate sum of outstanding delayed draw term loans and aggregate undrawn commitments was increased to approximately $2.48 billion. In July 2026, we borrowed an additional $800.0 million under the DDTL Credit Facility. We are required to pay a quarterly undrawn fee of 0.50% per annum based on the unutilized portion of the DDTL Credit Facility.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DDTL Credit Facility contains customary covenants that limit our ability and the ability of our restricted subsidiaries to, among other activities, pay dividends, incur debt, create liens and encumbrances, redeem or repurchase stock, dispose of certain assets, consummate acquisitions or other investments, prepay certain debt, engage in sale and leaseback transactions or consummate mergers and other fundamental changes. The DDTL Credit Facility also included a minimum liquidity covenant, which was eliminated under the DDTL Amendment. The DDTL Amendment also removed the requirement that we fully utilize the borrowing availability under the ABL Credit Facility prior to making borrowings under the DDTL Credit Facility. As of June 30, 2026 and December 31, 2025, we were in compliance with applicable covenants under the DDTL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we had outstanding borrowings of $500.0 million and nil, respectively, under the DDTL Credit Facility. The outstanding borrowings were recorded within debt, net of current portion in the condensed consolidated balance sheet. The interest rate on the outstanding borrowings was 9.54% as of June 30, 2026. As of June 30, 2026 and December 31, 2025, availability under the DDTL Credit Facility was $1.98 billion.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Subscription Agreements and Underwriting Agreements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March 2024, we issued 100,000 shares of our Series A Redeemable Convertible Preferred Stock to Ayar pursuant to the Series A Subscription Agreement and received aggregate net proceeds of $997.6 million after deducting issuance costs. In August 2024, we issued 75,000 shares of our Series B Redeemable Convertible Preferred Stock to Ayar pursuant to the Series B Subscription Agreement and received aggregate net proceeds of $749.4 million after deducting issuance costs. In April 2026, we also issued 55,000 shares of our Series C Redeemable Convertible Preferred Stock to Ayar pursuant to the Series C Subscription Agreement and received aggregate net proceeds of $548.9 million after deducting issuance costs. See Note 7 “Redeemable Convertible Preferred Stock” to the condensed consolidated financial statements included elsewhere in this Quarterly Report, for more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2024, we completed the public offering pursuant to the 2024 Underwriting Agreement and received net proceeds of $718.4 million and also consummated the private placement of shares to Ayar pursuant to the 2024 Subscription Agreement for net proceeds of $1,025.7 million after deducting issuance costs. See Note 15 “Related Party Transactions” to the condensed consolidated financial statements included elsewhere in this Quarterly Report, for more information. In April 2026, we also completed the public offering pursuant to the 2026 Underwriting Agreement for aggregate net proceeds of $291.5 million. See Note 8 “Stockholder’s Equity” to the condensed consolidated financial statements included elsewhere in this Quarterly Report, for more information.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2025, we consummated the private placement of shares to SMB pursuant to the 2025 Subscription Agreement for aggregate net proceeds of $299.7 million after deducting issuance costs. In April 2026, we also consummated the private placement of shares to SMB pursuant to the 2026 Subscription Agreement for aggregate net proceeds of $199.8 million after deducting issuance costs. See Note 8 “Stockholders’ Equity” to the condensed consolidated financial statements included elsewhere in this Quarterly Report, for more information.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generated significant losses from our operations as reflected in our accumulated deficit of $17.7 billion and $15.6 billion as of June 30, 2026 and December 31, 2025, respectively. Additionally, we have generated significant negative cash flows from operations and investing activities as we continue to support the growth of our business.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expenditures associated with the development and commercial launch of our vehicles, the anticipated increase in manufacturing capacity, and the international expansion of our business operations are subject to significant risks and uncertainties, many of which are beyond our control, and therefore, may affect the timing and magnitude of these anticipated expenditures. These risk and uncertainties are described in more detail in the section entitled “Risk Factors” in Part II, Item 1A of this Quarterly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presented (in thousands):</w:t>
      </w:r>
    </w:p>
    <w:tbl>
      <w:tblPr>
        <w:tblW w:w="8483" w:type="dxa"/>
        <w:jc w:val="left"/>
        <w:tblInd w:w="0" w:type="dxa"/>
        <w:tblLayout w:type="fixed"/>
        <w:tblCellMar>
          <w:top w:w="28" w:type="dxa"/>
          <w:left w:w="28" w:type="dxa"/>
          <w:bottom w:w="28" w:type="dxa"/>
          <w:right w:w="28" w:type="dxa"/>
        </w:tblCellMar>
      </w:tblPr>
      <w:tblGrid>
        <w:gridCol w:w="2030"/>
        <w:gridCol w:w="1787"/>
        <w:gridCol w:w="1792"/>
        <w:gridCol w:w="196"/>
        <w:gridCol w:w="946"/>
        <w:gridCol w:w="109"/>
        <w:gridCol w:w="109"/>
        <w:gridCol w:w="109"/>
        <w:gridCol w:w="109"/>
        <w:gridCol w:w="196"/>
        <w:gridCol w:w="946"/>
        <w:gridCol w:w="154"/>
      </w:tblGrid>
      <w:tr>
        <w:trPr/>
        <w:tc>
          <w:tcPr>
            <w:tcW w:w="2030"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(2,407,890)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(1,258,854)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investing activities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1,308,024 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financing activities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1,581,096 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(233,947)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Cash Used in Operating Activities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cash flows used in operating activities to date have been primarily comprised of cash outlays to support overall growth of the business, especially the costs related to inventory and sale of our vehicles, costs related to research and development, payroll and other general and administrative activities. As we continue to ramp up after starting commercial operations, we expect our cash used in operating activities to increase before it starts to generate any material cash flows from our business.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operating activities increased by $1,149.0 million to $2,407.9 million during the six months ended June 30, 2026, as compared to the same period in the prior year. The increase was primarily due to increases in net operating assets and liabilities of $688.4 million and net loss excluding non-cash expenses and gains of $460.6 million during the six months ended June 30, 2026, as compared to the same period in the prior year. The increase in net operating assets and liabilities was primarily attributable to higher inventory purchases driven by the Lucid Gravity production ramp-up.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Cash Provided by Investing Activities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cash flows provided by investing activities primarily relate to proceeds from sales and maturities of investments, net of purchases of investments and capital expenditures to support our growth.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decreased by $715.2 million to $592.8 million during the six months ended June 30, 2026, as compared to the same period in the prior year. The decrease was primarily attributable to lower volume of investment sales and maturities compared to investment purchases during the six months ended June 30, 2026, as compared to the same period in the prior year.</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Cash Provided by Financing Activities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have financed our operations primarily from the issuances of equity and equity-linked securities and debt financings, the private placements to Ayar and SMB, convertible preferred stock, the proceeds of the Merger, the 2026 Notes, the 2030 Notes, and the 2031 Notes.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increased by $1,439.4 million to $1,581.1 million during the six months ended June 30, 2026, as compared to the same period in the prior year. We received net proceeds of $549.3 million from the issuance of Series C Redeemable Convertible Preferred Stock, $500.0 million from borrowings from the DDTL Credit Facility, $291.9 million from issuance of common stock under 2026 Underwriting Agreement and $200.0 million from issuance of common stock under 2026 Subscription Agreement during the six months ended June 30, 2026. We received net proceeds of $1.1 billion from the issuance of the 2030 Notes and repurchased a portion of the 2026 Notes using $931.4 million during the six months ended June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Recently Issued Accounting Pronouncements Not Yet Adopted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Disaggregation of Income Statement Expenses, which requires disclosure of specified information about certain costs and expenses (such as purchases of inventory, employee compensation, depreciation, and amortization) within the relevant expense captions presented on the face of the statements of operations and comprehensive loss. The guidance is effective for annual reporting periods beginning after December 15, 2026, and interim reporting periods within annual reporting periods beginning after December 15, 2027. Early adoption is permitted, and should be applied either prospectively or retrospectively. We are evaluating the impact of this amendment to the related financial statement disclosures.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 – Goodwill and Other – Internal-Use Software (Subtopic 350-40): Targeted Improvements to the Accounting for Internal-Use Software. The ASU removed references to prescriptive and sequential software development stages. The ASU requires us to start capitalizing eligible software costs when management has authorized and committed to funding the software project, and it is probable that the project will be completed and the software will be used to perform the function intended. The ASU does not change the types of costs eligible for capitalization. The guidance is effective for annual reporting periods beginning after December 15, 2027, and interim reporting periods within those annual reporting periods. Early adoption is permitted and may be applied using a prospective, retrospective or modified transition approach. We are evaluating the impact of this amendment to the financial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2025-10, Government Grants (Topic 832): Accounting for Government Grants Received by Business Entities. The ASU requires us to recognize a government grant when it is probable that we will comply with the conditions attached to the grant and the grant will be received, and we meet the recognition guidance for a grant related to an asset or a grant related to income. The ASU requires a grant related to an asset to be recognized as we incur the related costs for which the grant is intended to compensate, either as deferred income or as an adjustment to the cost basis in determining the carrying amount of the asset. The ASU also requires a grant related to income and a grant related to an asset for which the deferred income approach is elected to be recognized in earnings on a systematic and rational basis. When we elect the cost accumulation approach for a grant related to an asset, there is no separate subsequent recognition of the government grant proceeds in earnings. We are required to continue providing disclosures on the nature of the government grant received, the accounting policies used to account for the grant, and significant terms and conditions of the grant. The guidance is effective for annual reporting periods beginning after December 15, 2028, and interim reporting periods within those annual reporting periods. Early adoption is permitted, and may be applied using a modified prospective, modified retrospective or retrospective approach. We are evaluating the impact of this amendment to the financial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Interim Reporting (Topic 270): Narrow-Scope Improvements. The ASU provides clarity on the current interim reporting disclosures and introduces a disclosure principle which requires us to disclose events since the end of the last annual reporting period that have a material impact on us. The guidance is effective for interim reporting periods within annual reporting periods beginning after December 15, 2027. Early adoption is permitted and may be applied using a prospective or retrospective approach. We are evaluating the impact of this amendment to the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2025-12, Codification Improvements. The ASU represents changes to the Codification that clarify, correct errors, or make minor improvements. The guidance is effective for annual reporting periods beginning after December 15, 2026, and interim reporting periods within those annual reporting periods. Early adoption is permitted and we may elect the transition method on an issue-by-issue basis. We are evaluating the impact of this amendment to the financial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April 2026, the FASB issued ASU 2026-01, Equity (Topic 505): Initial Measurement of Paid-in-Kind Dividends on Equity-Classified Preferred Stock, which requires that paid-in-kind (“PIK”) dividends on equity-classified preferred stock, including preferred stock that is classified as temporary equity, be initially measured on the basis of the PIK dividend rate stated in the preferred stock agreement. The guidance is effective for annual reporting periods beginning after December 15, 2026, and interim reporting periods within those annual reporting periods. Early adoption is permitted and may be applied using a prospective or modified retrospective approach. We are evaluating the impact of this amendment to the financial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May 2026, the FASB issued ASU 2026-02, Environmental Credits and Environmental Credit Obligations (Topic 818), which establishes recognition, measurement, presentation and disclosure requirements for environmental credits and environmental credit obligations. The guidance is effective for annual reporting periods beginning after December 15, 2027, and interim reporting periods within those annual reporting periods. Early adoption is permitted, and should be applied retrospectively. We are evaluating the impact of this amendment to the related financial statement disclosures.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have considered all other recently issued accounting pronouncements and do not believe the adoption of such pronouncements will have a material impact on our financial statements or notes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Critical Accounting Estimates</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and the related notes thereto included elsewhere in this Quarterly Report are prepared in accordance with U.S. GAAP. The preparation of our condensed consolidated financial statements requires us to make estimates and assumptions that affect the reported amounts and related disclosures in our financial statements and accompanying notes. We base our estimates on historical experience and on various other factors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due to the inherent uncertainty involved in making those estimates and any such differences may be material.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believe that the following accounting policies involve a high degree of judgment and complexity. Accordingly, these are the policies we believe are the most critical to aid in fully understanding and evaluating our condensed consolidated financial condition and results of our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follow a five-step process in which we identify the contract, identify the related performance obligations, determine the transaction price, allocate the transaction price to the identified performance obligations, and recognize revenue when (or as) the performance obligations are satisfied.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Vehicle Sales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Vehicle sales revenue is generated from the sale of EVs to customers. The performance obligations identified in vehicle sale arrangements include delivery of the vehicle equipped with an onboard ADAS, the provision of maintenance services, the remarketing activities, and the right to unspecified OTA software updates as they become available over the term of the basic vehicle warranty, which is generally four years. Shipping and handling provided by us is considered a fulfillment activity.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Payment is typically received at the time of delivery or shortly after delivery of the vehicle to the customer, except for vehicle sales under the EV Purchase Agreement. Generally, control transfers to the customer at the time of delivery when the customer takes physical possession of the vehicle, which may be at a Lucid studio or other destination chosen by the customer. Our vehicle contracts do not contain a significant financing component. We have elected to exclude sales taxes from the measurement of the transaction price. We estimate the standalone selling price of all performance obligations by considering costs used to develop and deliver the good or service, third-party pricing of similar goods or services and other information that may be available. The transaction price is allocated among the performance obligations in proportion to the standalone selling price of our performance obligations.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recognize revenue related to the vehicle when the customer obtains control of the vehicle which occurs at a point in time either upon completion of delivery to the agreed-upon delivery location or upon pick up of the vehicle by the customer. As the unspecified OTA software updates are provided when-and-if they become available, revenue related to OTA software updates is recognized ratably over the basic vehicle warranty term, commencing when control of the vehicle is transferred to the customer. Payments received before the customer obtains control of the vehicle are recorded within other current liabilities in the condensed consolidated balance sheets.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the time of revenue recognition, we reduce the transaction price and record a sales return reserve against revenue for estimated variable consideration related to future returns. Such return rate estimates are based on historical experience.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provide a manufacturer’s warranty on all vehicles sold. The warranty covers the rectification of reported defects via repair, replacement, or adjustment of faulty parts or components. The warranty does not cover any item where failure is due to normal wear and tear. This assurance-type warranty does not create a performance obligation separate from the vehicle. The estimated cost of the assurance-type warranty is accrued at the time of vehicle sale.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provide a residual value guarantee to our commercial banking partners in connection with their vehicle leasing programs. Under the vehicle leasing program, we do not bear casualty and credit risks during the lease term, and are contractually obligated (or entitled) to share a portion of the shortfall (or excess) between the resale value realized by the commercial banking partners and a predetermined resale value. At the lease inception, we are required to deposit cash collateral equal to a contractual percentage of the residual value of the leased vehicles with the commercial banking partners. The cash collateral is held in a restricted bank account owned by the commercial banking partner until it is used, as applicable, in settlement of the RVG at the end of the lease term. Cash collateral is recorded in other noncurrent assets, subject to an asset impairment review at each reporting period. </w:t>
      </w:r>
    </w:p>
    <w:p>
      <w:pPr>
        <w:pStyle w:val="TextBody"/>
        <w:bidi w:val="0"/>
        <w:spacing w:lineRule="auto" w:line="288" w:before="240" w:after="283"/>
        <w:jc w:val="left"/>
        <w:rPr/>
      </w:pPr>
      <w:r>
        <w:rPr>
          <w:rFonts w:ascii="Times New Roman;serif" w:hAnsi="Times New Roman;serif"/>
          <w:b w:val="false"/>
          <w:color w:val="000000"/>
          <w:sz w:val="20"/>
        </w:rPr>
        <w:t xml:space="preserve">We account for the vehicle leasing program in accordance with ASC 842, </w:t>
      </w:r>
      <w:r>
        <w:rPr>
          <w:rFonts w:ascii="Times New Roman;serif" w:hAnsi="Times New Roman;serif"/>
          <w:b w:val="false"/>
          <w:i/>
          <w:color w:val="000000"/>
          <w:sz w:val="20"/>
        </w:rPr>
        <w:t xml:space="preserve">Leases, </w:t>
      </w:r>
      <w:r>
        <w:rPr>
          <w:rFonts w:ascii="Times New Roman;serif" w:hAnsi="Times New Roman;serif"/>
          <w:b w:val="false"/>
          <w:color w:val="000000"/>
          <w:sz w:val="20"/>
        </w:rPr>
        <w:t xml:space="preserve">ASC 460, </w:t>
      </w:r>
      <w:r>
        <w:rPr>
          <w:rFonts w:ascii="Times New Roman;serif" w:hAnsi="Times New Roman;serif"/>
          <w:b w:val="false"/>
          <w:i/>
          <w:color w:val="000000"/>
          <w:sz w:val="20"/>
        </w:rPr>
        <w:t>Guarantees</w:t>
      </w:r>
      <w:r>
        <w:rPr>
          <w:color w:val="000000"/>
        </w:rPr>
        <w:t xml:space="preserve"> </w:t>
      </w:r>
      <w:r>
        <w:rPr>
          <w:rFonts w:ascii="Times New Roman;serif" w:hAnsi="Times New Roman;serif"/>
          <w:b w:val="false"/>
          <w:color w:val="000000"/>
          <w:sz w:val="20"/>
        </w:rPr>
        <w:t xml:space="preserve">and ASC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We are the lessor at inception of a lease and immediately transfer the lease as well as the underlying vehicle to our commercial banking partners, with the transaction being accounted for as a sale under ASC 606. We recognize revenue when control transfers upon delivery when the consumer-lessee takes physical possession of the vehicle, and bifurcate the RVG at fair value and account for it as a reduction to revenue and a guarantee liability. The remaining amount of the transaction price is allocated among the performance obligations. Any fees or incentives that are paid or payable by us to commercial banking partners are recognized as a reduction to vehicle sales revenue.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guarantee liability represents the estimated amount we expect to pay at the end of the lease term. We are released from residual risk upon either expiration or settlement of the RVG. We evaluate variables such as third-party residual value publications, risk of future price deterioration due to changes in market conditions and reconditioning costs to determine the estimated residual value guarantee liability. RVG liability is assessed subsequently for any changes on a quarterly basis. As we accumulate more data related to the resale value of our vehicles or as market conditions change, there could be material changes to the estimated guarantee liabilities. The maximum potential amount of future payments (in excess of RVG liabilities recorded) that we could be required to make was $724.5 million and $705.9 million as of June 30, 2026 and December 31, 2025, respectively.</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Vehicle Operating Lease Revenue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account for sales of vehicles with repurchase obligations as operating leases. We sell vehicles primarily to rental companies with an obligation to repurchase the vehicles at an agreed-upon repurchase price. We record the difference between the proceeds received and the agreed-upon repurchase price as vehicle leasing revenue on a straight-line basis over the term of the lease. Deferred leasing revenue and repurchase obligation were recorded in other current liabilities and other long-term liabilities in the condensed consolidated balance sheets.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Sale and Leaseback Transactions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enter into sale and leaseback transactions in which we transfer control of vehicles to rental companies and simultaneously lease them back as operating leases. We recognize revenue related to the vehicles under the arrangement when the rental companies obtain control of the vehicles and separately recognize the leaseback obligations based on the present value of the future payments to the rental companies within other current liabilities and other long-term liabilities. We also record right-of-use assets which are amortized over the term of the leaseback. Operating lease expense is recognized on a straight-line basis over the term of the leaseback.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Inventory Valuation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Inventories are stated at the lower of cost or net realizable value. Cost is computed using standard cost for vehicles, which approximates actual cost on a first-in, first-out basis. We record inventory write-downs for excess or obsolete inventories based upon assumptions about current and future demand forecasts. If inventory on-hand is in excess of future demand forecast and market conditions, the excess amounts are written-off.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Inventory is also reviewed to determine whether its carrying value exceeds the net amount realizable upon the ultimate sale of the inventory. This requires an assessment to determine the selling price of the vehicles less the estimated cost to convert the inventory on-hand into a finished product. Once inventory is written down, a new lower cost basis for that inventory is established and subsequent changes in facts and circumstances do not result in the restoration or increase in that newly established cost basis.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the event there are changes in our estimates of future selling prices or production costs, we might be required to record additional and potentially material write-downs. A small change in our estimates may result in a material change in our reported financial results.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periodically review and record write-downs for excess or obsolete inventories based upon assumptions about current and future demand forecasts, considering shelf-life and technological obsolescence of certain inventories. Our current and future demand forecasts are based on our historical sales, market share performance, macroeconomic factors and trends in quantities or prices of orders for our products. We evaluate whether raw materials are approaching the end of their shelf-lives or becoming technologically obsolete, and the likelihood that we will be able to use the raw materials in production. If our inventory on-hand is in excess of future demand forecast and market conditions, the excess amounts are provisioned or written-down.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Redeemable Convertible Preferred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Accounting for the redeemable convertible preferred stock requires an evaluation to determine if liability classification is required under ASC 480-10. Liability classification is required for freestanding financial instruments that are (1) subject to an unconditional obligation requiring the issuer to redeem the instrument by transferring assets, such as those that are mandatorily redeemable, (2) instruments other than equity shares that embody an obligation of the issuer to repurchase its equity shares, or (3) certain types of instruments that obligate the issuer to issue a variable number of equity shares.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Securities that do not meet the scoping criteria to be classified as a liability under ASC 480 are subject to redeemable equity guidance, which prescribes securities that may be subject to redemption upon an event not solely within the control of the issuer to be classified as temporary equity. Securities classified in temporary equity are initially measured at the proceeds received, net of issuance costs and excluding the fair value of bifurcated embedded derivatives, and change in fair value of the redeemable convertible preferred stock contract as measured upon settlement based on the difference between the fair value of the redeemable convertible preferred stock at issuance versus the cash purchase price negotiated at fair value at contract inception, if any. Subsequent measurement of the carrying value of the redeemable convertible preferred stock is required as the instrument is probable of becoming redeemable. We accrete the redeemable convertible preferred stock to its redemption value. In certain circumstances, the redemption price may vary based on changes in stock price, in which case we will recognize changes in the redemption value immediately as they occur and adjust the carrying value of the security to equal the then current maximum redemption value at the end of each reporting period.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Derivative Liabilities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issuance of the redeemable convertible preferred stock, we evaluated the instruments for any features that must be bifurcated and separately accounted for as embedded derivatives. We concluded that the conversion features, inclusive of all settlement outcomes where the pay-off is indexed to the if-converted value, meets all the requirements to be separately accounted for as a bifurcated derivative. As a result, we bifurcated the redeemable convertible preferred stock between (i) the host contracts which are accounted for within mezzanine equity, and (ii) the bifurcated derivative liabilities. The proceeds from issuance are first allocated to the fair value of the bifurcated derivatives with the residual being allocated to the host contracts. The bifurcated derivatives are remeasured to fair value each reporting period with changes in fair value recorded in earnings. We estimated the fair value of the derivative liabilities using a binomial lattice model. Inherent in a binomial lattice model are unobservable inputs and assumptions. The inputs for the valuation of the derivative liabilities included the volatility, credit spread, and term. Assumptions used in the valuation also consider the contractual terms as well as the quoted price of our common stock in an active market. Significant changes in any of those inputs in isolation would result in significant changes to the fair value measurement. We remeasure the derivative liabilities at each reporting period and recognize the changes in fair value in the condensed consolidated statement of operations and comprehensive loss.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color w:val="000000"/>
          <w:sz w:val="20"/>
        </w:rPr>
        <w:t>Item 3. Quantitative and Qualitative Disclosures about Market Risk.</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equity price and inflationary pressure.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 for changes in interest rates applicable to our cash and cash equivalents, and investments. We had cash, cash equivalents, and investments totaling approximately $775.5 million as of June 30, 2026. Our investment policy is focused on the preservation of capital and supporting our liquidity needs. Under the policy, we invest in highly rated securities, primarily issued by the U.S. government or liquid money market funds. We do not invest in financial instruments for trading or speculative purposes. We utilize external investment managers who adhere to the guidelines of our investment policy. A hypothetical 100 basis point increase in interest rates would not be material to the fair market value of our portfolio as of June 30, 2026.</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Equity Price Risk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hold equity securities of Aston Martin. The fair value of these equity securities was $14.2 million as of June 30, 2026. Changes in fair value of these equity securities are impacted by the volatility of the stock market and changes in general economic conditions, among other factors. A hypothetical 10% decrease in the stock price of these equity securities would not be material as of June 30, 2026.</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Supply Risk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are dependent on our suppliers, the majority of which are single-source suppliers. The inability or unwillingness of these suppliers to deliver necessary components of our products according to the schedule and at prices, quality levels and volumes acceptable to us, whether due to changes or uncertainties in trade policies, the imposition or proposed imposition of tariffs, threat of a trade war or otherwise, or its inability to efficiently manage these components, or the unavailability of stable domestic suppliers, could have a material adverse effect on our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of our principal executive officer and principal financial officer, evaluated the effectiveness of the design and operation of our disclosure controls and procedures (as defined in Rules 13a-15(e) and 15d-15(e) under the Exchange Act) as of the end of the period covered by this Quarterly Report on Form 10-Q.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Based on their evaluation, our principal executive officer and principal financial officer concluded that as of June 30, 2026, our disclosure controls and procedures are designed to, and are effective to, provide reasonable assurance that the information we are required to disclose in reports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required disclosure.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 13a-15(f) and 15d-15(f) under the Exchange Act) that occurred during the fiscal quarter ended June 30, 2026, that has materially affected, or is reasonably likely to materially affect, our internal control over financial reporting.</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Limitations on Effectiveness of Controls and Procedures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83"/>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a description of our legal proceedings, please see the description set forth in the “Legal Matters” section in Note 11 “Commitments and Contingencies” in the notes to the condensed consolidated financial statements in Item 1 of Part I of this Quarterly Report,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 description of the risks and uncertainties associated with our business is set forth below. Investors should carefully consider the risks and uncertainties described below, as well as the other information in this Quarterly Report, including our condensed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common stock could decline, and our stockholders could lose all or part of their investment.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Our business is subject to numerous risks and uncertainties, including those highlighted in this section titled Item 1A. “Risk Factors,” that represent challenges that we face in connection with the successful implementation of our strategy and growth of our business. The occurrence of one or more of the events or circumstances described in this section titled Item 1A. “Risk Factors,” alone or in combination with other events or circumstances, may have an adverse effect on our business, cash flows, financial condition and results of operations. Such risks include, but are not limited to:</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limited operating history makes evaluating our business and future prospects difficult and may increase the risk of stockholders’ investment.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have incurred net losses each year since our inception and expect to incur increasing expenses and substantial losses for the foreseeable future.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be unable to adequately control the substantial costs associated with our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Failure to attract or retain customers through the purchase process may have a material adverse impact on our business, prospects, results of operations and financial condition.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global economic recession, downturn or other adverse economic conditions may have a material adverse impact on our business, prospects, results of operations and financial condition.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currently depend primarily on revenue generated from a limited number of models and anticipate continuing to be significantly dependent on a limited number of models in the foreseeable future.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business and prospects depend significantly on our brand.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distribution model primarily relies on a direct-to-consumer strategy domestically, and we are pursuing alternative distribution models internationally where we have less experience.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face challenges providing charging solutions for our vehicles, both domestically and internationally.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we fail to manage our growth effectively, we may not be able to develop, manufacture, distribute, market and sell our vehicles successfully.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face risks associated with international operations, including possible unfavorable regulatory, geopolitical, tax and labor conditions, which could adversely affect our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automotive industry has significant barriers to entry that we must overcome in order to manufacture and sell EVs at scale.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automotive market is highly competitive, and we may not be successful in competing in this industry.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have experienced and may in the future experience significant delays in the design, launch and manufacture of our vehicles, including the Lucid Air, the Lucid Gravity and our upcoming Midsize platform, which could harm our business and prospects.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continue production and grow depends upon our ability to maintain relationships with our existing suppliers and source suppliers for our critical components, and to complete building out our supply chain, while effectively managing the risks due to such relationships.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are dependent on our suppliers, the majority of which are single-source suppliers, and the inability or unwillingness of these suppliers to deliver necessary components of our products, or our inability to efficiently manage these components, could have a material adverse effect on our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costs, changes of supply or shortage of materials, in particular for lithium-ion battery cells, could harm our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we fail to successfully construct or tool our manufacturing facilities or if our manufacturing facilities become inoperable, we will be unable to produce our vehicles and our business will be harmed.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have limited experience in high volume manufacture of our vehicles.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our vehicles fail to perform as expected, our ability to develop, market and sell or lease our products could be harmed.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have limited experience servicing our vehicles and their integrated software. If we or our partners are unable to adequately service our vehicles, our business, prospects, financial condition and results of operations may be materially and adversely affected.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We may not be able to accurately estimate the supply and demand for our vehicles, which could prevent us from maximizing our revenue. If we fail to accurately predict our manufacturing requirements, we could incur additional costs or experience delays.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Any unauthorized compromise of or access to our products or information technology systems or networks could result in loss of confidence in us and our products, harm our business and materially adversely affect our financial performance, results of operations or prospects.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are subject to evolving laws, regulations, standards, policies, and contractual obligations related to data privacy, cybersecurity, and artificial intelligence, and failure to comply with such obligations could harm our reputation, subject us to significant fines and liability, or otherwise adversely affect our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loss of key employees or an inability to attract, retain and motivate qualified personnel, including executive leadership, may impair our ability to expand our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U.S. trade policy, including the imposition of, or uncertainties surrounding, tariffs or revocation of normal trade relations and the resulting consequences, could adversely affect our business, prospects, results of operations and financial condition.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are subject to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face regulatory limitations on our ability to sell vehicles directly, which could materially and adversely affect our ability to sell our vehicles.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fail to adequately obtain, maintain, enforce, defend and protect our intellectual property and may not be able to prevent third parties from unauthorized use of our intellectual property and proprietary technology, which could harm our competitive position and cause us to incur significant expenses to enforce our rights.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will require additional capital to support business growth, and this capital might not be available on commercially reasonable terms, or at all.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not be able to realize the anticipated benefits of our agreements with Aston Martin, Uber, and Nuro.</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we identify material weaknesses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issuance of additional shares of our common stock or other equity or equity-linked securities, including upon conversion, optional redemption or repurchase of convertible securities, or sales of a significant portion of our common stock, could depress the market price of our common stock.</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are a “controlled company” within the meaning of the applicable Nasdaq rules and, as a result, qualify for exemptions from certain corporate governance requirements. Our stockholders do not have the same protections afforded to stockholders of companies that are not controlled companies.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PIF and Ayar beneficially own a significant equity interest in us and have significant influence over us.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Redeemable Convertible Preferred Stock has rights, preferences and privileges that are not held by, and are senior to the rights of, our common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Risks Related to Our Business and Operations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Our limited operating history makes evaluating our business and future prospects difficult and may increase the risk of stockholders’ investment.</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We have a limited operating history and operate in a rapidly evolving and highly regulated market. Furthermore, we have only released two commercially available vehicles, and we have limited experience manufacturing or selling a commercial product at scale. </w:t>
      </w:r>
    </w:p>
    <w:p>
      <w:pPr>
        <w:pStyle w:val="TextBody"/>
        <w:bidi w:val="0"/>
        <w:spacing w:lineRule="auto" w:line="288" w:before="240" w:after="283"/>
        <w:jc w:val="both"/>
        <w:rPr>
          <w:rFonts w:ascii="Times New Roman;serif" w:hAnsi="Times New Roman;serif"/>
          <w:b w:val="false"/>
          <w:color w:val="231F20"/>
          <w:sz w:val="20"/>
        </w:rPr>
      </w:pPr>
      <w:r>
        <w:rPr>
          <w:rFonts w:ascii="Times New Roman;serif" w:hAnsi="Times New Roman;serif"/>
          <w:b w:val="false"/>
          <w:color w:val="231F20"/>
          <w:sz w:val="20"/>
        </w:rPr>
        <w:t>We have encountered and expect to continue to encounter risks and uncertainties frequently experienced by companies in rapidly changing markets, including risks relating to our ability to, among other things: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hire, integrate and retain professional and technical talent, including key members of management;</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continue to make significant investments in research, development, manufacturing, marketing and sales;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successfully design, build, manufacture and market new variants and models of EVs, such as our upcoming Midsize platform;</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build a well-recognized and respected brand;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establish, implement, refine and scale our commercial manufacturing capabilities and distribution infrastructure;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establish and maintain satisfactory arrangements with third-party suppliers;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establish and expand our customer base;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 xml:space="preserve">anticipate and adapt to changing market conditions, including consumer demand for certain vehicle types, models or trim levels, technological developments and changes in competitive landscape; </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navigate an evolving and complex landscape of regulations, policies, and government incentives; and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successfully obtain, maintain, protect, defend and enforce our intellectual property and defend against claims of intellectual property infringement, misappropriation or other violation.</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have incurred net losses each year since our inception and expect to incur increasing expenses and substantial losses for the foreseeable future.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have incurred net losses each year since our inception, including net loss of $1,034.9 million and $2,063.2 million for the three and six months ended June 30, 2026, respectively. As of June 30, 2026, our accumulated deficit was $17.7 billion. As a result of the capital-intensive nature of our business, we expect to continue to incur substantial operating losses in the foreseeable future as we: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continue to design, develop and manufacture our vehicles;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equip and expand our research, service, battery, powertrain, and manufacturing facilities to produce our vehicles in Arizona and in international locations such as Saudi Arabia;</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build up inventories of parts and components for our vehicles;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manufacture and store an available inventory of our vehicles;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develop and market EV-related products and technologies, including robotaxis;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develop and deploy geographically dispersed vehicle charging partnerships;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expand our design, research, development, maintenance and repair capabilities and facilities;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increase our sales, service and marketing activities and develop our distribution infrastructure;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231F20"/>
          <w:sz w:val="20"/>
        </w:rPr>
        <w:t>expand into new markets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If our product development or commercialization of future vehicles or models is delayed, our costs and expenses may be significantly higher than we currently expect. We will incur the costs and expenses from these efforts before we receive any incremental revenues with respect thereto; therefore, we anticipate our losses in future periods will be significant.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may be unable to adequately control the substantial costs associated with our operations.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require significant capital to develop and grow our business. We have incurred and expect to continue to incur significant expenses, including leases, sales and distribution expenses as we build our brand and market our vehicles; expenses relating to developing and manufacturing our vehicles, constructing, tooling and expanding our manufacturing facilities; research and development expenses (including expenses related to the development of our current and future products, including the upcoming Midsize platform); raw material procurement costs; and general and administrative expenses as we scale our operations and incur the costs of being a public company. Increased competition and adverse economic conditions have in the past and may continue in the future to require us to spend additional resources to attract customers, which in turn may result in higher marketing and incentive expenses. Furthermore, lower production and sales volumes have in the past and may in the future result in an inability to fully utilize our purchase commitments with suppliers which could result in increased costs and excess inventory as well as potential inventory write-offs. We periodically review and record write-downs for excess or obsolete inventories based upon assumptions about current and future demand forecasts, considering shelf-life and technological obsolescence of certain inventories. Our current and future demand forecasts are based on our historical sales, market share performance, macroeconomic factors and trends in quantities or prices of orders for our products. We evaluate whether raw materials are approaching the end of their shelf-lives or becoming technologically obsolete, and the likelihood that we will be able to use the raw materials in production. If our inventory on-hand is in excess of future demand forecast and market conditions, the excess amounts are provisioned or written-down.</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addition, we have incurred and expect to continue to incur significant costs servicing and maintaining customers’ vehicles, including establishing our service operations and facilities and undertaking product recalls. We have limited historical experience forecasting and budgeting for any of these expenses, and these expenses could be significantly higher than we currently anticipate. In addition, any disruption to our manufacturing operations, obtaining necessary equipment or supplies, expansion of our manufacturing facilities, or the procurement of permits and licenses relating to our expected manufacturing, sales and distribution model could significantly increase our expenses. In such event, we could be required to seek additional financing earlier than we expect, and such financing may not be available on commercially reasonable terms, or at all.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the longer term, our ability to become profitable will depend on our ability to effectively manage our capital expenditures, control costs on a timely basis, and sell in quantities and at prices sufficient to achieve our expected margins. If we are unable to appropriately price and cost-efficiently design, manufacture, market, sell, distribute and service our vehicles, our margins, profitability and prospects will be materially and adversely affected.</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Failure to attract customers, failure to complete the purchase process with customers, and customer cancellation of orders may have a material adverse impact on our business, prospects, results of operations and financial condition.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Demand and supply in the automobile industry is volatile. A number of factors may impact our ability to attract customers and complete the purchase process, including delays in customer deliveries, delays in the availability of options, potential changes in customer preferences, competitive developments, increased interest rates, negative publicity, loss of government incentives, decreased demand for EVs, and insufficient charging infrastructure. For example, during the first quarter of 2026, deliveries of the Lucid Gravity were disrupted for 29 days due to a supplier quality issue with the second-row seats. As a result of this, our ability to meet customer demand was impacted. Increases in interest rates could make financing unaffordable for segments of our customer base. Any event or incident which generates negative media coverage about us, or the safety or quality of our vehicles, have in the past, and may continue to result in failure to attract customers, failure to complete the purchase process, and customer cancellations. In addition, if we encounter delays in customer deliveries of our vehicles that further lengthen wait times or in the event of negative media coverage, a significant number of orders may be cancelled. As such, no assurance can be given that the purchase process will be completed, orders will not be cancelled, and orders will ultimately result in the final purchase, delivery and sale or lease of vehicles.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A global economic recession, downturn or other adverse economic conditions may have a material adverse impact on our business, prospects, results of operations and financial condition.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global economic recession, downturn or other adverse economic conditions, whether due to changes or uncertainties in trade policies, the imposition or proposed imposition of tariffs, export controls, threat of a trade war, persistent inflation, political instability, global or regional conflicts or other geopolitical events, public health crises, interest rate increases or other central bank policy actions, bank closures and liquidity concerns at other financial institutions, or other factors, have in the past and may in the future have an adverse impact on our business, prospects, financial condition and results of operations. If any of our suppliers, sub-suppliers or partners experience financial distress, insolvency or disruptions in operations, they may be unable to fulfill their obligations or meet our production and quality requirements. Adverse economic conditions and uncertainty about the current and future domestic or global economic conditions may also cause our customers to defer purchases or cancel their orders in response to higher interest rates, limited consumer credit availability, lower cash reserves, fluctuations in foreign currency exchange rates, and weakened consumer confidence. A reduction in demand for our products may result in a decline in product sales, with a corresponding material adverse impact on our business, prospects, financial condition and results of operations. Given our premium brand positioning and pricing, an economic recession or downturn is likely to have a disproportionate adverse effect on us compared to our competitors in the EV and traditional automotive sectors, to the extent that consumer demand for luxury goods declines in favor of more cost-conscious alternatives. In addition, adverse economic conditions and uncertainties surrounding trade policies, tariffs and export controls could also cause supply chain and logistical challenges and operational risks. In particular, the U.S. federal government enacted the law commonly referred to as the OBBBA, which eliminates, limits or phases out certain tax credits that had previously provided significant benefits to lessees and purchasers of EVs and adds new eligibility requirements on manufacturers to continue claiming tax credits on EV components. It also eliminates certain penalties for noncompliance with certain fuel efficiency standards and introduces certain key tax law modifications. Taken together, adverse economic conditions and uncertainties surrounding trade policies, government grants or incentives, tariffs and export controls, coupled with supply chain challenges and the potential difficulty of passing costs to customers or sharing the burden with suppliers, could reduce demand for our products and have a material adverse effect on our business, prospects, results of operations and financial condition.</w:t>
      </w:r>
    </w:p>
    <w:p>
      <w:pPr>
        <w:pStyle w:val="TextBody"/>
        <w:bidi w:val="0"/>
        <w:spacing w:lineRule="auto" w:line="288" w:before="240" w:after="283"/>
        <w:jc w:val="left"/>
        <w:rPr/>
      </w:pPr>
      <w:r>
        <w:rPr>
          <w:rFonts w:ascii="Times New Roman;serif" w:hAnsi="Times New Roman;serif"/>
          <w:b w:val="false"/>
          <w:color w:val="000000"/>
          <w:sz w:val="20"/>
        </w:rPr>
        <w:t xml:space="preserve">In addition, the deterioration of conditions in global credit markets may limit our ability to obtain external financing to fund our operations and capital expenditures for business growth on terms favorable to us, if at all. If we are unable to obtain adequate financing or financing on terms satisfactory to us, when we require it, we will have to significantly reduce our spending, delay or cancel our planned activities or substantially change our corporate structure, and we might not have sufficient resources to conduct or support our business as projected, which would have a material adverse effect on our business, prospects, results of operations, and financial condition. See “—Risks Related to Financing and Strategic Transactions — </w:t>
      </w:r>
      <w:r>
        <w:rPr>
          <w:rFonts w:ascii="Times New Roman;serif" w:hAnsi="Times New Roman;serif"/>
          <w:b w:val="false"/>
          <w:i/>
          <w:color w:val="000000"/>
          <w:sz w:val="20"/>
        </w:rPr>
        <w:t>We will require additional capital to support business growth, and this capital might not be available on commercially reasonable terms, or at all</w:t>
      </w:r>
      <w:r>
        <w:rPr>
          <w:rFonts w:ascii="Times New Roman;serif" w:hAnsi="Times New Roman;serif"/>
          <w:b w:val="false"/>
          <w:color w:val="000000"/>
          <w:sz w:val="20"/>
        </w:rPr>
        <w: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currently depend primarily on revenue generated from a limited number of models and anticipate continuing to be significantly dependent on a limited number of models in the foreseeable future.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currently generate revenue from the Lucid Air and Lucid Gravity, and are expecting to launch the Midsize platform in the near future. For the foreseeable future, we will be significantly dependent on a limited number of models. We expect to rely on sales from our current vehicle models, among other sources of financing, for the capital that will be required to develop and commercialize future models on our product roadmap. To the extent that production of our current or future models is delayed, reduced or retired, or if our current or future models are not well-received by the market for any reason, our revenue and cash flow would be adversely affected, we may need to seek additional financing earlier than we expect, and such financing may not be available to us on commercially reasonable terms, or at all.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are unable to fulfill the orders from the Government of Saudi Arabia or if the Government of Saudi Arabia purchases significantly fewer vehicles than we anticipate for any reason, our business, prospects, results of operations and financial condition could be materially and adversely affected.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2023, we entered into the EV Purchase Agreement with the Government of Saudi Arabia as represented by the Ministry of Finance, which supersedes the letter of undertaking that we entered into in April 2022. Pursuant to the terms of the EV Purchase Agreement, the Purchaser may purchase up to 100,000 vehicles, with a minimum purchase quantity of 50,000 vehicles and an option to purchase up to an additional 50,000 vehicles during a ten-year period. Under the EV Purchase Agreement, the Purchaser may reduce the minimum vehicle purchase quantity by the number of vehicles set out in any purchase order not accepted by us or by the number of vehicles that we fail to deliver within six months from the date of the applicable purchase order. The Purchaser also has the sole and absolute discretion to decide whether to exercise the option to purchase the additional 50,000 vehicles. See Note 15 “Related Party Transactions” to the condensed consolidated financial statements included elsewhere in this Quarterly Report for more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If we experience delays in manufacturing and delivering vehicles ordered by the Purchaser, fail to or experience delays in complying with Saudi Arabian regulations or the requirements of the EV Purchase Agreement, fail to provide adequate service or support for the vehicles, or fail to appropriately price our vehicles, our revenue, cash flow and results of operations and financial condition could be adversely affected. Furthermore, if the Purchaser reduces the minimum vehicle purchase quantity, delays the purchase of vehicles, does not exercise its option to purchase additional vehicles, or purchases significantly fewer vehicles than we currently anticipate for any reason, including for reasons beyond our control, our business, prospects, results of operations and financial condition could be materially and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business and prospects depend significantly on our brand.</w:t>
      </w:r>
    </w:p>
    <w:p>
      <w:pPr>
        <w:pStyle w:val="TextBody"/>
        <w:bidi w:val="0"/>
        <w:spacing w:lineRule="auto" w:line="288" w:before="240" w:after="283"/>
        <w:jc w:val="left"/>
        <w:rPr/>
      </w:pPr>
      <w:r>
        <w:rPr>
          <w:rFonts w:ascii="Times New Roman;serif" w:hAnsi="Times New Roman;serif"/>
          <w:b w:val="false"/>
          <w:color w:val="000000"/>
          <w:sz w:val="20"/>
        </w:rPr>
        <w:t>Our business and prospects heavily depend on our ab</w:t>
      </w:r>
      <w:r>
        <w:rPr>
          <w:rFonts w:ascii="Times New Roman;serif" w:hAnsi="Times New Roman;serif"/>
          <w:b w:val="false"/>
          <w:color w:val="242424"/>
          <w:sz w:val="20"/>
        </w:rPr>
        <w:t>ility to develop, maintain, protect and strengthen the “Lucid” brand association with luxury and technological excellence. Promoting and positioning our brand will likely depend significantly on our ability to provide a consistently high-quality customer experience, an area in which we have gained experience over years but may continue to face challenges. To promote our brand, we will be required to invest in, and over time change our customer development and branding practices, which could result in substantially increased expenses, including the need to use public relations, media, event planning, and advertising firms. Our ability to successfully position our brand could also be adversely affected by perceptions about the quality of our competitors’ vehicles or our competitors’ success. For example, certain of our competitors have been subject to significant scrutiny for incidents involving their self-driving technology and battery fires, which could result in similar scrutiny of us.</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 xml:space="preserve">With social media, any negative publicity, whether or not factual, can quickly be disseminated and harm consumer perception and confidence in our brand. This risk is heightened by our engagement with influencers, as negative experiences by these high-profile users can be rapidly amplified, damaging our brand credibility and impacting brand loyalty. Viral negative posts or negative reviews that highlight quality issues or compare us unfavorably to competitors could adversely affect consumer perception about our vehicles and reduce demand, potentially causing a material adverse effect on our business, results of operations, prospects and financial condition. Thus, failure to correct misinformation or mitigate negative information concerning us, the products we offer, our customer experience, or any aspect of our brand, our business, sales and results of operations could adversely impact us. </w:t>
      </w:r>
    </w:p>
    <w:p>
      <w:pPr>
        <w:pStyle w:val="TextBody"/>
        <w:bidi w:val="0"/>
        <w:spacing w:lineRule="auto" w:line="288" w:before="240" w:after="283"/>
        <w:jc w:val="left"/>
        <w:rPr>
          <w:rFonts w:ascii="Times New Roman;serif" w:hAnsi="Times New Roman;serif"/>
          <w:b/>
          <w:i/>
          <w:color w:val="242424"/>
          <w:sz w:val="20"/>
        </w:rPr>
      </w:pPr>
      <w:r>
        <w:rPr>
          <w:rFonts w:ascii="Times New Roman;serif" w:hAnsi="Times New Roman;serif"/>
          <w:b/>
          <w:i/>
          <w:color w:val="242424"/>
          <w:sz w:val="20"/>
        </w:rPr>
        <w:t>Our sales will depend in part on our ability to establish and maintain confidence in our long-term business prospects among consumers, the investment community and others within our industry.</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Consumers may be less likely to purchase our products if they do not believe that our business will succeed or that our operations, including service and customer support operations, will continue for many years. Similarly, suppliers and other third parties will be less likely to invest time and resources in developing business relationships with us if they are not convinced that our business will succeed. Accordingly, to build, maintain and grow our business, we must establish and maintain confidence among customers, suppliers, the investment community and other parties with respect to our liquidity and long-term business prospects. If we are unable to establish or maintain confidence among these parties with respect to our liquidity and long-term business prospects, we may lose our relationships or contracts with such parties and may suffer monetary losses, operational interruption, or damage to our reputation and brand.</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Maintaining such confidence may be difficult as a result of many factors, including our limited operating history, others’ unfamiliarity with our products, uncertainty regarding the future of EVs, any delays in scaling production or launch of the upcoming Midsize platform, delivery and service operations to meet demand, competition, and our production and sales performance compared with market expectations. Many of these factors are largely outside of our control, and any negative perceptions about our long-term business prospects, even if exaggerated or unfounded, would likely harm our business and make it more difficult to attract customers and raise additional capital in the future. In addition, a significant number of new EV companies have recently entered the automotive industry, which is an industry that has historically been associated with significant barriers to entry and a high rate of failure. Certain of these new entrants or other traditional automotive manufacturers now producing EVs have become insolvent, and if additional manufacturers producing EVs become insolvent or are perceived to likely become insolvent, discontinue production of EVs, produce vehicles that do not perform as expected or otherwise fail to meet expectations, such failures may have the effect of increasing scrutiny of others in the industry, including us, and further challenging customer, supplier and the investment community’s confidence in our long-term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242424"/>
          <w:sz w:val="20"/>
        </w:rPr>
      </w:pPr>
      <w:r>
        <w:rPr>
          <w:rFonts w:ascii="Times New Roman;serif" w:hAnsi="Times New Roman;serif"/>
          <w:b/>
          <w:i/>
          <w:color w:val="242424"/>
          <w:sz w:val="20"/>
        </w:rPr>
        <w:t>Our distribution model relies on a direct-to-consumer strategy domestically, and we are pursuing alternative distribution models internationally where we have less experience.</w:t>
      </w:r>
    </w:p>
    <w:p>
      <w:pPr>
        <w:pStyle w:val="TextBody"/>
        <w:bidi w:val="0"/>
        <w:spacing w:lineRule="auto" w:line="288" w:before="240" w:after="283"/>
        <w:jc w:val="left"/>
        <w:rPr/>
      </w:pPr>
      <w:r>
        <w:rPr>
          <w:rFonts w:ascii="Times New Roman;serif" w:hAnsi="Times New Roman;serif"/>
          <w:b w:val="false"/>
          <w:color w:val="242424"/>
          <w:sz w:val="20"/>
        </w:rPr>
        <w:t xml:space="preserve">Third-party dealer networks are the traditional method of vehicle sales distribution and service in North America. Currently, we sell directly to consumers; therefore, we do not have a traditional dealer product distribution and service network. We have limited experience distributing directly to consumers, and we expect that continuing to build a national and global in-house sales and marketing function, including an expanded physical sales, marketing and service footprint via our Lucid studios and service centers, will be expensive and time consuming. We have experienced delays in the construction and opening of our Lucid studios and service centers and any significant delays to establish Lucid studios and service centers in key markets in the future could have an adverse effect on our business, results of operations, prospects and financial condition. In addition, if our lack of a traditional dealer distribution and service network results in lost opportunities to generate sales, it could limit our ability to grow. Moreover, our business model of selling directly to consumers and directly servicing all vehicles may be limited by regulatory constraints. If our use of an in-house sales, marketing and service team is not effective, our results of operations and financial condition could be adversely affected. </w:t>
      </w:r>
      <w:r>
        <w:rPr>
          <w:rFonts w:ascii="Times New Roman;serif" w:hAnsi="Times New Roman;serif"/>
          <w:b w:val="false"/>
          <w:color w:val="000000"/>
          <w:sz w:val="20"/>
        </w:rPr>
        <w:t xml:space="preserve">As we expand globally, </w:t>
      </w:r>
      <w:r>
        <w:rPr>
          <w:rFonts w:ascii="Times New Roman;serif" w:hAnsi="Times New Roman;serif"/>
          <w:b w:val="false"/>
          <w:color w:val="242424"/>
          <w:sz w:val="20"/>
        </w:rPr>
        <w:t>we are actively evaluating, and have adopted in certain markets, alternative importer and agency models designed to enhance flexibility, increase our speed to market in a capital efficient manner, and optimize our distribution strategy in response to evolving market dynamics</w:t>
      </w:r>
      <w:r>
        <w:rPr>
          <w:rFonts w:ascii="Times New Roman;serif" w:hAnsi="Times New Roman;serif"/>
          <w:b w:val="false"/>
          <w:color w:val="000000"/>
          <w:sz w:val="20"/>
        </w:rPr>
        <w:t xml:space="preserve">. We have limited experience utilizing alternative distribution models, and such efforts require significant information systems to be developed and deployed, which may prove costly, time-consuming or ineffective. </w:t>
      </w:r>
    </w:p>
    <w:p>
      <w:pPr>
        <w:pStyle w:val="TextBody"/>
        <w:bidi w:val="0"/>
        <w:spacing w:lineRule="auto" w:line="288" w:before="240" w:after="283"/>
        <w:jc w:val="left"/>
        <w:rPr>
          <w:rFonts w:ascii="Times New Roman;serif" w:hAnsi="Times New Roman;serif"/>
          <w:b/>
          <w:i/>
          <w:color w:val="242424"/>
          <w:sz w:val="20"/>
        </w:rPr>
      </w:pPr>
      <w:r>
        <w:rPr>
          <w:rFonts w:ascii="Times New Roman;serif" w:hAnsi="Times New Roman;serif"/>
          <w:b/>
          <w:i/>
          <w:color w:val="242424"/>
          <w:sz w:val="20"/>
        </w:rPr>
        <w:t>Our ability to generate meaningful product revenue will depend on consumer adoption of EVs.</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We are developing and producing EVs and related products and services and, accordingly, our ability to generate meaningful product revenue will highly depend on sustained consumer demand for alternative fuel vehicles in general and EVs in particular. If the market for EVs does not develop as we expect or develops more slowly than we expect, or if there is a decrease in consumer demand for EVs, these factors may harm our business, prospects, financial condition and results of operations. The market for electric and other alternative fuel vehicles is relatively new, rapidly evolving, characterized by rapidly changing technologies, price competition, market entrants, evolving government regulation (including the availability, reduction or elimination of government incentives and subsidies) and industry standards, frequent new vehicle introductions and changing consumer demands and behaviors. Any number of developments or disruptions in the industry could negatively affect consumer demand for EVs broadly and for our EVs in particular.</w:t>
      </w:r>
    </w:p>
    <w:p>
      <w:pPr>
        <w:pStyle w:val="TextBody"/>
        <w:bidi w:val="0"/>
        <w:spacing w:lineRule="auto" w:line="288" w:before="240" w:after="283"/>
        <w:jc w:val="left"/>
        <w:rPr/>
      </w:pPr>
      <w:r>
        <w:rPr>
          <w:rFonts w:ascii="Times New Roman;serif" w:hAnsi="Times New Roman;serif"/>
          <w:b w:val="false"/>
          <w:color w:val="242424"/>
          <w:sz w:val="20"/>
        </w:rPr>
        <w:t>In addition, demand for EVs may be affected by factors directly impacting automobile prices or the cost of purchasing and operating automobiles such as the availability, reduction or elimination of sales and financing incentives including tax credits, prices of raw materials and parts and components, cost of fuel, availability of consumer credit, interest rates, and governmental regulatio</w:t>
      </w:r>
      <w:r>
        <w:rPr>
          <w:rFonts w:ascii="Times New Roman;serif" w:hAnsi="Times New Roman;serif"/>
          <w:b w:val="false"/>
          <w:color w:val="000000"/>
          <w:sz w:val="20"/>
        </w:rPr>
        <w:t>ns, including tariffs, i</w:t>
      </w:r>
      <w:r>
        <w:rPr>
          <w:rFonts w:ascii="Times New Roman;serif" w:hAnsi="Times New Roman;serif"/>
          <w:b w:val="false"/>
          <w:color w:val="242424"/>
          <w:sz w:val="20"/>
        </w:rPr>
        <w:t>mport and export regulation and other taxes. Volatility in demand may lead to lower vehicle unit sales, which may result in downward price pressure and adversely affect our business, prospects, financial condition and results of operations. Further, sa</w:t>
      </w:r>
      <w:r>
        <w:rPr>
          <w:rFonts w:ascii="Times New Roman;serif" w:hAnsi="Times New Roman;serif"/>
          <w:b w:val="false"/>
          <w:color w:val="231F20"/>
          <w:sz w:val="20"/>
        </w:rPr>
        <w:t>les of vehicles in the automotive industry tend to be cyclical in many markets, which may expose us to increased volatility, especially as we expand and adjust our operations and retail strategies. Specifically, it is uncertain how such macroeconomic factors will impact us in an industry that has globally been experiencing a recent decline in sales.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Other factors that may influence the adoption of EVs include: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perceptions about EV quality, safety, design, performance, value, and cost;</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perceptions about the limited range over which EVs may be driven on a single battery charge;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considerations about the total cost of ownership of EVs, including the initial purchase price and accumulated depreciation, as well as operating and maintenance costs;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concerns about electric grid capacity and reliability;</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perceptions about the sustainability and environmental impact of EVs, including with respect to both the sourcing and disposal of materials for EV batteries and the generation of electricity provided in the electric grid;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the cost and availability of other alternative fuel vehicles, including plug-in hybrid EVs;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improvements in the fuel economy of the internal combustion engine;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the quality, reliability, and availability of service for EVs, especially in international markets;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volatility in the cost of oil and gasoline;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government regulations and the availability, reduction or elimination of economic incentives promoting fuel efficiency and alternate forms of energy;</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access to charging stations compatible with our vehicles and cost to charge an EV, especially in international markets, and related infrastructure costs and standardization;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the availability, reduction or elimination of tax and other governmental incentives to purchase and operate EVs or future regulations requiring increased use of nonpolluting vehicles; and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macroeconomic factors.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The influence of any of the factors described above or any other factors may cause a general reduction in consumer demand for EVs or our EVs in particular, either of which would materially and adversely affect our business, results of operations, financial condition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face challenges providing charging solutions for our vehicles, both domestically and internationally.</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Demand for our vehicles will depend in part on the availability of charging infrastructure both domestically and internationally. While the prevalence of charging stations has been increasing, public charging station locations are significantly less widespread than gas stations. Furthermore, public charging stations sometimes experience downtime, leading to customer dissatisfaction. Although we have partnered with third-party EV charging providers to offer charging stations to our customers, the public charging infrastructure available to our customers may be insufficient to meet their needs or expectations, especially in certain international markets. Some potential customers may choose not to purchase our vehicles because of the lack of more widespread and reliable public charging infrastructure. In addition, although we have gained access to Tesla’s Supercharger network, any delay in implementing changes in Lucid vehicles required by Tesla with respect to charge ports may result in Tesla denying our access to their network, and there is no guarantee that our customers will not experience performance, access or other issues with this or other charging networks. In addition, there has been additional scrutiny into funding that supports the EV industry, including EV charging infrastructures, under the current U.S. administration, and such scrutiny may result in legislation that could adversely impact the availability of funding under existing programs. Consequently, the deployment of public charging stations may not occur at planned levels, which could limit the development of public charging infrastructure and decrease the attractiveness and demand for EVs.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If we fail to manage our growth effectively, we may not be able to develop, manufacture, distribute, market and sell our vehicles successfully.</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Any failure to manage our growth effectively could materially and adversely affect our business, prospects, results of operations and financial condition. We are expanding our operations significantly and our current and future expansion plans may include: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expanding our management team;</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hiring and training new personnel;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ramping up the production of our current vehicles and releasing new models in the future;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establishing or expanding design, manufacturing, distribution, sales and service facilities;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developing and marketing EV-related products and technologies, including robotaxis;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implementing and enhancing administrative and business infrastructure, governance, systems and processes, i</w:t>
      </w:r>
      <w:r>
        <w:rPr>
          <w:rFonts w:ascii="Times New Roman;serif" w:hAnsi="Times New Roman;serif"/>
          <w:b w:val="false"/>
          <w:color w:val="231F20"/>
          <w:sz w:val="20"/>
        </w:rPr>
        <w:t>ncluding in connection with our status as a public company; and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expanding into new markets and establishing sales, service, administrative, distribution, or manufacturing operations and partnerships in many of those markets.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require qualified personnel, including design and manufacturing personnel and service technicians for our vehicles. Our vehicles are based on a different technology platform than traditional internal combustion engines, individuals with sufficient training in EVs may not be available to hire, and as a result, we will need to expend significant time and expense training the employees we do hire. Competition for individuals with experience in supply chain management and logistics as well as designing, engineering, manufacturing, producing, selling, and servicing EVs is intense, and we may not be able to identify, attract, train, motivate or retain sufficient highly qualified personnel in the future. Furthermore, we have in the past reduced the size of our workforce, and recently implemented workforce reduction plans and other actions relating to contractors in the first half of 2026, including the elimination of the second shift of production at our AMP-1 factory. We have also announced a number of changes to our executive leadership team. Any such plan may adversely affect our internal programs and initiatives, our ability to recruit and retain skilled and motivated personnel, may be distracting to employees and management and may negatively impact our business operations, reputation, or ability to serve customers. We cannot provide any assurances that we will not have to undertake additional workforce reductions or similar actions in the future. The failure to identify, attract, train, motivate and retain these employees could seriously harm our business and prospects. In addition, our employee equity program is a key factor in our ability to attract and retain talent and continue to support the growth of the company. If we are unable to grant equity awards, or if we are forced to reduce the value of equity awards to be received by the employees for any reason, we may not be able to attract, hire and retain the personnel necessary for our business, which would have a material adverse effect on our business, prospects financial condition and results of operations. In addition, our success is substantially dependent upon the continued service and performance of our senior management team and key technical and vehicle management personnel. If any key employees were to separate their employment with us, such separation would likely increase the difficulty of managing our current operations and future growth and heighten the foregoing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also have limited experience to date in high volume manufacturing of our vehicles. We cannot assure our investors that we will be able to develop and implement efficient, automated, low-cost manufacturing capabilities and processes, and reliable sources of component supply that will enable us to meet the desired quality, price, engineering, design and production standards, as well as the production volumes, required to successfully market and sell our vehicles. We have also experienced, and may continue to experience, internal and external logistics challenges with respect to our manufacturing and warehousing facilities, including disruption to manufacturing operations due to the consolidation of our logistics operations with our manufacturing operations at AMP-1 and AMP-2. Any failure to develop and implement such manufacturing processes and capabilities within our projected costs and timelines could impact our future growth and impair our ability to produce, market, service and sell or lease our vehicles successfully. In addition, our rapid growth, competitive real estate markets, and increasing rental rates, may hinder our ability to obtain suitable space to accommodate our growing operations or to renew existing leases on terms favorable to us, if at all. Any failure to obtain or renew leases for real property on terms favorable to us when we need them may limit our growth, impact our operations and have an adverse impact on our financial condition. If we fail to manage our growth effectively, such failure could result in negative publicity and damage to our brand and have a material adverse effect on our business, prospects, financial condition and results of operations.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face risks associated with international operations, including possible unfavorable regulatory, geopolitical, tax and labor conditions, which could adversely affect our business.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As we expand our international presence and operations, we will be increasingly subject to the legal, geopolitical, regulatory and social requirements and economic conditions in these jurisdictions. Additionally, as part of our growth strategy, we have been expanding and may continue to expand our sales, maintenance and repair services outside of the U.S. We are also continuing the construction of AMP-2 in Saudi Arabia and may continue to further expand our manufacturing activities outside the U.S. However, we have limited experience to date manufacturing or selling our vehicles outside of the U.S., and such expansion has and will continue to require us to make significant expenditures, including the hiring of local employees and establishing facilities and related systems and processes, in advance of generating any significant revenue. We are subject to a number of risks associated with international business activities that may increase our costs, impact our ability to sell, service and manufacture our vehicles, and require significant management attention. These risks include: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conforming our vehicles to various international regulatory and homologation requirements where our vehicles are sold;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establishing localized supply chains and managing international supply chain and logistics costs, including the shipping and delivery of kits for the SKD facility;</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establishing sufficient charging points for our customers in those jurisdictions, via partnerships or, if necessary, via development of our own charging networks or accessing those of third parties;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difficulties staffing and managing foreign operations, especially in jurisdictions where no EV ecosystem exists and qualified personnel must be hired or relocated;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difficulties attracting customers in new jurisdictions;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difficulties establishing international manufacturing operations, including difficulties establishing relationships with or establishing localized supplier bases and developing cost-effective and reliable supply chains for such manufacturing operations and financing such manufacturing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difficulties controlling costs and potential loss of funding, including as a result of delays in the construction or ramp-up of operations at AMP-2;</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231F20"/>
          <w:sz w:val="20"/>
        </w:rPr>
        <w:t>difficulties or delays caused by local jurisdictions in implementing infrastructure improvements for manufacturing facilities;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foreign government taxes, regulations and permit requirements, including foreign taxes that we may not be able to offset against taxes imposed upon us in the U.S., and foreign tax and other laws limiting our ability to repatriate funds to the U.S.;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inflation as well as fluctuations in foreign currency exchange rates and interest rates, including risks related to any forward currency contracts, interest rate swaps or other hedging activities we may undertake;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U.S. and foreign government trade restrictions, tariffs, price or exchange controls, and export controls, including political risk and customer perceptions based on such changes and risks;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threat of a trade war that could impede the transition to EVs, disrupt global supply chains, and delay the implementation of economic competitiveness policies;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foreign laws, regulations and restrictions, including in the areas of supply chain, labor, sales, service, sustainability and health and safety, and related compliance costs;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increasingly restrictive and complex foreign data privacy and cybersecurity laws, regulations and obligations;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actions that may impede global green transition priorities or policies designed to reduce environmental sustainability efforts;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political instability, natural disasters, pandemics, wars, military actions, global or regional conflicts or other geopolitical events (including the military operations in the Gulf region and the Middle East, and the potential escalation and broadening of the conflict in Iran, each of which affect global energy prices and disrupt supply chains both regionally and globally, and have and may continue to adversely impact our operations in the Middle East, including the ramp-up of operations at AMP-2 and the manufacturing of our Midsize platform, increase our operating costs and reduce our margins, delay shipments of equipment and components, particularly those that go through the Strait of Hormuz shipment route, or hinder the movement of personnel necessary for our international manufacturing and logistics activities), or events of terrorism;</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 xml:space="preserve">increases in energy, freight, logistics and other operating costs arising from geopolitical developments may contribute to inflationary pressures, which could reduce consumer purchasing power and adversely affect demand for our vehicles; </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 xml:space="preserve">indirect effects of geopolitical events across regions, including through commodity price volatility, trade restrictions, regulatory changes or supply chain interdependencies, which could adversely affect our operations even in markets not directly impacted; </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 xml:space="preserve">prolonged or recurring geopolitical disruptions, which could limit our ability to accurately forecast demand, manage costs or implement effective mitigation strategies; and </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the strength of international economies.</w:t>
      </w:r>
    </w:p>
    <w:p>
      <w:pPr>
        <w:pStyle w:val="TextBody"/>
        <w:bidi w:val="0"/>
        <w:spacing w:lineRule="auto" w:line="288" w:before="120" w:after="283"/>
        <w:jc w:val="left"/>
        <w:rPr>
          <w:rFonts w:ascii="Times New Roman;serif" w:hAnsi="Times New Roman;serif"/>
          <w:b w:val="false"/>
          <w:color w:val="231F20"/>
          <w:sz w:val="20"/>
        </w:rPr>
      </w:pPr>
      <w:r>
        <w:rPr>
          <w:rFonts w:ascii="Times New Roman;serif" w:hAnsi="Times New Roman;serif"/>
          <w:b w:val="false"/>
          <w:color w:val="231F20"/>
          <w:sz w:val="20"/>
        </w:rPr>
        <w:t>If we fail to successfully address these risks, they could materially and adversely affect our business, prospects, results of operations and financial condition.</w:t>
      </w:r>
    </w:p>
    <w:p>
      <w:pPr>
        <w:pStyle w:val="TextBody"/>
        <w:bidi w:val="0"/>
        <w:spacing w:lineRule="auto" w:line="288" w:before="240" w:after="283"/>
        <w:jc w:val="left"/>
        <w:rPr>
          <w:rFonts w:ascii="Times New Roman;serif" w:hAnsi="Times New Roman;serif"/>
          <w:b/>
          <w:i/>
          <w:color w:val="242424"/>
          <w:sz w:val="20"/>
        </w:rPr>
      </w:pPr>
      <w:r>
        <w:rPr>
          <w:rFonts w:ascii="Times New Roman;serif" w:hAnsi="Times New Roman;serif"/>
          <w:b/>
          <w:i/>
          <w:color w:val="242424"/>
          <w:sz w:val="20"/>
        </w:rPr>
        <w:t>The automotive industry has significant barriers to entry that we must overcome in order to manufacture and sell EVs at scale.</w:t>
      </w:r>
    </w:p>
    <w:p>
      <w:pPr>
        <w:pStyle w:val="TextBody"/>
        <w:bidi w:val="0"/>
        <w:spacing w:lineRule="auto" w:line="288" w:before="240" w:after="283"/>
        <w:jc w:val="left"/>
        <w:rPr/>
      </w:pPr>
      <w:r>
        <w:rPr>
          <w:rFonts w:ascii="Times New Roman;serif" w:hAnsi="Times New Roman;serif"/>
          <w:b w:val="false"/>
          <w:color w:val="242424"/>
          <w:sz w:val="20"/>
        </w:rPr>
        <w:t>The automobile industry is characterized by significant barriers to entry, including large capital requirements, investment costs of designing, manufacturing, and distributing vehicles, long lead times to bring vehicles to market from the concept and design stage, the need for specialized design and development expertise, regulatory requirements, establishing a brand name and image, and the need to establish sales and service locations. Since we are focused on the design of EVs, we face a variety of added challenges to entry that a traditional automobile manufacturer would not encounter, including additional costs of developing and producing an electric powertrain that has comparable performance to a traditional gasoline engine in terms of range and power, inexperience with servicing EVs, regulations associated with the transport or storage of batteries, the need to establish or provide access to sufficient charging locations and unproven high-volume customer demand for EVs. While we have developed and started producing the Lucid Air and Lucid Gravity and have completed</w:t>
      </w:r>
      <w:r>
        <w:rPr>
          <w:color w:val="000000"/>
        </w:rPr>
        <w:t xml:space="preserve"> </w:t>
      </w:r>
      <w:r>
        <w:rPr>
          <w:rFonts w:ascii="Times New Roman;serif" w:hAnsi="Times New Roman;serif"/>
          <w:b w:val="false"/>
          <w:color w:val="000000"/>
          <w:sz w:val="20"/>
        </w:rPr>
        <w:t>the first two phases of construction of AMP-1 and the SKD portion of AMP-2, we have not finished tooling all production lines for AMP-1, and further construction of AMP-1 and the second phase of AMP-2 is underway. If</w:t>
      </w:r>
      <w:r>
        <w:rPr>
          <w:color w:val="242424"/>
        </w:rPr>
        <w:t xml:space="preserve"> </w:t>
      </w:r>
      <w:r>
        <w:rPr>
          <w:rFonts w:ascii="Times New Roman;serif" w:hAnsi="Times New Roman;serif"/>
          <w:b w:val="false"/>
          <w:color w:val="242424"/>
          <w:sz w:val="20"/>
        </w:rPr>
        <w:t>we are not able to overcome these barriers, our business, prospects, results of operations and financial condition will be negatively impacted, and it will harm our ability to grow our business.</w:t>
      </w:r>
    </w:p>
    <w:p>
      <w:pPr>
        <w:pStyle w:val="TextBody"/>
        <w:bidi w:val="0"/>
        <w:spacing w:lineRule="auto" w:line="288" w:before="240" w:after="283"/>
        <w:jc w:val="left"/>
        <w:rPr>
          <w:rFonts w:ascii="Times New Roman;serif" w:hAnsi="Times New Roman;serif"/>
          <w:b/>
          <w:i/>
          <w:color w:val="242424"/>
          <w:sz w:val="20"/>
        </w:rPr>
      </w:pPr>
      <w:r>
        <w:rPr>
          <w:rFonts w:ascii="Times New Roman;serif" w:hAnsi="Times New Roman;serif"/>
          <w:b/>
          <w:i/>
          <w:color w:val="242424"/>
          <w:sz w:val="20"/>
        </w:rPr>
        <w:t>The automotive market is highly competitive, and we may not be successful in competing in this industry.</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The global automotive market, particularly for electric and alternative fuel vehicles, is highly competitive, and we expect it will become even more so in the future. In recent years, the EV industry has grown, with the emergence of several companies that focus completely or partially on the EV market. In addition, traditional automotive manufacturers are also producing and selling electric and alternative fuel vehicles. We expect additional companies to enter this market within the next several years. EV manufacturers with which we compete include Tesla, Rivian, an increasing number of U.S.-based and international entrants and traditional automotive manufacturers, many of which have begun, or announced plans to begin, selling their own EVs in the near-term. We also compete with established automobile manufacturers in the luxury vehicle segment, including certain manufacturers who have entered or plan to enter the alternative fuel and EV market with either fully electric or plug-in hybrid versions of their vehicles. We compete for sales of luxury vehicles with internal combustion engines from established manufacturers. Certain of our competitors, particularly EV manufacturers based in China, have benefited from government support, including subsidies, tax incentives and other industrial policies, which may enhance their competitive position and lower their costs. Many of our current and potential competitors have significantly greater financial, technical, manufacturing, marketing and other resources than we do and may be able to devote greater resources to the design, development, manufacturing, distribution, promotion, sale, servicing, and support of their products, including the ability to significantly reduce prices of their products. In addition, many of these companies have longer operating histories, greater name recognition, larger and more established sales forces, broader customer and industry relationships and other resources than we do. Our competitors may be in a stronger position to respond quickly to changing market conditions and new technologies and may be able to design, develop, market and sell their products more effectively than we do. Vehicle price reductions by our competitors may result in downward price pressure and reduced demand for our vehicles. We may not be able to adjust our pricing strategies effectively, and there can be no assurance that such adjustments will allow us to successfully compete against our competitors, which may have a material adverse effect on our brand, business, prospects, inventory levels, results of operations and financial condition. In addition, increased competition has in the past and may continue to require us to increase marketing and incentive expenses, which may have a material adverse effect on our operating results and financial condition. We expect competition in our industry to significantly intensify in the future in light of the increased demand for alternative fuel vehicles, global competitors, macroeconomic uncertainty, and consolidation in the worldwide automotive industry. Our ability to successfully compete in our industry will be fundamental to our future success in existing and new markets. There can be no assurance that we will be able to compete successfully in our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242424"/>
          <w:sz w:val="20"/>
        </w:rPr>
      </w:pPr>
      <w:r>
        <w:rPr>
          <w:rFonts w:ascii="Times New Roman;serif" w:hAnsi="Times New Roman;serif"/>
          <w:b/>
          <w:i/>
          <w:color w:val="242424"/>
          <w:sz w:val="20"/>
        </w:rPr>
        <w:t>Developments in EV or alternative fuel technology or improvements in the internal combustion engine may adversely affect the demand for our vehicles.</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We may be unable to keep up with changes in EV technology or alternatives to electricity as a fuel source and, as a result, our competitiveness may suffer. Significant developments in alternative technologies, such as alternative battery cell technologies, hydrogen fuel cell technology, advanced gasoline, ethanol or natural gas, or improvements in the fuel economy of the internal combustion engine, may materially and adversely affect our business and prospects in ways we do not currently anticipate. Existing and other battery cell technologies, fuels or sources of energy may emerge as customers’ preferred alternative to the technologies in our EVs. Any failure by us to develop new or enhanced technologies or processes, or to react to changes in existing technologies, could materially delay our development and introduction of new and enhanced EVs, which could result in the loss of competitiveness of our vehicles, decreased revenue and a loss of market share to competitors. In addition, we expect to compete in part on the basis of our vehicles’ range, efficiency, charging speeds, performance and software, and improvements in the technology offered by competitors could reduce demand for our current or future vehicles. As technologies change, we plan to upgrade or adapt our vehicles and introduce new models that reflect such technological developments, but our vehicles may become obsolete, and our research and development efforts may not be sufficient to adapt to changes in alternative fuel and EV technology. Additionally, as other companies continue to enter the EV space, we may lose any technological advantage we may have and suffer a decline in our competitive position. Any failure by us to successfully react to changes in existing technologies or the development of new technologies could materially harm our competitive position and growth prospects.</w:t>
      </w:r>
    </w:p>
    <w:p>
      <w:pPr>
        <w:pStyle w:val="TextBody"/>
        <w:bidi w:val="0"/>
        <w:spacing w:lineRule="auto" w:line="288" w:before="240" w:after="283"/>
        <w:jc w:val="left"/>
        <w:rPr>
          <w:rFonts w:ascii="Times New Roman;serif" w:hAnsi="Times New Roman;serif"/>
          <w:b/>
          <w:i/>
          <w:color w:val="242424"/>
          <w:sz w:val="20"/>
        </w:rPr>
      </w:pPr>
      <w:r>
        <w:rPr>
          <w:rFonts w:ascii="Times New Roman;serif" w:hAnsi="Times New Roman;serif"/>
          <w:b/>
          <w:i/>
          <w:color w:val="242424"/>
          <w:sz w:val="20"/>
        </w:rPr>
        <w:t>The unavailability, reduction or elimination of certain government and economic programs could have a material adverse effect on our business, prospects, financial condition and results of operations.</w:t>
      </w:r>
    </w:p>
    <w:p>
      <w:pPr>
        <w:pStyle w:val="TextBody"/>
        <w:bidi w:val="0"/>
        <w:spacing w:lineRule="auto" w:line="288" w:before="240" w:after="283"/>
        <w:jc w:val="left"/>
        <w:rPr/>
      </w:pPr>
      <w:r>
        <w:rPr>
          <w:rFonts w:ascii="Times New Roman;serif" w:hAnsi="Times New Roman;serif"/>
          <w:b w:val="false"/>
          <w:color w:val="242424"/>
          <w:sz w:val="20"/>
        </w:rPr>
        <w:t xml:space="preserve">We benefit from government and economic programs in the </w:t>
      </w:r>
      <w:r>
        <w:rPr>
          <w:rFonts w:ascii="Times New Roman;serif" w:hAnsi="Times New Roman;serif"/>
          <w:b w:val="false"/>
          <w:color w:val="231F20"/>
          <w:sz w:val="20"/>
        </w:rPr>
        <w:t>U.S.</w:t>
      </w:r>
      <w:r>
        <w:rPr>
          <w:color w:val="242424"/>
        </w:rPr>
        <w:t xml:space="preserve"> </w:t>
      </w:r>
      <w:r>
        <w:rPr>
          <w:rFonts w:ascii="Times New Roman;serif" w:hAnsi="Times New Roman;serif"/>
          <w:b w:val="false"/>
          <w:color w:val="242424"/>
          <w:sz w:val="20"/>
        </w:rPr>
        <w:t xml:space="preserve">and abroad that encourage the development, manufacture or purchase of EVs, such as ZEV credits, production tax credits, GHG credits and similar regulatory credits, the loss of which has and may continue to harm our ability to generate revenue from the sale of such credits to other manufacturers; the availability of tax credits and other incentives to consumers, without which the net cost to consumers of our vehicles could increase, reducing demand for our products; and investment tax credits for equipment, tooling and other capital needs, without which we may be unable to procure the necessary infrastructure for production to support our business and timeline; and certain other benefits, including a California sales and use tax exclusion and certain other hiring and job training credits in California, Michigan and Arizona. In addition, changes to non-financial incentives may also impact demand for our products, such as the federal government’s announcement that electric and other clean air vehicles will no longer be able to use carpool lanes without meeting the high occupancy requirements. We may also benefit from government loan or grant programs. While such EV-related governmental programs and economic incentives have been available in the </w:t>
      </w:r>
      <w:r>
        <w:rPr>
          <w:rFonts w:ascii="Times New Roman;serif" w:hAnsi="Times New Roman;serif"/>
          <w:b w:val="false"/>
          <w:color w:val="231F20"/>
          <w:sz w:val="20"/>
        </w:rPr>
        <w:t>U.S.</w:t>
      </w:r>
      <w:r>
        <w:rPr>
          <w:rFonts w:ascii="Times New Roman;serif" w:hAnsi="Times New Roman;serif"/>
          <w:b w:val="false"/>
          <w:color w:val="242424"/>
          <w:sz w:val="20"/>
        </w:rPr>
        <w:t xml:space="preserve">, Canada and the EU, there is no guarantee that they will be available in the future. Any reduction, elimination, limitation or selective application of tax and other governmental programs and economic incentives because of policy changes, fiscal tightening or other reasons may result in the diminished competitiveness of the EV industry generally or our EVs in particular, which would adversely affect our business, prospects, financial condition and results of operations. On July 4, 2025, the OBBBA was enacted, which among other things, eliminated certain tax credits related to the EV industry. In addition, the OBBBA eliminated the penalties that automakers would pay if they failed to meet CAFE standards, effectively eliminating the financial incentive to comply with those standards. Additionally, the current U.S. presidential administration has issued executive orders that aim to revoke or weaken fuel efficiency and emissions regulations established by the prior administration, and has issued proposed rulemakings that would repeal federal GHG emission standards for certain vehicles and engines and eliminate our CAFE credits. While certain aspects of the OBBBA and the proposed actions by the administration remain subject to the outcome of pending litigation, the ultimate resolutions of such matters remain uncertain. The administration has issued a policy statement aimed at eliminating the “EV mandate,” which targets state-level emissions waivers and governmental subsidies. The administration also revoked the waiver by the U.S. Environmental Protection Agency (“EPA”) that had allowed California and certain other states to implement more stringent emissions standards for heavy-duty vehicles and to require all new passenger cars, trucks, and SUVs sold in California to be zero-emission by 2035. In particular, the National Highway and Traffic Safety Administration (“NHTSA”) has proposed a rule that would, among other things, reset and reduce CAFE standards and eliminate CAFE EV credit trading. In response, California and certain other states have initiated litigation challenging the legal validity of these actions. The outcome of the litigation remains uncertain. These, and any similar legislative or executive actions in the future, may adversely affect demand for our vehicles as well as our business, prospects, financial condition and results of operations. </w:t>
      </w:r>
      <w:r>
        <w:rPr>
          <w:rFonts w:ascii="Times New Roman;serif" w:hAnsi="Times New Roman;serif"/>
          <w:b w:val="false"/>
          <w:i/>
          <w:color w:val="242424"/>
          <w:sz w:val="20"/>
        </w:rPr>
        <w:t xml:space="preserve">See “— Failure to attract customers, failure to complete the purchase process with customers, and customer cancellation of orders may have a material adverse impact on our business, prospects, results of operations and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242424"/>
          <w:sz w:val="20"/>
        </w:rPr>
      </w:pPr>
      <w:r>
        <w:rPr>
          <w:rFonts w:ascii="Times New Roman;serif" w:hAnsi="Times New Roman;serif"/>
          <w:b/>
          <w:i/>
          <w:color w:val="242424"/>
          <w:sz w:val="20"/>
        </w:rPr>
        <w:t>We may be unable to offer attractive leasing and financing options for our current and future vehicles, which would adversely affect consumer demand. In addition, offering leasing and financing options to customers could expose us to credit and residual value risk.</w:t>
      </w:r>
    </w:p>
    <w:p>
      <w:pPr>
        <w:pStyle w:val="TextBody"/>
        <w:bidi w:val="0"/>
        <w:spacing w:lineRule="auto" w:line="288" w:before="240" w:after="283"/>
        <w:jc w:val="left"/>
        <w:rPr/>
      </w:pPr>
      <w:r>
        <w:rPr>
          <w:rFonts w:ascii="Times New Roman;serif" w:hAnsi="Times New Roman;serif"/>
          <w:b w:val="false"/>
          <w:color w:val="242424"/>
          <w:sz w:val="20"/>
        </w:rPr>
        <w:t>We offer leasing and financing of our vehicles to potential customers through third-party financing partners and intend to do the same in new markets, but we cannot provide any assurance that such third-party financing partners will continue, or would be able or willing, to provide such services on terms acceptable to us or our customers, if at all. Furthermore, because we have only sold a limited number of vehicles and only a limited secondary market for our vehicles exists, the future resale value of our vehicles is difficult to predict, and, if the actual resale value of our vehicles is lower than anticipated, it would make providing leasing terms that appeal to potential customers through such third-party financing partners more difficult. We believe that the ability to offer attractive leasing and financing options—whether due to the availability, reduction or continued elimination of tax incentives and certain governmental or economic programs, the availability of agreements with our third-party financing partners on terms acceptable to us or our customers, or other reasons—is particularly relevant to customers in the luxury vehicle segments in which we compete, and if we are unable to offer our customers an attractive option to finance the purchase of or lease the Lucid Air, the Lucid Gravity or planned future vehicles, including the upcoming Midsize platform vehicles, such failure could substantially reduce the population of potential customers and decrease demand for our vehicles. See “—</w:t>
      </w:r>
      <w:r>
        <w:rPr>
          <w:color w:val="242424"/>
        </w:rPr>
        <w:t xml:space="preserve"> </w:t>
      </w:r>
      <w:r>
        <w:rPr>
          <w:rFonts w:ascii="Times New Roman;serif" w:hAnsi="Times New Roman;serif"/>
          <w:b w:val="false"/>
          <w:i/>
          <w:color w:val="242424"/>
          <w:sz w:val="20"/>
        </w:rPr>
        <w:t>The unavailability, reduction or elimination of certain government and economic programs could have a material adverse effect on our business, prospects, financial condition and results of operations</w:t>
      </w:r>
      <w:r>
        <w:rPr>
          <w:rFonts w:ascii="Times New Roman;serif" w:hAnsi="Times New Roman;serif"/>
          <w:b w:val="false"/>
          <w:color w:val="242424"/>
          <w:sz w:val="20"/>
        </w:rPr>
        <w:t>.</w:t>
      </w:r>
      <w:r>
        <w:rPr>
          <w:color w:val="242424"/>
        </w:rPr>
        <w:t xml:space="preserve">” </w:t>
      </w:r>
      <w:r>
        <w:rPr>
          <w:rFonts w:ascii="Times New Roman;serif" w:hAnsi="Times New Roman;serif"/>
          <w:b w:val="false"/>
          <w:color w:val="242424"/>
          <w:sz w:val="20"/>
        </w:rPr>
        <w:t>and</w:t>
      </w:r>
      <w:r>
        <w:rPr>
          <w:color w:val="242424"/>
        </w:rPr>
        <w:t xml:space="preserve"> “— </w:t>
      </w:r>
      <w:r>
        <w:rPr>
          <w:rFonts w:ascii="Times New Roman;serif" w:hAnsi="Times New Roman;serif"/>
          <w:b w:val="false"/>
          <w:i/>
          <w:color w:val="242424"/>
          <w:sz w:val="20"/>
        </w:rPr>
        <w:t>Failure to attract customers, failure to complete the purchase process with customers, and customer cancellation of orders may have a material adverse impact on our business, prospects, results of operations and financial condition.”</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Furthermore, offering leasing and financing alternatives to customers could expose us to regulatory risks commonly associated with the extension of consumer credit. Competitive pressure and challenging markets could increase credit risk through leases and loans to financially weak customers, extended payment terms, and leases and loans into new and immature markets, and any such credit risk could be further heightened in light of the economic uncertainty and any economic recession or other downturn, whether due to inflation, global or regional conflicts or other geopolitical events, or public crises. If we are unable to provide leasing and financing arrangements that appeal to potential customers in a timely manner, or if the provision of such arrangements exposes us to excessive consumer credit risk or regulatory risk, our business, competitive position, results of operations and financial condition could be adversely affected.</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In addition, we provide a residual value guarantee to our commercial banking partner in connection with our vehicle leasing program, under which we are contractually obligated to share a portion of the shortfall between the resale value realized by the commercial banking partner and a predetermined resale value. However, actual resale values are subject to fluctuations from various factors such as the condition of the leased vehicle, market price of new vehicles, and general economic conditions. If the resale values of leased vehicles pursuant to the vehicle leasing program are materially lower than our estimates, we may be required to cover some or all of such difference and our results of operations could be negatively impacted.</w:t>
      </w:r>
    </w:p>
    <w:p>
      <w:pPr>
        <w:pStyle w:val="TextBody"/>
        <w:bidi w:val="0"/>
        <w:spacing w:lineRule="auto" w:line="288" w:before="240" w:after="283"/>
        <w:jc w:val="left"/>
        <w:rPr>
          <w:rFonts w:ascii="Times New Roman;serif" w:hAnsi="Times New Roman;serif"/>
          <w:b/>
          <w:i/>
          <w:color w:val="242424"/>
          <w:sz w:val="20"/>
        </w:rPr>
      </w:pPr>
      <w:r>
        <w:rPr>
          <w:rFonts w:ascii="Times New Roman;serif" w:hAnsi="Times New Roman;serif"/>
          <w:b/>
          <w:i/>
          <w:color w:val="242424"/>
          <w:sz w:val="20"/>
        </w:rPr>
        <w:t>We may not be able to obtain or agree on acceptable terms and conditions for all or a significant portion of the government grants, loans and other incentives for which we may apply. As a result, our business and prospects may be adversely affected.</w:t>
      </w:r>
    </w:p>
    <w:p>
      <w:pPr>
        <w:pStyle w:val="TextBody"/>
        <w:bidi w:val="0"/>
        <w:spacing w:lineRule="auto" w:line="288" w:before="240" w:after="283"/>
        <w:jc w:val="left"/>
        <w:rPr/>
      </w:pPr>
      <w:r>
        <w:rPr>
          <w:rFonts w:ascii="Times New Roman;serif" w:hAnsi="Times New Roman;serif"/>
          <w:b w:val="false"/>
          <w:color w:val="242424"/>
          <w:sz w:val="20"/>
        </w:rPr>
        <w:t xml:space="preserve">We may apply for federal, state and foreign grants, loans and tax incentives under government programs designed to stimulate the economy and support the production of alternative fuel and EVs and related technologies. We anticipate that in the future there may be new opportunities for us to apply for grants, loans and other incentives from the </w:t>
      </w:r>
      <w:r>
        <w:rPr>
          <w:rFonts w:ascii="Times New Roman;serif" w:hAnsi="Times New Roman;serif"/>
          <w:b w:val="false"/>
          <w:color w:val="231F20"/>
          <w:sz w:val="20"/>
        </w:rPr>
        <w:t>U.S.</w:t>
      </w:r>
      <w:r>
        <w:rPr>
          <w:color w:val="242424"/>
        </w:rPr>
        <w:t xml:space="preserve"> </w:t>
      </w:r>
      <w:r>
        <w:rPr>
          <w:rFonts w:ascii="Times New Roman;serif" w:hAnsi="Times New Roman;serif"/>
          <w:b w:val="false"/>
          <w:color w:val="242424"/>
          <w:sz w:val="20"/>
        </w:rPr>
        <w:t>federal and state governments, as well as foreign governments. Our ability to obtain funds or incentives from government sources is subject to the availability of funds under applicable government programs and approval of our applications to participate in such programs. The application process for these funds and other incentives will likely be highly competitive. We cannot guarantee that we will be successful in obtaining any of these additional grants, loans and other incentives. If we are not successful in obtaining any of these additional incentives and we are unable to find alternative sources of funding to meet our planned capital needs, our business and prospects could be materially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242424"/>
          <w:sz w:val="20"/>
        </w:rPr>
      </w:pPr>
      <w:r>
        <w:rPr>
          <w:rFonts w:ascii="Times New Roman;serif" w:hAnsi="Times New Roman;serif"/>
          <w:b/>
          <w:i/>
          <w:color w:val="242424"/>
          <w:sz w:val="20"/>
        </w:rPr>
        <w:t>We are subject to risks associated with autonomous driving and advanced driver assistance system technology, and we cannot guarantee that our vehicles will achieve our targeted assisted or autonomous driving functionality within our projected timeframe, if ever.</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We design our vehicles with proprietary ADAS hardware and software. The Lucid Air and Lucid Gravity are equipped with Level 2 (partial automation) ADAS functionality. Additionally, our vehicles are capable of integrating third-party ADAS and autonomous vehicles (“AV”) hardware and software. For example, in July 2025, we entered into an integration agreement with Nuro to install autonomous driving software in Lucid Gravity vehicles, in conjunction with our agreement with Uber, to enable Uber and its designated fleet operators to operate such vehicles, in specified geographical areas, without human intervention (“Level 4 autonomy”). In addition, we entered into the Second VPA with Uber in April 2026, further expanding our strategic partnership in connection with our Midsize platform vehicles. Over time, we plan to upgrade our vehicles with additional ADAS and AV capabilities. ADAS and AV technologies are emerging and subject to known and unknown risks, and there have been accidents and fatalities associated with such technologies. The safety of such technologies depends in part on user interaction, and users, as well as other drivers on the roadways, may not be accustomed to using or adapting to such technologies. In addition, self-driving technologies are the subject of intense public scrutiny and interest, and previous accidents involving autonomous driving features in other non-Lucid vehicles, including alleged failures or misuse of such features, have generated significant negative media attention and government investigations. We and others in our industry are subject to a Standing General Order issued by NHTSA that requires us to report certain crashes in which ADAS features were active, and these crash reports may become publicly available. To the extent accidents associated with our ADAS or third-party technologies occur, we could be subject to significant liability, negative publicity, government scrutiny and further regulation. Any of the foregoing could materially and adversely affect our results of operations, financial condition and growth prospects.</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In addition, we face substantial competition in the development and deployment of ADAS and AV technologies. Many of our competitors, including established automakers and technology companies, have devoted significant time and resources to developing self-driving technologies. If we are unable to develop or improve competitive Level 2 or more advanced ADAS or AV technologies in-house or acquire access to such technologies via partnerships or investments in other companies or assets, we may be unable to equip our vehicles with competitive ADAS or AV features, which could damage our brand, harm our competitive position, reduce consumer demand for our vehicles and could have a material adverse effect on our business, results of operations, prospects and financial condition.</w:t>
      </w:r>
    </w:p>
    <w:p>
      <w:pPr>
        <w:pStyle w:val="TextBody"/>
        <w:bidi w:val="0"/>
        <w:spacing w:lineRule="auto" w:line="288" w:before="240" w:after="283"/>
        <w:jc w:val="left"/>
        <w:rPr/>
      </w:pPr>
      <w:r>
        <w:rPr>
          <w:rFonts w:ascii="Times New Roman;serif" w:hAnsi="Times New Roman;serif"/>
          <w:b w:val="false"/>
          <w:color w:val="242424"/>
          <w:sz w:val="20"/>
        </w:rPr>
        <w:t xml:space="preserve">ADAS and AV technologies are also subject to regulatory uncertainty, which exposes us to additional risks. See “— Risks Related to Litigation and Regulation </w:t>
      </w:r>
      <w:r>
        <w:rPr>
          <w:color w:val="242424"/>
        </w:rPr>
        <w:t xml:space="preserve">— </w:t>
      </w:r>
      <w:r>
        <w:rPr>
          <w:rFonts w:ascii="Times New Roman;serif" w:hAnsi="Times New Roman;serif"/>
          <w:b w:val="false"/>
          <w:i/>
          <w:color w:val="242424"/>
          <w:sz w:val="20"/>
        </w:rPr>
        <w:t>ADAS and autonomous vehicle technologies are subject to uncertain and evolving regulations.</w:t>
      </w:r>
      <w:r>
        <w:rPr>
          <w:color w:val="242424"/>
        </w:rPr>
        <w:t>”</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Uninsured or underinsured losses could result in payment of substantial damages, which would decrease our cash reserves and could harm our cash flow and financial condition.</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the ordinary course of business, we may be subject to losses resulting from claims such as product liability, significant accidents, acts of God or other claims brought against us, for which we may have no or insufficient insurance coverage. While we currently carry insurance that is generally customary for a company of our size and operations, we may not maintain as much insurance coverage as other original equipment manufacturers, and in some cases, we may not maintain any at all. Additionally, the policies that we have in place may include significant deductibles, limitations or exclusions, and we cannot be certain that our insurance coverage will be sufficient to cover all or any future claims. A loss that is uninsured or exceeds existing policy limits may require us to pay unexpected and substantial amounts, which could adversely affect our financial condition and results of operations. Further, insurance coverage may not continue to be available to us or, if available, may be at a significantly higher cost based on insurance market conditions, changes in our risk profile or loss portfolio. This may require a change in our insurance purchasing philosophy and strategy which can result in the assumption of greater risks to offset insurance market fluctuations.</w:t>
      </w:r>
    </w:p>
    <w:p>
      <w:pPr>
        <w:pStyle w:val="TextBody"/>
        <w:bidi w:val="0"/>
        <w:spacing w:lineRule="auto" w:line="288" w:before="240" w:after="283"/>
        <w:jc w:val="left"/>
        <w:rPr>
          <w:rFonts w:ascii="Times New Roman;serif" w:hAnsi="Times New Roman;serif"/>
          <w:b/>
          <w:i/>
          <w:color w:val="242424"/>
          <w:sz w:val="20"/>
        </w:rPr>
      </w:pPr>
      <w:r>
        <w:rPr>
          <w:rFonts w:ascii="Times New Roman;serif" w:hAnsi="Times New Roman;serif"/>
          <w:b/>
          <w:i/>
          <w:color w:val="242424"/>
          <w:sz w:val="20"/>
        </w:rPr>
        <w:t>Extended periods of low gasoline or other petroleum-based fuel prices could adversely affect demand for our vehicles, which would adversely affect our business, prospects, results of operations and financial condition.</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 xml:space="preserve">A portion of the current and expected demand for EVs results from concerns about volatility in the cost of gasoline and other petroleum-based fuel, the dependency of the U.S. on oil from unstable or hostile countries, government regulations and the availability, reduction or elimination of economic incentives promoting fuel efficiency and alternative forms of energy, as well as concerns about climate change resulting in part from the burning of fossil fuels. If the cost of gasoline and other petroleum-based fuel decreases significantly, the outlook for the long-term supply of oil to the U.S. improves, the government eliminates or modifies its regulations or economic incentives related to fuel efficiency and alternative forms of energy or there is a change in the perception that the burning of fossil fuels negatively impacts the environment, the demand for EVs, including our vehicles, could be reduced, and our business and revenue may be harmed. In addition to the OBBBA, the current U.S. presidential administration has prioritized efforts that encourage domestic production of fossil-fuel energy, including oil. If increased production of oil lowers gas prices, demand for EV vehicles may decline.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Gasoline and other petroleum-based fuel prices have historically been extremely volatile and it is difficult to ascertain whether such volatility will continue to persist, which could be exacerbated by geopolitical events, including the recent conflict in Iran. Lower gasoline or other petroleum-based fuel prices over extended periods of time may lower the perception in government and the private sector that cheaper, more readily available energy alternatives should be developed and produced. If gasoline or other petroleum-based fuel prices remain at deflated levels for extended periods of time, the demand for EVs, including our vehicles, may decrease, which would have an adverse effect on our business, prospects, financial condition and results of operations.</w:t>
      </w:r>
    </w:p>
    <w:p>
      <w:pPr>
        <w:pStyle w:val="TextBody"/>
        <w:bidi w:val="0"/>
        <w:spacing w:lineRule="auto" w:line="288" w:before="240" w:after="283"/>
        <w:jc w:val="left"/>
        <w:rPr>
          <w:rFonts w:ascii="Times New Roman;serif" w:hAnsi="Times New Roman;serif"/>
          <w:b/>
          <w:i/>
          <w:color w:val="242424"/>
          <w:sz w:val="20"/>
        </w:rPr>
      </w:pPr>
      <w:r>
        <w:rPr>
          <w:rFonts w:ascii="Times New Roman;serif" w:hAnsi="Times New Roman;serif"/>
          <w:b/>
          <w:i/>
          <w:color w:val="242424"/>
          <w:sz w:val="20"/>
        </w:rPr>
        <w:t>Changing and at times, conflicting expectations from global regulators, our investors, customers and employees with respect to sustainability matters may impose additional costs on us or expose us to new or additional risks.</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Attention from governmental organizations and our investors, customers and employees, on sustainability issues and disclosure, may cause us to incur additional costs or expose us to additional risks. There can be no certainty that we will be able to meet varying or conflicting stakeholder expectations regarding these matters to our various stakeholders’ satisfaction. Negative public perception, adverse publicity or negative comments in social media about us could damage our reputation. Any harm to our reputation could impact our employees’ engagement and retention and the willingness of our customers and partners to do business with us.</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Additional costs and resources may be required to monitor, report, and comply with global regulations on sustainability topics, and the rapidly changing regulatory landscape makes it difficult to plan for future developments. Actual or perceived shortcomings or dissatisfaction with our sustainability practices and reporting may subject us to litigation and could negatively impact our business. In addition, a variety of organizations have developed ratings to measure the performance of companies on these topics, and the results of these assessments are widely publicized. Unfavorable or downgraded ratings of our company or our industries, as well as non-inclusion or removal of our stock on sustainability-oriented investment funds or indexes, may lead to negative investor sentiment and the diversion of investment to other companies or industries, which could have a negative impact on our stock price.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Risks Related to Manufacturing and Supply Chain</w:t>
      </w:r>
    </w:p>
    <w:p>
      <w:pPr>
        <w:pStyle w:val="TextBody"/>
        <w:bidi w:val="0"/>
        <w:spacing w:lineRule="auto" w:line="288" w:before="240" w:after="283"/>
        <w:jc w:val="left"/>
        <w:rPr/>
      </w:pPr>
      <w:r>
        <w:rPr>
          <w:rFonts w:ascii="Times New Roman;serif" w:hAnsi="Times New Roman;serif"/>
          <w:b/>
          <w:i/>
          <w:color w:val="231F20"/>
          <w:sz w:val="20"/>
        </w:rPr>
        <w:t xml:space="preserve">We have experienced and may in the future experience significant delays in the design, launch and manufacture of our vehicles, including the Lucid Air, the </w:t>
      </w:r>
      <w:r>
        <w:rPr>
          <w:rFonts w:ascii="Times New Roman;serif" w:hAnsi="Times New Roman;serif"/>
          <w:b/>
          <w:i/>
          <w:color w:val="000000"/>
          <w:sz w:val="20"/>
        </w:rPr>
        <w:t>Lucid</w:t>
      </w:r>
      <w:r>
        <w:rPr>
          <w:color w:val="000000"/>
        </w:rPr>
        <w:t xml:space="preserve"> </w:t>
      </w:r>
      <w:r>
        <w:rPr>
          <w:rFonts w:ascii="Times New Roman;serif" w:hAnsi="Times New Roman;serif"/>
          <w:b/>
          <w:i/>
          <w:color w:val="231F20"/>
          <w:sz w:val="20"/>
        </w:rPr>
        <w:t>Gravity and our upcoming Midsize platform, which could harm our business and prospects.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plan to scale our manufacturing capacity and increase sales is dependent upon the timely availability of funds, upon our finalizing of the related design, engineering, component procurement, testing, build-out and manufacturing plans in a timely manner and also upon our ability to execute these plans within the planned timeline. Automobile manufacturers often experience delays in the design, manufacture and commercial release of new vehicle models, as well as in ramping up production, and we have experienced in the past, and may experience in the future, such delays with regard to our vehicles. For example, we have experienced delays in the engineering of certain of our vehicle systems, including as a result of design changes to components. Any future delays in the design, launch and manufacture of our vehicles and variants could materially damage our brand, business, prospects, financial condition and results of operations.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Midsize platform is still under development, and may be delayed or not proceed as planned. Additionally, prior to mass production of our EVs, they must be fully approved for sale in accordance with a range of jurisdiction-specific requirements, including but not limited to regulatory approvals in the various geographies where we intend to launch. Likewise, we have encountered and may continue to encounter delays with the design, construction, and regulatory or other approvals necessary to bring online our future expansions in Arizona and Saudi Arabia, or any other future manufacturing facilities. We have experienced and may continue to experience delays in the launch and ramp of our vehicles and as a result, our growth prospects could be adversely affected.</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Furthermore, we rely on third-party suppliers for the development, manufacture, and supply of many key components and materials used in our vehicles, as well as for provisioning and servicing equipment at our manufacturing facilities. We have experienced, and may in the future experience, delays if our suppliers are unwilling to supply components on acceptable terms, do not agree to our timing or volume requirements, fail to meet agreed-upon timelines and volumes, experience capacity constraints, or deliver components that do not meet our quality standards or other requirements. We have also been affected by ongoing, industry-wide challenges in logistics and supply chains, such as increased supplier lead times and the limited availability of reliable third-party suppliers. For example, the military operations in the Gulf region and the Middle East, and the potential escalation and broadening of the conflict in Iran, each of which affect global energy prices and disrupt supply chains both regionally and globally, have and may continue to adversely impact our operations in the Middle East, delay shipments of equipment components, particularly those that go through the Strait of Hormuz shipment route, or hinder the movement of personnel necessary for our international manufacturing and logistics activities. These challenges have affected our ability, as well as the ability of our suppliers, to obtain parts, components and manufacturing equipment on a timely basis, and in some instances, have resulted in increased costs and delays in facilities construction and expansion as well as vehicle production ramp-up. We expect the risk of unexpected disruptions to continue for the foreseeable future. Any delays by our suppliers in delivering or developing necessary components may result in further setbacks to our production and delivery timelines.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The continued development, manufacturing and production ramp of our vehicles are and will be subject to risks, including with respect to:</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ability to ensure ongoing readiness of firmware features and functions to be integrated into our vehicles as planned and on the desired timeline;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ability to finalize release candidate specifications for our future vehicles as planned and on the desired timeline;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any delays by us in delivering final component designs to our suppliers or any changes to such component designs;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or our suppliers’ ability to successfully tool manufacturing facilities as planned and on the desired timeline;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ability to ensure a working and reliable supply chain and desired supplier part quality and quantity as planned and on the desired timeline;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ability to accurately manufacture vehicles within specified design tolerances;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ability to establish, implement,</w:t>
      </w:r>
      <w:r>
        <w:rPr>
          <w:color w:val="000000"/>
        </w:rPr>
        <w:t xml:space="preserve"> </w:t>
      </w:r>
      <w:r>
        <w:rPr>
          <w:rFonts w:ascii="Times New Roman;serif" w:hAnsi="Times New Roman;serif"/>
          <w:b w:val="false"/>
          <w:color w:val="000000"/>
          <w:sz w:val="20"/>
        </w:rPr>
        <w:t>refine and scale, as well as make significant investments in manufacturing, supply chain management and logistics functions, including the related information technology systems and software applications;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adequately reduce and control the costs of key parts and materials;</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our ability to significantly reduce freight costs, including in-bound freight costs;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manage any transitions or changes in our production process, planned or unplanned;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occurrence of product defects that cannot be remedied without adversely affecting the production;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secure neces</w:t>
      </w:r>
      <w:r>
        <w:rPr>
          <w:rFonts w:ascii="Times New Roman;serif" w:hAnsi="Times New Roman;serif"/>
          <w:b w:val="false"/>
          <w:color w:val="231F20"/>
          <w:sz w:val="20"/>
        </w:rPr>
        <w:t>sary funding;</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ability to obtain required regulatory approvals and certifications;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ability to comply with environmental, safety, and similar regulations and in a timely manner;</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ability to secure necessary components, services, or licenses on acceptable terms and in a timely manner;</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ability to attract, recruit, hire, retain and train skilled employees including supply chain management, supplier quality, manufacturing and logistics personnel;</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ability to design and implement effective and efficient quality control and inventory management processes;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 xml:space="preserve">securing in a timely manner necessary raw materials and components that meet our quality standards, cost-effectively in domestic and international sourcing, including raw materials and components subject to China’s export control requirements regarding certain rare-earth minerals and semiconductor-related products, such as microchips and memory; </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ability to maintain arrangements on commercially reasonable terms with our suppliers, delivery and other partners, after sales service providers, and other operationally significant third parties;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other delays, backlog in manufacturing and research and development of new mo</w:t>
      </w:r>
      <w:r>
        <w:rPr>
          <w:rFonts w:ascii="Times New Roman;serif" w:hAnsi="Times New Roman;serif"/>
          <w:b w:val="false"/>
          <w:color w:val="000000"/>
          <w:sz w:val="20"/>
        </w:rPr>
        <w:t>dels, and cost overruns;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any other risks identified herein.</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Any significant delay or complication in the design of our vehicles, or in the launch, manufacture, and production ramp of our products, features and services, including those related to expanding our production capacity and supply chain, obtaining or maintaining necessary regulatory approvals, or managing such ramps cost-effectively, could materially damage our brand, business, prospects, financial condition and results of operations.</w:t>
      </w:r>
    </w:p>
    <w:p>
      <w:pPr>
        <w:pStyle w:val="TextBody"/>
        <w:bidi w:val="0"/>
        <w:spacing w:lineRule="auto" w:line="288" w:before="240" w:after="283"/>
        <w:jc w:val="left"/>
        <w:rPr/>
      </w:pPr>
      <w:r>
        <w:rPr>
          <w:rFonts w:ascii="Times New Roman;serif" w:hAnsi="Times New Roman;serif"/>
          <w:b w:val="false"/>
          <w:color w:val="231F20"/>
          <w:sz w:val="20"/>
        </w:rPr>
        <w:t>We expect that we will require additional financing</w:t>
      </w:r>
      <w:r>
        <w:rPr>
          <w:color w:val="000000"/>
        </w:rPr>
        <w:t xml:space="preserve"> </w:t>
      </w:r>
      <w:r>
        <w:rPr>
          <w:rFonts w:ascii="Times New Roman;serif" w:hAnsi="Times New Roman;serif"/>
          <w:b w:val="false"/>
          <w:color w:val="000000"/>
          <w:sz w:val="20"/>
        </w:rPr>
        <w:t>to fund our planned operations and expansion plans. If we are unable to arrange for required funds under the terms and on the timeline that we anticipate, our plans for tooling and building out our manufacturing facilities and for commercial production of our EVs could be significantly delayed, which would materially adversely affect our business, prospects, financial condition and results of operations. See “</w:t>
      </w:r>
      <w:r>
        <w:rPr>
          <w:color w:val="000000"/>
        </w:rPr>
        <w:t>—</w:t>
      </w:r>
      <w:r>
        <w:rPr>
          <w:rFonts w:ascii="Times New Roman;serif" w:hAnsi="Times New Roman;serif"/>
          <w:b w:val="false"/>
          <w:color w:val="000000"/>
          <w:sz w:val="20"/>
        </w:rPr>
        <w:t xml:space="preserve">Risks Related to Financing and Strategic Transactions </w:t>
      </w:r>
      <w:r>
        <w:rPr>
          <w:color w:val="000000"/>
        </w:rPr>
        <w:t xml:space="preserve">— </w:t>
      </w:r>
      <w:r>
        <w:rPr>
          <w:rFonts w:ascii="Times New Roman;serif" w:hAnsi="Times New Roman;serif"/>
          <w:b w:val="false"/>
          <w:i/>
          <w:color w:val="000000"/>
          <w:sz w:val="20"/>
        </w:rPr>
        <w:t>We will require additional capital to support business growth, and this capital might not be available on commercially reasonable terms,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i/>
          <w:color w:val="000000"/>
          <w:sz w:val="20"/>
        </w:rPr>
        <w:t xml:space="preserve">Our ability to continue production and grow depends upon our ability to </w:t>
      </w:r>
      <w:r>
        <w:rPr>
          <w:rFonts w:ascii="Times New Roman;serif" w:hAnsi="Times New Roman;serif"/>
          <w:b/>
          <w:i/>
          <w:color w:val="231F20"/>
          <w:sz w:val="20"/>
        </w:rPr>
        <w:t>maintain relationships with our existing suppliers and source suppliers for our critical components, and to complete building out our supply chain, while effectively managing the risks due to such relationships.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Our success, including our ability to continue production of our current vehicle models, and commence production of our Midsize platform, will depend on our ability to enter into supplier agreements and maintain our relationships with hundreds of suppliers that are critical to the production of our vehicles. To date, we have not secured long-term supply agreements for all of our components, and for some components, our supply agreements do not guarantee sufficient quantities of components for our vehicle production ramp. We seek opportunities to secure long-term committed supply agreements for certain of these components. The supplier agreements we have or may enter into with key suppliers in the future may not be renewed or may contain provisions under which suppliers may refuse to supply. To the extent that we do not have long-term supply agreements with guaranteed pricing for our parts or components, we will be exposed to fluctuations in prices of components, materials and equipment. In addition, our agreements for the purchase of battery cells and other components often contain pricing provisions that are subject to adjustment based on changes in market prices of key commodities or currency values. Substantial increases in the costs for such components, materials and equipment, whether due to supply chain or logistics issues, adverse economic conditions, geopolitical conflicts, changes in trade policies or agreements, the uncertainties surrounding domestic and foreign tariffs, export controls, inflation, or increased energy or natural gas costs, would increase our operating costs and could reduce our margins if we cannot offset these increased costs. Any attempts to increase the announced or expected prices of our vehicles in response to increased costs could be viewed negatively by our potential customers and could adversely affect our business, prospects, financial condition or results of operations.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may also be at a disadvantage in negotiating supply agreements for the production of our vehicles as well as for the design and construction of our manufacturing facilities due to our limited operating history. In addition, given that in many cases we are an aggregator of automotive parts produced by third-party manufacturers, there is the possibility that supply agreements for the parts and components for our vehicles could be at costs that make it difficult for us to operate profitably.</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addition, lower production volumes or demand, or reductions in our projected production volumes, have negatively affected, and could continue to adversely affect, our relationships with existing suppliers, who may seek to increase pricing, assert contractual or other claims, or otherwise fail to perform or comply with contractual obligations. We currently have, and may in the future have, supplier contractual claims, which would adversely affect our ability to obtain services and components from such suppliers. In addition, if we are unable to establish or maintain confidence among suppliers with respect to our liquidity and long-term business prospects, we may lose our relationships or contracts with such suppliers. Any such action has resulted, and may in the future result, in supply disruptions, increased costs, or disputes, which could materially and adversely affect our business, financial condition, and results of operations.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are dependent on our suppliers, the majority of which are single-source suppliers, and the inability or unwillingness of these suppliers to deliver necessary components of our products according to our schedule and at prices, quality levels and volumes acceptable to us, or our inability to efficiently manage these components or to implement or maintain effective inventory management and other systems, processes and personnel to support ongoing and increased production, could have a material adverse effect on our results of operations and financial condition.</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We rely on hundreds of third-party suppliers for the provision and development of many key components and materials used in our vehicles. While we seek to obtain components from multiple sources whenever possible, many components used in our vehicles will be custom-designed and purchased by us from a single source. Our limited, and in many cases single-source, supply chain exposes us to delivery failure or component shortages for our production. Our third-party suppliers may not be able to meet our required product specifications and performance characteristics, which would impact our ability to achieve our product specifications and performance characteristics as well. Additionally, our third-party suppliers may be unable to obtain required certifications or provide necessary warranties for their products that are necessary for use in our vehicles. </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We have been affected by ongoing, industry-wide challenges in logistics and supply chains, such as increased supplier lead times, limited availability of reliable third-party suppliers, and ongoing constraints in the supply of semiconductors and their related products. We expect that these industry-wide trends may continue to affect the ability of us and our suppliers to obtain parts, components and manufacturing equipment, including for the expansion of AMP-1 and the construction of AMP-2, on a timely basis for the foreseeable future, and may result in increased costs. Changes in our supply chain or production needs in order to meet our desired quality targets, development timelines and production volumes as well as due to design changes and model updates have resulted in cost increases from our suppliers.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231F20"/>
          <w:sz w:val="20"/>
        </w:rPr>
      </w:pPr>
      <w:r>
        <w:rPr>
          <w:rFonts w:ascii="Times New Roman;serif" w:hAnsi="Times New Roman;serif"/>
          <w:b w:val="false"/>
          <w:color w:val="231F20"/>
          <w:sz w:val="20"/>
        </w:rPr>
        <w:t>Any significant increases in our production, such as production ramp of our vehicles, may require us to procure additional components in a short amount of time and our suppliers may not ultimately be able to sustainably and timely meet our cost, quality and volume needs, requiring us to replace them with other sources. In many cases, our suppliers provide us with custom-designed parts that would require significant lead time to obtain from alternative suppliers, or may not be available from alternative suppliers at all. If we are unable to obtain suitable components and materials used in our vehicles from our suppliers or if our suppliers decide to create or supply a competing product, our business could be adversely affected. Further, if we are unsuccessful in our efforts to control and reduce supplier costs, our results of operations will suffer. Alternatively, if our production decreases significantly below our projections for any reason, we may not meet all of our purchase commitments with suppliers with whom we have non-cancelable long-term purchase commitments. In cases where we are unable to fully utilize our purchase commitments, we have in the past and may continue to face fees, penalties, increased prices, excess inventory or inventory write-offs, and there could be a material adverse effect on our results of operations. In addition, lower production volumes or demand, or reductions in our projected production volumes, have negatively affected, and could continue to adversely affect, our relationships with suppliers, who may seek to increase pricing, assert contractual or other claims, or otherwise fail to perform or comply with contractual obligations. We currently have, and may in the future have, supplier contractual claims, which would adversely affect our ability to obtain services and components from such suppliers. In addition, if we are unable to establish or maintain confidence among suppliers with respect to our liquidity and long-term business prospects, we may lose our relationships or contracts with such suppliers. Any such action has resulted, and may in the future result, in supply disruptions, increased costs, or disputes, which could materially and adversely affect our business, financial condition, and results of operations.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addition, we have experienced, and in the future could continue to experience, delays if our suppliers are unwilling to supply components on acceptable terms, do not agree to our timing or volume requirements, fail to meet agreed-upon timelines and volumes, experience capacity constraints, or deliver components that do not meet our quality standards or other requirements. This may seriously harm our reputation, increase our warranty and other costs, or lead to product returns or recalls, any of which may materially harm our business. For example, during the first quarter of 2026, deliveries of the Lucid Gravity were disrupted for 29 days due to a supplier quality issue with the second-row seats, which affected our production and sales. Any disruption in the supply of components, including battery cells, magnets and semiconductors, whether or not from a single source supplier, could temporarily disrupt production of our vehicles until an alternative supplier is able to supply the required material. Any such delay, even if caused by a delay or shortage in only one part, could significantly affect our ability to meet our planned vehicle production targets. Even in situations where we may be able to establish alternate supply relationships and obtain or engineer replacement components for our single source components, we may be unable to do so quickly, or at all, at prices or quality levels that are acceptable to us. This risk is heightened by the fact that we have less negotiating leverage with suppliers than larger and more established automobile manufacturers, which could adversely affect our ability to obtain necessary components and materials on a timely basis, on favorable pricing and other terms, or at all. The industry in which we operate has experienced severe supply chain disruptions, and we expect these conditions to continue for the foreseeable future. Any such supply disruption could materially and adversely affect our results of operations, financial condition and prospects.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Furthermore, as we scale our vehicle production, we will need to accurately forecast, purchase, warehouse and transport components to our manufacturing facilities and servicing locations internationally and at much higher volumes. We are only beginning to scale production in our manufacturing facilities and in the process we have experienced challenges associated with such activities. If our production decreases significantly below our projections for any reason, we have incurred in the past, and may incur in the future, losses due to inventory write-downs or assets impairment. We are also only in the process of scaling our vehicle servicing operations. Accordingly, we have not thoroughly tested our ability to scale production and vehicle servicing and mitigate risks associated with these activities. In addition, our current systems and processes are not mature, which may affect our ability to timely initiate critical and time sensitive projects and increase project costs. If we continue to experience logistics challenges, are unable to accurately match the timing and quantities of component purchases to our actual needs, successfully recruit and retain personnel with relevant experience, timely comply with applicable regulations, or successfully implement automation, inventory management and other systems or processes to accommodate the increased complexity in our supply chain and manufacturing operations, we may incur unexpected production disruption, storage, transportation and write-off costs, which could have a material adverse effect on our results of operations and financial condition.</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Furthermore, unexpected changes in business conditions, materials pricing, labor issues, wars, global or regional conflicts or other geopolitical events, governmental changes, political uncertainty, trade policies and agreements, the uncertainties surrounding domestic and foreign tariffs, export controls, natural disasters, health epidemics, and other factors beyond our and our suppliers’ control could also affect these suppliers’ ability to deliver components to us on a timely basis. For example, conflicts in the Middle East have affected, and may continue to affect certain shipping routes in the Red Sea as well as shipping routes through the Strait of Hormuz, resulting in delays in delivery of components and an increase in shipping costs globally. Prolonged or recurring geopolitical disruptions could limit our ability to accurately forecast demand, which may adversely affect our ability to project supplier purchase commitments and manage costs effectively. Additionally, governmental and policy changes may continue to result in new or increased tariffs on imported components. Our ability to mitigate these cost increases may be limited by the lack of alternative suppliers from unaffected countries or domestic suppliers with production capabilities to meet our requirements. Such disruptions or increase in costs could have a material adverse impact on our business, including our ability to timely manufacture and distribute our products in a cost-effective manner and adversely affect our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addition, we have identified certain of our suppliers, including certain suppliers we deem critical, as having poor financial health or being at risk of acquisition, liquidation or bankruptcy. Although we routinely review our suppliers’ financial health and attempt to identify alternate suppliers where possible, the loss of any supplier, particularly a single- or limited-source supplier, or the disruption in the supply of components from our suppliers, has led and may in the future continue to lead to vehicle design changes, production delays, idle manufacturing facilities and potential loss of access to important technology and parts for producing, servicing and supporting our vehicles, any of which could result in negative publicity, damage to our brand and a material and adverse effect on our business, prospects, results of operations and financial condition. In addition, if our suppliers experience substantial financial difficulties, cease operations or otherwise face business disruptions, we may be required to provide substantial financial support to ensure supply continuity, which could have an additional adverse effect on our liquidity and financial condition.</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Changes in costs, changes of supply or shortage of materials, in particular for lithium-ion battery cells, could harm our business.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As we scale commercial production of our vehicles or any future energy storage systems, we have experienced and may continue to experience increases in the cost of or a sustained interruption in the supply or shortage of materials. Any such increase, supply interruption or shortage could materially and adversely impact our business, results of operations, prospects and financial condition. For example, as we continue the expansion of AMP-1 and the construction of AMP-2, we have experienced increases in material and infrastructure equipment prices and cost of construction labor. In addition, we use various materials in our business, including aluminum, steel, magnets, lithium, nickel, copper, cobalt, neodymium, terbium, praseodymium and manganese, as well as lithium-ion battery cells and semiconductors from suppliers. The prices for these materials fluctuate, and their available supply may be unstable, depending on market conditions, trade policies, tariffs and export controls, inflationary pressure and global demand for these materials, including as a result of increased production of EVs, energy storage products by our competitors and the global supply chain crisis, and could adversely affect our business and results of operations. For instance, we are exposed to multiple risks relating to lithium-ion battery cells. These risks include: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a change in the cost, or changes in the available supply, of materials, such as cobalt, used in lithium-ion battery cells;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disruption in the supply of lithium-ion battery cells due to quality issues or recalls by manufacturers;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ability to manage our supply and inventory of lithium-ion battery cells; and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fluctuations in the value of any foreign currencies, in which lithium-ion battery cells and related raw material purchases are or may be denominated against the U.S. dollar.</w:t>
      </w:r>
    </w:p>
    <w:p>
      <w:pPr>
        <w:pStyle w:val="TextBody"/>
        <w:bidi w:val="0"/>
        <w:spacing w:lineRule="auto" w:line="288" w:before="240" w:after="283"/>
        <w:jc w:val="left"/>
        <w:rPr/>
      </w:pPr>
      <w:r>
        <w:rPr>
          <w:rFonts w:ascii="Times New Roman;serif" w:hAnsi="Times New Roman;serif"/>
          <w:b w:val="false"/>
          <w:color w:val="231F20"/>
          <w:sz w:val="20"/>
        </w:rPr>
        <w:t xml:space="preserve">Our ability to manufacture our vehicles or any future energy storage systems will depend on the continued supply of battery cells for the battery packs used in our products. A growth in popularity of EVs without a significant expansion in battery cell production capacity could result in shortages which would result in increased materials costs to us, and would impact our expected manufacturing and delivery timelines, and adversely affect our business, prospects, financial condition, results of operations, and cash flows. We have limited flexibility in changing battery cell suppliers, and any disruption in the supply of battery cells from such suppliers could disrupt production of our vehicles until a different supplier is fully qualified. In addition, </w:t>
      </w:r>
      <w:r>
        <w:rPr>
          <w:rFonts w:ascii="Times New Roman;serif" w:hAnsi="Times New Roman;serif"/>
          <w:b w:val="false"/>
          <w:color w:val="000000"/>
          <w:sz w:val="20"/>
        </w:rPr>
        <w:t xml:space="preserve">pursuant to the agreement we entered into in connection with the supply of lithium-ion battery cells, we have made certain </w:t>
      </w:r>
      <w:r>
        <w:rPr>
          <w:rFonts w:ascii="Times New Roman;serif" w:hAnsi="Times New Roman;serif"/>
          <w:b w:val="false"/>
          <w:color w:val="231F20"/>
          <w:sz w:val="20"/>
        </w:rPr>
        <w:t>non-can</w:t>
      </w:r>
      <w:r>
        <w:rPr>
          <w:rFonts w:ascii="Times New Roman;serif" w:hAnsi="Times New Roman;serif"/>
          <w:b w:val="false"/>
          <w:color w:val="000000"/>
          <w:sz w:val="20"/>
        </w:rPr>
        <w:t xml:space="preserve">celable long-term purchase commitments. If our production decreases significantly below our projections for any reason, we may not meet all of our purchase commitments. In cases where we are unable to fully utilize our purchase commitments, we have in the past and may continue to face fees, penalties, increased prices, </w:t>
      </w:r>
      <w:r>
        <w:rPr>
          <w:rFonts w:ascii="Times New Roman;serif" w:hAnsi="Times New Roman;serif"/>
          <w:b w:val="false"/>
          <w:color w:val="231F20"/>
          <w:sz w:val="20"/>
        </w:rPr>
        <w:t xml:space="preserve">contractual or other claims, </w:t>
      </w:r>
      <w:r>
        <w:rPr>
          <w:rFonts w:ascii="Times New Roman;serif" w:hAnsi="Times New Roman;serif"/>
          <w:b w:val="false"/>
          <w:color w:val="000000"/>
          <w:sz w:val="20"/>
        </w:rPr>
        <w:t xml:space="preserve">excess inventory or inventory write-offs, and there could be a </w:t>
      </w:r>
      <w:r>
        <w:rPr>
          <w:rFonts w:ascii="Times New Roman;serif" w:hAnsi="Times New Roman;serif"/>
          <w:b w:val="false"/>
          <w:color w:val="231F20"/>
          <w:sz w:val="20"/>
        </w:rPr>
        <w:t>material adverse effect on our business, financial condition, and results of operations.</w:t>
      </w:r>
    </w:p>
    <w:p>
      <w:pPr>
        <w:pStyle w:val="TextBody"/>
        <w:bidi w:val="0"/>
        <w:spacing w:lineRule="auto" w:line="288" w:before="240" w:after="283"/>
        <w:jc w:val="left"/>
        <w:rPr/>
      </w:pPr>
      <w:r>
        <w:rPr>
          <w:rFonts w:ascii="Times New Roman;serif" w:hAnsi="Times New Roman;serif"/>
          <w:b w:val="false"/>
          <w:color w:val="231F20"/>
          <w:sz w:val="20"/>
        </w:rPr>
        <w:t>Furthermore, our ability to manufacture our vehicles depends on continued and reliable access to semiconductors and microchips that incorporate them. The global semiconductor supply shortage, including as a result of China’s export controls over Nexperia’s microchip products, has impacted the automotive industry and affected many suppliers and man</w:t>
      </w:r>
      <w:r>
        <w:rPr>
          <w:rFonts w:ascii="Times New Roman;serif" w:hAnsi="Times New Roman;serif"/>
          <w:b w:val="false"/>
          <w:color w:val="000000"/>
          <w:sz w:val="20"/>
        </w:rPr>
        <w:t>ufacturers, including us. In addition, global supply constraints for DDR4 and DDR5 memory may persist due to increasing demand driven by artificial intelligence applications, which could adversely affect availability and costs. We have experienced, and may continue to experience, an impact on our operations as a result of such shortages, which could delay or reduce planned production levels of our current and future vehicles and have an adverse effect on our business, prospects and results of operations. Moreover, export controls, particularly those affecting components within our supply chain, such as China’s restrictions on certain rare-earth minerals, has posed, and could continue to pose, risks to our production and distribution capabilities. In addition, foreign currency fluctuations, tariffs, shortages in petroleum or natural gas and oth</w:t>
      </w:r>
      <w:r>
        <w:rPr>
          <w:rFonts w:ascii="Times New Roman;serif" w:hAnsi="Times New Roman;serif"/>
          <w:b w:val="false"/>
          <w:color w:val="231F20"/>
          <w:sz w:val="20"/>
        </w:rPr>
        <w:t xml:space="preserve">er economic or political conditions have contributed to and may continue to result in significant increases in freight charges and raw material costs. These risks could be further magnified by geographical developments, global or regional conflicts or other geopolitical events, including the war in Ukraine, the military operations in the Gulf region and the Middle East, potential escalation and broadening of the conflict in Iran, which affects shipping routes both regionally and globally and in particular, the Strait of Hormuz shipment route, and have disrupted and may in the future disrupt the supply of materials critical in our manufacturing processes. Substantial increases in the prices for our raw materials or components would increase our operating costs and could reduce our margins. Any attempts to raise product prices in response to increased material costs could lead to reduced demand for our vehicles and materially and adversely affect our brand, image, business, results of operations, prospects and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must develop complex software and technology systems, including in coordination with vendors and suppliers, in order to produce our EVs, and there can be no assurance such systems will be successfully developed.</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Our vehicles use a substantial amount of third-party and proprietary software and complex technological hardware to operate, some of which is still subject to further development and testing. The development and implementation of such advanced technologies is inherently complex and requires coordination with our vendors and suppliers in order to integrate such technology into our EVs and ensure it interoperates with other complex technology as designed and as expected.</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may fail to detect defects and errors that are subsequently revealed, and our control over the performance of third-party services and systems may be limited. Any defects or errors in, or which are attributed to, our technology, could result in, among other things: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delayed production and delivery of our vehicles;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delayed market acceptance of our vehicles;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loss of customers or inability to attract new customers;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product recalls or cancellation of orders;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diversion of engineering or other resources for remedying the defect or error;</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damage to our brand or reputation;</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increased service and warranty costs;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legal action by customers or third parties, including product liability claims; and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penalties imposed by regulatory authorities.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addition, if we are unable to develop the software and technology systems necessary to operate our vehicles, it will harm our competitive position. We rely on third-party suppliers to develop a number of technologies for use in our products. There can be no assurances that our suppliers will be able to meet the technological requirements, production timing and volume requirements to support our business plan. In addition, such technology may not satisfy the cost, performance useful life and warranty characteristics we anticipate in our business plan, which could materially adversely affect our business, prospects and results of operations.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If we fail to successfully construct or tool our manufacturing facilities or if our manufacturing facilities become inoperable, we will be unable to produce our vehicles and our business will be harmed.</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have completed the initial and second phases of construction at AMP-1 and the SKD portion of AMP-2, and further construction of AMP-1 and the second phase of AMP-2 is in progress. We also acquired select assets and assumed leases for certain facilities previously belonging to Nikola Corporation, including Nikola’s former Coolidge manufacturing facility. However, tooling these facilities for production of our vehicles and our future expansion plans is complicated and presents significant challenges and may require us to take vehicle production offline. In addition, certain of our suppliers may be unable to complete tooling with respect to finalized components of our vehicles in the planned timeframe after we deliver final component specifications, which could adversely affect our ability to continue commercial production of our vehicles on the expected timing and at the quality levels we require. As with any large-scale capital project, these efforts could be subject to delays, cost overruns or other complications. In addition, we may encounter problems or disputes with our vendors for a variety of reasons, including for reasons beyond our control, and such disputes, with or without merit, could also cause significant delays and cost overruns. These risks could be increased because we are building our facilities from the ground up to support our EV production processes, which differ substantially from traditional automobile production processes for which expertise is more readily available. In connection with the commercial production at AMP-1 and SKD production at AMP-2, we have hired and trained and continue to hire, retain, and train a significant number of employees and integrate a yet-to-be-fully-developed supply chain. Any failure to continue commercial or SKD production on schedule would lead to additional costs and would delay our ability to generate meaningful revenues. In addition, it could prevent us from gaining the confidence of potential customers, spur cancellations of orders and open the door to increased competition. All of the foregoing could hinder our ability to successfully launch and grow our business and achieve a competitive position in the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addition, if any of our manufacturing facilities are not constructed in conformity with our requirements, repair or remediation may be required to support our planned phased manufacturing build-out and could require us to take vehicle production offline, delay implementation of our planned phased manufacturing build-out, or construct alternate facilities, which could materially limit our manufacturing capacity, delay planned increases in manufacturing volumes, delay the start of production of our future vehicles, or adversely affect our ability to timely sell and deliver our EVs to customers. Any repair or remediation efforts could also require us to bear substantial additional costs, including both the direct costs of such activities and potentially costly litigation or other legal proceedings related to any identified defect, and there can be no assurance that our insurance policies or other recoveries would be sufficient to cover all or any of such costs. Any of the foregoing consequences could have a material adverse effect on our business, prospects, results of operations and financial condition and could cause our results of operations to differ materially from our current expectations. Although we do not currently expect that we will be required to take vehicle production offline, any such repairs or remediation could entail significant costs, and we may be unable to recover some or all of such costs from the applicable contractor(s).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The construction of our facilities and our operations are also subject to review and inspection by officials in the jurisdictions where our facilities are located, including without limitation, fire officials and building construction officials. We have received in the past, and could in the future receive, results from inspections by local officials at our facilities, both existing and currently under construction, citing failing marks. When such results have arisen, we actively engaged with the local authorities to address all of the specific issues identified by those officials as well as to devise means and methods that help ensure a safe and compliant work environment. Any future results will be addressed in a similar manner. Failure to address issues raised by local authorities may result in government-ordered temporary cessation of our construction or production operations, which could require us to take vehicle production offline or reduce our planned manufacturing volumes, all of which could have a material adverse effect on our business, results of operations, cash flows, financial condition or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rely on complex machinery for our operations, and production involves a significant degree of risk and uncertainty in terms of operational performance, safety, security and costs.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utilize a number of new manufacturing technologies, techniques and processes for our vehicles, such as motor winding equipment, and we may utilize additional new technologies, techniques and processes in the future. Certain design features in our vehicles present additional manufacturing challenges, such as large display screens and ADAS hardware. There is no guarantee that we will be able to successfully and timely introduce and scale any such new processes or features.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also rely heavily on complex machinery for our operations, and our production involves a significant degree of uncertainty and risk in terms of operational performance and costs. Our manufacturing plant employs large-scale, complex machinery combining many components, which may suffer unexpected malfunctions from time-to-time and will depend on repairs and spare parts that may not be available when needed. Furthermore, AMP-1 and AMP-2, and the equipment we use to manufacture our vehicles, will be costly to repair or replace and could require substantial lead-time to repair or replace and qualify for use.</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Unexpected malfunctions of the manufacturing plant components may significantly decrease our operational efficiency, including by forcing manufacturing shutdowns in order to conduct repairs or troubleshoot manufacturing problems. Our facilities may also be harmed or rendered inoperable by natural or man-made disasters or events, including but not limited to earthquakes, tornadoes, flooding, fire, power outages, sandstorms, environmental hazards and remediation, costs associated with decommissioning of equipment, labor disputes and strikes, lack of availability of qualified construction or operational labor, difficulty or delays in obtaining governmental permits and licenses, damages or defects in electronic systems, industrial accidents, health epidemics, political changes or instability, wars, military actions, global or regional conflicts, or other geopolitical events, which may render it difficult or impossible for us to manufacture our vehicles for some period of time. The inability to produce our vehicles or the backlog that could develop if our manufacturing plant is inoperable for even a short period of time may result in the loss of customers or harm our reputation. Although we maintain insurance for damage to our property, this insurance may not be sufficient to cover all of our potential losses and may not continue to be available to us on acceptable terms, if at all, based on insurance market conditions or our evolving risk profile. Should operational risks materialize, they may result in the personal injury to or death of our workers, the loss of production equipment, damage to manufacturing facilities, monetary losses, delays and unanticipated fluctuations in production, environmental damage, administrative fines, increased insurance costs and potential legal liabilities, all of which could have a material adverse effect on our business, results of operations, cash flows, financial condition or prospects.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If we update or discontinue the use of our manufacturing equipment more quickly than expected, we may have to shorten the useful lives of this equipment, and the resulting acceleration in our depreciation could negatively affect our financial results.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have invested and expect to continue to invest significantly in what we believe is state of the art tooling, machinery and other manufacturing equipment, and we depreciate the cost of such equipment over their expected useful lives. However, manufacturing technology may evolve rapidly, and we may decide to update our manufacturing processes more quickly than expected. Moreover, as we ramp the commercial production of our vehicles, our experience may cause us to discontinue the use of already installed equipment in favor of different or additional equipment. The useful life of any equipment that would be retired early as a result would be shortened, causing the depreciation on such equipment to be accelerated, and our results of operations could be negatively impacted.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have limited experience in high volume manufacture of our vehicles.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cannot provide any assurance as to whether we will be able to develop and implement efficient, automated, low-cost logistics and production capabilities and processes and reliable sources of component supply that will enable us to meet the quality, price, engineering, design and production standards, as well as the production volumes, required to successfully mass market and ramp up production of our vehicles. Even if we are successful in developing our high volume production capability and processes and reliably source our component supply, no assurance can be given as to whether we will be able to do so in a manner that avoids significant delays and cost overruns, including as a result of factors beyond our control such as problems with suppliers and vendors, political changes or instability, wars, military actions, global or regional conflicts or other geopolitical events or force majeure events, or in time to meet our commercialization schedules, or to store and deliver parts in sufficient quantities to the manufacturing lines in a manner that enables us to maintain our production ramp curve and rates, satisfy the requirements of customers and potential customers or fully utilize our purchase commitments with suppliers. For example, the conflicts in the Middle East, have resulted in shipping delays and increased shipping costs globally. Any failure to develop, implement and maintain such logistics, production, quality control, and inventory management processes and capabilities within our projected costs and timelines could have a material adverse effect on our business, results of operations, prospects and financial condition. Moreover, we have experienced logistics challenges as we continue to refine our manufacturing, logistics and inventory management processes, and efforts to implement or improve such processes may cause halts or delays in production and result in additional costs. Bottlenecks and other unexpected challenges have and may continue to arise as we continue commercial production of our vehicles, and it will be important that we address them promptly while continuing to control our logistics and manufacturing costs. If we are not successful in doing so, or if we experience issues with our logistics and manufacturing process improvements, we could face further delays in establishing and sustaining our production ramps or be unable to meet our related cost and profitability targets.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If our vehicles fail to perform as expected, our ability to develop, market and sell or lease our products could be harmed.</w:t>
      </w:r>
    </w:p>
    <w:p>
      <w:pPr>
        <w:pStyle w:val="TextBody"/>
        <w:bidi w:val="0"/>
        <w:spacing w:lineRule="auto" w:line="288" w:before="240" w:after="283"/>
        <w:jc w:val="left"/>
        <w:rPr/>
      </w:pPr>
      <w:r>
        <w:rPr>
          <w:rFonts w:ascii="Times New Roman;serif" w:hAnsi="Times New Roman;serif"/>
          <w:b w:val="false"/>
          <w:color w:val="231F20"/>
          <w:sz w:val="20"/>
        </w:rPr>
        <w:t>Our vehicles or the components installed therein have in the past and may in the future contain defects in design or manufacture, including components designed or manufactured by suppliers, that may cause them not to perform as expected or that may require repairs, recalls, or design changes, any of which would require significant financial and other resources to successfully navigate and res</w:t>
      </w:r>
      <w:r>
        <w:rPr>
          <w:rFonts w:ascii="Times New Roman;serif" w:hAnsi="Times New Roman;serif"/>
          <w:b w:val="false"/>
          <w:color w:val="000000"/>
          <w:sz w:val="20"/>
        </w:rPr>
        <w:t>olve. Our vehicles use a substantial amount of software code to operate, and software products are inherently complex and may contain defects and errors. Our vehicles have encountered a significant number of software issues and may continue to do so in the future. If our vehicles contain defects in design or manufacture that cause them not to perform as expected or that require repair, or if certain features of our vehicles take longer than expected to become available, are legally restricted or become subject to additional regulations, our ability to develop, market and sell our products and services could be adversely affected. In addition, our OTA software updates may fail to achieve their intended repair and performance goals, expose our customers’ vehicles to vulnerabilities, or have unintended consequences, and may require our customers to bring their vehicles to our service centers.</w:t>
      </w:r>
    </w:p>
    <w:p>
      <w:pPr>
        <w:pStyle w:val="TextBody"/>
        <w:bidi w:val="0"/>
        <w:spacing w:lineRule="auto" w:line="288" w:before="240" w:after="283"/>
        <w:jc w:val="left"/>
        <w:rPr/>
      </w:pPr>
      <w:r>
        <w:rPr>
          <w:rFonts w:ascii="Times New Roman;serif" w:hAnsi="Times New Roman;serif"/>
          <w:b w:val="false"/>
          <w:color w:val="231F20"/>
          <w:sz w:val="20"/>
        </w:rPr>
        <w:t xml:space="preserve">Any defects, delays or legal restrictions on vehicle features, failed OTA software updates, or other failure of our vehicles to perform as expected, could harm our brand and reputation and result in delivery delays, product recalls, order cancellations, reduced customer demand, product liability claims, breach of warranty claims or significant warranty and other expenses, and could have a material adverse impact on our business, results of operations, prospects and financial condition. </w:t>
      </w:r>
      <w:r>
        <w:rPr>
          <w:rFonts w:ascii="Times New Roman;serif" w:hAnsi="Times New Roman;serif"/>
          <w:b w:val="false"/>
          <w:color w:val="000000"/>
          <w:sz w:val="20"/>
        </w:rPr>
        <w:t xml:space="preserve">Any such defects or noncompliance with legal requirements could also result in safety recalls. See “— Risks Related to Litigation and Regulation — </w:t>
      </w:r>
      <w:r>
        <w:rPr>
          <w:rFonts w:ascii="Times New Roman;serif" w:hAnsi="Times New Roman;serif"/>
          <w:b w:val="false"/>
          <w:i/>
          <w:color w:val="000000"/>
          <w:sz w:val="20"/>
        </w:rPr>
        <w:t xml:space="preserve">We have in the past and may choose in the future, or we may be compelled, to undertake product recalls or take other actions, which could adversely affect our business, prospects, results of operations, reputation and financial condition.” </w:t>
      </w:r>
      <w:r>
        <w:rPr>
          <w:rFonts w:ascii="Times New Roman;serif" w:hAnsi="Times New Roman;serif"/>
          <w:b w:val="false"/>
          <w:color w:val="231F20"/>
          <w:sz w:val="20"/>
        </w:rPr>
        <w:t>As we build customer relationships and earn trust, these effects could be significantly detrimental to us. Additionally, problems and defects experienced by other consumer EVs could by association have a negative impact on perception and customer demand for our vehicles.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addition, even if our vehicles function as designed, we expect that the battery efficiency, and hence the range, of our EVs, like other EVs that use current battery technology, will decline over time. Other factors, such as usage, time and stress patterns, may also impact the battery’s ability to hold a charge, or could require us to limit vehicles’ battery charging capacity, including via OTA or other software updates, for safety reasons or to protect battery capacity, which could further decrease our vehicles’ range between charges. Such decreases in or limitations of battery capacity and therefore range, whether imposed by deterioration, software limitations or otherwise, could also lead to consumer complaints or warranty claims, including claims that prior knowledge of such decreases or limitations would have affected consumers’ purchasing decisions. Further, there can be no assurance that we will be able to improve the performance of our battery packs, or increase our vehicles’ range, in the future. Any such battery deterioration or capacity limitations and related decreases in range may negatively influence potential customers’ willingness to purchase our vehicles and negatively impact our brand and reputation, which could adversely affect our business, prospects,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have limited experience servicing our vehicles and their integrated software. If we or our partners are unable to adequately service our vehicles, our business, prospects, financial condition and results of operations may be materially and adversely affected.</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have limited experience servicing or repairing our vehicles and their integrated software. Servicing software-defined vehicles and EVs is different than servicing traditional vehicles and vehicles with internal combustion engines. Our service network has limited capabilities to address software-related issues. Servicing software-defined vehicles and EVs requires specialized skills, including software development, high voltage training and servicing techniques. In addition, we may partner with certain third parties to perform some of the service on our vehicles, and there can be no assurance that we will be able to enter into acceptable arrangements with any such third-party providers or develop and implement the necessary information technology infrastructure to support them. Further, although such servicing partners may have experience in servicing other EVs, they will initially have limited experience in servicing our vehicles. We also have a limited network of locations to perform service and may also rely upon mobile service vans with Lucid technicians to provide service to customers. There can be no assurance that our service arrangements will adequately address the service requirements of our customers to their satisfaction, or that we and our servicing partners will have sufficient resources, experience or inventory to meet these service requirements in a timely manner as the volume of vehicles we deliver increases. This risk is enhanced by our limited operating history and our limited data regarding our vehicles’ real-world reliability and service requirements. In addition, if we are unable to roll out and establish a widespread service network that provides satisfactory customer service, our customer loyalty, brand and reputation could be adversely affected, which in turn could materially and adversely affect our sales, results of operations, prospects and financial condition.</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Further, the motor vehicle industry laws in some states require that service facilities be available to service vehicles physically sold from locations in the state, and we may be unable to scale our service operations as we sell more vehicles in such locations. In addition, the motor vehicle franchise laws in some states may preclude us from providing direct warranty service to consumers in that state. While we anticipate developing a service program that would satisfy regulatory requirements in these circumstances, the specifics of our service program are still being refined, and at some point may need to be restructured to comply with state law, which may impact our business, financial condition, results of operations and prospects.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Our customers also depend on our customer support team to resolve technical and operational issues relating to the integrated software underlying our vehicles, a large portion of which we have developed in-house. As we grow, additional pressure may be placed on our customer support team or partners, and we may be unable to respond quickly enough to accommodate short-term increases in customer demand for technical support or service. We also may be unable to modify the future scope and delivery of our technical support to compete with changes in the technical support provided by our competitors. Increased customer demand for support, without corresponding revenue, could increase costs and negatively affect our results of operations. If we are unable to successfully address the service requirements of our customers, or if we establish a market perception that we do not provide high-quality support, our brand and reputation could be adversely affected, and we may be subject to claims from our customers, which could result in loss of revenue or damages, and our business, results of operations, prospects and financial condition could be materially and adversely affected.</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provide a new vehicle limited warranty on all new vehicles and a genuine spare parts and accessories limited warranty on Lucid genuine spare parts and accessories we sell. We maintain warranty reserves to cover part replacement and other vehicle repair needs performed under warranty. In addition, we expect to provide a manufacturer’s warranty on future products we sell and may provide additional warranties on installation workmanship or performance guarantees. Warranty reserves include our management team’s best estimate of the projected costs to repair or to replace items under warranty. Such estimates are inherently uncertain, particularly in light of our limited operating history and the limited field data available to us, and changes to such estimates based on real-world observations may cause material changes to our warranty reserves in the future. If our reserves are inadequate to cover future maintenance requirements on our vehicles, this could materially and adversely affect our business, prospects, financial condition and results of operations. We may become subject to significant and unexpected expenses as well as claims from our customers, including loss of revenue or damages. There can be no assurances that then-existing reserves will be sufficient to cover all claims. In addition, future laws or regulations may impose additional warranty obligations on us that go beyond our manufacturer’s warranty, which may expose us to materially higher warranty, parts replacement and repair expenses than we expect, and our reserves may be insufficient to cover such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It is difficult to predict our future revenues and appropriately budget for our expenses, and we have limited insight into trends that may emerge and affect our business. We will be required to provide forecasts of our demand to our suppliers several months prior to the scheduled delivery of vehicles to our prospective customers. Currently, there is limited historical basis for making judgments about the demand for our vehicles or our ability to develop, manufacture, and deliver vehicles, or our profitability in the future. Furthermore, unexpected factors beyond our control, including prolonged or recurring geopolitical disruptions, could limit our ability to accurately forecast demand, which may adversely affect our ability to project supplier purchase commitments and manage costs effectively. If we overestimate our requirements, our suppliers may have excess inventory, which has in the past and may continue to indirectly increase our costs. If we underestimate our requirements, our suppliers may have inadequate inventory, which could interrupt manufacturing of our products and result in delays in shipments and revenues. In addition,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or fail to establish the delivery processes and infrastructure to make deliveries, the delivery of vehicles to our customers could be delayed, which would harm our business, financial condition and results of operations. Moreover, reductions in our production volumes have adversely affected, and could continue to adversely affect, our relationships with suppliers, who may seek to increase pricing, assert contractual or other claims, or otherwise fail to perform or comply with contractual obligations. We currently have, and may in the future have, supplier contractual claims, which would adversely affect our ability to obtain services and components from such suppliers. In addition, if we are unable to establish or maintain confidence among suppliers with respect to our liquidity and long-term business prospects, we may lose our relationships or contracts with such suppliers. Any such action has resulted, and may in the future result in supply disruptions, increased costs, or disputes, which could materially and adversely affect our business, financial condition, and results of operations. Tariffs announced by the U.S. and resulting retaliatory tariffs and other trade barriers, including China’s changes to its export controls for rare-earth minerals and semiconductor-related products have had and may continue to have, an adverse impact on our ability to predict our manufacturing requirements, costs and production, and our ability to receive raw materials and components. </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Our facilities or operations could be adversely affected by events outside of our control, such as natural disasters, wars, military actions, global or regional conflicts or other geopolitical events, health epidemics or pandemics, or security incidents.</w:t>
      </w:r>
    </w:p>
    <w:p>
      <w:pPr>
        <w:pStyle w:val="TextBody"/>
        <w:bidi w:val="0"/>
        <w:spacing w:lineRule="auto" w:line="288" w:before="240" w:after="283"/>
        <w:jc w:val="left"/>
        <w:rPr/>
      </w:pPr>
      <w:r>
        <w:rPr>
          <w:rFonts w:ascii="Times New Roman;serif" w:hAnsi="Times New Roman;serif"/>
          <w:b w:val="false"/>
          <w:color w:val="231F20"/>
          <w:sz w:val="20"/>
        </w:rPr>
        <w:t xml:space="preserve">We and our suppliers may be impacted by weather events, natural disasters, wars, military actions, global or regional conflicts or other geopolitical events, health epidemics or pandemics, security incidents or other events outside of our control. For example, our corporate headquarters are located in seismically active regions in Northern California, and our manufacturing facilities in Arizona and Saudi Arabia are located in sandstorm-, flood-, or tornado-prone areas. If major disasters such as earthquakes, wildfires, floods, tornadoes or other events occur, or our information technology systems or communication networks break down or operate improperly, our headquarters and manufacturing facilities may be seriously damaged, or we may have to stop or delay production and shipment of our products. Furthermore, we could be impacted by physical security incidents at our facilities, which could result in significant damage to such facilities that could require us to delay or discontinue production of our vehicles. In addition, we have established a foreign trade zone with respect to certain of our facilities in Casa Grande, Arizona. To the extent any such physical security incidents are determined to result from insufficient security measures, we could face the risk of loss of our foreign trade zone approval, as well as financial penalties or fines, which could increase the cost of our duties and tariffs. See “— Risks Related to Litigation and Regulation — </w:t>
      </w:r>
      <w:r>
        <w:rPr>
          <w:rFonts w:ascii="Times New Roman;serif" w:hAnsi="Times New Roman;serif"/>
          <w:b w:val="false"/>
          <w:i/>
          <w:color w:val="231F20"/>
          <w:sz w:val="20"/>
        </w:rPr>
        <w:t>A failure to properly comply with foreign trade zone laws and regulations could increase the cost of our duties and tariffs.</w:t>
      </w:r>
      <w:r>
        <w:rPr>
          <w:color w:val="231F20"/>
        </w:rPr>
        <w:t xml:space="preserve">” </w:t>
      </w:r>
      <w:r>
        <w:rPr>
          <w:rFonts w:ascii="Times New Roman;serif" w:hAnsi="Times New Roman;serif"/>
          <w:b w:val="false"/>
          <w:color w:val="000000"/>
          <w:sz w:val="20"/>
        </w:rPr>
        <w:t xml:space="preserve">In addition, global or regional conflicts or other geopolitical events, including the recent conflict in Iran, have increased, and may continue to increase, the likelihood of supply chain interruptions and may impair our ability to compete in current or future markets, or otherwise subject us to potential liability. See “—Risks Related to Manufacturing and Supply Chain — </w:t>
      </w:r>
      <w:r>
        <w:rPr>
          <w:rFonts w:ascii="Times New Roman;serif" w:hAnsi="Times New Roman;serif"/>
          <w:b w:val="false"/>
          <w:i/>
          <w:color w:val="000000"/>
          <w:sz w:val="20"/>
        </w:rPr>
        <w:t xml:space="preserve">if we fail to successfully tool our manufacturing facilities or if our manufacturing facilities become inoperable, we will be unable to produce our vehicles and our business will be harmed.” </w:t>
      </w:r>
      <w:r>
        <w:rPr>
          <w:rFonts w:ascii="Times New Roman;serif" w:hAnsi="Times New Roman;serif"/>
          <w:b w:val="false"/>
          <w:color w:val="000000"/>
          <w:sz w:val="20"/>
        </w:rPr>
        <w:t xml:space="preserve">and “— Risks Related to Litigation and Regulation — </w:t>
      </w:r>
      <w:r>
        <w:rPr>
          <w:rFonts w:ascii="Times New Roman;serif" w:hAnsi="Times New Roman;serif"/>
          <w:b w:val="false"/>
          <w:i/>
          <w:color w:val="000000"/>
          <w:sz w:val="20"/>
        </w:rPr>
        <w:t>Changes in U.S. trade policy, including the imposition of or uncertainties surrounding tariffs or revocation of normal trade relations and the resulting consequences, could adversely affect our business, prospects, results of operations and financial condition</w:t>
      </w:r>
      <w:r>
        <w:rPr>
          <w:rFonts w:ascii="Times New Roman;serif" w:hAnsi="Times New Roman;serif"/>
          <w:b w:val="false"/>
          <w:color w:val="000000"/>
          <w:sz w:val="20"/>
        </w:rPr>
        <w:t xml:space="preserve">.” </w:t>
      </w:r>
      <w:r>
        <w:rPr>
          <w:rFonts w:ascii="Times New Roman;serif" w:hAnsi="Times New Roman;serif"/>
          <w:b w:val="false"/>
          <w:color w:val="231F20"/>
          <w:sz w:val="20"/>
        </w:rPr>
        <w:t>We may incur significant expenses or delays relating to such events outside of our control, which could have a material adverse impact on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Our vehicles make use of lithium-ion battery cells, which, if not appropriately managed and controlled, have been observed to catch fire or vent smoke and flame.</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The battery packs within our vehicles use, and any future energy storage systems may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cells, a field or testing failure of our vehicles or other battery packs that we produce could occur. In addition, although we equip our vehicles with systems designed to detect and warn vehicle occupants of such thermal events, there can be no assurance that such systems will function as designed or will provide vehicle occupants with sufficient, or any, warning in all crashes. Any such events or failures of our vehicles, battery packs or warning systems could subject us to lawsuits, product recalls, order cancellations, or redesign efforts, all of which would be time consuming and expensive. Also, negative public perceptions regarding the suitability of lithium-ion battery cells for automotive applications, disposal and recycling of lithium-ion battery cells, or any future incident involving lithium-ion battery cells, such as a vehicle or other fire, even if such incident does not involve our vehicles, could seriously harm our business and reputation.</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addition, as we expand our service network, increase our recycling practices and scale the manufacturing of our vehicles and any future energy storage products, we will need to store lithium-ion battery cells at our facilities and we have experienced, and may in the future experience, thermal events. Any mishandling of battery cells or safety issue or fire related to the cells could disrupt our operations. Such damage or injury could also lead to adverse publicity and potentially a safety recall. In addition, the transportation and effective storage of lithium-ion batteries is also tightly regulated by the U.S. Department of Transportation and other regulatory bodies, and any failure to comply with such regulation could result in fines, loss of permits and licenses or other regulatory consequences, which could limit our ability to manufacture and deliver our vehicles and negatively affect our results of operations and financial condition. Moreover, any failure of a competitor’s EV or energy storage product may cause indirect adverse publicity for us and our products. Such adverse publicity could negatively affect our brand and harm our business, prospects,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Risks Related to Cybersecurity, Data Privacy, and AI-enabled Technologies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Any unauthorized access, control, manipulation, interruption or compromise to our products or information technology systems, networks, or data could result in loss of confidence in us and our products, harm our business and materially adversely affect our financial performance, results of operations or prospects.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products, services and operations rely on complex information technology systems, software</w:t>
        <w:noBreakHyphen/>
        <w:t>driven features, and digital infrastructure, including connected vehicle systems, cloud</w:t>
        <w:noBreakHyphen/>
        <w:t>based platforms, and third</w:t>
        <w:noBreakHyphen/>
        <w:t>party networks. For example, our vehicles are designed with built-in data connectivity to accept and install periodic cloud-based (over the internet) updates to add new or enhanced functionality.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collect, use, store, transmit and otherwise process data from vehicles, customers, employees and other third parties as part of our business operations, some of which includes personal, sensitive, confidential or proprietary information. We also work with third-party service providers and vendors to support these systems and to collect, store, and process such data and information on our behalf.</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increasingly rely on advanced data analytics, software</w:t>
        <w:noBreakHyphen/>
        <w:t xml:space="preserve">driven features, and, in certain areas of our business, artificial intelligence or machine learning </w:t>
        <w:noBreakHyphen/>
        <w:t>enabled technologies (collectively, “AI-enabled technologies”) to provide and support vehicle functionality, diagnostics, customer engagement, operational decision</w:t>
        <w:noBreakHyphen/>
        <w:t>making, and other business processes. The use of such technologies may increase our exposure to cybersecurity, data protection, regulatory, and operational risks, including risks related to data quality, system performance, model limitations, unintended outputs, intellectual property violations or misuse of data. If these technologies fail to operate as intended, are compromised, or are perceived to produce inaccurate, biased, or otherwise problematic outcomes, our business, reputation, and results of operations could be adversely affected.</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have taken measures designed to prevent unauthorized access, control, manipulation, interruption or compromise to our information technology systems, networks or data (including personal data) and plan to identify additional measures as we grow. Such measures may not be effective, particularly as our products, services, data practices, and reliance on third</w:t>
        <w:noBreakHyphen/>
        <w:t>party and AI</w:t>
        <w:noBreakHyphen/>
        <w:t>enabled technologies continue to evolve. As a result, we may be unable to anticipate, prevent, or mitigate cybersecurity, privacy, and data</w:t>
        <w:noBreakHyphen/>
        <w:t>related risks. Our third-party service providers and vendors also take steps designed to protect the security and integrity of information technology systems, networks or data. However, there can be no assurance that such systems and networks will not be compromised, including as a result of cyberattacks, system vulnerabilities, software bugs, technical malfunctions, human errors, or intentional misconduct by employees, contractors, vendors, or other third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Cyber threat actors may attempt to gain unauthorized access to, modify, alter or use our vehicles, products, systems and networks to: (i) gain control of, (ii) change the functionality, user interface or performance characteristics of or (iii) gain access to data stored in or generated by, our vehicles, products, systems and networks. Advances in technology, such as AI-enabled technologies, new vulnerability discoveries, an increased level of sophistication and diversity of our products and services, an increased level of expertise of cyber threat actors and new discoveries in the field of cryptography could lead to a compromise or breach of the measures that we or our third-party service providers use. Some of our products and information technology systems contain or use open-source software, which can create additional risks, including potential security vulnerabilities. Increasing use of such products and services in our vehicles, including with our partnerships with Nuro and Uber for AV capabilities, and AI frontier model generative AI providers of large language models (“LLMs”) heightens the risk and severity of a cybersecurity breach of our or our third-party partners’ systems. We and our third-party service providers’ systems have in the past and may in the future be affected by security incidents. </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Our systems and networks are also vulnerable to damage or interruption from, among other things, software bugs, server malfunctions, software or hardware failure, computer viruses, malware, ransomware, killware, wiperware, computer denial or degradation of service attacks, telecommunications failures, social engineering schemes (such as vishing, phishing or smishing), prompt injection, domain name spoofing, insider theft, physical theft, fire, terrorist attacks, natural disasters, power loss, war, misuse, mistake, fraud, misconduct or other events that may harm our vehicles, products, systems and networks. Our data center and our third-party service providers’ or vendors’ data centers or our facilities could be subject to break-ins, sabotage and intentional acts of vandalism causing potential disruptions, unauthorized access, control, manipulation, interruption or compromise to our products, technology systems, networks or data. We implement measures designed to prevent or mitigate identified high-risk exposures and vulnerabilities, and we endeavor to maintain layered security practices designed to prevent or reduce the likelihood of a cybersecurity incident. </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may be subject to certain laws and regulations, such as “right to repair” laws that could require us to provide third-party access to certain vehicle and vehicle-connected systems. Some of our systems are not redundant, meaning the data may not be backed up in the event of damage at its primary data storage facility. Our disaster recovery planning cannot account for all eventualities, so there may be an incident that we are not prepared for. Any problems at our or our third-party service providers’ or vendors’ data centers or cloud infrastructure could result in lengthy interruptions in our service and our business operations. There can be no assurance that any security or other operational measures that we or our third-party service providers or vendors have implemented will be effective against any threats or possible harms.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These risks have been heightened in connection with ongoing global or regional conflicts and other geopolitical events and we cannot be certain how this new risk landscape will impact our operations. When geopolitical conflicts develop, government systems as well as critical infrastructures such as financial services and utilities may be targeted by state-sponsored cyberattacks even if they are not directly involved in the conflict. There can be no assurance that our business will not become a potential target as adversaries may attack networks and systems indiscriminately. Such cyberattacks may potentially cause unauthorized access to our personal, sensitive, confidential or proprietary data (including our proprietary software code), products, technology systems, or networks, resulting in a data breach, or disruption, modification or destruction of such. As a result, we may suffer monetary losses, business interruption, and long-lasting operational issues, damage to our reputation and brand or loss of our intellectual property (including trade secrets).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If we are unable to protect our personal, sensitive, confidential or proprietary data (including our proprietary software code), products, technology systems and networks from unauthorized access, use, disclosure, disruption, modification, destruction or other breach, such threats or security incidents could have negative consequences for our business and future prospects, including compromise of vehicle integrity and physical safety, monetary losses, liabilities under our contracts or to the owners of the applicable data, subjecting us to substantial fines, penalties, damages and other liabilities under applicable laws and regulations, incurring substantial costs to respond to, investigate and remedy such incidents, reducing customer demand for our products, harming our reputation and brand and compromising or leading to a loss of protection of our intellectual property (including trade secrets). Irrespective of a complaint’s veracity, the mere mention (in headlines or elsewhere) of unauthorized access to our vehicles, products, technology systems, networks, and data may, alone, result in negative consumer sentiment when faced with the reality that all connected products (including our vehicles), systems and networks are vulnerable to being “hacked”.</w:t>
      </w:r>
    </w:p>
    <w:p>
      <w:pPr>
        <w:pStyle w:val="TextBody"/>
        <w:bidi w:val="0"/>
        <w:spacing w:lineRule="auto" w:line="288" w:before="240" w:after="283"/>
        <w:jc w:val="left"/>
        <w:rPr/>
      </w:pPr>
      <w:r>
        <w:rPr>
          <w:rFonts w:ascii="Times New Roman;serif" w:hAnsi="Times New Roman;serif"/>
          <w:b w:val="false"/>
          <w:color w:val="231F20"/>
          <w:sz w:val="20"/>
        </w:rPr>
        <w:t>The volume of our current and planned vehicle production necessitates continued development, implementation, maintenance, improvement, and expanding of our information technology and communication systems and networks in the U.S. and abroad, such as systems and networks for product data management, vehicle management tools, vehicle security systems, vehicle security management processes, procurement of bill of material items, supply chain management, inventory management, production planning and execution, lean manufacturing, sales, service and logistics, dealer management and financial, and tax and regulatory compliance. Our ability to operate our business will depend on the availability and effectiveness of these systems and networks</w:t>
      </w:r>
      <w:r>
        <w:rPr>
          <w:color w:val="000000"/>
        </w:rPr>
        <w:t xml:space="preserve"> </w:t>
      </w:r>
      <w:r>
        <w:rPr>
          <w:rFonts w:ascii="Times New Roman;serif" w:hAnsi="Times New Roman;serif"/>
          <w:b w:val="false"/>
          <w:color w:val="231F20"/>
          <w:sz w:val="20"/>
        </w:rPr>
        <w:t xml:space="preserve">that are not entirely in our control and could be impacted by system outages or similar events. The development, implementation, maintenance, improvement and expansion of these systems and networks require significant management time, support and cost.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There are inherent risks associated with developing, implementing, maintaining, improving, and expanding our core systems and networks. For example, implementing new systems and networks, including the disruption of our data management, procurement, manufacturing execution, finance, supply chain, inventory management, and sales and service processes. These systems and networks or their required functionality may not be effectively and timely developed, implemented, maintained, improved, or expanded, which means our operations may be disrupted, our ability to accurately or timely report our financial results could be impaired, and deficiencies may arise in our internal control over financial reporting, which may impact our ability to certify our financial results. If these systems and networks or their functionality do not operate as we expect them to, we may be required to expend significant resources to make corrections or find alternative sources for performing these functions. Any of the foregoing could materially adversely affect our business, prospects, results of operations and financial condition.</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Our vehicles depend on the ability of software and hardware to store, retrieve, process and manage immense amounts of data. Our software and hardware, including any OTA or other updates, may contain, errors, bugs, design defects or other vulnerabilities, and our systems may be subject to technical limitations that may compromise our ability to meet our objectives. Some errors, bugs, design defects or other vulnerabilities may reside in third-party intellectual property or open-source software and may only be discovered after our compiled code has been released. We implement processes designed to remedy issues we observe in our vehicles in a timely manner, including issuing patches for zero-day vulnerabilities and deploying OTA updates designed to resolve errors, bugs, design defects or other vulnerabilities in our vehicle software, but such efforts may not always be timely, may hamper production or may not be to the satisfaction of our customers. Additionally, if we deploy software updates to address any issues but our OTA update procedures fail, our customers will need to work with our service personnel to install these updates, and their vehicle will remain vulnerable until installation of the updates. Any compromise of our personal, sensitive, confidential or proprietary data (including our proprietary software code), products, technology systems or networks or ineffective fix for errors, bugs, design defects or other vulnerabilities may cause us to suffer lengthy interruptions to our ability to operate our business and our customers’ ability to operate their vehicles, compromise of vehicle integrity and physical safety, damage to our reputation, loss of customers, loss of revenue, governmental fines, investigations or litigation or liability for damages, any of which could materially adversely affect our business, prospects, results of operations and financial condition.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may not have adequate insurance coverage, if any, to cover losses associated with any of the foregoing. The costs of investing and remediating a large alleged data breach, or the successful assertion of one or more large alleged claims against us that exceeds our available insurance coverage, or results in changes to our insurance policies (including premium increases, imposition of large deductible, exclusions or co-insurance requirements), could have an adverse effect on our business. In addition, we cannot be certain that our existing insurance coverage will continue to be available on acceptable terms or at all or that our insurers will not deny coverage of any claim.</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are subject to evolving laws, regulations, standards, policies, and contractual obligations related to data privacy, cybersecurity, and AI-enabled technologies, and any actual or perceived failure to comply with such obligations could harm our reputation and brand, subject us to significant fines and liability, or otherwise adversely affect our business.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the course of our operations, we collect, use, store, transmit, and otherwise process data from our vehicles, customers, employees and third parties as part of our business operations, some of which includes personal, sensitive, confidential or proprietary data such as names, accounts, driver license information, user IDs and passwords, and payment or transaction-related information. Additionally, we use our vehicles’ electronic systems to log information about each vehicle’s use, such as charge time, battery usage, geolocation, mileage and driving behavior, to aid it in vehicle diagnostics, repair and maintenance, as well as provide features designed to customize and improve the driving and riding experience.</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Accordingly, we are subject to or affected by a number of federal, state, local and international laws and regulations, as well as contractual obligations and industry standards, that impose certain obligations and restrictions with respect to data privacy and cybersecurity that govern our collection, use, storage, transmission, and other processing of personal data including that of our employees, customers and other third parties with whom we conduct business. We operate in a rapidly evolving regulatory environment with respect to cybersecurity, data protection, privacy, and artificial intelligence, including under U.S. federal and state laws, international regulations, and emerging AI</w:t>
        <w:noBreakHyphen/>
        <w:t xml:space="preserve">specific frameworks. Compliance with these requirements may restrict our ability to collect, use, store, transmit, or otherwise process data; require changes to our products, services, or business practices; increase operational complexity; and require significant management attention and financial resources. Our failure, or perceived failure, to comply with applicable requirements could result in regulatory investigations, enforcement actions, fines, penalties, litigation, or other adverse consequences.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val="false"/>
          <w:color w:val="231F20"/>
          <w:sz w:val="20"/>
        </w:rPr>
        <w:t>These laws, regulations and standards may be interpreted and applied differently over time and from jurisdiction to jurisdiction, and it is possible that they will be interpreted and applied in ways that may have a material and adverse impact on our business, financial condition and results of operations. As we expand our global footprint, our risk profile changes, and we will need to manage against the varied applicable data protection rules and regulations in the context of the new jurisdictions, business models and market strategies. The global data protection landscape is rapidly evolving, and implementation standards and enforcement practices are likely to remain uncertain for the foreseeable future. We may not be able to monitor and react to all developments in a timely manner. For example, at the international level, the European Union (“EU”) adopted the General Data Protection Regulation (“GDPR”)</w:t>
      </w:r>
      <w:r>
        <w:rPr>
          <w:rFonts w:ascii="Times New Roman;serif" w:hAnsi="Times New Roman;serif"/>
          <w:b w:val="false"/>
          <w:i/>
          <w:color w:val="231F20"/>
          <w:sz w:val="24"/>
        </w:rPr>
        <w:t xml:space="preserve">, </w:t>
      </w:r>
      <w:r>
        <w:rPr>
          <w:rFonts w:ascii="Times New Roman;serif" w:hAnsi="Times New Roman;serif"/>
          <w:b w:val="false"/>
          <w:color w:val="231F20"/>
          <w:sz w:val="20"/>
        </w:rPr>
        <w:t>which became effective in May 2018, as well as the European Data Act, the EU Artificial Intelligence Act (the “AI Act”), and the Cyber Resilience Act in 2024. Canada adopted and continued to amend the Personal Information Protection and Electronic Documents Act (“PIPEDA”) in addition to applicable provincial laws. The United Arab Emirates adopted the Data Protection Law (“DPL”), which became effective in January 2022. Saudi Arabia enacted the Personal Data Protection Law (“PDPL”) which came into effect in September 2023. Similarly, China’s Data Security Law (“DSL”) and Personal Information Protection Law (“PIPL”) have been effective since 2021. Additionally, we are also subject to the data privacy laws of the UK, including the UK General Data Protection Regulation (“UK GDPR”). Each of these regulations impose additional obligations on companies regarding the handling of personal data and provide certain individual privacy rights to persons whose data is collected. Compliance with existing, proposed and recently enacted laws and regulations (including implementation of the privacy and process enhancements called for under applicable laws and regulations) can be costly, and any failure to comply with these regulatory standards could subject us to legal, financial, and reputational risks.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For example, failure to comply with the GDPR can result in significant fines and other liability, including fines of up to EUR 20 million or four percent (4%) of global revenue, whichever is greater. European data protection authorities have already imposed fines for GDPR violations up to, in some cases, hundreds of millions of Euros. The cost of compliance, and the potential for fines and penalties for non-compliance, with the GDPR may have a significant adverse effect on our business and operations. Legal developments in the European Economic Area (“EEA”), including rulings from the Court of Justice of the European Union and from various EU member state data protection authorities, have also created complexity and uncertainty regarding transfers of personal data from the EEA to the U.S. and other countries outside the EEA. While we have taken steps designed to mitigate the impact on us, the efficacy and longevity of these mechanisms remain uncertain. Additionally, we continue to monitor our compliance obligations with a final rule adopted by the U.S. Department of Justice, which prohibits and restricts certain covered data transactions that result in the transfer or access to bulk U.S. sensitive personal data by countries of concern or covered persons, effective April 8, 2025, as well as a final rule adopted by the Bureau of Industry and Security that prohibits specific transactions involving the import or sale of connected vehicles and certain hardware and software with a sufficient nexus to China or Russia, applicable to vehicles from model year 2027. These regulations may impact our potential future business operations in China.</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At the U.S. federal level, we are subject to, among other laws and regulations, the rules and regulations promulgated under the authority of the Federal Trade Commission (which has the authority to regulate and enforce against unfair or deceptive acts or practices in or affecting commerce, including with respect to data privacy and cybersecurity) (“FTC”) and the Gramm Leach Bliley Act (which regulates the confidentiality and security of customer information obtained by financial institutions, including non-banking financial institutions such as mortgage brokers, motor vehicle dealers, and payday lenders). Our financial services program, for example, will be subject to, among other applicable laws and regulations, the Safeguards Rule, as recently amended by the FTC (the “FTC Safeguards Rule”), which, among other things, requires non-banking financial institutions to design and implement safeguards to protect customer information, and the financial data collected as part of the financial services program consequently requires additional security and administrative controls. Additionally, there has been increasing regulatory scrutiny from the SEC with respect to adequately disclosing risks concerning cybersecurity and data privacy, which increases the risk of investigations into the cybersecurity and data privacy practices, and related disclosures, of companies within its jurisdiction, which at a minimum can result in distraction of management and significant diversion of resources. SEC cybersecurity disclosure rules (the “SEC Cybersecurity Disclosure Rules”) for public companies require disclosure regarding cybersecurity risk management (including the corporate board’s role in overseeing cybersecurity risks, management’s role and expertise in assessing and managing cybersecurity risks, and processes for assessing, identifying and managing cybersecurity risks) in annual reports.</w:t>
      </w:r>
    </w:p>
    <w:p>
      <w:pPr>
        <w:pStyle w:val="TextBody"/>
        <w:bidi w:val="0"/>
        <w:spacing w:lineRule="auto" w:line="288" w:before="240" w:after="283"/>
        <w:jc w:val="left"/>
        <w:rPr/>
      </w:pPr>
      <w:r>
        <w:rPr>
          <w:rFonts w:ascii="Times New Roman;serif" w:hAnsi="Times New Roman;serif"/>
          <w:b w:val="false"/>
          <w:color w:val="231F20"/>
          <w:sz w:val="20"/>
        </w:rPr>
        <w:t>At the U.S. state level, we are subject to laws and regulations such as the California Consumer Privacy Act of 2018 (as amended by the California Privacy Rights Act of 2020, collectively, the “CCPA”). The CCPA establishes a privacy framework for covered businesses, such as our business, including an expansive definition of personal information and data privacy rights for California residents, and expanded rights with respect to certain sensitive personal information. The CCPA includes potentially severe statutory damages for violations and a private right of action for certain data breaches. The CCPA requires covered businesses to provide California residents with certain privacy-related disclosures and rights related to their personal information. As we expand our operations, the CCPA may increase our compliance costs and potential liability. The California Privacy Rights Act also established a state agency, the California Privacy Protection Agency, vested with the authority to implement and enforce the CCPA. A number of other U.S. states have enacted or are in the process of enacting, or considering similar laws. Complian</w:t>
      </w:r>
      <w:r>
        <w:rPr>
          <w:rFonts w:ascii="Times New Roman;serif" w:hAnsi="Times New Roman;serif"/>
          <w:b w:val="false"/>
          <w:color w:val="000000"/>
          <w:sz w:val="20"/>
        </w:rPr>
        <w:t>ce with these state laws, other similar state or federal laws that may be enacted in the future, and other applicable data privacy and cybersecurity laws and regulations is a rigorous and time-intensive process, and we may be required to put in place additional mechanisms designed to comply with such laws and regulations, which could cause us to incur substantial costs or require us to change our business practices, including our data practices, in a manner that adversely affects our financial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post public privacy notices and other documentation regarding our collection, use, storage, transmission, and other processing of personal data. Although we endeavor to comply with our published notices and other documentation, we may at times fail to do so or may be perceived to have failed to do so. Moreover, despite our efforts designed to meet such obligations, we may not be successful in achieving compliance if our employees, contractors, service providers, vendors or other third parties fail to comply with our published policies and documentation. Such failures could carry similar consequences and subject us to potential local, state and federal action if our published privacy notices and documentation are found to be deceptive, unfair or misrepresentative of our actual practices. Claims that we have allegedly violated individuals’ privacy rights or failed to comply with applicable privacy notices or applicable data privacy laws, regulations, standards, policies, or contractual obligations could, even if we are not found liable, be extremely expensive and time-consuming to defend and could result in adverse publicity that could harm our business.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Most jurisdictions have enacted laws requiring companies to notify individuals, regulatory authorities and other third parties of security breaches involving certain types of data. For example, laws in all 50 U.S. states generally require businesses to provide notice under certain circumstances to consumers whose personal information has been disclosed as a result of a breach. Such laws may be inconsistent or may change or additional laws may be adopted. In addition, our agreements with certain customers may require us to notify them in the event of a security breach. Furthermore, the SEC Cybersecurity Disclosure Rules require the disclosure of material cybersecurity incidents in a Form 8-K, generally within four business days of determining an incident is material. Additionally, upon discovery of an incident in which the unencrypted customer information of at least 500 consumers is acquired without authorization, the FTC Safeguards Rule requires notifying the FTC as soon as possible, and no later than 30 days after discovery of such incident. Such mandatory disclosures are costly, could lead to negative publicity, penalties or fines, litigation and our customers losing confidence in the effectiveness of our security measures and could require us to expend significant capital and other resources to respond to or alleviate problems caused by the actual or perceived security breach. </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are also impacted by regulations that obligate us to share vehicle repair-related information such as vehicle telemetry data, which may include sensitive data like precise geo-location information, with third parties, including repair shops and repair tool hardware developers, under what are commonly called “right-to-repair” laws. Other U.S. state, federal, and foreign jurisdictions are exploring expanding these right-to-repair obligations, which may result in additional risk due to an increased number of third parties are processing data. Furthermore, some agencies within the U.S. federal government, including certain members of Congress and the NHTSA, have increasingly directed their focus to automotive cybersecurity issues and connected vehicle data, which could lead to additional automotive cybersecurity and connected vehicle regulations. In addition, the United Nations Economic Commission for Europe (“UNECE”) has introduced regulations governing connected vehicle cybersecurity in the EU which are mandatory for all new vehicle types from July 2022 and all new vehicles produced from July 2024. Similar regulations are also in effect, or expected to come into effect, in certain other international jurisdictions. These and other regulations could adversely affect our business in European or other markets, and if such regulations or other future regulations are inconsistent with our approach to automotive cybersecurity and connected vehicle data, we would be required to modify our systems to comply with such regulations, which would impose additional costs and introduce delays and could expose us to potential liability to the extent our automotive cybersecurity systems and connected vehicle data practices are inconsistent with such regulations.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New products, services and business lines may face scrutiny from regulators as well. Any changes in laws, rules or regulations regulating AI-enabled technologies could require us to expend significant resources in an effort to modify our products, services, or operations to facilitate compliance or remain competitive. As our engagement with AI-enabled technologies increases, we may be impacted by emerging artificial intelligence rules, regulations, and frameworks globally, including the AI Act and the EU Product Liability Directive (the “Directive”). This Directive extends the EU’s existing strict product liability regime to AI-enabled technologies and facilitates civil claims in respect of alleged harm caused by artificial intelligence. This in combination with other nascent data privacy and cybersecurity laws and regulations, leads to a high degree of uncertainty as to their interpretation and application. If such laws and regulations are implemented, interpreted or applied in a manner inconsistent with our current or future practices or policies, or if we fail to comply with applicable laws or regulations, as well as contractual obligations, policies and industry standards, or to secure personal information, we could be subject to investigations, enforcement actions and other proceedings, which could result in substantial fines, damages, injunctions, orders to change our business practices, and other liability as well as damage to our reputation and credibility, which could have a negative impact on revenues and profits. Any of the foregoing could materially adversely affect our business, prospects,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Risks Related to Our Employees and Human Resources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The loss of key employees or an inability to attract, retain and motivate qualified personnel, including executive leadership, may impair our ability to expand our business.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Our success is substantially dependent upon the continued service and performance of our senior management team and workforce. Our employees, including our senior management team, are generally at-will employees, and therefore may terminate employment with us at any time with no advance notice. We could lose some key employees or fail to attract new employees, especially if we are unable to grant sufficient or competitive compensation, including equity awards and bonuses, or if the volatility of our stock price continues to increase, including as a result of market speculation of the long-term prospect of our business.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future success also depends, in part, on our ability to continue to attract and retain highly skilled personnel. We have faced and continue to face potent competition for highly skilled workers in the U.S., especially in California. As with any company with finite resources, there can be no guarantee that we will be able to attract such individuals or that the presence of such individuals will necessarily translate into our business success. Because we operate in an advanced technology and innovation sector, there may also be limited personnel available with relevant expertise or business experience, and such individuals may be subject to non-competition and other agreements that restrict their ability to work for us. This challenge may be amplified by our ongoing transition to full-scale, high-volume commercial vehicle manufacturing, where we continue to face competitors that may be more established, and therefore may have more predictable supply chains, more developed manufacturing capabilities and more brand recognition than we do. Any failure to attract and retain key employees may materially and adversely affect our business operations. Any failure by our management to effectively anticipate, implement and manage the changes required to sustain our growth would have a material adverse effect on our business, financial condition and results of operations.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any workforce reduction plan may also be distracting to employees and management and may negatively impact our ability to continue to attract and retain highly skilled personnel. We have in the past reduced the size of our workforce, and recently implemented workforce reduction plans and other actions relating to contractors in the first half of 2026, including the elimination of the second shift of production at our AMP-1 factory. Any such plan may adversely affect our business operations, reputation, or ability to serve customers.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announced a number of executive leadership changes, including the appointment of Silvio Napoli as our Chief Executive Officer. Executive leadership and senior management transitions, reductions in workforce and employee turnover can be time consuming, difficult to manage, create instability, cause disruption to our business and result in the loss of institutional knowledge, and any of these outcomes could impede the execution of our day-to-day operations and our ability to fully implement our business and growth strategy. These impacts could also make it more difficult to attract and retain talent. The failure to successfully hire and retain key executives and employees or the further loss of any key executives, senior management and employees could adversely impact our business, financial condition, and results of operations.</w:t>
      </w:r>
    </w:p>
    <w:p>
      <w:pPr>
        <w:pStyle w:val="TextBody"/>
        <w:bidi w:val="0"/>
        <w:spacing w:lineRule="auto" w:line="288" w:before="240" w:after="283"/>
        <w:jc w:val="left"/>
        <w:rPr/>
      </w:pPr>
      <w:r>
        <w:rPr>
          <w:rFonts w:ascii="Times New Roman;serif" w:hAnsi="Times New Roman;serif"/>
          <w:b/>
          <w:i/>
          <w:color w:val="000000"/>
          <w:sz w:val="20"/>
        </w:rPr>
        <w:t xml:space="preserve">We will need to hire, retain, train, and manage a </w:t>
      </w:r>
      <w:r>
        <w:rPr>
          <w:rFonts w:ascii="Times New Roman;serif" w:hAnsi="Times New Roman;serif"/>
          <w:b/>
          <w:i/>
          <w:color w:val="231F20"/>
          <w:sz w:val="20"/>
        </w:rPr>
        <w:t>significant number of employees for our business operations, and our business could be adversely affected by labor and union activities.</w:t>
      </w:r>
    </w:p>
    <w:p>
      <w:pPr>
        <w:pStyle w:val="TextBody"/>
        <w:bidi w:val="0"/>
        <w:spacing w:lineRule="auto" w:line="288" w:before="240" w:after="283"/>
        <w:jc w:val="left"/>
        <w:rPr/>
      </w:pPr>
      <w:r>
        <w:rPr>
          <w:rFonts w:ascii="Times New Roman;serif" w:hAnsi="Times New Roman;serif"/>
          <w:b w:val="false"/>
          <w:color w:val="231F20"/>
          <w:sz w:val="20"/>
        </w:rPr>
        <w:t>We will need to hire, retain, train, and manage a significant number of employees to engage in full capacity commercial manufacturing operations and for us to scale commercial production and sales and service operations. There are various risks and challenges associated with hiring, retaining, training and managing a large workforce, such as establishing and maintaining efficient communication channels, procedures and rules of conduct, hiring an adequate number of experienced manufacturing, supply chain management and logistics managerial personnel and creating and maintaining an eff</w:t>
      </w:r>
      <w:r>
        <w:rPr>
          <w:rFonts w:ascii="Times New Roman;serif" w:hAnsi="Times New Roman;serif"/>
          <w:b w:val="false"/>
          <w:color w:val="000000"/>
          <w:sz w:val="20"/>
        </w:rPr>
        <w:t>ective company culture. Although the area surrounding our AMP-1 facility in Casa Grande, Arizona and the area surrounding our AMP-2 facility in KAEC are home to highly trained workforces with experience in engineering and manufacturing, these workforces may not have significant experience with EV manufacturing, and related processes such as inventory management, logistics and quality. Many jobs will require significant training and we may need to spend significant resources to ensure employees obtain and adhere to such training. Further, competition for employees in the Casa Grande, Arizona area has increased and may continue to increase in the future, which may impact the ability or cost to hire in the area; this same competition for talent may eventually intensify in KAEC as well. In addition, as we progress in constructing our AMP-2 facility in Saudi Arabia, we will need to hire, retain, and train a significantly larger number of employees in the local region to fully support the facility’s manufacturing operations. Any failure to comply with local labor laws and customs could have an adverse effect on our business or operations. If we are unsuccessful in hiring</w:t>
      </w:r>
      <w:r>
        <w:rPr>
          <w:rFonts w:ascii="Times New Roman;serif" w:hAnsi="Times New Roman;serif"/>
          <w:b w:val="false"/>
          <w:color w:val="231F20"/>
          <w:sz w:val="20"/>
        </w:rPr>
        <w:t>, retaining and training a workforce in a timely and cost-effective manner, our business, financial condition and results of operations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231F20"/>
          <w:sz w:val="20"/>
        </w:rPr>
      </w:pPr>
      <w:r>
        <w:rPr>
          <w:rFonts w:ascii="Times New Roman;serif" w:hAnsi="Times New Roman;serif"/>
          <w:b w:val="false"/>
          <w:color w:val="231F20"/>
          <w:sz w:val="20"/>
        </w:rPr>
        <w:t>Furthermore, although none of our U.S. or international based employees is currently represented by a labor union that we are aware of at this time, it is common throughout the automobile industry generally for many employees at automobile companies to belong to a union, which can result in higher employee costs and increased risk of work stoppages. Workforce reductions, including the termination of employees or elimination of positions, may also increase the risk of employee dissatisfaction or unionization efforts. Some unions may attempt and have attempted to organize non-union automakers in the U.S., including us. Moreover, regulations in some jurisdictions outside of the U.S. mandate employee participation in industrial collective bargaining agreements, work councils, or similar activities with certain consultation rights with respect to the relevant companies’ operations, or companies are required to apply collective bargaining agreements, implement works councils or similar bodies with certain consultation rights related to the activities of the companies involved. In the event our employees seek to join or form a labor union, we could be subject to risks as we engage in an attempt to address such organizing or to finalize negotiations with any such union, including potential work slowdowns or stoppages, delays, and increased costs. Furthermore, we may be directly or indirectly dependent upon companies with unionized workforces, such as parts suppliers, construction contractors, and trucking and freight companies, and work stoppages or strikes organized by such unions could have a material adverse impact on our business, financial condition, ability to expand our facilities, or results of operations. If a work stoppage occurs, it could delay the manufacture and sale of our products and have a material adverse effect on our business, prospects, results of operations, or financial condition.</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Misconduct by our employees and independent contractors during and before their employment with us could expose us to potentially significant legal liabilities, reputational harm or other damages to our business.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Many of our employees play critical roles in ensuring the safety and reliability of our vehicles or our compliance with relevant laws and regulations. Certain of our employees have access to sensitive information and proprietary technologies and know-how. While we have adopted codes of conduct for all of our employees and implemented detailed policies and procedures relating to intellectual property, proprietary information, and trade secrets, we cannot guarantee that our employees will always abide by these codes, policies, and procedures nor that the precautions we take to detect and prevent employee misconduct will always be effective. If any of our employees engage in any misconduct, illegal or suspicious activities, including but not limited to misappropriation or leakage of sensitive information, proprietary information, know-how or trade secrets, we and such employees could be subject to legal claims and liabilities and our reputation and business could be adversely affected as a result.</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addition, while we have screening procedures during the recruitment process, we cannot guarantee that we will be able to uncover misconduct of job applicants that occurred before we offered them employment, or that we will not be affected by legal proceedings against our existing or former employees as a result of their actual or alleged misconduct. Any negative publicity surrounding such cases, especially in the event that any of our employees is found to have committed any wrongdoing, could negatively affect our reputation and may have an adverse impact on our business.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Furthermore, we face the risk that our employees and independent contractors may engage in other types of misconduct or other illegal activity, such as intentional, reckless or negligent conduct that violates production standards, workplace health and safety regulations, fraud, abuse or consumer protection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Risks Related to Litigation and Regulation</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Changes in U.S. trade policy, including the imposition of or uncertainties surrounding tariffs or revocation of normal trade relations and the resulting consequences, could adversely affect our business, prospects, results of operations and financial condition.</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The current U.S. presidential administration has adopted an evolving approach to trade policy, including renegotiating and terminating existing bilateral and multi-lateral trade agreements, reviewing U.S. trade policies, practices and agreements to address trade deficits and other economic security matters, and imposing tariffs on imports, in many cases significant, on a variety of items, including fully assembled vehicles, steel, aluminum, and certain vehicle parts and software, which have resulted in increased costs for imports and may cause shortages and delays in the supply of certain components, materials, tooling and equipment necessary to produce our vehicles. In response to these tariffs, a number of U.S. trading partners have imposed or threatened to impose retaliatory measures, including tariffs on U.S. products and enhanced export controls, which has increased the cost and complexity of exporting our vehicles to affected markets. For example, Canada has announced countermeasure tariffs on select U.S.-manufactured vehicles. Further, the current U.S. presidential administration has imposed tariffs on goods imported from China on top of existing tariffs, and has expanded its export and transfer restrictions on foreign companies and subsidiaries involving sensitive technology, which has resulted in uncertainty regarding the future of international trade between the U.S. and China. In response, China has imposed retaliatory tariffs and implemented export restrictions on certain rare-earth minerals and semiconductor-related products, including microchips. Despite recent negotiations, U.S.-China trade relations remain volatile and uncertain, and there can be no assurance that further actions by the U.S., China or another country will not have an adverse impact on our business, operations and access to products manufactured in China or elsewhere outside the U.S.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231F20"/>
          <w:sz w:val="20"/>
        </w:rPr>
      </w:pPr>
      <w:r>
        <w:rPr>
          <w:rFonts w:ascii="Times New Roman;serif" w:hAnsi="Times New Roman;serif"/>
          <w:b w:val="false"/>
          <w:color w:val="231F20"/>
          <w:sz w:val="20"/>
        </w:rPr>
        <w:t>The exact scope of any such tariffs that may be ultimately implemented remains uncertain at this time. We cannot predict whether, or to what extent, international trade agreements may be altered, nor can we predict whether, or to what extent, duties, additional tariffs, export controls, or other trade restrictions will be modified or imposed by the U.S. or other countries. If we are unable to pass the costs of such tariffs on to our customer base or otherwise mitigate such costs, or if demand for our exported vehicles decreases due to the higher cost or preferences in foreign countries for domestically manufactured products, our results of operations could be materially adversely affected. Additionally, the threat of retaliatory tariffs and trade wars between the U.S. and foreign countries could further impede the transition to EVs, disrupt global supply chains, and delay the implementation of economic competitiveness policies. Further, while the administration has issued an executive order and announced other arrangements to reduce certain previously announced tariffs on automobiles and auto parts, there can be no assurance that there will not be further changes. In February 2026, the Supreme Court struck down the current U.S. administration’s use of the IEEPA to impose broad tariffs on imports from foreign trade partners. We have received refunds for tariffs that we had paid under the IEEPA. However, tariff exposure may not significantly decline and the administration may expand use of other mechanisms to further its trade agenda. Taken together, these uncertainties surrounding domestic and foreign tariffs and the resulting environment of retaliatory trade practices could increase costs and harm our ability to obtain necessary inputs or sell our vehicles at prices customers are willing to pay, which could have a material adverse effect on our business, prospects, results of operations and financial condition.</w:t>
      </w:r>
    </w:p>
    <w:p>
      <w:pPr>
        <w:pStyle w:val="TextBody"/>
        <w:bidi w:val="0"/>
        <w:spacing w:lineRule="auto" w:line="288" w:before="240" w:after="283"/>
        <w:jc w:val="left"/>
        <w:rPr/>
      </w:pPr>
      <w:r>
        <w:rPr>
          <w:rFonts w:ascii="Times New Roman;serif" w:hAnsi="Times New Roman;serif"/>
          <w:b w:val="false"/>
          <w:color w:val="000000"/>
          <w:sz w:val="20"/>
        </w:rPr>
        <w:t xml:space="preserve">The Uyghur Forced Labor Prevention Act (“UFLPA”) creates a rebuttable presumption that any goods, wares, articles, and merchandise mined, produced, or manufactured in whole or in part in the Xinjiang Uyghur Administrative Region of China or that are produced by certain entities are prohibited from importation into the </w:t>
      </w:r>
      <w:r>
        <w:rPr>
          <w:rFonts w:ascii="Times New Roman;serif" w:hAnsi="Times New Roman;serif"/>
          <w:b w:val="false"/>
          <w:color w:val="231F20"/>
          <w:sz w:val="20"/>
        </w:rPr>
        <w:t>U.S.</w:t>
      </w:r>
      <w:r>
        <w:rPr>
          <w:color w:val="000000"/>
        </w:rPr>
        <w:t xml:space="preserve"> </w:t>
      </w:r>
      <w:r>
        <w:rPr>
          <w:rFonts w:ascii="Times New Roman;serif" w:hAnsi="Times New Roman;serif"/>
          <w:b w:val="false"/>
          <w:color w:val="000000"/>
          <w:sz w:val="20"/>
        </w:rPr>
        <w:t xml:space="preserve">and are not entitled to entry. While we are not presently aware of any direct impacts these restrictions have on our supply chain, the UFLPA may materially and negatively impact our ability to import the goods and products we rely on to manufacture our products and operate our business. The UFLPA may further impact our supply chain and costs of goods as it may restrict the available supply of goods and products eligible for importation into the </w:t>
      </w:r>
      <w:r>
        <w:rPr>
          <w:rFonts w:ascii="Times New Roman;serif" w:hAnsi="Times New Roman;serif"/>
          <w:b w:val="false"/>
          <w:color w:val="231F20"/>
          <w:sz w:val="20"/>
        </w:rPr>
        <w:t>U.S.</w:t>
      </w:r>
      <w:r>
        <w:rPr>
          <w:rFonts w:ascii="Times New Roman;serif" w:hAnsi="Times New Roman;serif"/>
          <w:b w:val="false"/>
          <w:color w:val="000000"/>
          <w:sz w:val="20"/>
        </w:rPr>
        <w:t>, including among other things, electronics assemblies and aluminum. As the U.S. government continues to investigate claims of forced labor in China, the enforcement of the UFLPA continues to evolve, making the potential for impacts on Chinese suppliers (and non-Chinese suppliers using supply chains extending into China) difficult to assess.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2022, in response to actions taken by Russia against Ukraine, the U.S. and other countries worldwide implemented significant economic sanctions, embargoes, financial restrictions, trade controls and other governmental measures and restrictions against Russia, Belarus, and certain related entities and persons. Additionally, the military operations in the Gulf region and the Middle East, potential escalation and broadening of the conflict in Iran, could lead to new uncertainties to trade relations and policies. The U.S. has enacted, or may enact in the future, federal regulations that significantly constrain trade relations with Russia, Belarus or other countries. Consequently, imports of certain products or merchandise originating from these jurisdictions may be subject to higher import duty rates. To the extent such products or merchandise are found in our cross-border supply chains and subject to higher duties, the suspension of normal trade relations with Russia, Belarus and other countries could increase our input costs, which could adversely impact our business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Although we are not aware of any company-related operations or activities in these jurisdictions, economic sanctions and other laws and regulations targeting these jurisdictions could disrupt our supply chains, impair our ability to compete in current or future markets, or otherwise subject us to potential liability. While we have implemented, or may implement in the future, certain procedures to facilitate compliance with applicable laws and regulations in connection with the sanctions and trade control programs around the globe related to Russia, Belarus or other countries, we cannot be assured that these procedures are always effective or that we, or third parties, many of whom we do not control, have complied with all laws or regulations in this regard. Failure by our employees, representatives, contractors, agents, intermediaries, or other third parties to comply with applicable laws and regulations could have negative consequences that could impact us, including reputational harm, government investigations, loss of export privileges, and penalties or fines. These economic sanctions and other restrictions continue to evolve, and the long-term potential impact on our operations and business remains unclear.</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are subject to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At various jurisdictional levels, we are or will be subject to complex and evolving environmental, manufacturing, health and safety laws and regulations, including laws relating to the use, handling, storage, recycling, disposal and human exposure to lithium-ion batteries and hazardous materials and with respect to constructing, expanding and maintaining our facilities. The costs of compliance, including remediating contamination, if any, for our properties and any changes to our operations mandated by new or amended laws, may be significant. We may also face unexpected delays in obtaining permits and approvals required by such laws in connection with our facilities, which could affect our ability to continue our operations. Such costs and delays may adversely impact our business prospects and operations. Furthermore, any violations of these laws may result in substantial fines and penalties, remediation costs, third party damages, or a suspension or cessation of our operations.</w:t>
      </w:r>
    </w:p>
    <w:p>
      <w:pPr>
        <w:pStyle w:val="TextBody"/>
        <w:bidi w:val="0"/>
        <w:spacing w:lineRule="auto" w:line="288" w:before="240" w:after="283"/>
        <w:jc w:val="left"/>
        <w:rPr/>
      </w:pPr>
      <w:r>
        <w:rPr>
          <w:rFonts w:ascii="Times New Roman;serif" w:hAnsi="Times New Roman;serif"/>
          <w:b w:val="false"/>
          <w:color w:val="231F20"/>
          <w:sz w:val="20"/>
        </w:rPr>
        <w:t xml:space="preserve">In addition, motor vehicles and associated service activities are subject to substantial regulation under international, federal, state and local laws. We have incurred, and expect to continue to incur, significant costs in complying with these regulations. Any failures to comply could result in significant expenses, delays or fines. In the U.S., vehicles must meet or exceed all federally mandated motor vehicle safety standards to be certified under the federal regulations. Rigorous testing and the use of approved materials and equipment are among the requirements for achieving federal certification. The Lucid Air, the </w:t>
      </w:r>
      <w:r>
        <w:rPr>
          <w:rFonts w:ascii="Times New Roman;serif" w:hAnsi="Times New Roman;serif"/>
          <w:b w:val="false"/>
          <w:color w:val="000000"/>
          <w:sz w:val="20"/>
        </w:rPr>
        <w:t xml:space="preserve">Lucid </w:t>
      </w:r>
      <w:r>
        <w:rPr>
          <w:rFonts w:ascii="Times New Roman;serif" w:hAnsi="Times New Roman;serif"/>
          <w:b w:val="false"/>
          <w:color w:val="231F20"/>
          <w:sz w:val="20"/>
        </w:rPr>
        <w:t>Gravity and any future vehicle programs, including the upcoming Midsize platform, will be subject to such regulation under international, federal, state and local laws and standards. These regulations include those promulgated by the EPA, NHTSA, other federal agencies, various state agencies and boards; and compliance certification is required for each individual vehicle we manufacture for sale. These laws and standards are subject to change from time-to-time, and we could become subject to additional regulations in the future, which could increase the effort and expense of compliance. If compliance results in delays or substantial expenses, this could adversely affect our business. Laws and industrial standards for EVs continue to evolve, and we face risks associated with changes to these regulations, which could have an impact on the adoption of EVs.</w:t>
      </w:r>
    </w:p>
    <w:p>
      <w:pPr>
        <w:pStyle w:val="TextBody"/>
        <w:bidi w:val="0"/>
        <w:spacing w:lineRule="auto" w:line="288" w:before="240" w:after="283"/>
        <w:jc w:val="left"/>
        <w:rPr/>
      </w:pPr>
      <w:r>
        <w:rPr>
          <w:rFonts w:ascii="Times New Roman;serif" w:hAnsi="Times New Roman;serif"/>
          <w:b w:val="false"/>
          <w:color w:val="231F20"/>
          <w:sz w:val="20"/>
        </w:rPr>
        <w:t>We currently are, and expect to become, subject to laws and regulations applicable to the supply chain, manufacture, import, sale and service of automobiles and accessories in an increasing number of international jurisdicti</w:t>
      </w:r>
      <w:r>
        <w:rPr>
          <w:rFonts w:ascii="Times New Roman;serif" w:hAnsi="Times New Roman;serif"/>
          <w:b w:val="false"/>
          <w:color w:val="000000"/>
          <w:sz w:val="20"/>
        </w:rPr>
        <w:t xml:space="preserve">ons. </w:t>
      </w:r>
      <w:r>
        <w:rPr>
          <w:rFonts w:ascii="Times New Roman;serif" w:hAnsi="Times New Roman;serif"/>
          <w:b w:val="false"/>
          <w:color w:val="231F20"/>
          <w:sz w:val="20"/>
        </w:rPr>
        <w:t>Applicable regulations in countries outside of the U.S., such as standards relating to vehicle safety, transportation of dangerous goods, fuel economy and emissions, battery recycling, among other things, are often materially different from requirements in the U.S. and are also e</w:t>
      </w:r>
      <w:r>
        <w:rPr>
          <w:rFonts w:ascii="Times New Roman;serif" w:hAnsi="Times New Roman;serif"/>
          <w:b w:val="false"/>
          <w:color w:val="000000"/>
          <w:sz w:val="20"/>
        </w:rPr>
        <w:t>volving. For example, the EU has enacted a battery regulation that affects Lucid vehicles and batteries delivered in Europe with increasing requirements for the durability, marking, supply chain transparency, and recycled content of the high-voltage batteries in our vehicles each year, among other requirements. Compliance with such regulations will require additional time and resources</w:t>
      </w:r>
      <w:r>
        <w:rPr>
          <w:rFonts w:ascii="Times New Roman;serif" w:hAnsi="Times New Roman;serif"/>
          <w:b w:val="false"/>
          <w:color w:val="231F20"/>
          <w:sz w:val="20"/>
        </w:rPr>
        <w:t>. This process may include official review and verification of our batteries and related documentation prior to market entry. There can be no assurance that we will be able to achieve foreign regulatory compliance in a timely manner and at our expected cost, or at all; and the costs of achieving international regulatory compliance or the failure to achieve international regulatory compliance could harm our business, prospects, results of operations and financial condition.</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may face regulatory limitations on our ability to sell vehicles directly, which could materially and adversely affect our ability to sell our vehicles.</w:t>
      </w:r>
    </w:p>
    <w:p>
      <w:pPr>
        <w:pStyle w:val="TextBody"/>
        <w:bidi w:val="0"/>
        <w:spacing w:lineRule="auto" w:line="288" w:before="240" w:after="283"/>
        <w:jc w:val="left"/>
        <w:rPr/>
      </w:pPr>
      <w:r>
        <w:rPr>
          <w:rFonts w:ascii="Times New Roman;serif" w:hAnsi="Times New Roman;serif"/>
          <w:b w:val="false"/>
          <w:color w:val="231F20"/>
          <w:sz w:val="20"/>
        </w:rPr>
        <w:t>Our business plan includes the direct sale of vehicles to retail consumers, both at retail locations and over the internet, in North America and the Middle East. In the U.S., the laws governing licensing of dealers and sales of motor vehicles vary from state to state. Most states require a dealer license to sell new motor vehicles within the state, and many states prohibit manufacturers or their affiliates from becoming licensed dealers and directly selling new motor vehicles to retail consumers from within that state. In addition, most states require that we have a physical dealership location in the state before we can be licensed as a dealer. Currently, we are licensed as a motor vehicle dealer in several states. In some states, we have also opened or expect to open Lucid studios to educate and inform customers about our vehicles, but those Lucid studios will not actually transact in the sale of vehicles.</w:t>
      </w:r>
      <w:r>
        <w:rPr>
          <w:color w:val="000000"/>
        </w:rPr>
        <w:t xml:space="preserve"> </w:t>
      </w:r>
      <w:r>
        <w:rPr>
          <w:rFonts w:ascii="Times New Roman;serif" w:hAnsi="Times New Roman;serif"/>
          <w:b w:val="false"/>
          <w:color w:val="231F20"/>
          <w:sz w:val="20"/>
        </w:rPr>
        <w:t>The application of these state laws to our operations continues to be difficult to predict. Laws in some states have limited our ability to obtain dealer licenses from state motor vehicle regulators and may continue to do so.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val="false"/>
          <w:color w:val="231F20"/>
          <w:sz w:val="20"/>
        </w:rPr>
        <w:t>We may face legal challenges to this distribution model. For example, in states where direct sales are not permitted, dealers and their lobbying organizations may raise complaints to the government or regulatory agencies that we are acting in the capacity of a dealer without a license. Alternatively, we have and may continue to initiate legal action against such states that prohibit direct sales, which may be protracted and expensive, and the results are difficult to predict. In some states, regulators may restrict or prohibit us from directly providing warranty repair service, or from contracting with third parties who are not licensed dealers to provide warranty repair service. Even if regulators decide to permit us to sell vehicles, such decisions may be challenged by dealer associations and others as to whether such decisions comply with applicable state motor vehicle industry laws. Further, even in jurisdictions where we believe applicable laws and regulations do not currently prohibit our direct sales model or where we have reached agreements with regulators, legislatures may impose additional limitations. Because the laws vary from state-to-state, our distribution model must</w:t>
      </w:r>
      <w:r>
        <w:rPr>
          <w:color w:val="000000"/>
        </w:rPr>
        <w:t xml:space="preserve"> </w:t>
      </w:r>
      <w:r>
        <w:rPr>
          <w:rFonts w:ascii="Times New Roman;serif" w:hAnsi="Times New Roman;serif"/>
          <w:b w:val="false"/>
          <w:color w:val="231F20"/>
          <w:sz w:val="20"/>
        </w:rPr>
        <w:t>be carefully established, and our sales and service processes must be continually monitored for compliance with the various state requirements, which change from time-to-time. Regulatory compliance and likely challenges to the distribution model may add to the cost of our business.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have in the past and may choose in the future, or we may be compelled, to undertake product recalls or take other actions, which could adversely affect our business, prospects, results of operations, reputation and financial condition.</w:t>
      </w:r>
    </w:p>
    <w:p>
      <w:pPr>
        <w:pStyle w:val="TextBody"/>
        <w:bidi w:val="0"/>
        <w:spacing w:lineRule="auto" w:line="288" w:before="240" w:after="283"/>
        <w:jc w:val="left"/>
        <w:rPr/>
      </w:pPr>
      <w:r>
        <w:rPr>
          <w:rFonts w:ascii="Times New Roman;serif" w:hAnsi="Times New Roman;serif"/>
          <w:b w:val="false"/>
          <w:color w:val="231F20"/>
          <w:sz w:val="20"/>
        </w:rPr>
        <w:t>Product recalls may result in adverse publicity, damage our reputation and adversely affect our business, prospects, results of operations and financial condition. For example, we have conducted several vehicle recalls due to a number of potential issues in the past and we may in the future voluntarily or involuntarily initiate additional recalls if any of our EVs or components (including our batteries) prove to be defective or noncompliant with applicable federal motor vehicle safety standards. If a large number</w:t>
      </w:r>
      <w:r>
        <w:rPr>
          <w:color w:val="000000"/>
        </w:rPr>
        <w:t xml:space="preserve"> </w:t>
      </w:r>
      <w:r>
        <w:rPr>
          <w:rFonts w:ascii="Times New Roman;serif" w:hAnsi="Times New Roman;serif"/>
          <w:b w:val="false"/>
          <w:color w:val="231F20"/>
          <w:sz w:val="20"/>
        </w:rPr>
        <w:t xml:space="preserve">of vehicles are the subject of a recall or if we are </w:t>
      </w:r>
      <w:r>
        <w:rPr>
          <w:rFonts w:ascii="Times New Roman;serif" w:hAnsi="Times New Roman;serif"/>
          <w:b w:val="false"/>
          <w:color w:val="000000"/>
          <w:sz w:val="20"/>
        </w:rPr>
        <w:t>unable to obtain the necessary replacement parts, we may be unable to service and repair recalled vehicles for a significant period of time. During the first quarter of 2026, deliveries of the Lucid Gravity were disrupted for 29 days due to a supplier quality issue with the second-row seats. These types of disruptions could jeopardize our ability to fulfill existing contractual commitments or satisfy demand for our EVs and could also r</w:t>
      </w:r>
      <w:r>
        <w:rPr>
          <w:rFonts w:ascii="Times New Roman;serif" w:hAnsi="Times New Roman;serif"/>
          <w:b w:val="false"/>
          <w:color w:val="231F20"/>
          <w:sz w:val="20"/>
        </w:rPr>
        <w:t>esult in the loss of business to our competitors. Such recalls and stop sales, whether caused by systems or components engineered or manufactured by us or our suppliers, would involve significant expense, the possibility of lawsuits, reduction of customer demand, adverse publicity, and diversion of management’s attention and other resources, which could adversely affect our brand image in our target markets and our business, prospects, results of operations and financial condition.</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are subject to legal proceedings, regulatory disputes and governmental inquiries that could cause us to incur significant expenses, divert our management’s attention, and adversely affect our business, results of operations, cash flows and financial condition.</w:t>
      </w:r>
    </w:p>
    <w:p>
      <w:pPr>
        <w:pStyle w:val="TextBody"/>
        <w:bidi w:val="0"/>
        <w:spacing w:lineRule="auto" w:line="288" w:before="240" w:after="283"/>
        <w:jc w:val="left"/>
        <w:rPr/>
      </w:pPr>
      <w:r>
        <w:rPr>
          <w:rFonts w:ascii="Times New Roman;serif" w:hAnsi="Times New Roman;serif"/>
          <w:b w:val="false"/>
          <w:color w:val="231F20"/>
          <w:sz w:val="20"/>
        </w:rPr>
        <w:t xml:space="preserve">From time-to-time, we may be subject to claims, lawsuits, government investigations and other proceedings involving product liability, consumer protection, competition and antitrust, intellectual property, data privacy, cybersecurity, securities, tax, labor and employment, health and safety, our direct distribution model, motor vehicle dealership licenses and state licensing laws, environmental claims, contractual and commercial disputes and other matters that could adversely affect our business, brand, reputation, results of operations, cash flows, financial condition, and the trading price of our common stock. These claims could be asserted against us by individuals, either acting individually or through class actions, by governmental entities in civil or criminal investigations and proceedings, or by other entities. For example, we are currently the subject of class actions filed against us, our former CEO, and other current or former officers, alleging violations of securities laws. We are also the subject of multiple shareholder derivative lawsuits alleging breaches of fiduciary duties and related claims against certain of our former and current directors. For details regarding these legal proceedings, refer to Note </w:t>
      </w:r>
      <w:r>
        <w:rPr>
          <w:rFonts w:ascii="Times New Roman;serif" w:hAnsi="Times New Roman;serif"/>
          <w:b w:val="false"/>
          <w:color w:val="000000"/>
          <w:sz w:val="20"/>
        </w:rPr>
        <w:t>11</w:t>
      </w:r>
      <w:r>
        <w:rPr>
          <w:color w:val="231F20"/>
        </w:rPr>
        <w:t xml:space="preserve"> “</w:t>
      </w:r>
      <w:r>
        <w:rPr>
          <w:rFonts w:ascii="Times New Roman;serif" w:hAnsi="Times New Roman;serif"/>
          <w:b w:val="false"/>
          <w:color w:val="231F20"/>
          <w:sz w:val="20"/>
        </w:rPr>
        <w:t>Commitments and Contingencies” to the condensed consolidated financial statements included elsewhere in this Quarterly Report for more information.</w:t>
      </w:r>
    </w:p>
    <w:p>
      <w:pPr>
        <w:pStyle w:val="TextBody"/>
        <w:bidi w:val="0"/>
        <w:spacing w:lineRule="auto" w:line="288" w:before="240" w:after="283"/>
        <w:jc w:val="left"/>
        <w:rPr/>
      </w:pPr>
      <w:r>
        <w:rPr>
          <w:rFonts w:ascii="Times New Roman;serif" w:hAnsi="Times New Roman;serif"/>
          <w:b w:val="false"/>
          <w:color w:val="000000"/>
          <w:sz w:val="20"/>
        </w:rPr>
        <w:t>Litigation and regulatory proceedings may be protracted an</w:t>
      </w:r>
      <w:r>
        <w:rPr>
          <w:rFonts w:ascii="Times New Roman;serif" w:hAnsi="Times New Roman;serif"/>
          <w:b w:val="false"/>
          <w:color w:val="231F20"/>
          <w:sz w:val="20"/>
        </w:rPr>
        <w:t>d expensive, and the results are difficult to predict. Additionally, our litigation and legal defense costs could be significant, even if we achieve favorable outcomes. Adverse outcomes with respect to litigation or any other legal proceedings may result in significant settlement costs or judgments, criminal and civil penalties and fines, or injunctive relief, including suspension or revocation of licenses to conduct business or other changes to our business practices, all of which could adversely affect our sales and revenue growth, our brand, business, prospects, results of operations, cash flows and financial condition. See Part II, Item 1 “Legal Proceedings.”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become subject to product liability and warranty-related claims, which could harm our financial condition and liquidity if we are not able to successfully defend or insure against such claims.</w:t>
      </w:r>
    </w:p>
    <w:p>
      <w:pPr>
        <w:pStyle w:val="TextBody"/>
        <w:bidi w:val="0"/>
        <w:spacing w:lineRule="auto" w:line="288" w:before="240" w:after="283"/>
        <w:jc w:val="left"/>
        <w:rPr/>
      </w:pPr>
      <w:r>
        <w:rPr>
          <w:rFonts w:ascii="Times New Roman;serif" w:hAnsi="Times New Roman;serif"/>
          <w:b w:val="false"/>
          <w:color w:val="000000"/>
          <w:sz w:val="20"/>
        </w:rPr>
        <w:t xml:space="preserve">We may become subject to product liability and warranty-related claims, which could harm our business, prospects, results of operations and financial condition. The automotive industry experiences significant product liability claims, and we face inherent risks of exposure to claims in the event our production vehicles do not perform or are claimed not to perform as expected or malfunction, resulting in property damage, personal injury or death. We also expect that, as is true for other automakers, our vehicles will be involved in crashes resulting in death or personal injury, and even if not caused by the failure of our vehicles, we may face product liability claims and adverse publicity in connection with such incidents. In addition, we may face claims arising from or related to failures, claimed failures or misuse of new technologies that we expect to offer, including ADAS and AV features in our vehicles. See “— Risks Related to Litigation and Regulation — </w:t>
      </w:r>
      <w:r>
        <w:rPr>
          <w:rFonts w:ascii="Times New Roman;serif" w:hAnsi="Times New Roman;serif"/>
          <w:b w:val="false"/>
          <w:i/>
          <w:color w:val="000000"/>
          <w:sz w:val="20"/>
        </w:rPr>
        <w:t>ADAS and autonomous vehicle technologies are subject to uncertain and evolving regulations.</w:t>
      </w:r>
      <w:r>
        <w:rPr>
          <w:color w:val="000000"/>
        </w:rPr>
        <w:t xml:space="preserve">” </w:t>
      </w:r>
      <w:r>
        <w:rPr>
          <w:rFonts w:ascii="Times New Roman;serif" w:hAnsi="Times New Roman;serif"/>
          <w:b w:val="false"/>
          <w:color w:val="000000"/>
          <w:sz w:val="20"/>
        </w:rPr>
        <w:t xml:space="preserve">In addition, the battery packs that we produce use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modules, there can be no assurance that a field or testing failure of our vehicles or other battery packs that we produce will not occur, in particular due to a high-speed crash. See “— Risks Related to Manufacturing and Supply Chain — </w:t>
      </w:r>
      <w:r>
        <w:rPr>
          <w:rFonts w:ascii="Times New Roman;serif" w:hAnsi="Times New Roman;serif"/>
          <w:b w:val="false"/>
          <w:i/>
          <w:color w:val="000000"/>
          <w:sz w:val="20"/>
        </w:rPr>
        <w:t>Our vehicles make use of lithium-ion battery cells, which, if not appropriately managed and controlled, have been observed to catch fire or vent smoke and flame.</w:t>
      </w:r>
      <w:r>
        <w:rPr>
          <w:color w:val="000000"/>
        </w:rPr>
        <w:t xml:space="preserve">” </w:t>
      </w:r>
      <w:r>
        <w:rPr>
          <w:rFonts w:ascii="Times New Roman;serif" w:hAnsi="Times New Roman;serif"/>
          <w:b w:val="false"/>
          <w:color w:val="000000"/>
          <w:sz w:val="20"/>
        </w:rPr>
        <w:t>In addition, although we equip our vehicles with systems designed to detect and warn vehicle occupants of such thermal events, there can be no assurance that such systems will function as designed or will provide vehicle occupants with sufficient, or any, warning in all circumstances. Any such events or failures of our vehicles, battery packs or warning systems could subject us to lawsuits, product recalls or redesign efforts, all of which would be time-consuming and expensive. Furthermore, if our products contain design defects, manufacturing defects, or other defects in materials or workmanship that cause them to not conform to applicable express or implied warranties, or we are unable to service or repair nonconforming vehicles within a reasonable period of time or number of repair attempts, we may be subject to breach of warranty, lemon law, and other consumer protection claims.</w:t>
      </w:r>
    </w:p>
    <w:p>
      <w:pPr>
        <w:pStyle w:val="TextBody"/>
        <w:bidi w:val="0"/>
        <w:spacing w:lineRule="auto" w:line="288" w:before="240" w:after="283"/>
        <w:jc w:val="left"/>
        <w:rPr/>
      </w:pPr>
      <w:r>
        <w:rPr>
          <w:rFonts w:ascii="Times New Roman;serif" w:hAnsi="Times New Roman;serif"/>
          <w:b w:val="false"/>
          <w:color w:val="231F20"/>
          <w:sz w:val="20"/>
        </w:rPr>
        <w:t>A successful product liability or warranty-related claim against us could result in a substantial monetary loss.</w:t>
      </w:r>
      <w:r>
        <w:rPr>
          <w:color w:val="000000"/>
        </w:rPr>
        <w:t xml:space="preserve"> </w:t>
      </w:r>
      <w:r>
        <w:rPr>
          <w:rFonts w:ascii="Times New Roman;serif" w:hAnsi="Times New Roman;serif"/>
          <w:b w:val="false"/>
          <w:color w:val="231F20"/>
          <w:sz w:val="20"/>
        </w:rPr>
        <w:t>Our risks in this area are particularly pronounced in light of the limited field experience of our vehicles. Moreover, a product liability or warranty-related claim against us or our competitors could generate substantial negative publicity about our vehicles and business and inhibit or prevent commercialization of our future vehicles, which would have material adverse effect on our brand, business, prospects and results of operations. Our insurance coverage might not be sufficient to cover all potential product liability and warranty-related claims, and insurance coverage may not continue to be available to us or, if available, may be at a significantly higher cost. Any lawsuit seeking significant monetary damages or other product liability or warranty-related claims may have a material adverse effect on our reputation, business and financial condition.</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may be exposed to delays, limitations and risks related to the environmental permits and other operating permits required to construct and operate our manufacturing facilities.</w:t>
      </w:r>
    </w:p>
    <w:p>
      <w:pPr>
        <w:pStyle w:val="TextBody"/>
        <w:bidi w:val="0"/>
        <w:spacing w:lineRule="auto" w:line="288" w:before="240" w:after="283"/>
        <w:jc w:val="left"/>
        <w:rPr/>
      </w:pPr>
      <w:r>
        <w:rPr>
          <w:rFonts w:ascii="Times New Roman;serif" w:hAnsi="Times New Roman;serif"/>
          <w:b w:val="false"/>
          <w:color w:val="231F20"/>
          <w:sz w:val="20"/>
        </w:rPr>
        <w:t xml:space="preserve">Construction and operation of an automobile manufacturing facility requires land use and environmental permits and other construction and operating permits from federal, state and local government entities. While we believe that we have the permits necessary to carry out and perform our current plans and operations at our Casa Grande, Arizona and Saudi Arabia manufacturing facilities based on our current target production capacity, we plan to expand our manufacturing facilities and construct additional manufacturing facilities over time to achieve a future target production capacity and will be required to apply for and secure various environmental, wastewater, hazardous materials, construction and land use permits and certificates of occupancy necessary for the commercial operation of such expanded and additional facilities. Delays, denials or restrictions on any of the applications for or granting of the permits to construct or operate our manufacturing facilities could adversely affect our ability to execute on our business plans and objectives based on our current target production capacity or our future target production capacity. See “— Risks Related to Manufacturing and Supply Chain — </w:t>
      </w:r>
      <w:r>
        <w:rPr>
          <w:rFonts w:ascii="Times New Roman;serif" w:hAnsi="Times New Roman;serif"/>
          <w:b w:val="false"/>
          <w:i/>
          <w:color w:val="231F20"/>
          <w:sz w:val="20"/>
        </w:rPr>
        <w:t>We have experienced and may in the future experience significant delays in the design, launch and manufacture of our vehicles, including the Lucid Air, the Lucid Gravity and our upcoming Midsize platform, which could harm our business and prospects.</w:t>
      </w:r>
      <w:r>
        <w:rPr>
          <w:color w:val="231F20"/>
        </w:rPr>
        <w:t>”</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are subject to various environmental, health and safety laws and regulations that could impose substantial costs on us and cause delays in expanding our production facilities.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Our operations are subject to international, federal, state and local environmental laws and regulations relating to the use, handling, storage, disposal of and exposure to hazardous materials and batteries. Environmental, health and safety laws and regulations are complex and evolving. For example, regulations regarding battery storage, recycling, disposal and processing are relatively new and the current lack of consistent standards may increase our cost of compliance. Moreover, we may be affected by future amendments to such laws or other new environmental, health and safety laws and regulations which may require a change in our operations, potentially resulting in a material adverse effect on our business, prospects, results of operations and financial condition. These laws can give rise to liability for administrative oversight costs, cleanup costs, property damage, bodily injury, fines and penalties. Capital and operating expenses needed to comply with environmental laws and regulations can be significant, and violations could result in substantial fines and penalties, third-party damages, suspension of production or a cessation of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If contamination is discovered at properties we own or operate, properties we formerly owned or operated or properties to which we sent hazardous substances, we may be subject to liability under environmental laws and regulations, including, but not limited to, the Comprehensive Environmental Response, and Compensation and Liability Act, which can impose liability for the full amount of remediation-related costs without regard to fault, for the investigation and cleanup of contaminated soil and ground water, for building contamination and impacts to human health and for damages to natural resources. The costs of complying with environmental laws and regulations and any claims concerning noncompliance, or liability with respect to contamination in the future, could have a material adverse effect on our financial condition or results of operations.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Our operations are also subject to international, federal, state, and local workplace safety laws and regulations, including, but not limited to, the Occupational Safety and Health Act and the rules promulgated by the Occupational Safety and Health Administration, which require compliance with various workplace safety requirements. These laws and regulations can give rise to liability for oversight costs, compliance costs, bodily injury (including workers’ compensation), fines, and penalties. Additionally, non-compliance could result in delay or suspension of production or cessation of operations. The costs required to comply with workplace safety laws can be significant, and non-compliance could adversely affect our production or other operations, including with respect to the production of our vehicles, which could have a material adverse effect on our business, prospects and results of operations.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ADAS and autonomous vehicle technologies are subject to uncertain and evolving regulations.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expect to introduce certain ADAS and AV technologies into our vehicles over time. ADAS and AV technologies are subject to regulatory uncertainty as the law evolves to catch up with the rapidly evolving nature of the technologies, all of which is beyond our control. There are a variety of international, federal and state regulations that may apply to self-driving and driver-assisted vehicles, which include many existing vehicle standards that assume a human driver will be controlling the vehicle at all times. Currently, there are no federal U.S. regulations in effect pertaining to the safety of self-driving vehicles; however, NHTSA has established recommended guidelines. Certain states have legal restrictions on self-driving vehicles, and many other states are considering them. In Europe, certain vehicle safety regulations apply to self-driving braking and steering systems, and certain treaties also restrict the legality of certain higher levels of self-driving vehicles. Both the U.S. and Europe are considering new rules for ADAS and AV technologies that are expected to come into effect in future years. Self-driving laws and regulations are expected to continue to evolve in numerous jurisdictions in the U.S. and foreign countries, which increases the likelihood of a patchwork of complex or conflicting regulations, or may delay products or restrict self-driving features and availability, or affect the pace at which we enter the robotaxi business, which could adversely affect our business. Our vehicles may not achieve compliance with the regulatory requirements in some countries or jurisdictions for certification and rollout to consumers or satisfy changing regulatory requirements which could require us to redesign, modify or update our ADAS or AV hardware and related software systems. Any such requirements or limitations could impose significant expense or delays and could harm our competitive position, which could adversely affect our business, prospects, results of operations and financial condition.</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are subject to U.S. and foreign anti-corruption, anti-money laundering and anti-boycott laws and regulations. We can face criminal liability and other serious consequences for violations, which can harm our business.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are subject to the U.S. Foreign Corrupt Practices Act of 1977, as amended, the U.S. domestic bribery statute, the U.S. Travel Act, the USA PATRIOT Act and possibly other anti-bribery and anti-money laundering laws in countries in which we expect to conduct activities, as well as the antiboycott regulations of the U.S. Export Administration regulations.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can be held liable for the corrupt or other illegal activities of our employees, agents, contractors and other collaborators, even if we do not explicitly authorize or have actual knowledge of such activities. Anti-money laundering laws and regulations of the U.S. and other countries may require additional due diligence of counterparties and for us to provide ownership and financial information to counterparties. The antiboycott regulations of the U.S. Export Administration require us to refuse to comply with the Arab League boycott of Israel and report any requests to do so.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are subject to governmental export and import controls and laws that could subject us to liability if we are not in compliance with such laws.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Our vehicles and the equipment we use are subject to export control, import and economic sanctions laws and regulations, including the U.S. Export Administration Regulations, U.S. Customs regulations and various economic and trade sanctions regulations administered by the U.S. Treasury Department’s Office of Foreign Assets Control. Exports of our vehicles and technology must be made in compliance with these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In addition, our existing and future international operations for the reassembly or manufacture of our vehicles may subject us to additional constraints under applicable export and import controls and 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addition, changes to our vehicles, or changes in applicable export control, import or economic sanctions laws and regulations, may create delays in the introduction and sale of our vehicles and solutions or, in some cases, prevent the export or import of our vehicles to certain countries, governments, or persons altogether. Any change in export, import, or economic sanctions laws and regulations, shift in the enforcement or scope of existing laws and regulations or change in the countries, governments, persons or technologies targeted by such laws and regulations could also result in decreased use of our vehicles, as well decreasing our ability to export or market our vehicles to potential customers. Any decreased use of our vehicles or limitation on our ability to export or market our vehicles could adversely affect our business, prospects, results of operations and financial condition.</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A failure to properly comply with foreign trade zone laws and regulations could increase the cost of our duties and tariffs.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have established a foreign trade zone with respect to certain of our facilities in Casa Grande, Arizona, through qualification with U.S. Customs and Border Protection. Materials received in a foreign trade zone are not subject to certain U.S. duties or tariffs until the material enters U.S. commerce. We expect to benefit from the adoption of a foreign trade zone by reduced duties, deferral of certain duties and tariffs, and reduced processing fees, which we expect to help us realize a reduction in duty and tariff costs. However, the operation of our foreign trade zone requires compliance with applicable regulations, including with respect to the physical security of the foreign trade zone, and continued support of U.S. Customs and Border Protection with respect to the foreign trade zone program. If we are unable to maintain the qualification of our foreign trade zone, or if foreign trade zones are limited or unavailable to us in the future, our duty and tariff costs could increase, which could have an adverse effect on our business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Risks Related to Intellectual Property</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may fail to adequately obtain, maintain, enforce, defend and protect our intellectual property and may not be able to prevent third parties from unauthorized use of our intellectual property and proprietary technology. If we are unsuccessful in any of the foregoing, our competitive position could be harmed and we could be required to incur significant expenses to enforce our rights.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Our ability to compete effectively is dependent in part upon our ability to obtain, maintain, enforce, defend and protect our intellectual property and proprietary technology. We may not be able to prevent third parties from unauthorized use of our intellectual property and proprietary technology, which could harm our business and competitive position. We establish and protect our intellectual property and proprietary technology through a combination of licensing agreements, third-party nondisclosure and confidentiality agreements and other contractual rights, as well as through patent, trademark, copyright and trade secret laws in the U.S. and other jurisdictions. Monitoring unauthorized use of our intellectual property is costly and challenging, and the steps we have taken or will take to prevent infringement, misappropriation and other violations may not be successful. Despite our efforts to obtain and protect intellectual property rights, there can be no assurance that these protections will be available in all cases or will be adequate to prevent our competitors or other third parties from copying, reverse engineering or otherwise obtaining and using our technology or products or seeking court declarations that they do not infringe, misappropriate or otherwise violate our intellectual property. Failure to adequately obtain, maintain, enforce, defend and protect our intellectual property could result in our competitors offering identical or similar products, potentially resulting in the loss of our competitive advantage and a decrease in our revenue which would adversely affect our business, prospects, financial condition and results of operations.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The measures we take to obtain, maintain, protect, defend and enforce our intellectual property, including preventing unauthorized use by third parties, may not be effective for various reasons, including the following:</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any trademark or patent applications we file may not result in the issuance of trademarks or patents;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we may not be the first inventor of the subject matter to which we have filed a particular patent application, and we may not be the first party to file such a patent application;</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the claims under any of our issued patents may not be broad enough to (i) protect our inventions and proprietary technology nor (ii) prevent third parties from creating, developing, or implementing technologies that are similar to ours or offer similar performance;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issued patents may be challenged or invalidated by our competitors or other third parties;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patents have a finite term, and competitors and other third parties may offer identical or similar products after the expiration of our patents that cover such products;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employees, contractors or business partners may breach their confidentiality, non-disclosure and non-use obligations;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competitors and other third parties may independently develop technologies that are the same or similar to ours;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 xml:space="preserve">the intellectual property rights of others could also bar us from licensing and exploiting any patents that issue from our pending applications;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231F20"/>
          <w:sz w:val="20"/>
        </w:rPr>
        <w:t>the costs associated with enforcing patents or other intellectual property rights, or confidentiality and invention assignment agreements may make enforcement impracticable; and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competitors and other third parties may circumvent or otherwise design around our patents or other intellectual property.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Patent, trademark, copyright and trade secret laws vary significantly throughout the world. The laws of some foreign countries, including countries in which our products are sold, may not be as protective of intellectual property rights as those in the U.S., and mechanisms for obtaining and enforcing intellectual property rights may be inadequate. Therefore, our intellectual property may not be as strong or as easily obtained or enforced outside of the U.S. Further, policing the unauthorized use of our intellectual property in foreign jurisdictions may be difficult. In addition, third parties may seek to challenge, invalidate or circumvent our patents, trademarks, copyrights, trade secrets or other intellectual property, or applications for any of the foregoing, which could permit our competitors or other third parties to develop and commercialize products and technologies that are the same or similar to ours.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While we have registered and applied for trademarks in an effort to protect our brand and goodwill with customers, competitors or other third parties have in the past and may in the future oppose our trademark applications or otherwise challenge our use of the trademarks and other brand names in which we have invested. Such oppositions and challenges can be expensive and may adversely affect our ability to maintain the goodwill gained in connection with a particular trademark. In addition, we may lose our trademark rights if we are unable to submit specimens of use by the applicable deadline to perfect such trademark rights. For example, in June 2024, we reached an agreement with Gravity, Inc. to settle a claim before the USPTO that opposed and requested cancellation of our trademark application and registration for the use of “Gravity.”</w:t>
      </w:r>
    </w:p>
    <w:p>
      <w:pPr>
        <w:pStyle w:val="TextBody"/>
        <w:bidi w:val="0"/>
        <w:spacing w:lineRule="auto" w:line="288" w:before="240" w:after="283"/>
        <w:jc w:val="left"/>
        <w:rPr/>
      </w:pPr>
      <w:r>
        <w:rPr>
          <w:rFonts w:ascii="Times New Roman;serif" w:hAnsi="Times New Roman;serif"/>
          <w:b w:val="false"/>
          <w:color w:val="231F20"/>
          <w:sz w:val="20"/>
        </w:rPr>
        <w:t>It is our policy to enter into confidentiality and invention assignment agreements with our employees and contractors that have developed material intellectual property for us, but these agreements may not be</w:t>
      </w:r>
      <w:r>
        <w:rPr>
          <w:color w:val="000000"/>
        </w:rPr>
        <w:t xml:space="preserve"> </w:t>
      </w:r>
      <w:r>
        <w:rPr>
          <w:rFonts w:ascii="Times New Roman;serif" w:hAnsi="Times New Roman;serif"/>
          <w:b w:val="false"/>
          <w:color w:val="231F20"/>
          <w:sz w:val="20"/>
        </w:rPr>
        <w:t>self-executing and may not otherwise adequately protect our intellectual property, particularly with respect to conflicts of ownership relating to work product generated by the employees and contractors. Furthermore, we cannot be certain that we have entered into these agreements with every such employee and contractor, that these agreements will not be breached or that third parties will not gain access to our trade secrets, know-how or other proprietary technology. Third parties may also independently develop the same or substantially similar proprietary technology. Monitoring unauthorized use of our intellectual property is difficult and costly, as are the steps we have taken or will take to prevent misappropriation.</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have licensed and plan to further license patents and other intellectual property from third parties, including, but not limited to, suppliers and service providers, and we may face claims that our use of this in-licensed intellectual property infringes, misappropriates or otherwise violates the intellectual property rights of third parties. In such cases, we will seek indemnification from our licensors. However, our rights to indemnification may be unavailable or insufficient to cover our costs and losses. Furthermore, disputes may arise with our licensors regarding the intellectual property subject to, and any of our rights and obligations under, any license or other commercial agreement. The resolution of such disputes could narrow what we believe to be the scope of our rights to the relevant intellectual property or increase what we believe to be our financial or other obligations under the relevant agreement. If we are unable to renew our key license or other intellectual property-related agreements on acceptable terms, or our current and future licensors conclude that we have materially breached our obligations under our license agreements and terminate such license agreements, we may lose the legal right to use some of the intellectual property we employ to manufacture certain products or only be able to maintain such right at a substantially higher cost. In some circumstances, we may not have the right to control the maintenance, prosecution, preparation, filing, enforcement, defense or litigation of patents and patent applications that we license from third parties and are reliant on our licensors to do so. We cannot be certain that activities such as patent maintenance and prosecution by our licensors have been or will be conducted consistent with our best interests or in compliance with applicable laws and regulations, or will result in valid and enforceable patents and other intellectual property rights. It is possible that our licensors’ infringement proceedings or defense activities may be less vigorous than had we conducted them ourselves or may not be conducted in accordance with our best interests.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To prevent unauthorized use of our intellectual property, it may be necessary to prosecute actions for infringement, misappropriation or other violation of our intellectual property against third parties. Any such action may be time-consuming and could result in significant costs and diversion of our resources and management’s attention, and there can be no assurance that we will be successful in any such action. Furthermore, many of our current and potential competitors have the ability to dedicate substantially greater resources to enforce their intellectual property rights than we do. Accordingly, despite our efforts, we may not be able to prevent third parties from infringing, misappropriating or otherwise violating our intellectual property. Any of the foregoing could adversely affect our business, prospects,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may be sued by third parties for alleged infringement, misappropriation or other violation of their intellectual property, which could be time-consuming and costly and result in significant legal liability.</w:t>
      </w:r>
    </w:p>
    <w:p>
      <w:pPr>
        <w:pStyle w:val="TextBody"/>
        <w:bidi w:val="0"/>
        <w:spacing w:lineRule="auto" w:line="288" w:before="240" w:after="283"/>
        <w:jc w:val="left"/>
        <w:rPr/>
      </w:pPr>
      <w:r>
        <w:rPr>
          <w:rFonts w:ascii="Times New Roman;serif" w:hAnsi="Times New Roman;serif"/>
          <w:b w:val="false"/>
          <w:color w:val="231F20"/>
          <w:sz w:val="20"/>
        </w:rPr>
        <w:t>There are considerable issued patents, pending patent applications, and other intellectual property development, ownership, and activity in our industry.</w:t>
      </w:r>
      <w:r>
        <w:rPr>
          <w:color w:val="000000"/>
        </w:rPr>
        <w:t xml:space="preserve"> </w:t>
      </w:r>
      <w:r>
        <w:rPr>
          <w:rFonts w:ascii="Times New Roman;serif" w:hAnsi="Times New Roman;serif"/>
          <w:b w:val="false"/>
          <w:color w:val="231F20"/>
          <w:sz w:val="20"/>
        </w:rPr>
        <w:t>Companies, organizations and individuals, including our competitors, may hold or obtain patents, trademarks or other intellectual property that would prevent, limit or interfere with our ability to make, use, develop, sell, lease, market or otherwise exploit our vehicles, components or other technology, which could make it more difficult for us to operate our business. Our success depends in part on not infringing, misappropriating or otherwise violating the intellectual property of third parties. From time-to-time, we may receive communications from third parties, including our competitors, alleging that we are infringing, misappropriating or otherwise violating their intellectual property or otherwise asserting their rights and urging us to take licenses, and we may be found to be infringing, misappropriating or otherwise violating such rights. There can be no assurance that we can adequately mitigate the risk of potential suits or other legal demands by our competitors or other third parties. Patent and other types of intellectual property litigation can involve complex factual and legal questions, and their outcome is uncertain. Even if we believe such claims are without merit, a court of competent jurisdiction could hold that such third-party intellectual property is valid, enforceable and infringed, which could adversely affect our ability to commercialize our products or technologies. Accordingly, we may consider entering into license agreements with respect to such rights, although no assurance can be given that such licenses can be obtained on acceptable terms or at all or that litigation will not occur, and such licenses and associated litigation could significantly increase our operating expenses. We may be unaware of the intellectual property and other proprietary rights of third parties that may cover some or all of our products or technologies. Any claims or litigation could cause us to incur significant expenses and, if successfully asserted against it, could have adverse effects on our business, including requiring that it:</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pay substantial damages, including treble damages for willful infringement, or ongoing royalty payments;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cease developing, selling, leasing, using or incorporating certain components into vehicles or offering goods or services that incorporate or use the asserted intellectual property;</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seek a license from the owner of the asserted intellectual property, which license may not be available on reasonable terms, or at all;</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comply with other unfavorable terms; or</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establish and maintain alternative branding for our products and services.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If any of our customers or indemnitees are alleged to have infringed, misappropriated or otherwise violated any third-party intellectual property, we would in general be required to defend or settle the litigation on their behalf. In addition, if we are unable to obtain licenses or modify our products or technologies to make them non-infringing, we may have to refund a portion of license fees paid to us and terminate those agreements, which could further exhaust our resources. In addition, we may pay substantial settlement amounts or royalties on future product sales to resolve claims or litigation, whether or not legitimately or successfully asserted against us. Even if we were to prevail in the actual or potential claims or litigation against us, any claim or litigation regarding our intellectual property could be costly and time-consuming and divert the attention and resources of our management and key employees from our business operations. Such disputes, with or without merit, could also cause potential customers to refrain from purchasing our products or otherwise cause us reputational harm and negative publicity.</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Furthermore, many of our employees were previously employed by other automotive companies or by suppliers to automotive companies, or related industries. We may be subject to claims that we or our employees have inadvertently or otherwise used or disclosed trade secrets or other proprietary information of these employees’ former employers. Litigation may be necessary to defend against these claims. If we fail in defending such claims, in addition to paying monetary damages, we may be enjoined from using certain technology, product, services, or knowledge or, we may lose valuable intellectual property or employees. A loss of key employees, our trade secrets, or our other work product could hamper or prevent our ability to commercialize our products, which could severely harm our business. Even if we are successful in defending against these claims, litigation could result in substantial costs and demand on management resources. Any of the foregoing could materially adversely affect our business, prospects,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Some of our products contain open-source software, which may pose particular risks to our proprietary software, products and services in a manner that could harm our business.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use open-source software, available from third parties, in our products and anticipate using open-source software in the future. Some open-source software licenses require those who distribute open-source software as part of their own software product to publicly disclose all or part of the source code to such software product or to make available any derivative works of the open-source code on unfavorable terms or at no cost, and we may be subject to such terms. The terms of many open-source licenses to which we are subject have not been interpreted by U.S. or foreign courts, and there is a risk that open-source software licenses could be construed in a manner that imposes unanticipated conditions or restrictions on our ability to provide or distribute our products or services. Any actual or claimed requirement to disclose our proprietary source code or pay damages for breach of contract could harm our business and could help third parties, including our competitors, develop products and services that are similar to or better than ours. While we monitor our use as well as our third-party software suppliers’ use of open-source software and compliance with open-source licenses and try to ensure that none is used in a manner that would require us to disclose our proprietary source code or that would otherwise breach the terms of an open-source license, such use could inadvertently occur or be claimed to have occurred. Additionally, we could face claims from third parties claiming ownership of, or demanding release of, the open-source software or derivative works that we developed using such software, which could include our proprietary source code, or otherwise seeking to enforce, or alleging non-compliance with the terms of the applicable open-source license. These claims could result in litigation and could require us to make our proprietary source code freely available, purchase a costly license or cease offering the implicated products or services unless and until we can re-engineer them to avoid infringement, which may be a costly and time-consuming process, and we may not be able to complete the re-engineering process successfully.</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Additionally, the use of certain open-source software can lead to greater risks than use of third-party commercial software, as open-source licensors generally do not provide warranties or controls on the origin of software or other contractual protections regarding infringement claims or the quality of the code, including with respect to security vulnerabilities. Moreover, some open-source projects have known security and other vulnerabilities and architectural instabilities, or are otherwise subject to security attacks due to their wide availability, and are provided on an “as-is” basis. There is typically no support available for open-source software, and we cannot ensure that the authors of such open-source software will implement or push updates to address security risks or will not abandon further development and maintenance. Many of the risks associated with the use of open-source software, such as the lack of warranties or assurances of title or performance, cannot be eliminated, and could, if not properly addressed, negatively affect our business. Any of these risks could be difficult to eliminate or manage and, if not addressed, could have a material adverse effect on our business, prospects,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Risks Related to Financing and Strategic Transactions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will require additional capital to support business growth, and this capital might not be available on commercially reasonable terms, or at all.</w:t>
      </w:r>
    </w:p>
    <w:p>
      <w:pPr>
        <w:pStyle w:val="TextBody"/>
        <w:bidi w:val="0"/>
        <w:spacing w:lineRule="auto" w:line="288" w:before="240" w:after="283"/>
        <w:jc w:val="left"/>
        <w:rPr/>
      </w:pPr>
      <w:r>
        <w:rPr>
          <w:rFonts w:ascii="Times New Roman;serif" w:hAnsi="Times New Roman;serif"/>
          <w:b w:val="false"/>
          <w:color w:val="231F20"/>
          <w:sz w:val="20"/>
        </w:rPr>
        <w:t>We have funded our operations since inception primarily through equity and debt financings. We anticipate that we will continue to raise additional funds through equity, equity-linked or debt financings. Our business is capital-intensive, and our efforts to increase cost-effectiveness, including the execution of the cash flow improvement plan, may not succeed. There can be no assurance that we will achieve positive cash flow from operations on our anticipated timeline, or at all. In addition, we have settled, and we expect to settle, tax withholding obligations in connection with vesting of the restricted stock units granted to certain employees through “net settlement,” i.e., by remitting the Company’s cash to satisfy the tax withholding obligation and simultaneously withholding a number of the</w:t>
      </w:r>
      <w:r>
        <w:rPr>
          <w:color w:val="000000"/>
        </w:rPr>
        <w:t xml:space="preserve"> </w:t>
      </w:r>
      <w:r>
        <w:rPr>
          <w:rFonts w:ascii="Times New Roman;serif" w:hAnsi="Times New Roman;serif"/>
          <w:b w:val="false"/>
          <w:color w:val="000000"/>
          <w:sz w:val="20"/>
        </w:rPr>
        <w:t xml:space="preserve">vested shares on each vesting date with a value equal to that remitted cash. The amount of the tax withholding due on each vesting date will be based on the fair value of our common stock on such vesting date. Depending on the fair value of our common stock and the number of restricted stock units vesting on any applicable vesting date, such net settlement could require us to expend substantial funds to satisfy tax withholding.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plan to continue the commercial production of our vehicles and grow our business is dependent upon the timely availability of funds and further investment in design, engineering, component procurement, testing, and the build-out of manufacturing capabilities. For example, as of June 30, 2026, pursuant to the terms of the agreements we entered into in connection with the supply of lithium-ion battery cells, we have remaining minimum purchase commitments of an aggregate of approximately $2.47 billion of lithium-ion battery cells using the current base prices, which could vary period-to-period primarily as a result of changes in raw material indexes. In addition, the fact that we have a limited operating history means that we have limited historical data on the demand for our vehicles. As a result, our future capital requirements are uncertain, and actual capital requirements may be greater than what we currently anticipate.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If we raise additional funds through further issuances of equity or equity-linked securities, our stockholders could experience significant dilution, and any new equity securities we issue could have rights, preferences and privileges superior to those of holders of our common stock. Any debt financing in the future could involve additional restrictive covenants relating to our capital raising activities and other financial and operational matters, which may make it more difficult for us to obtain additional capital and to pursue business opportunities, including potential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val="false"/>
          <w:color w:val="000000"/>
          <w:sz w:val="20"/>
        </w:rPr>
        <w:t>We may not be able to obtain additional financing on terms favorable to us, if at all. Our ability to obtain such financing could be adversely affected by a number of factors, including our liquidity position, execution risks, industry-wide EV headwinds, delays or cutbacks in EV production plans announced by us or other manufacturers, investor and customer acceptance of our business model and changes in vehicle programs, and any announcement to adjust, suspend or withdraw previously announced financial projections or guidance. General conditions in the global economy and financial markets may also affect our ability to obtain additional capital, including volatility and disruptions in the capital and credit markets, including as a result of inflation, bank closures and liquidity concerns at financial institutions, the risk of a global economic recession or</w:t>
      </w:r>
      <w:r>
        <w:rPr>
          <w:color w:val="231F20"/>
        </w:rPr>
        <w:t xml:space="preserve"> </w:t>
      </w:r>
      <w:r>
        <w:rPr>
          <w:rFonts w:ascii="Times New Roman;serif" w:hAnsi="Times New Roman;serif"/>
          <w:b w:val="false"/>
          <w:color w:val="231F20"/>
          <w:sz w:val="20"/>
        </w:rPr>
        <w:t xml:space="preserve">other downturn, interest rate changes, global or regional conflicts or other geopolitical events, including the geopolitical conflicts in the Middle East. These factors may </w:t>
      </w:r>
      <w:r>
        <w:rPr>
          <w:rFonts w:ascii="Times New Roman;serif" w:hAnsi="Times New Roman;serif"/>
          <w:b w:val="false"/>
          <w:color w:val="000000"/>
          <w:sz w:val="20"/>
        </w:rPr>
        <w:t>make the timing, amount, terms and conditions of such financing unattractive or unavailable to us. If we are unable to obtain adequate financing or financing on terms satisfactory to us, when we require it, we will have to significantly reduce our spending, delay or cancel our planned activities or substantially change our corporate structure, and we might not have sufficient resources to conduct or support our business as projected, which would have a material adverse effect on our business, prospects, results of operations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be able to realize the anticipated benefits of our agreements with Aston Martin, Uber, and Nuro.</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June 2023, we entered into the Implementation Agreement with Aston Martin under which we and Aston Martin have established a long-term strategic technology arrangement. On November 6, 2023, pursuant to the terms of the Implementation Agreement, integration and supply arrangements became effective, under which we will provide Aston Martin access to our powertrain, battery system, and software technologies, work with Aston Martin to integrate our powertrain and battery components with Aston Martin’s battery EV chassis, and supply powertrain and battery components to Aston Martin. However, we may not be able to realize the anticipated benefits of this agreement if Aston Martin fails to satisfy its contractual commitments, delays or cancels vehicle programs expected to incorporate our technology, elects to reduce or discontinue its relationship with us, or fails to enter into a long form supply agreement on terms acceptable to us. See Note 15 “Related Party Transactions” to the condensed consolidated financial statements included elsewhere in this Quarterly Report for more information.</w:t>
      </w:r>
    </w:p>
    <w:p>
      <w:pPr>
        <w:pStyle w:val="TextBody"/>
        <w:bidi w:val="0"/>
        <w:spacing w:lineRule="auto" w:line="288" w:before="240" w:after="283"/>
        <w:jc w:val="left"/>
        <w:rPr/>
      </w:pPr>
      <w:r>
        <w:rPr>
          <w:rFonts w:ascii="Times New Roman;serif" w:hAnsi="Times New Roman;serif"/>
          <w:b w:val="false"/>
          <w:color w:val="000000"/>
          <w:sz w:val="20"/>
        </w:rPr>
        <w:t xml:space="preserve">In July 2025, we entered into the First VPA with Uber under which Uber and its designated fleet operators have agreed to purchase a minimum commitment of 20,000 Lucid Gravity Plus vehicles over a six-year period following the start of production. We will collaborate with Nuro </w:t>
      </w:r>
      <w:r>
        <w:rPr>
          <w:rFonts w:ascii="Times New Roman;serif" w:hAnsi="Times New Roman;serif"/>
          <w:b w:val="false"/>
          <w:color w:val="242424"/>
          <w:sz w:val="20"/>
        </w:rPr>
        <w:t xml:space="preserve">to install autonomous driving software in Lucid Gravity vehicles, to enable Uber and its </w:t>
      </w:r>
      <w:r>
        <w:rPr>
          <w:rFonts w:ascii="Times New Roman;serif" w:hAnsi="Times New Roman;serif"/>
          <w:b w:val="false"/>
          <w:color w:val="000000"/>
          <w:sz w:val="20"/>
        </w:rPr>
        <w:t xml:space="preserve">designated fleet operators </w:t>
      </w:r>
      <w:r>
        <w:rPr>
          <w:rFonts w:ascii="Times New Roman;serif" w:hAnsi="Times New Roman;serif"/>
          <w:b w:val="false"/>
          <w:color w:val="242424"/>
          <w:sz w:val="20"/>
        </w:rPr>
        <w:t>to operate the vehicles as robotaxis with Level 4 autonomy</w:t>
      </w:r>
      <w:r>
        <w:rPr>
          <w:rFonts w:ascii="Times New Roman;serif" w:hAnsi="Times New Roman;serif"/>
          <w:b w:val="false"/>
          <w:color w:val="000000"/>
          <w:sz w:val="20"/>
        </w:rPr>
        <w:t>. In April 2026, we entered into the Second VPA, further expanding our strategic partnership with Uber in connection with our Midsize platform vehicles. See Note 8 “Stockholders’ Equity” to the condensed consolidated financial statements included elsewhere in this Quarterly Report for more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not be able to realize the anticipated benefits of the VPAs if we fail to meet certain volume and other requirements and specifications with respect to the Lucid Gravity Plus vehicles and Lucid Midsize Plus vehicles, including continued production of the base Lucid Gravity vehicles and base Lucid Midsize platform vehicles, meeting certain quality thresholds, and timely fulfillment of orders for the subject vehicles. In addition, we will depend on Nuro to meet its requirements in order to fulfill some of these conditions.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Any such delay or failure for any reason, including financial distress, insolvency or disruptions in operations experienced by our partners or for any other reasons beyond our control, may have an adverse effect on our brand and reputation, and our business, prospects, results of operations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accounting method for reflecting the Convertible Senior Notes on our consolidated balance sheet, accruing interest expense for the Convertible Senior Notes and reflecting the underlying shares of our common stock in our reported diluted earnings per share may adversely affect our reported earnings and financial condition.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2020, the Financial Accounting Standards Board published an Accounting Standards Update, which we refer to as ASU 2020-06, which simplifies certain of the accounting standards that apply to convertible debt such as the Convertible Senior Notes. ASU 2020-06 will be effective for SEC-reporting entities for fiscal years beginning after December 15, 2021 (or, in the case of smaller reporting companies, December 15, 2023), including interim periods within those fiscal years. However, early adoption is permitted in certain circumstances for fiscal years beginning after December 15, 2020, including interim periods within those fiscal years. We adopted ASU 2020-06 for the year ended December 31, 2021, including interim periods within that fiscal year.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accordance with ASU 2020-06, we accounted for the issuance of the Convertible Senior Notes as a liability on our balance sheets, with the initial carrying amount equal to the principal amount of the Convertible Senior Notes, net of issuance costs. The issuance costs will be treated as a debt discount for accounting purposes, which will be amortized into interest expense over the term of the Convertible Senior Notes. As a result of this amortization, the interest expense that we expect to recognize for the Convertible Senior Notes for accounting purposes will be greater than the cash interest payments we will pay on the Convertible Senior Notes, which will result in a higher reported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shares underlying the Convertible Senior Notes will be reflected in our diluted earnings per share using the “if converted” method, in accordance with ASU 2020-06. Under that method, diluted earnings per share would generally be calculated assuming that all the Convertible Senior Notes were converted solely into shares of common stock at the beginning of the reporting period, unless the result would be anti-dilutive. The application of the if-converted method may reduce our reported diluted earnings per share, and accounting standards may change in the future in a manner that may adversely affect our diluted earnings per share.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if any of the conditions to the convertibility of the Convertible Senior Notes is satisfied, then we may be required under applicable accounting standards to reclassify the liability carrying value of the Convertible Senior Notes as a current, rather than a long-term liability. This reclassification could be required even if no noteholders convert their Convertible Senior Notes and could materially reduce our reported working capital.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Servicing our current and future debt and potential payment obligations, including under the terms of our Convertible Senior Notes and Redeemable Convertible Preferred Stock, may restrict our flexibility in operating our business and require a significant amount of cash, and we may not have sufficient cash flow from our business to pay our indebtedness or satisfy our payment obligations.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issued $2.0 billion principal amount of the 2026 Notes in December 2021, issued $1.1 billion principal amount of the 2030 Notes in April 2025, issued $975.0 million principal amount of the 2031 Notes in November 2025, and have entered into several credit facilities since 2022. Concurrent with the 2030 Notes offering and the 2031 Notes offering, we repurchased $1,808.2 million principal amount of the 2026 Notes in the aggregate, reducing its remaining principal amount to $204.3 million. See Note 6 “Debt” to the condensed consolidated financial statements included elsewhere in this Quarterly Report for further information on our outstanding debt obligations. Our ability to make scheduled payments of the principal of, to pay interest on, or to refinance our indebtedness from time-to-time depends on our future performance, which is subject to economic, financial, competitive and other factors beyond our control.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Noteholders may, subject to a limited exception, require us to repurchase their Convertible Senior Notes following a fundamental change at a cash repurchase price generally equal to the principal amount of the Convertible Senior Notes to be repurchased, plus accrued and unpaid interest, if any. Holders of the 2031 Notes may also require us to repurchase their 2031 Notes on November 1, 2029 at a cash optional repurchase price equal to the principal amount of the 2031 Notes to be repurchased. In addition, upon conversion, we will satisfy part or all of our conversion obligation in cash unless we elect to settle conversions solely in shares of our common stock. We may not have sufficient available cash or be able to obtain financing at the time we are required to repurchase the Convertible Senior Notes or pay any cash amounts due upon conversion. In addition, applicable law, regulatory authorities and the agreements governing our other indebtedness, such as the covenants in the ABL Credit Facility and Certificate of Designations, may restrict our ability to repurchase the Convertible Senior Notes or pay any cash amounts due upon conversion. Our failure to repurchase the Convertible Senior Notes or pay any cash amounts due upon conversion when required will constitute a default under the indentures of such Convertible Senior Notes. A default under the indentures of such Convertible Senior Notes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Convertible Senior Notes.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under the SIDF Loan Agreement, the 2025 GIB Credit Facility, the ABL Credit Facility, and the DDTL Credit Facility, we are subject to customary affirmative and negative covenants regarding our business and operations, including limitations on our ability to, among other things, pay dividends, incur debt, create liens and encumbrances, redeem or repurchase stock, dispose of assets (including dispositions of material intellectual property), consummate acquisitions or other investments, prepay certain debt, engage in transactions with affiliates, engage in certain sale and leaseback transactions, consummate mergers and other fundamental changes, enter in to restrictive agreements or modify their organizational documents.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val="false"/>
          <w:color w:val="000000"/>
          <w:sz w:val="20"/>
        </w:rPr>
        <w:t>In March 2024, we issued 100,000 shares of our Series A Redeemable Convertible Preferred Stock, in August 2024, we issued 75,000 shares of our Series B Redeemable Convertible Preferred Stock, and in April 2026, we issued 55,000 shares of our Series C Redeemable Convertible Preferred Stock. The holders of our Redeemable Convertible Preferred Stock have the right to receive payment in cash upon a mandatory conversion or redemption at our option, or upon the occurrence of a fundamental change (as defined in the Certificate of Designations), if certain liquidity conditions are not satisfied. In general, we are entitled to exercise a mandatory conversion right regarding the Redeemable Convertible Preferred Stock to convert into shares of common stock after the third anniversary of the date of original issuance if the daily VWAP (as defined in the Certificate of Designations) has been at least 200% of the Conversion Price (as defined in Note 7 “Redeemable Convertible Preferred Stock” to our condensed consolidated financial statements included elsewhere in this Quarterly Report) for at least twenty (20) trading days (whether or not consecutive) during any thirty (30) consecutive trading day period (including the last day of such period), and we are entitled to redeem all or any portion of the Redeemable Convertible Preferred Stock on or after the fifth anniversary of the date of original issuance at a redemption price specified in the Certificate of Designations. In addition, prior to the obtaining of the requisite shareholder approval, we are required to cash settle the shares of common stock deliverable upon conversion, redemption or repurchase of the Series C Redeemable Convertible Preferred Stock that are over the Conversion Share Cap (as defined therein). The holders of our Redeemable Convertible Preferred Stock also have the right to receive certain Minimum Consideration (as defined in Note 7 “Redeemable Convertible Preferred Stock” to our condensed consolidated financial statements included elsewhere in this Quarterly Report) upon a mandatory conversion, optional redemption, fundamental change or liquidation event. While we largely can control the occurrence of such events, if we are required to cash settle any of these obligations as a result of the liquidity conditions not being met, the amount of such cash settlement is subject to factors beyond our control and we cannot presently predict the amount of such cash settlement, which increases over time is not subject to any cap or limitation. A requirement to cash settle any obligations in relation to the Redeemable Convertible Preferred Stock may have a material adverse effect on our business, prospects, results of operations and financial condition. See “—</w:t>
      </w:r>
      <w:r>
        <w:rPr>
          <w:rFonts w:ascii="Times New Roman;serif" w:hAnsi="Times New Roman;serif"/>
          <w:b w:val="false"/>
          <w:i/>
          <w:color w:val="000000"/>
          <w:sz w:val="20"/>
        </w:rPr>
        <w:t>The issuance of additional shares of our common stock or other equity or equity-linked securities, including upon conversion, optional redemption or repurchase of convertible securities, or sales of a significant portion of our common stock, could depress the market price of our common stock.</w:t>
      </w:r>
      <w:r>
        <w:rPr>
          <w:color w:val="000000"/>
        </w:rPr>
        <w: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business may not generate cash flow from operations in the future sufficient to service our debt, our obligations under the Redeemable Convertible Preferred Stock and make necessary capital expenditures. If we are unable to generate such cash flow, we may be required to adopt one or more alternatives, such as selling assets, restructuring debt or preferred stock or obtaining additional debt financing or equity capital on terms that may be onerous or highly dilutive. Our ability to refinance any current or future indebtedness or preferred stock will depend on the capital markets and our financial condition at such time. Our obligations to the holders of our Redeemable Convertible Preferred Stock could also limit our ability to obtain additional financing, which could have an adverse effect on our financial condition. We may not be able to engage in future financing on desirable terms, which could result in a default on our debt obligations. In addition, our existing debt agreements contain, and any of our future debt agreements may contain restrictive covenants that may prohibit us from selling assets, restructuring debt or preferred stock or obtaining additional debt financing or equity capital, which may make it more difficult for us to obtain additional capital to pursue business opportunities, including potential acquisitions or divestitures. Our failure to comply with these covenants could result in an event of default which, if not cured or waived, could result in the acceleration of our debt, and may limit our ability to obtain additional financing, which in turn may have an adverse effect on our cash flows and liquidity.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Further, shares of our common stock are subordinate in right of payment to all of our current and future debt and Redeemable Convertible Preferred Stock. We cannot assure that there would be any remaining funds for any distribution to our stockholders after the payment of all of our debt or, in the case of our Redeemable Convertible Preferred Stock, payment of all of our obligations upon liquidation or, in certain limited circumstances where cash settlement is required, our obligations upon mandatory conversion, optional redemption or a fundamental change.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our indebtedness and our obligations under our Redeemable Convertible Preferred Stock, combined with our other existing and future financial obligations and contractual commitments, could have other important consequences. For example, it could:</w:t>
      </w:r>
    </w:p>
    <w:p>
      <w:pPr>
        <w:pStyle w:val="TextBody"/>
        <w:bidi w:val="0"/>
        <w:spacing w:lineRule="auto" w:line="288" w:before="240" w:after="283"/>
        <w:ind w:left="0" w:right="0" w:hanging="360"/>
        <w:jc w:val="left"/>
        <w:rPr/>
      </w:pPr>
      <w:r>
        <w:rPr>
          <w:color w:val="231F20"/>
        </w:rPr>
        <w:t>•</w:t>
      </w:r>
      <w:r>
        <w:rPr>
          <w:rFonts w:ascii="Times New Roman;serif" w:hAnsi="Times New Roman;serif"/>
          <w:b w:val="false"/>
          <w:color w:val="231F20"/>
          <w:sz w:val="20"/>
        </w:rPr>
        <w:t>make us more vulnerable to adverse changes in general U.S. and worldwide economic, industry and competitive conditions and adverse changes in government regulation;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limit our flexibility in planning for, or reacting to, changes in our business and our industry;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place us at a disadvantage compared to our competitors who have less debt or other obligations;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limit our ability to borrow or raise additional amounts to fund acquisitions, for working capital and for other general corporate purposes;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make an acquisition of our company less attractive or more difficult.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Any of these factors could harm our business, results of operations and financial condition. In addition, if we incur additional indebtedness or issue additional Redeemable Convertible Preferred Stock, the risks related to our business and our ability to service or repay our indebtedness would increase.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incurred and may still incur substantially more debt.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and our subsidiaries have incurred and may need to incur substantial additional debt in the future, subject to the restrictions contained in our debt instruments, some of which may be secured debt. The ABL Credit Facility and Certificate of Designations impose certain restrictions on our ability to incur additional debt, but we are not restricted under the terms of the indentures governing our Convertible Senior Notes from incurring additional debt, securing existing or future debt, recapitalizing our debt or taking a number of other actions that could have the effect of diminishing our ability to make payments on our Convertible Senior Notes when due.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conditional conversion feature of the Convertible Senior Notes, if triggered, may adversely affect our financial condition and operating results.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the 2026 Notes, before the close of business on the business day immediately before September 15, 2026, noteholders will have the right to convert their 2026 Notes upon the occurrence of certain events, and they may elect to convert their 2026 Notes regardless of the occurrence of such events from and after September 15, 2026 until the close of business on the second scheduled trading day immediately before December 15, 2026. For the 2030 Notes, before the close of business on the business day immediately before January 1, 2030, noteholders will have the right to convert their 2030 Notes upon the occurrence of certain events, and they may elect to convert their 2030 Notes regardless of the occurrence of such events from and after January 1, 2030 until the close of business on the second scheduled trading day immediately before April 1, 2030. For the 2031 Notes, before the close of business on the business day immediately before August 1, 2031, noteholders will have the right to convert their 2031 Notes upon the occurrence of certain events, and they may elect to convert their 2031 Notes regardless of the occurrence of such events from and after August 1, 2031 until the close of business on the second scheduled trading day immediately before November 1, 2031. If holders of the Convertible Senior Notes elect to convert their notes, unless we elect to satisfy our conversion obligation by delivering solely shares of our common stock, we would be required to settle a portion or all of our conversion obligation through the payment of cash, which could adversely affect our liquidity. In addition, in certain circumstances, such as conversion by holders or redemption, we could be required under applicable accounting rules to reclassify all or a portion of the outstanding principal of the Convertible Senior Notes as a current rather than long-term liability, which would result in a material reduction of our net working capital.</w:t>
      </w:r>
    </w:p>
    <w:p>
      <w:pPr>
        <w:pStyle w:val="TextBody"/>
        <w:bidi w:val="0"/>
        <w:spacing w:lineRule="auto" w:line="288" w:before="240" w:after="283"/>
        <w:jc w:val="left"/>
        <w:rPr/>
      </w:pPr>
      <w:r>
        <w:rPr>
          <w:rFonts w:ascii="Times New Roman;serif" w:hAnsi="Times New Roman;serif"/>
          <w:b/>
          <w:i/>
          <w:color w:val="000000"/>
          <w:sz w:val="20"/>
        </w:rPr>
        <w:t>The holders of our Redeemable</w:t>
      </w:r>
      <w:r>
        <w:rPr>
          <w:color w:val="000000"/>
        </w:rPr>
        <w:t xml:space="preserve"> </w:t>
      </w:r>
      <w:r>
        <w:rPr>
          <w:rFonts w:ascii="Times New Roman;serif" w:hAnsi="Times New Roman;serif"/>
          <w:b/>
          <w:i/>
          <w:color w:val="000000"/>
          <w:sz w:val="20"/>
        </w:rPr>
        <w:t>Convertible Preferred Stock are entitled to vote on an as-converted to common stock basis and have rights to approve certain actions, which reduces the relative voting power of the holders of our common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holders of our Redeemable Convertible Preferred Stock are entitled to vote, on an as-converted basis together with holders of our common stock, the number of votes (subject to a voting cap in accordance with Nasdaq listing rules) equal to the number of whole shares of common stock into which the shares of the Redeemable Convertible Preferred Stock held by such holder are convertible on the record date for determining stockholders entitled to vote on such matter, which reduces the relative voting power of our common stockholders.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as long as at least 10% of the aggregate number of shares of the Series A, Series B, and Series C Redeemable Convertible Preferred Stock originally issued remain outstanding, respectively, and subject to certain other conditions, holders of such Redeemable Convertible Preferred Stock are entitled to a separate class vote with respect to, among other things, amendments to our organizational documents that have an adverse effect on the respective Redeemable Convertible Preferred Stock, authorizations or issuances by us of capital stock that ranks senior or equal to the respective Redeemable Convertible Preferred Stock with respect to dividends or distributions on liquidation or the terms of which provide for cash dividends (other than the common stock), winding-up or dissolution, and decreases in the number of authorized shares of the Redeemable Convertible Preferred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a result of these consent and voting rights of the Redeemable Convertible Preferred Stock, holders of the Redeemable Convertible Preferred Stock have significant power to influence the outcome over any matter submitted for the vote of the holders of our common stock and to influence certain matters affecting our governance and capitalization.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Redeemable Convertible Preferred Stock has rights, preferences and privileges that are not held by, and are senior to the rights of, our common stockholders.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Redeemable Convertible Preferred Stock ranks senior to the common stock with respect to dividends and distributions of assets upon the Company’s liquidation, dissolution or winding up. In addition, the Redeemable Convertible Preferred Stock creates substantial obligations upon us in the case of a conversion, mandatory conversion, optional redemption, fundamental change or liquidation event that may have an adverse effect upon our financial condition and the interests of the holders of our common stock. The Redeemable Convertible Preferred Stock ranks senior to the common stock with respect to dividends, which substantially limits our ability to issue parity securities, junior securities or cash dividend securities, and may in some circumstances limit our ability to pay dividends on our common stock. Furthermore, the Certificate of Designations also provides that as long as Ayar owns at least 50% of the Redeemable Convertible Preferred Stock, we are required to comply with certain debt incurrence covenants in our ABL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val="false"/>
          <w:color w:val="000000"/>
          <w:sz w:val="20"/>
        </w:rPr>
        <w:t>Holders of the Redeemable Convertible Preferred Stock also have rights to a guaranteed Minimum Consideration in the event that the Company exercises its right to mandatory conversion or optional redemption of the Redeemable Convertible Preferred Stock, and in the event of a fundamental change or liquidation event. See “—</w:t>
      </w:r>
      <w:r>
        <w:rPr>
          <w:rFonts w:ascii="Times New Roman;serif" w:hAnsi="Times New Roman;serif"/>
          <w:b w:val="false"/>
          <w:i/>
          <w:color w:val="000000"/>
          <w:sz w:val="20"/>
        </w:rPr>
        <w:t>The issuance of additional shares of our common stock or other equity or equity-linked securities, including upon conversion, optional redemption or repurchase of convertible securities, or sales of a significant portion of our common stock, could depress the market price of our common stock.</w:t>
      </w:r>
      <w:r>
        <w:rPr>
          <w:color w:val="000000"/>
        </w:rPr>
        <w:t xml:space="preserve">” </w:t>
      </w:r>
      <w:r>
        <w:rPr>
          <w:rFonts w:ascii="Times New Roman;serif" w:hAnsi="Times New Roman;serif"/>
          <w:b w:val="false"/>
          <w:color w:val="000000"/>
          <w:sz w:val="20"/>
        </w:rPr>
        <w:t>In addition, holders of our Redeemable Convertible Preferred Stock have the right to receive payment in cash upon a mandatory conversion, optional redemption or a fundamental change if certain liquidity conditions are not satisfied. Further, prior to the obtaining of the requisite shareholder approval, we are required to cash settle the shares of common stock deliverable upon conversion, redemption or repurchase of the Series C Redeemable Convertible Preferred Stock that are over the Conversion Share Cap. See “—</w:t>
      </w:r>
      <w:r>
        <w:rPr>
          <w:rFonts w:ascii="Times New Roman;serif" w:hAnsi="Times New Roman;serif"/>
          <w:b w:val="false"/>
          <w:i/>
          <w:color w:val="000000"/>
          <w:sz w:val="20"/>
        </w:rPr>
        <w:t>Servicing our current and future debt and potential payment obligations, including under the terms of our Convertible Senior Notes and Redeemable Convertible Preferred Stock, may restrict our flexibility in operating our business and require a significant amount of cash, and we may not have sufficient cash flow from our business to pay our indebtedness or satisfy our payment obligations.</w:t>
      </w:r>
      <w:r>
        <w:rPr>
          <w:color w:val="000000"/>
        </w:rPr>
        <w: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 unable to draw down the full amounts available under the ABL Credit Facility, the SIDF Loan Agreement, the 2025 GIB Credit Facility or the DDTL Credit Facility.</w:t>
      </w:r>
    </w:p>
    <w:p>
      <w:pPr>
        <w:pStyle w:val="TextBody"/>
        <w:bidi w:val="0"/>
        <w:spacing w:lineRule="auto" w:line="288" w:before="240" w:after="283"/>
        <w:jc w:val="left"/>
        <w:rPr/>
      </w:pPr>
      <w:r>
        <w:rPr>
          <w:rFonts w:ascii="Times New Roman;serif" w:hAnsi="Times New Roman;serif"/>
          <w:b w:val="false"/>
          <w:color w:val="000000"/>
          <w:sz w:val="20"/>
        </w:rPr>
        <w:t>The ABL Credit Facility has an initial aggregate principal commitment amount of up to $1.0 billion. However, availability of the committed amounts under the ABL Credit Facility is subject to the value of the eligible borrowing base and certain debt compliance covenants in the Certificate of Designations. We are currently able to draw down only a portion of the full amount available under the ABL Credit Facility. In addition, there is no guarantee that we will have sufficient eligible borrowing base in the future to be able to draw down the full amount available under the ABL Credit Facility. In addition, amounts committed under the SIDF Loan Agreement and the 2025 GIB Credit Facility are only available for certain specific purposes and subject to conditions on drawdowns. The DDTL Credit Facility provides for an approximately $1.2 billion undrawn delayed draw term commitments, subject to drawdown conditions, following a $500.0 million draw in April 2026 and an additional $800.0 million draw in July 2026. Any inability to draw down the full amounts committed under these facilities, should the need arise, may have an</w:t>
      </w:r>
      <w:r>
        <w:rPr>
          <w:color w:val="231F20"/>
        </w:rPr>
        <w:t xml:space="preserve"> </w:t>
      </w:r>
      <w:r>
        <w:rPr>
          <w:rFonts w:ascii="Times New Roman;serif" w:hAnsi="Times New Roman;serif"/>
          <w:b w:val="false"/>
          <w:color w:val="231F20"/>
          <w:sz w:val="20"/>
        </w:rPr>
        <w:t>adverse effect on our cash flows and liquidity.</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may not be able to identify adequate strategic relationship opportunities or form strategic relationships, in the future.</w:t>
      </w:r>
    </w:p>
    <w:p>
      <w:pPr>
        <w:pStyle w:val="TextBody"/>
        <w:bidi w:val="0"/>
        <w:spacing w:lineRule="auto" w:line="288" w:before="240" w:after="283"/>
        <w:jc w:val="left"/>
        <w:rPr/>
      </w:pPr>
      <w:r>
        <w:rPr>
          <w:rFonts w:ascii="Times New Roman;serif" w:hAnsi="Times New Roman;serif"/>
          <w:b w:val="false"/>
          <w:color w:val="231F20"/>
          <w:sz w:val="20"/>
        </w:rPr>
        <w:t xml:space="preserve">Strategic business relationships have been and will continue to be an important factor in the growth and long-term success of our business. From time-to-time, we explore opportunities to enter into such relationships, including partnerships with original equipment manufacturers, service and charging providers, and technology innovators. However, there are no assurances that we will be able to identify or secure suitable business relationship opportunities in the future or that </w:t>
      </w:r>
      <w:r>
        <w:rPr>
          <w:rFonts w:ascii="Times New Roman;serif" w:hAnsi="Times New Roman;serif"/>
          <w:b w:val="false"/>
          <w:color w:val="000000"/>
          <w:sz w:val="20"/>
        </w:rPr>
        <w:t xml:space="preserve">we will be able to maintain such relationships. In addition, </w:t>
      </w:r>
      <w:r>
        <w:rPr>
          <w:rFonts w:ascii="Times New Roman;serif" w:hAnsi="Times New Roman;serif"/>
          <w:b w:val="false"/>
          <w:color w:val="231F20"/>
          <w:sz w:val="20"/>
        </w:rPr>
        <w:t>our competitors may capitalize on such opportunities before we do and we may not be able to offer similar benefits to other companies with which we would like to establish and maintain strategic relationships, which could impair our ability to establish such relationships. For example, we have partnered with third-party EV charging providers to provide our customers with access to charging infrastructure, and we will rely on ongoing access to such infrastructure to provide our customers with charging solutions. If third-party EV charging providers terminate their partnerships or otherwise fail to deliver the anticipated benefits of their partnerships, our ability to provide a satisfactory customer experience will be harmed. In addition, although we have gained access to Tesla’s Supercharger network, any delay in implementing changes in Lucid vehicles required by Tesla by a certain milestone date may result in Tesla denying our access to their network. Our current and future alliances, including among others, our strategic partnership with Uber and Nuro, could subject us to a number of risks, including risks associated with sharing proprietary information, non-performance by the third party and increased expenses in establishing new strategic alliances, any of which may materially and adversely affect our business. We may have limited ability to monitor or control the actions of these third parties and, to the extent any of these strategic third parties suffer negative publicity or harm to their reputation from events relating to their business, we may also suffer negative publicity or harm to our reputation by virtue of our association with any such third party.</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Moreover, identifying and executing on such opportunities could demand substantial management time and resources, and negotiating and financing relationships involves significant costs and uncertainties. If we are unable to successfully source and execute strategic relationship opportunities in the future, our overall growth could be impaired, and our business, prospects and results of operations could be materially adversely affected.</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may acquire other businesses, which could require significant management attention, disrupt our business, dilute stockholder value and adversely affect our results of operations.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As part of our business strategy, we may make investments in complementary companies, solutions or technologies. We may not be able to find suitable acquisition candidates, and we may not be able to complete such acquisitions on favorable terms, if at all. In addition to possible stockholder approval, we may need approvals and licenses from relevant government authorities for the acquisitions and to comply with any applicable laws and regulations, which could result in increased delay and costs, and may disrupt our business strategy if we fail to do so. If we do complete acquisitions, we may not ultimately strengthen our competitive position or achieve our goals. In addition, if we are unsuccessful at integrating such acquisitions or developing the acquired technologies, the revenue and results of operations of the combined company could be adversely affected.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Further, the integration of acquired businesses, assets or personnel typically requires significant time and resources, which could result in a diversion of resources from our existing business, which could have an adverse effect on our operations, and we may not be able to manage the integration process successfully. For instance, in April 2025, we acquired select facilities and assets in Arizona previously belonging to Nikola Corporation, including Nikola’s former Coolidge manufacturing facility and the Phoenix facility, and we offered employment to certain former Nikola employees in roles across our Arizona facilities.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or the value of our common stock. The sale of equity or equity-linked securities to finance any such acquisitions could result in dilution to our stockholders. The incurrence of indebtedness could result in increased fixed obligations and exposure to potential unknown liabilities of the acquired business and could also include covenants or other restrictions that could impede our ability to manage our operations.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Our financial results may vary significantly from period-to-period due to fluctuations in our production levels, operating costs, product demand and other factors.</w:t>
      </w:r>
    </w:p>
    <w:p>
      <w:pPr>
        <w:pStyle w:val="TextBody"/>
        <w:bidi w:val="0"/>
        <w:spacing w:lineRule="auto" w:line="288" w:before="240" w:after="283"/>
        <w:jc w:val="left"/>
        <w:rPr/>
      </w:pPr>
      <w:r>
        <w:rPr>
          <w:rFonts w:ascii="Times New Roman;serif" w:hAnsi="Times New Roman;serif"/>
          <w:b w:val="false"/>
          <w:color w:val="231F20"/>
          <w:sz w:val="20"/>
        </w:rPr>
        <w:t xml:space="preserve">Our period-to-period financial results may vary based on our production levels, operating costs and product demand, which we anticipate will fluctuate as we continue to design, develop and manufacture new vehicles (which could also reduce sales of our existing vehicles), increase production capacity, design and develop new EV-related products and technologies including robotaxis, and establish or expand design, research and development, production, sales and service facilities. Our revenues from period-to-period may fluctuate as we identify and investigate areas of demand, adjust volumes and add new incentives or product derivatives based on market demand and margin opportunities, develop and introduce new vehicles or introduce existing vehicles to new markets for the first time. Our production levels also depend on our ability to obtain vehicle components from our suppliers, the effective operation of our manufacturing facilities, our ability to expand our production capacity, and our ability to timely deliver finished vehicles to customers. Lower production and sales volumes and an inability to fully utilize our purchase commitments with suppliers may result in increased costs and excess inventory as well as potential inventory write-offs. See “—Risks Related to Manufacturing and Supply Chain — </w:t>
      </w:r>
      <w:r>
        <w:rPr>
          <w:rFonts w:ascii="Times New Roman;serif" w:hAnsi="Times New Roman;serif"/>
          <w:b w:val="false"/>
          <w:i/>
          <w:color w:val="231F20"/>
          <w:sz w:val="20"/>
        </w:rPr>
        <w:t>if we fail to successfully tool our manufacturing facilities or if our manufacturing facilities become inoperable, we will be unable to produce our vehicles and our business will be harmed.</w:t>
      </w:r>
      <w:r>
        <w:rPr>
          <w:color w:val="231F20"/>
        </w:rPr>
        <w:t xml:space="preserve">” </w:t>
      </w:r>
      <w:r>
        <w:rPr>
          <w:rFonts w:ascii="Times New Roman;serif" w:hAnsi="Times New Roman;serif"/>
          <w:b w:val="false"/>
          <w:color w:val="231F20"/>
          <w:sz w:val="20"/>
        </w:rPr>
        <w:t xml:space="preserve">In addition, automotive manufacturers typically experience significant seasonality, with comparatively low sales in the first quarter and comparatively high sales in the fourth quarter, and we have experienced, and expect to continue experience, similar seasonality as we scale commercial production and sale of our current and future vehicles. Our period-to-period results of operations may also fluctuate because of other factors including labor availability and costs for hourly and management personnel; profitability of our vehicles in all of our markets, including price adjustments and incentives; changes in interest rates; impairment of long-lived assets; macroeconomic conditions, including changes in trade policies and imposition or proposed imposition of tariffs; geopolitical events; negative publicity relating to our vehicles; changes in consumer preferences and competitive conditions; investment in expansion to new markets; or increase in our sales, service and marketing activities. See “— Risks Related to Litigation and Regulation — </w:t>
      </w:r>
      <w:r>
        <w:rPr>
          <w:rFonts w:ascii="Times New Roman;serif" w:hAnsi="Times New Roman;serif"/>
          <w:b w:val="false"/>
          <w:i/>
          <w:color w:val="231F20"/>
          <w:sz w:val="20"/>
        </w:rPr>
        <w:t>Changes in U.S. trade policy, including the imposition of or uncertainties surrounding tariffs or revocation of normal trade relations and the resulting consequences, could adversely affect our business, prospects, results of operations and financial condition.</w:t>
      </w:r>
      <w:r>
        <w:rPr>
          <w:color w:val="231F20"/>
        </w:rPr>
        <w:t xml:space="preserve">” </w:t>
      </w:r>
      <w:r>
        <w:rPr>
          <w:rFonts w:ascii="Times New Roman;serif" w:hAnsi="Times New Roman;serif"/>
          <w:b w:val="false"/>
          <w:color w:val="231F20"/>
          <w:sz w:val="20"/>
        </w:rPr>
        <w:t>As a result of these factors, we believe that quarter-to-quarter comparisons of our financial results, especially in the short-term, may have limited utility as an indicator of future performance. Significant variation in our quarterly performance could also significantly and adversely affect the trading price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Risks Related to Tax</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Our ability to use net operating loss carryforwards and certain other tax attributes may be limited.</w:t>
      </w:r>
    </w:p>
    <w:p>
      <w:pPr>
        <w:pStyle w:val="TextBody"/>
        <w:bidi w:val="0"/>
        <w:spacing w:lineRule="auto" w:line="288" w:before="240" w:after="283"/>
        <w:jc w:val="left"/>
        <w:rPr/>
      </w:pPr>
      <w:r>
        <w:rPr>
          <w:rFonts w:ascii="Times New Roman;serif" w:hAnsi="Times New Roman;serif"/>
          <w:b w:val="false"/>
          <w:color w:val="231F20"/>
          <w:sz w:val="20"/>
        </w:rPr>
        <w:t>We have accumulated U.S. federal and state net operating loss (“NOL”) carryforwards and research and deve</w:t>
      </w:r>
      <w:r>
        <w:rPr>
          <w:rFonts w:ascii="Times New Roman;serif" w:hAnsi="Times New Roman;serif"/>
          <w:b w:val="false"/>
          <w:color w:val="000000"/>
          <w:sz w:val="20"/>
        </w:rPr>
        <w:t>lopment credits which may be available to offset and reduce future taxable income. While our U.S. federal NOL carryforwards arising in taxable years beginning after December 31, 2017, will not be subject to expiration, some of our U.S. federal and state NOL carryforwards of $10.8 billion and $7.8 billion, respectively, from taxable years prior to 2018 will begin to expire in 2027. As of June 30, 2026, we also had U.S. federal research and development credit carryforwards which will begin to expire in 2036 and state research and development credit carryforwards do not have an expiration date. As of June 30, 2026, we had foreign net operating loss carryforwards, the majority of which will begin to expire in 2043. As of June 30, 2026, we maintain a full valuation allowance for our U.S. and the majority of our non-U.S. net deferred tax assets.</w:t>
      </w:r>
    </w:p>
    <w:p>
      <w:pPr>
        <w:pStyle w:val="TextBody"/>
        <w:bidi w:val="0"/>
        <w:spacing w:lineRule="auto" w:line="288" w:before="240" w:after="283"/>
        <w:jc w:val="left"/>
        <w:rPr/>
      </w:pPr>
      <w:r>
        <w:rPr>
          <w:rFonts w:ascii="Times New Roman;serif" w:hAnsi="Times New Roman;serif"/>
          <w:b w:val="false"/>
          <w:color w:val="000000"/>
          <w:sz w:val="20"/>
        </w:rPr>
        <w:t>Our U.S. federal and state NOL carryforwards and certain tax credits may be subject to significant limitations under Section 382 and Section 383 of the U.S. tax code, respectively, and similar provisions of state law. Un</w:t>
      </w:r>
      <w:r>
        <w:rPr>
          <w:rFonts w:ascii="Times New Roman;serif" w:hAnsi="Times New Roman;serif"/>
          <w:b w:val="false"/>
          <w:color w:val="231F20"/>
          <w:sz w:val="20"/>
        </w:rPr>
        <w:t>der those sections of the U.S. tax code, if a corporation undergoes an “ownership change,” the corporation’s ability to use its pre-change NOL carryforwards and other pre-change attributes, such as research tax credits, to offset its post-change income or tax may be limited.</w:t>
      </w:r>
    </w:p>
    <w:p>
      <w:pPr>
        <w:pStyle w:val="TextBody"/>
        <w:bidi w:val="0"/>
        <w:spacing w:lineRule="auto" w:line="288" w:before="240" w:after="283"/>
        <w:jc w:val="left"/>
        <w:rPr/>
      </w:pPr>
      <w:r>
        <w:rPr>
          <w:rFonts w:ascii="Times New Roman;serif" w:hAnsi="Times New Roman;serif"/>
          <w:b w:val="false"/>
          <w:color w:val="231F20"/>
          <w:sz w:val="20"/>
        </w:rPr>
        <w:t>In general, an “ownership change” will occur if there is a cumulative change in our ownership by “5-percent shareholders” that exceeds 50 percentage poin</w:t>
      </w:r>
      <w:r>
        <w:rPr>
          <w:rFonts w:ascii="Times New Roman;serif" w:hAnsi="Times New Roman;serif"/>
          <w:b w:val="false"/>
          <w:color w:val="000000"/>
          <w:sz w:val="20"/>
        </w:rPr>
        <w:t>ts over a rolling three-year period. Similar rules may apply under state tax laws. We have completed a formal Section 382 study of our equity transactions through December 31, 2020. The study determined that we experienced an “ownership change” in 2016, and we will not be able to utilize $12 million of our U.S. federal NOL and $3 million of U.S. federal research and development tax credit carryforwards. Similar provisions of state law may also apply to limit our use of accumulated state tax attributes from the same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val="false"/>
          <w:color w:val="000000"/>
          <w:sz w:val="20"/>
        </w:rPr>
        <w:t>We have not yet completed an analysis of whether the business combination between the Company and Legacy Lucid also caused an “ownership change.” In addition, future changes in our stock ownership may be outside of our control. If we undergo an ownership change, we may be prevented from fully utilizing the NOL carryforwards and tax credits existing at the time of the ownership change prior to their expiration. Future regulatory changes could also limit our ability to utilize NOL carry</w:t>
      </w:r>
      <w:r>
        <w:rPr>
          <w:rFonts w:ascii="Times New Roman;serif" w:hAnsi="Times New Roman;serif"/>
          <w:b w:val="false"/>
          <w:color w:val="231F20"/>
          <w:sz w:val="20"/>
        </w:rPr>
        <w:t>forwards and tax credits. To the extent we are not able to offset future taxable income with our NOL carryforwards and tax credits, our net income and cash flows may be adversely affected.</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It is more likely than not that we will not generate taxable income in time to use any of our NOL carryforwards and research and development credits before their expiration.</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Unanticipated tax laws or any change in the application of existing tax laws to us or our customers or any change to our corporate structure may adversely impact our profitability and business.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are subject to income and other taxes in the U.S. and a growing number of foreign jurisdictions. Existing domestic and foreign tax laws, statutes, rules, regulations, or ordinances could be interpreted, changed, modified, or applied adversely to us (possibly with retroactive effect), which could require us to change our transfer pricing policies and pay additional tax amounts, fines or penalties, surcharges, and interest charges for past amounts due, the amounts and timing of which are difficult to discern. Existing tax laws, statutes, rules, regulations, or ordinances could also be interpreted, changed, modified, or applied adversely to our customers (possibly with retroactive effect) and, if our customers are required to pay additional surcharges, it could adversely affect demand for our vehicles.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Furthermore, changes to federal, state, local, or international tax laws on income, sales, use, import/export, indirect, or other tax laws, statutes, rules, regulations, or ordinances on multinational corporations continue to be considered by the U.S. and other countries where we currently operate or plan to operate. For example, the Tax Cuts and Jobs Act of 2017 introduced a Base Erosion and Anti-Abuse Tax which imposes a minimum tax on adjusted income of corporations with average applicable gross receipt of at least $500.0 million for prior three tax years and that make certain payments to related foreign persons. In addition, the Organization for Economic Cooperation and Development has issued model rules in connection with the Base Erosion and Profit Shifting integrated framework that determine multi-jurisdictional taxing rights and the rate of tax applicable to certain types of income.</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These contemplated tax initiatives, if finalized and adopted by the U.S. or other countries where we do business, and the other tax issues described above may materially and adversely impact our operating activities, transfer pricing policies, effective tax rate, deferred tax assets, cash flows and financial results in the current or future reporting periods.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may change our corporate structure, our business operations or certain agreements that we have entered into relating to taxes in a particular jurisdiction. These changes may materially and adversely impact our consolidated financial statements.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Our warrants are accounted for as liabilities and the changes in value of our warrants could have a material effect on our financial results.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On April 12, 2021, the Acting Director of the Division of Corporation Finance and Acting Chief Accountant of the SEC together issued a public statement (the “SEC Warrant Accounting Statement”) on accounting and reporting considerations for warrants issued by special purpose acquisition companies (“SPACs”). The SEC Warrant Accounting Statement discussed “certain features of warrants issued in SPAC transactions” that “may be common across many entities.” The SEC Warrant Accounting Statement indicated that when one or more of such features is included in a warrant, the warrant “should be classified as a liability measured at fair value, with changes in fair value each period reported in earnings.” In light of the SEC Warrant Accounting Statement and guidance in ASC 815-40, “Derivatives and Hedging — Contracts in Entity’s Own Equity,” Churchill’s management evaluated the terms of the Warrant Agreement entered into in connection with the Churchill IPO and concluded that the warrants include provisions that, based on the SEC Warrant Accounting Statement, preclude the warrants from being classified as components of equity. As a result, Churchill classified the warrants as liabilities. Under this accounting treatment, we are required to measure the fair value of the privately placed common stock warrants issued in connection with the Churchill IPO (the “Private Placement Warrants”) at the end of each reporting period and recognize changes in the fair value from the prior period in our operating results for the current period. As a result of the recurring fair value measurement, our financial statements and results of operations may fluctuate quarterly based on factors which are outside our control. We expect that we will recognize non-cash gains or losses due to the quarterly fair valuation of the warrants and that such gains or losses could be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Risks Related to Public Company Requirements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The requirements of being a public company may strain our resources and distract our management, which could make it difficult to manage our business.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are required to comply with various regulatory and reporting requirements, including those required by the SEC and Nasdaq. Complying with these reporting and other regulatory requirements is time-consuming and will result in increased costs to us and could have a negative effect on our results of operations, financial condition or business. Those requirements and their interpretation and application may also change from time-to-time and those changes could have a material adverse effect on our results of operations, financial condition or business. A failure to comply with such requirements, as interpreted and applied, could also have a material adverse effect on our results of operations, financial condition or business. These obligations and constituents will require significant attention from our senior management and could divert their attention away from the day-to-day management of our business, which could adversely affect our business, results of operations, cash flows, and financial condition.</w:t>
      </w:r>
    </w:p>
    <w:p>
      <w:pPr>
        <w:pStyle w:val="TextBody"/>
        <w:bidi w:val="0"/>
        <w:spacing w:lineRule="auto" w:line="288" w:before="240" w:after="283"/>
        <w:jc w:val="left"/>
        <w:rPr/>
      </w:pPr>
      <w:r>
        <w:rPr>
          <w:rFonts w:ascii="Times New Roman;serif" w:hAnsi="Times New Roman;serif"/>
          <w:b w:val="false"/>
          <w:color w:val="231F20"/>
          <w:sz w:val="20"/>
        </w:rPr>
        <w:t xml:space="preserve">As a public company, we are subject to the reporting requirements of the Exchange Act and the requirements of the Sarbanes-Oxley Act. These requirements may place a strain on our systems and resources. The Exchange Act requires that we file annual, quarterly and current reports with respect to our business and financial condition. The Sarbanes-Oxley Act requires that we implement and maintain effective disclosure controls and procedures and internal controls over financial reporting. </w:t>
      </w:r>
      <w:r>
        <w:rPr>
          <w:rFonts w:ascii="Times New Roman;serif" w:hAnsi="Times New Roman;serif"/>
          <w:b w:val="false"/>
          <w:color w:val="000000"/>
          <w:sz w:val="20"/>
        </w:rPr>
        <w:t>In addition, changing laws, regulations, and standards related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spacing w:lineRule="auto" w:line="288" w:before="240" w:after="283"/>
        <w:jc w:val="left"/>
        <w:rPr/>
      </w:pPr>
      <w:r>
        <w:rPr>
          <w:rFonts w:ascii="Times New Roman;serif" w:hAnsi="Times New Roman;serif"/>
          <w:b w:val="false"/>
          <w:color w:val="231F20"/>
          <w:sz w:val="20"/>
        </w:rPr>
        <w:t xml:space="preserve">To implement, maintain and improve the effectiveness of our disclosure controls and procedures, we will need to commit significant resources, hire additional staff and provide additional management oversight. </w:t>
      </w:r>
      <w:r>
        <w:rPr>
          <w:rFonts w:ascii="Times New Roman;serif" w:hAnsi="Times New Roman;serif"/>
          <w:b w:val="false"/>
          <w:color w:val="000000"/>
          <w:sz w:val="20"/>
        </w:rPr>
        <w:t xml:space="preserve">To comply with the requirements of being a public company, we have undertaken, and expect to continue to further undertake in the future, various actions, such as hiring additional accounting staff and implementing new internal controls and procedures </w:t>
      </w:r>
      <w:r>
        <w:rPr>
          <w:rFonts w:ascii="Times New Roman;serif" w:hAnsi="Times New Roman;serif"/>
          <w:b w:val="false"/>
          <w:color w:val="231F20"/>
          <w:sz w:val="20"/>
        </w:rPr>
        <w:t>for the purpose of addressing the standards and requirements applicable to public companies. Sustaining our growth also will require us to commit additional management, operational and financial resources to identify new professionals to join us and to maintain appropriate operational and financial systems to adequately support expansion. These activities may divert management’s attention from other business concerns, which could have a material adverse effect on our results of operations, financial condition or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identify material weaknesses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the SEC’s internal control over financial reporting requirements. Internal control over financial reporting is complex and may be revised over time to adapt to changes in our business, or changes in applicable accounting rules.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part of such requirements, we are required to provide management’s attestation on the report on internal control over financial reporting by our independent registered public accounting firm. The design of internal controls over financial reporting for our business has required and will continue to require significant time and resources from management and other personnel.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we are required to report any control deficiencies that constitute a “material weakness” in our internal control over financial reporting. We cannot guarantee that our internal control over financial reporting will be effective in the future or that a material weakness will not be discovered with respect to a prior period for which we had previously believed that our internal control over financial reporting was effective. If we are not able to maintain or document effective internal control over financial reporting, our independent registered public accounting firm will not be able to certify as to the effectiveness of our internal control over financial reporting. Matters impacting our internal control over financial reporting may result in material misstatements of our consolidated financial statements, cause us to be unable to report our financial information on a timely basis, or may cause us to restate previously issued financial information, and thereby subject us to adverse regulatory consequences, including sanctions or investigations by the SEC, or violations of applicable stock exchange listing rules. There could also be a negative reaction in the financial markets due to a loss of investor confidence in us and the reliability of our financial statements. This could materially adversely affect us by, for example, leading to a decline in our stock price and impairing our ability to raise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may be required to take write-downs or write-offs, restructuring and impairment or other charges that could have a significant negative effect on our financial condition, results of operations and stock price, which could cause our stockholders to lose some or all of their investment.</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may be required to write-down or write-off assets, restructure operations, or incur impairment or other charges that could result in losses. Even though these charges may be non-cash items and not have an immediate impact on our liquidity, charges of this nature could contribute to negative market perceptions about us or our securities. Accordingly, any of our stockholders could suffer a reduction in the value of their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Risks Related to Our Common Stock</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The price of our common stock has been, and may continue to be, volatile, and this volatility may negatively impact the trading price of our common stock and the Convertible Senior Notes.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The trading price of our common stock has fluctuated substantially. We have experienced temporary trading halts in our common stock pursuant to Nasdaq rules. During the trading halts, investors were unable to buy or sell shares of our common stock, which may have prevented investors from executing trades at desired prices and times. Any future trading halts may also contribute to uncertainty in the market for our common stock and increase price volatility upon the resumption of trading. The trading price and volatility of our securities depends on many factors, including those described elsewhere in this “Risk Factors” section, many of which are beyond our control and may not be related to our operating performance. These fluctuations could cause investors to lose all or part of the investment in our securities since investors might be unable to sell them at or above the price the investor paid for them. Any of the factors listed below could have a material adverse effect on stockholders’ investment in our securities and our securities may trade at prices significantly below the price stockholders paid for them. In such circumstances, the trading price of our securities may not recover and may experience a further decline.</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Factors affecting the trading price and volatility of our securities may include: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market conditions in the broader stock market in general, or in our industry in particular;</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actual or anticipated fluctuations in our quarterly financial or operating results or the quarterly financial or operating results of companies perceived to be similar to ours;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changes in the market’s expectations about our operating results;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the public’s reaction to our press releases, other public announcements and filings with the SEC;</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the public’s reaction to financial projections and any other guidance or metrics that we may publicly disclose, including any decision to adjust, suspend, or withdraw such financial projections, guidance or metrics;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speculation or inaccurate reporting in the press or investment community;</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actual or anticipated developments in our business, competitors’ businesses or the competitive landscape generally;</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lower-than-anticipated industry-wide EV adoption rates or perception that EV demand is slowing;</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the operating results failing to meet the expectation of securities analysts or investors in a particular period;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the timing of the achievement of objectives under our business plan and the timing and amount of costs we incur in connection therewith, including any delay in the launch of our Midsize platform;</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changes in financial estimates and recommendations by securities analysts concerning us or the market in general;</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operating and stock price performance of other companies that investors deem comparable to ours;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market reaction to any of our strategic partners;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changes in laws and regulations affecting our business;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commencement of, or involvement in, litigation or investigations involving us;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changes in our capital structure, such as future issuances of securities or the incurrence of additional debt;</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 xml:space="preserve">the volume of our common stock available for public sale, including as a result of conversion of our Convertible Senior Notes or our </w:t>
      </w:r>
      <w:r>
        <w:rPr>
          <w:rFonts w:ascii="Times New Roman;serif" w:hAnsi="Times New Roman;serif"/>
          <w:b w:val="false"/>
          <w:color w:val="000000"/>
          <w:sz w:val="20"/>
        </w:rPr>
        <w:t xml:space="preserve">Redeemable </w:t>
      </w:r>
      <w:r>
        <w:rPr>
          <w:rFonts w:ascii="Times New Roman;serif" w:hAnsi="Times New Roman;serif"/>
          <w:b w:val="false"/>
          <w:color w:val="231F20"/>
          <w:sz w:val="20"/>
        </w:rPr>
        <w:t>Convertible Preferred Stock;</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 xml:space="preserve">any major change in our Board </w:t>
      </w:r>
      <w:r>
        <w:rPr>
          <w:rFonts w:ascii="Times New Roman;serif" w:hAnsi="Times New Roman;serif"/>
          <w:b w:val="false"/>
          <w:color w:val="000000"/>
          <w:sz w:val="20"/>
        </w:rPr>
        <w:t>or management, including the recent announcement of leadership changes;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sales of substantial amounts of our common stock by our directors, officers or significant stockholders or the perception that such sales could occur;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general economic and political conditions, such as uncertainties in trade policies, the imposition or proposed imposition of tariffs, export controls, threat of a trade war, recessions, interest rate changes, inflation, bank closures and liquidity concerns at financial institutions, changes in diplomatic and trade relationships, fluctuations in foreign currency exchange rates, acts of war or terrorism, natural disasters, and global or regional conflicts or other geopolitical events, including the military operations in the Gulf region and the Middle East, and the potential escalation and broadening of the conflict in Iran;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other risk factors listed in this section “Risk Factors.”</w:t>
      </w:r>
    </w:p>
    <w:p>
      <w:pPr>
        <w:pStyle w:val="TextBody"/>
        <w:bidi w:val="0"/>
        <w:spacing w:lineRule="auto" w:line="288" w:before="240" w:after="283"/>
        <w:jc w:val="left"/>
        <w:rPr/>
      </w:pPr>
      <w:r>
        <w:rPr>
          <w:rFonts w:ascii="Times New Roman;serif" w:hAnsi="Times New Roman;serif"/>
          <w:b w:val="false"/>
          <w:color w:val="000000"/>
          <w:sz w:val="20"/>
        </w:rPr>
        <w:t xml:space="preserve">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have in the past and may in the future be unpredictable. A loss of investor confidence or speculation in the market regarding our common stock or the stocks of other companies which investors perceive to be similar to ours could depress our stock price and the trading price of the </w:t>
      </w:r>
      <w:r>
        <w:rPr>
          <w:rFonts w:ascii="Times New Roman;serif" w:hAnsi="Times New Roman;serif"/>
          <w:b w:val="false"/>
          <w:color w:val="231F20"/>
          <w:sz w:val="20"/>
        </w:rPr>
        <w:t>Convertible Senior</w:t>
      </w:r>
      <w:r>
        <w:rPr>
          <w:color w:val="000000"/>
        </w:rPr>
        <w:t xml:space="preserve"> </w:t>
      </w:r>
      <w:r>
        <w:rPr>
          <w:rFonts w:ascii="Times New Roman;serif" w:hAnsi="Times New Roman;serif"/>
          <w:b w:val="false"/>
          <w:color w:val="000000"/>
          <w:sz w:val="20"/>
        </w:rPr>
        <w:t xml:space="preserve">Notes regardless of our business, prospects, financial condition or results of operations. </w:t>
      </w:r>
      <w:r>
        <w:rPr>
          <w:rFonts w:ascii="Times New Roman;serif" w:hAnsi="Times New Roman;serif"/>
          <w:b w:val="false"/>
          <w:color w:val="231F20"/>
          <w:sz w:val="20"/>
        </w:rPr>
        <w:t>A decline in the market price of our securities also could adversely affect our ability to issue additional securities and our ability to obtain additional financing in the future.</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Furthermore, the stock markets in general, and the markets for technology and EV stocks in particular, have experienced extreme volatility that has sometimes been unrelated to the operating performance of the companies. The trading price of our common stock may be adversely affected by third parties trying to drive down or drive up the market price. Short sellers and others may be positioned to profit if our stock declines or otherwise exhibits volatility, and their activities can negatively affect our stock price and increase the volatility of our stock price. These broad market and industry factors may seriously harm the market price of our common stock, regardless of our operating performance. In addition, hedging activity by holders of the Convertible Senior Notes may impact the market price of our common stock, in particular during any redemption conversion period in connection with a redemption of the Convertible Senior Notes or any observation period for a conversion of the Convertible Senior Notes.</w:t>
      </w:r>
    </w:p>
    <w:p>
      <w:pPr>
        <w:pStyle w:val="TextBody"/>
        <w:bidi w:val="0"/>
        <w:spacing w:lineRule="auto" w:line="288" w:before="240" w:after="283"/>
        <w:jc w:val="left"/>
        <w:rPr/>
      </w:pPr>
      <w:r>
        <w:rPr>
          <w:rFonts w:ascii="Times New Roman;serif" w:hAnsi="Times New Roman;serif"/>
          <w:b w:val="false"/>
          <w:color w:val="231F20"/>
          <w:sz w:val="20"/>
        </w:rPr>
        <w:t xml:space="preserve">In addition, in the past, following periods of volatility in the overall market and the market prices of particular companies’ securities, securities class action litigations have often been instituted against these companies. Litigation of this type, and related shareholder derivative actions, have caused, and may continue to cause substantial costs and a diversion of our management’s attention and resources. Any adverse determination in any such litigation or any amounts paid to settle any such actual or threatened litigation could require that we make significant payments. </w:t>
      </w:r>
      <w:r>
        <w:rPr>
          <w:rFonts w:ascii="Times New Roman;serif" w:hAnsi="Times New Roman;serif"/>
          <w:b w:val="false"/>
          <w:color w:val="000000"/>
          <w:sz w:val="20"/>
        </w:rPr>
        <w:t xml:space="preserve">See Part II, Item 1 “Legal Proceedings.” and “—Risks Related to Litigation and Regulation — </w:t>
      </w:r>
      <w:r>
        <w:rPr>
          <w:rFonts w:ascii="Times New Roman;serif" w:hAnsi="Times New Roman;serif"/>
          <w:b w:val="false"/>
          <w:i/>
          <w:color w:val="000000"/>
          <w:sz w:val="20"/>
        </w:rPr>
        <w:t>We are subject to legal proceedings, regulatory disputes and governmental inquiries that could cause us to incur significant expenses, divert our management’s attention, and adversely affect our business, results of operations, cash flows and financial condition</w:t>
      </w:r>
      <w:r>
        <w:rPr>
          <w:rFonts w:ascii="Times New Roman;serif" w:hAnsi="Times New Roman;serif"/>
          <w:b w:val="false"/>
          <w:color w:val="000000"/>
          <w:sz w:val="20"/>
        </w:rPr>
        <w:t>."</w:t>
      </w:r>
    </w:p>
    <w:p>
      <w:pPr>
        <w:pStyle w:val="TextBody"/>
        <w:bidi w:val="0"/>
        <w:spacing w:lineRule="auto" w:line="288" w:before="240" w:after="283"/>
        <w:jc w:val="left"/>
        <w:rPr/>
      </w:pPr>
      <w:r>
        <w:rPr>
          <w:rFonts w:ascii="Times New Roman;serif" w:hAnsi="Times New Roman;serif"/>
          <w:b/>
          <w:i/>
          <w:color w:val="231F20"/>
          <w:sz w:val="20"/>
        </w:rPr>
        <w:t>The issuance of additional shares of our common stock or other equity or equity-linked securities,</w:t>
      </w:r>
      <w:r>
        <w:rPr>
          <w:color w:val="000000"/>
        </w:rPr>
        <w:t xml:space="preserve"> </w:t>
      </w:r>
      <w:r>
        <w:rPr>
          <w:rFonts w:ascii="Times New Roman;serif" w:hAnsi="Times New Roman;serif"/>
          <w:b/>
          <w:i/>
          <w:color w:val="231F20"/>
          <w:sz w:val="20"/>
        </w:rPr>
        <w:t>including upon conversion, optional redemption or repurchase of convertible securities, or sales of a significant portion of our common stock, could depress the market price of our common stock.</w:t>
      </w:r>
    </w:p>
    <w:p>
      <w:pPr>
        <w:pStyle w:val="TextBody"/>
        <w:bidi w:val="0"/>
        <w:spacing w:lineRule="auto" w:line="288" w:before="240" w:after="283"/>
        <w:jc w:val="left"/>
        <w:rPr/>
      </w:pPr>
      <w:r>
        <w:rPr>
          <w:rFonts w:ascii="Times New Roman;serif" w:hAnsi="Times New Roman;serif"/>
          <w:b w:val="false"/>
          <w:color w:val="231F20"/>
          <w:sz w:val="20"/>
        </w:rPr>
        <w:t>Future issuan</w:t>
      </w:r>
      <w:r>
        <w:rPr>
          <w:rFonts w:ascii="Times New Roman;serif" w:hAnsi="Times New Roman;serif"/>
          <w:b w:val="false"/>
          <w:color w:val="000000"/>
          <w:sz w:val="20"/>
        </w:rPr>
        <w:t>ces of shares of our common stock, or of securities convertible into or exercisable for our common stock, could depress the market price of our common stock and result in significant dilution for holders of our common stock. This includes the potential issuance of a substantial number of shares of our common stock upon the conversion, optional redemption, or repurchase of our Redeemable Convertible Preferred Stock. The Redeemable Convertible Preferred Stock is convertible into our common stock at specified conversion prices, subject to customary anti-dilution adjustments, and the number of shares issuable upon conversion may increase over time due to the compounding of dividends at an initial rate of 9% per annum, which are not subject to any cap or sunset provisions and may accrue in perpetuity. As a result, the number of shares of common stock issuable upon conversion of the Redeemable Convertible Preferred Stock may continue to increase, further diluting the ownership interests of existing common stockholders.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in certain circumstances, including in connection with a mandatory conversion, optional redemption, or a fundamental change (as defined in the Certificate of Designations), holders of the Redeemable Convertible Preferred Stock may be entitled to receive “Minimum Consideration.” If the value of the Minimum Consideration exceeds the Accrued Value of the Redeemable Convertible Preferred Stock, we would be required to issue a number of shares of common stock that is presently indeterminable and, particularly if our stock price is substantially below the initial conversion price, such issuances could result in significant dilution to the common stockholders, which could have a material adverse effect on the market prices of our common stock and on our financial condition, liquidity, and ability to obtain additional financing.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exercise of our outstanding warrants and options, the vesting and settlement of our restricted stock units and the conversion of our Convertible Senior Notes may also result in additional dilution to holders of our common stock. In the future, we may issue additional shares of our common stock, or securities convertible into or exercisable for common stock, in connection with generating additional capital, future acquisitions, repayment of outstanding indebtedness, under our stock incentive plan, or for other reasons.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val="false"/>
          <w:color w:val="000000"/>
          <w:sz w:val="20"/>
        </w:rPr>
        <w:t xml:space="preserve">The market price of shares of our common </w:t>
      </w:r>
      <w:r>
        <w:rPr>
          <w:rFonts w:ascii="Times New Roman;serif" w:hAnsi="Times New Roman;serif"/>
          <w:b w:val="false"/>
          <w:color w:val="231F20"/>
          <w:sz w:val="20"/>
        </w:rPr>
        <w:t>stock could decline as a result of substantial sales of common stock or securities convertible into shares of common stock, particularly by our significant stockholders, a large number of shares of common stock becoming available for sale or the perception in the market that holders of a large number of shares intend to sell their shares.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addition, pursuant to the Investor Rights Agreement, Ayar, and certain other parties thereto are entitled to, among other things, certain registration rights, including demand, piggy-back and shelf registration rights with respect to their shares of common stock (including shares of common stock underlying the Redeemable Convertible Preferred Stock held by Ayar) and Ayar’s shares of the Redeemable Convertible Preferred Stock. We also provided certain registration rights to SMB with respect to the shares of common stock issued to SMB pursuant to the 2025 Subscription Agreement and the 2026 Subscription Agreement. If either pursuant to any registration statement or through another avenue, one or more of these stockholders were to sell a substantial portion of the securities they hold, including any common stock issued upon conversion, redemption or repurchase of our Redeemable Convertible Preferred Stock, it could cause the trading price of our common stock to decline. Furthermore, given Ayar’s substantial concentration in ownership of our common stock and the Redeemable Convertible Preferred Stock, if Ayar were to elect to sell in the open market or in private placement transactions, it could have the effect of increasing the volatility in our stock price or putting significant downward pressure on the price of our common stock.</w:t>
      </w:r>
    </w:p>
    <w:p>
      <w:pPr>
        <w:pStyle w:val="TextBody"/>
        <w:bidi w:val="0"/>
        <w:spacing w:lineRule="auto" w:line="288" w:before="240" w:after="283"/>
        <w:jc w:val="left"/>
        <w:rPr/>
      </w:pPr>
      <w:r>
        <w:rPr>
          <w:rFonts w:ascii="Times New Roman;serif" w:hAnsi="Times New Roman;serif"/>
          <w:b/>
          <w:i/>
          <w:color w:val="000000"/>
          <w:sz w:val="20"/>
        </w:rPr>
        <w:t>We are a “controlled company” withi</w:t>
      </w:r>
      <w:r>
        <w:rPr>
          <w:rFonts w:ascii="Times New Roman;serif" w:hAnsi="Times New Roman;serif"/>
          <w:b/>
          <w:i/>
          <w:color w:val="231F20"/>
          <w:sz w:val="20"/>
        </w:rPr>
        <w:t>n the meaning of the applicable Nasdaq rules and, as a result, qualify for exemptions from certain corporate governance requirements. Our stockholders will not have the same protections afforded to stockholders of companies that are not controlled companies.</w:t>
      </w:r>
    </w:p>
    <w:p>
      <w:pPr>
        <w:pStyle w:val="TextBody"/>
        <w:bidi w:val="0"/>
        <w:spacing w:lineRule="auto" w:line="288" w:before="240" w:after="283"/>
        <w:jc w:val="left"/>
        <w:rPr/>
      </w:pPr>
      <w:r>
        <w:rPr>
          <w:rFonts w:ascii="Times New Roman;serif" w:hAnsi="Times New Roman;serif"/>
          <w:b w:val="false"/>
          <w:color w:val="231F20"/>
          <w:sz w:val="20"/>
        </w:rPr>
        <w:t xml:space="preserve">As of </w:t>
      </w:r>
      <w:r>
        <w:rPr>
          <w:rFonts w:ascii="Times New Roman;serif" w:hAnsi="Times New Roman;serif"/>
          <w:b w:val="false"/>
          <w:color w:val="000000"/>
          <w:sz w:val="20"/>
        </w:rPr>
        <w:t>June 30, 2026</w:t>
      </w:r>
      <w:r>
        <w:rPr>
          <w:rFonts w:ascii="Times New Roman;serif" w:hAnsi="Times New Roman;serif"/>
          <w:b w:val="false"/>
          <w:color w:val="231F20"/>
          <w:sz w:val="20"/>
        </w:rPr>
        <w:t>, the PIF, both directly and indirectly through A</w:t>
      </w:r>
      <w:r>
        <w:rPr>
          <w:rFonts w:ascii="Times New Roman;serif" w:hAnsi="Times New Roman;serif"/>
          <w:b w:val="false"/>
          <w:color w:val="000000"/>
          <w:sz w:val="20"/>
        </w:rPr>
        <w:t>yar, held over 50% of the voting power for the el</w:t>
      </w:r>
      <w:r>
        <w:rPr>
          <w:rFonts w:ascii="Times New Roman;serif" w:hAnsi="Times New Roman;serif"/>
          <w:b w:val="false"/>
          <w:color w:val="231F20"/>
          <w:sz w:val="20"/>
        </w:rPr>
        <w:t>ection of our directors</w:t>
      </w:r>
      <w:r>
        <w:rPr>
          <w:rFonts w:ascii="Times New Roman;serif" w:hAnsi="Times New Roman;serif"/>
          <w:b w:val="false"/>
          <w:color w:val="000000"/>
          <w:sz w:val="20"/>
        </w:rPr>
        <w:t>. As a result, we are a “controlled company” within the meaning of the Nasdaq rules, and as a result, we qualify for exemptions from ce</w:t>
      </w:r>
      <w:r>
        <w:rPr>
          <w:rFonts w:ascii="Times New Roman;serif" w:hAnsi="Times New Roman;serif"/>
          <w:b w:val="false"/>
          <w:color w:val="231F20"/>
          <w:sz w:val="20"/>
        </w:rPr>
        <w:t>rtain corporate governance requirements. Under these rules, a company of which more than 50% of the voting power for the election of directors is held by an individual, group or another</w:t>
      </w:r>
      <w:r>
        <w:rPr>
          <w:color w:val="000000"/>
        </w:rPr>
        <w:t xml:space="preserve"> </w:t>
      </w:r>
      <w:r>
        <w:rPr>
          <w:rFonts w:ascii="Times New Roman;serif" w:hAnsi="Times New Roman;serif"/>
          <w:b w:val="false"/>
          <w:color w:val="000000"/>
          <w:sz w:val="20"/>
        </w:rPr>
        <w:t>company is a “controlled company” and may elect not to comply with certain corporate governance requirements, including the requirements to have: (a) a majority of independent directors on the board; (b) a nominating committee comprised solely of independent directors; (c) compensation of executive officers determined by a majority of the independent directors or a compensation committee comprised solely of independent directors; and (d) director nominees selected, or recommended for the selection by the board, either by a majority of the independent directors or a nominating committee comprised solely of independent directors. Although currently we do not utilize any of these exemptions, we may elect to utilize one or more of these exemptions for so long as we remain a “controlled company.” As a result, our stockholders may not have the same protections afforded to stockholders of companies that are subject to all of the Nasdaq corporate governance requirements. Ayar also has the ability to nominate five of the nine directors to our Board.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for so long as Ayar holds the Redeemable Convertible Preferred Stock and as result of the consent and voting rights of the Redeemable Convertible Preferred Stock, coupled with the voting rights associated with Ayar’s existing ownership of common stock in the Company, Ayar has significant power to influence the outcome over any matter submitted for the vote of the holders of our common stock and to influence certain matters affecting our governance and capitalization. Further, Ayar is entitled to receive additional shares of our common stock under the prepaid forward transactions entered into with the Forward Counterparty in connection with the pricing of the 2030 Notes and the 2031 Notes. This concentration of ownership and voting power allows Ayar to exercise control over certain decisions, in particular with regards to governance and capitalization matters, including matters requiring approval by our stockholders (such as, subject to the Investor Rights Agreement, the election of directors and the approval of mergers or other extraordinary transactions), regardless of whether or not other stockholders believe that the transaction is in their own best interests. </w:t>
      </w:r>
    </w:p>
    <w:p>
      <w:pPr>
        <w:pStyle w:val="TextBody"/>
        <w:bidi w:val="0"/>
        <w:spacing w:lineRule="auto" w:line="288" w:before="240" w:after="283"/>
        <w:jc w:val="left"/>
        <w:rPr/>
      </w:pPr>
      <w:r>
        <w:rPr>
          <w:rFonts w:ascii="Times New Roman;serif" w:hAnsi="Times New Roman;serif"/>
          <w:b w:val="false"/>
          <w:color w:val="000000"/>
          <w:sz w:val="20"/>
        </w:rPr>
        <w:t>The interests of Ayar may differ from the interests of our other stockholders and, as such, Ayar’s voting power and influence over us may decrease the relative interests of our other stockholders or of the Company. Such concentration of voting power could also have the effect of delaying,</w:t>
      </w:r>
      <w:r>
        <w:rPr>
          <w:color w:val="231F20"/>
        </w:rPr>
        <w:t xml:space="preserve"> </w:t>
      </w:r>
      <w:r>
        <w:rPr>
          <w:rFonts w:ascii="Times New Roman;serif" w:hAnsi="Times New Roman;serif"/>
          <w:b w:val="false"/>
          <w:color w:val="231F20"/>
          <w:sz w:val="20"/>
        </w:rPr>
        <w:t>deterring or preventing a change of control or other business combination that might otherwise be beneficial to our stockholders, could deprive our stockholders of an opportunity to receive a premium for their common stock as part of a sale of our company and might ultimately affect the market price of our common stock and the trading price of the Convertible Senior Notes.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The PIF and Ayar beneficially own a significant equity interest in us and may take actions that conflict with other stockholders’ interests.</w:t>
      </w:r>
    </w:p>
    <w:p>
      <w:pPr>
        <w:pStyle w:val="TextBody"/>
        <w:bidi w:val="0"/>
        <w:spacing w:lineRule="auto" w:line="288" w:before="240" w:after="283"/>
        <w:jc w:val="left"/>
        <w:rPr/>
      </w:pPr>
      <w:r>
        <w:rPr>
          <w:rFonts w:ascii="Times New Roman;serif" w:hAnsi="Times New Roman;serif"/>
          <w:b w:val="false"/>
          <w:color w:val="231F20"/>
          <w:sz w:val="20"/>
        </w:rPr>
        <w:t>The interests of the PIF and Ayar may not align with our interests and the interests of our other stockholders or securityholders. The PIF and Ayar are each in the business of making investments in companies and may acquire and hold interests in businesses that compete directly or indirectly with us. The PIF and Ayar and their respective affiliates, may also pursue acquisition opportunities that may be c</w:t>
      </w:r>
      <w:r>
        <w:rPr>
          <w:rFonts w:ascii="Times New Roman;serif" w:hAnsi="Times New Roman;serif"/>
          <w:b w:val="false"/>
          <w:color w:val="000000"/>
          <w:sz w:val="20"/>
        </w:rPr>
        <w:t>omplementary to our business and, as a result, those acquisition opportunities may not be available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Securities or industry analysts may or may not publish research or reports about us, our business, our market, or change their recommendations regarding our common stock adversely, which could cause the price and trading volume of our common stock to decline.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trading market for our common stock can be influenced by the research and reports that industry or securities analysts may publish about us, our business and operations, our market, or our competitors. Similarly, if any of the analysts who do cover us change their recommendation regarding our stock adversely, or provide more favorable relative recommendations about our competitors, the price of our common stock may decline. If any analyst who covers us were to cease coverage of us or fail to regularly publish reports on us, we could lose visibility in the financial markets, which could cause our stock price or trading volume to decline.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do not anticipate paying any cash dividends for the foreseeable future.</w:t>
      </w:r>
    </w:p>
    <w:p>
      <w:pPr>
        <w:pStyle w:val="TextBody"/>
        <w:bidi w:val="0"/>
        <w:spacing w:lineRule="auto" w:line="288" w:before="240" w:after="283"/>
        <w:jc w:val="left"/>
        <w:rPr/>
      </w:pPr>
      <w:r>
        <w:rPr>
          <w:rFonts w:ascii="Times New Roman;serif" w:hAnsi="Times New Roman;serif"/>
          <w:b w:val="false"/>
          <w:color w:val="231F20"/>
          <w:sz w:val="20"/>
        </w:rPr>
        <w:t xml:space="preserve">We have never declared or paid cash dividends on our capital stock, and we do not anticipate paying any cash dividends in the foreseeable future. In addition, the ABL Credit Facility, the DDTL Credit Facility and our </w:t>
      </w:r>
      <w:r>
        <w:rPr>
          <w:rFonts w:ascii="Times New Roman;serif" w:hAnsi="Times New Roman;serif"/>
          <w:b w:val="false"/>
          <w:color w:val="000000"/>
          <w:sz w:val="20"/>
        </w:rPr>
        <w:t xml:space="preserve">Redeemable </w:t>
      </w:r>
      <w:r>
        <w:rPr>
          <w:rFonts w:ascii="Times New Roman;serif" w:hAnsi="Times New Roman;serif"/>
          <w:b w:val="false"/>
          <w:color w:val="231F20"/>
          <w:sz w:val="20"/>
        </w:rPr>
        <w:t>Convertible Preferred Stock limits our and certain of our subsidiaries’ ability to pay cash dividends. We currently intend to retain our future earnings, if any, for the foreseeable future, to fund the development and growth of our business.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Any future determination to pay cash dividends will be at the discretion of our Board and will be dependent upon our financial condition, results of operations, capital requirements, applicable contractual restrictions and such other factors as the Board may deem relevant. As a result, capital appreciation in the price of our common stock, if any, will be our stockholders’ only source of gain on an investment in our common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There is no guarantee that an active and liquid public market for our securities will be sustained.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 liquid trading market for our common stock is not sustained: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holders of our common stock may not be able to liquidate their investment in shares of our common stock;</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holders of our common stock may not be able to resell their shares of our common stock at favorable prices, or at all;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market price of shares of our common stock may experience significant price volatility;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there may be less efficiency in carrying out purchase and sale orders with respect to our common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Additionally, if our securities become delisted from Nasdaq for any reason, and are quoted on the OTC Bulletin Board, an inter-dealer automated quotation system for equity securities that is not a national securities exchange, the liquidity and trading of our securities may be more limited than if we were quoted or listed on Nasdaq or another national securities exchange. Our stockholders may be unable to sell their securities unless a market can be established or sustained.</w:t>
      </w:r>
    </w:p>
    <w:p>
      <w:pPr>
        <w:pStyle w:val="TextBody"/>
        <w:bidi w:val="0"/>
        <w:spacing w:lineRule="auto" w:line="288" w:before="240" w:after="283"/>
        <w:jc w:val="left"/>
        <w:rPr/>
      </w:pPr>
      <w:r>
        <w:rPr>
          <w:rFonts w:ascii="Times New Roman;serif" w:hAnsi="Times New Roman;serif"/>
          <w:b/>
          <w:i/>
          <w:color w:val="000000"/>
          <w:sz w:val="20"/>
        </w:rPr>
        <w:t>Our current bylaws designate a state court within the State of Delaware, to the fullest extent permitted by law, as the sole and exclusive forum for certain types of actions and proceedings that may be initiated by our stockholders, which could limit the ability of our stockholders to obtain a favorable judicial forum f</w:t>
      </w:r>
      <w:r>
        <w:rPr>
          <w:rFonts w:ascii="Times New Roman;serif" w:hAnsi="Times New Roman;serif"/>
          <w:b/>
          <w:i/>
          <w:color w:val="231F20"/>
          <w:sz w:val="20"/>
        </w:rPr>
        <w:t>or disputes with us or with our directors, officers or employees and may discourage stockholders from bringing such claims.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Under our current bylaws, unless we consent in writing to the selection of an alternative forum, the sole and exclusive forum will be a state court within the State of Delaware (or, if no state court located within the State of Delaware has jurisdiction, the federal district court for the District of Delaware) for:</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any derivative action or proceeding brought on our behalf;</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any action asserting a claim of breach of a fiduciary duty owed by any of our directors, officers or employees to us or our stockholders;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any action asserting a claim against us or any of our directors or officers or other employees arising pursuant to any provision of the DGCL or our certificate of incorporation or bylaws (as either may be amended, restated, modified, supplemented or waived from time-to-time); or</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any action asserting a claim against us or any of our directors or officers or other employees governed by the internal affairs doctrine.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val="false"/>
          <w:color w:val="231F20"/>
          <w:sz w:val="20"/>
        </w:rPr>
        <w:t>For the avoidance of doubt, the foregoing provisions of our current bylaws will not apply to any action or proceeding asserting a claim under the Securities Act or the Exchange Act.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current bylaws provide that, unless we consent in writing to the selection of an alternative forum, the federal district courts of the U.S. will be the exclusive forum for resolving any complaint asserting a cause of action arising under the Securities Act. Although investors cannot waive compliance with the federal securities laws and the rules and regulations thereunder, any person or entity purchasing or otherwise acquiring any interest in shares of our capital stock will be deemed to have notice of, and consented to, the provisions of our current bylaws described in the preceding sentences. These provisions of our current bylaws could limit the ability of our stockholders to obtain a favorable judicial forum for certain disputes with us or with our directors, officers or other employees, which may discourage such lawsuits against us and our directors, officers and employees. Alternatively, if a court were to find these provisions of our current bylaws inapplicable to, or unenforceable in respect of, one or more of the types of actions or proceedings listed above, we may incur additional costs associated with resolving such matters in other jurisdictions, which could adversely affect our business, financial condition and results of operations. While the Delaware courts have determined that such choice of forum provisions are valid at face value, a stockholder may nevertheless seek to bring a claim in a venue other than those designated in the exclusive forum provisions, and there can</w:t>
      </w:r>
      <w:r>
        <w:rPr>
          <w:color w:val="000000"/>
        </w:rPr>
        <w:t xml:space="preserve"> </w:t>
      </w:r>
      <w:r>
        <w:rPr>
          <w:rFonts w:ascii="Times New Roman;serif" w:hAnsi="Times New Roman;serif"/>
          <w:b w:val="false"/>
          <w:color w:val="231F20"/>
          <w:sz w:val="20"/>
        </w:rPr>
        <w:t>be no assurance that such provisions will be enforced by a court in those other jurisdictions.</w:t>
      </w:r>
    </w:p>
    <w:p>
      <w:pPr>
        <w:pStyle w:val="TextBody"/>
        <w:bidi w:val="0"/>
        <w:spacing w:lineRule="auto" w:line="288" w:before="240" w:after="283"/>
        <w:jc w:val="left"/>
        <w:rPr/>
      </w:pPr>
      <w:r>
        <w:rPr>
          <w:rFonts w:ascii="Times New Roman;serif" w:hAnsi="Times New Roman;serif"/>
          <w:b/>
          <w:i/>
          <w:color w:val="231F20"/>
          <w:sz w:val="20"/>
        </w:rPr>
        <w:t xml:space="preserve">Some provisions of Delaware law, our current certificate of incorporation and our current bylaws, our Certificate of Designations and the indentures for the Convertible Senior Notes may deter third parties from acquiring us and diminish the value of our common stock, the Convertible Senior Notes and the </w:t>
      </w:r>
      <w:r>
        <w:rPr>
          <w:rFonts w:ascii="Times New Roman;serif" w:hAnsi="Times New Roman;serif"/>
          <w:b/>
          <w:i/>
          <w:color w:val="000000"/>
          <w:sz w:val="20"/>
        </w:rPr>
        <w:t>Redeemable</w:t>
      </w:r>
      <w:r>
        <w:rPr>
          <w:color w:val="000000"/>
        </w:rPr>
        <w:t xml:space="preserve"> </w:t>
      </w:r>
      <w:r>
        <w:rPr>
          <w:rFonts w:ascii="Times New Roman;serif" w:hAnsi="Times New Roman;serif"/>
          <w:b/>
          <w:i/>
          <w:color w:val="231F20"/>
          <w:sz w:val="20"/>
        </w:rPr>
        <w:t>Convertible Preferred Stock.</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Our current certificate of incorporation and our current bylaws provide for, among other things: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the ability of our Board to issue one or more series of preferred stock with voting or other rights or preferences that could have the effect of impeding the success of an attempt to acquire us or otherwise effect a change in control;</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subject to the Investor Rights Agreement, advance notice for nominations of directors by stockholders and for stockholders to include matters to be considered at stockholder meetings; and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certain limitations on convening special stockholder meetings.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addition, 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prior to such time, the Board approved either the business combination or the transaction that resulted in the stockholder becoming an interested stockholder;</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upon consummation of the transaction that resulted in the stockholder becoming an interested stockholder, the interested stockholder owned at least 85% of voting stock outstanding at the time the transaction commenced, excluding certain shares; or</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at or subsequent to that time, the business combination is approved by our Board and by the affirmative vote of holders of at least two-thirds of the votes of our outstanding voting stock that is not owned by the interested stockholder.</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the votes of our outstanding voting stock. For purposes of this provision, “voting stock” means any class or series of stock entitled to vote generally in the election of directors.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These provisions also may have the effect of preventing changes in our Board and may make it more difficult to accomplish transactions that stockholders may otherwise deem to be in their best interests.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val="false"/>
          <w:color w:val="000000"/>
          <w:sz w:val="20"/>
        </w:rPr>
        <w:t xml:space="preserve">In addition, certain terms of our Redeemable Convertible Preferred Stock and the </w:t>
      </w:r>
      <w:r>
        <w:rPr>
          <w:rFonts w:ascii="Times New Roman;serif" w:hAnsi="Times New Roman;serif"/>
          <w:b w:val="false"/>
          <w:color w:val="231F20"/>
          <w:sz w:val="20"/>
        </w:rPr>
        <w:t>Convertible Senior</w:t>
      </w:r>
      <w:r>
        <w:rPr>
          <w:color w:val="000000"/>
        </w:rPr>
        <w:t xml:space="preserve"> </w:t>
      </w:r>
      <w:r>
        <w:rPr>
          <w:rFonts w:ascii="Times New Roman;serif" w:hAnsi="Times New Roman;serif"/>
          <w:b w:val="false"/>
          <w:color w:val="000000"/>
          <w:sz w:val="20"/>
        </w:rPr>
        <w:t>Notes may make it more difficult for an entity to acquire us. As the current holder of our Convertible Preferred Stock, Ayar has certain repurchase, conversion and consent rights, including the right, at the option of Ayar, to require us to repurchase for cash or, if under the terms of our Redeemable Convertible Preferred Stock we are then permitted, and we so elect, shares of our common stock (or other securities to be received by a holder of common stock in such fundamental change) in connection with a fundamental change, based on the applicable Minimum Consideration. See “</w:t>
      </w:r>
      <w:r>
        <w:rPr>
          <w:color w:val="231F20"/>
        </w:rPr>
        <w:t xml:space="preserve">— </w:t>
      </w:r>
      <w:r>
        <w:rPr>
          <w:rFonts w:ascii="Times New Roman;serif" w:hAnsi="Times New Roman;serif"/>
          <w:b w:val="false"/>
          <w:color w:val="000000"/>
          <w:sz w:val="20"/>
        </w:rPr>
        <w:t>Risks Related to Financing and Strategic Transactions—</w:t>
      </w:r>
      <w:r>
        <w:rPr>
          <w:rFonts w:ascii="Times New Roman;serif" w:hAnsi="Times New Roman;serif"/>
          <w:b w:val="false"/>
          <w:i/>
          <w:color w:val="000000"/>
          <w:sz w:val="20"/>
        </w:rPr>
        <w:t>Our Redeemable</w:t>
      </w:r>
      <w:r>
        <w:rPr>
          <w:color w:val="000000"/>
        </w:rPr>
        <w:t xml:space="preserve"> </w:t>
      </w:r>
      <w:r>
        <w:rPr>
          <w:rFonts w:ascii="Times New Roman;serif" w:hAnsi="Times New Roman;serif"/>
          <w:b w:val="false"/>
          <w:i/>
          <w:color w:val="000000"/>
          <w:sz w:val="20"/>
        </w:rPr>
        <w:t>Convertible Preferred Stock has rights, preferences and privileges that are not held by, and are senior to the rights of, our common stockholders</w:t>
      </w:r>
      <w:r>
        <w:rPr>
          <w:rFonts w:ascii="Times New Roman;serif" w:hAnsi="Times New Roman;serif"/>
          <w:b w:val="false"/>
          <w:color w:val="000000"/>
          <w:sz w:val="20"/>
        </w:rPr>
        <w:t xml:space="preserve">.” Similarly, the indentures governing the </w:t>
      </w:r>
      <w:r>
        <w:rPr>
          <w:rFonts w:ascii="Times New Roman;serif" w:hAnsi="Times New Roman;serif"/>
          <w:b w:val="false"/>
          <w:color w:val="231F20"/>
          <w:sz w:val="20"/>
        </w:rPr>
        <w:t>Convertible Senior</w:t>
      </w:r>
      <w:r>
        <w:rPr>
          <w:color w:val="000000"/>
        </w:rPr>
        <w:t xml:space="preserve"> </w:t>
      </w:r>
      <w:r>
        <w:rPr>
          <w:rFonts w:ascii="Times New Roman;serif" w:hAnsi="Times New Roman;serif"/>
          <w:b w:val="false"/>
          <w:color w:val="000000"/>
          <w:sz w:val="20"/>
        </w:rPr>
        <w:t xml:space="preserve">Notes generally requires us, at the option of the holders, to repurchase the </w:t>
      </w:r>
      <w:r>
        <w:rPr>
          <w:rFonts w:ascii="Times New Roman;serif" w:hAnsi="Times New Roman;serif"/>
          <w:b w:val="false"/>
          <w:color w:val="231F20"/>
          <w:sz w:val="20"/>
        </w:rPr>
        <w:t>Convertible Senior</w:t>
      </w:r>
      <w:r>
        <w:rPr>
          <w:color w:val="000000"/>
        </w:rPr>
        <w:t xml:space="preserve"> </w:t>
      </w:r>
      <w:r>
        <w:rPr>
          <w:rFonts w:ascii="Times New Roman;serif" w:hAnsi="Times New Roman;serif"/>
          <w:b w:val="false"/>
          <w:color w:val="000000"/>
          <w:sz w:val="20"/>
        </w:rPr>
        <w:t xml:space="preserve">Notes for cash upon the occurrence of a fundamental change and, in certain circumstances, to increase the conversion rate for a holder that converts its </w:t>
      </w:r>
      <w:r>
        <w:rPr>
          <w:rFonts w:ascii="Times New Roman;serif" w:hAnsi="Times New Roman;serif"/>
          <w:b w:val="false"/>
          <w:color w:val="231F20"/>
          <w:sz w:val="20"/>
        </w:rPr>
        <w:t>Convertible Senior</w:t>
      </w:r>
      <w:r>
        <w:rPr>
          <w:color w:val="000000"/>
        </w:rPr>
        <w:t xml:space="preserve"> </w:t>
      </w:r>
      <w:r>
        <w:rPr>
          <w:rFonts w:ascii="Times New Roman;serif" w:hAnsi="Times New Roman;serif"/>
          <w:b w:val="false"/>
          <w:color w:val="000000"/>
          <w:sz w:val="20"/>
        </w:rPr>
        <w:t xml:space="preserve">Notes in connection with a make-whole fundamental change, as defined in the indentures for the </w:t>
      </w:r>
      <w:r>
        <w:rPr>
          <w:rFonts w:ascii="Times New Roman;serif" w:hAnsi="Times New Roman;serif"/>
          <w:b w:val="false"/>
          <w:color w:val="231F20"/>
          <w:sz w:val="20"/>
        </w:rPr>
        <w:t>Convertible Senior</w:t>
      </w:r>
      <w:r>
        <w:rPr>
          <w:color w:val="000000"/>
        </w:rPr>
        <w:t xml:space="preserve"> </w:t>
      </w:r>
      <w:r>
        <w:rPr>
          <w:rFonts w:ascii="Times New Roman;serif" w:hAnsi="Times New Roman;serif"/>
          <w:b w:val="false"/>
          <w:color w:val="000000"/>
          <w:sz w:val="20"/>
        </w:rPr>
        <w:t>Notes. These provisions may make it more costly for a potential acquirer to engage in a business combination transaction with us.</w:t>
      </w:r>
    </w:p>
    <w:p>
      <w:pPr>
        <w:pStyle w:val="TextBody"/>
        <w:bidi w:val="0"/>
        <w:spacing w:lineRule="auto" w:line="288" w:before="240" w:after="240"/>
        <w:jc w:val="left"/>
        <w:rPr/>
      </w:pPr>
      <w:r>
        <w:rPr>
          <w:rFonts w:ascii="Times New Roman;serif" w:hAnsi="Times New Roman;serif"/>
          <w:b w:val="false"/>
          <w:color w:val="000000"/>
          <w:sz w:val="20"/>
        </w:rPr>
        <w:t xml:space="preserve">These provisions in our current certificate of incorporation, our current bylaws, our Certificate of Designations and the indentures for the </w:t>
      </w:r>
      <w:r>
        <w:rPr>
          <w:rFonts w:ascii="Times New Roman;serif" w:hAnsi="Times New Roman;serif"/>
          <w:b w:val="false"/>
          <w:color w:val="231F20"/>
          <w:sz w:val="20"/>
        </w:rPr>
        <w:t>Convertible Senior</w:t>
      </w:r>
      <w:r>
        <w:rPr>
          <w:color w:val="000000"/>
        </w:rPr>
        <w:t xml:space="preserve"> </w:t>
      </w:r>
      <w:r>
        <w:rPr>
          <w:rFonts w:ascii="Times New Roman;serif" w:hAnsi="Times New Roman;serif"/>
          <w:b w:val="false"/>
          <w:color w:val="000000"/>
          <w:sz w:val="20"/>
        </w:rPr>
        <w:t>Notes as well as D</w:t>
      </w:r>
      <w:r>
        <w:rPr>
          <w:rFonts w:ascii="Times New Roman;serif" w:hAnsi="Times New Roman;serif"/>
          <w:b w:val="false"/>
          <w:color w:val="231F20"/>
          <w:sz w:val="20"/>
        </w:rPr>
        <w:t xml:space="preserve">elaware law could increase the cost and difficulty of acquiring us or may discourage, delay or prevent a transaction involving a change in our control that is in the best interest of our minority stockholders. Even in the absence of a takeover attempt, the existence of these provisions may adversely affect the prevailing market price of our common stock or the value of the Convertible Senior Notes or the </w:t>
      </w:r>
      <w:r>
        <w:rPr>
          <w:rFonts w:ascii="Times New Roman;serif" w:hAnsi="Times New Roman;serif"/>
          <w:b w:val="false"/>
          <w:color w:val="000000"/>
          <w:sz w:val="20"/>
        </w:rPr>
        <w:t xml:space="preserve">Redeemable </w:t>
      </w:r>
      <w:r>
        <w:rPr>
          <w:rFonts w:ascii="Times New Roman;serif" w:hAnsi="Times New Roman;serif"/>
          <w:b w:val="false"/>
          <w:color w:val="231F20"/>
          <w:sz w:val="20"/>
        </w:rPr>
        <w:t xml:space="preserve">Convertible Preferred Stock if they are viewed as discouraging future takeover attempts. These provisions could also make it more difficult for stockholders to nominate directors for election to our Board and take other corporate actions, which could also affect the price investors are willing to pay for our common stock, the Convertible Senior Notes or the </w:t>
      </w:r>
      <w:r>
        <w:rPr>
          <w:rFonts w:ascii="Times New Roman;serif" w:hAnsi="Times New Roman;serif"/>
          <w:b w:val="false"/>
          <w:color w:val="000000"/>
          <w:sz w:val="20"/>
        </w:rPr>
        <w:t xml:space="preserve">Redeemable </w:t>
      </w:r>
      <w:r>
        <w:rPr>
          <w:rFonts w:ascii="Times New Roman;serif" w:hAnsi="Times New Roman;serif"/>
          <w:b w:val="false"/>
          <w:color w:val="231F20"/>
          <w:sz w:val="20"/>
        </w:rPr>
        <w:t>Convertible Preferred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Alexander De Bock will join the Company as its Chief Financial Officer, effective August 5, 2026. Taoufiq Boussaid, the Company’s current Chief Financial Officer, will take on an advisory role for a period of time to help ensure a smooth transition.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Gagan Dhingra, the Company's Senior Vice President of Finance and Accounting and principal accounting officer, has decided to leave the Company to pursue another opportunity, effective August 14, 2026. Mr. Dhingra’s departure is not related to any disagreements with the Company on any matter relating to its operations, policies, or practices (financial or otherwise), or any issues regarding financial disclosures, accounting or legal matters.</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During the quarter ended June 30, 2026, none of the Company’s directors or officers adopted, modified or terminated a Rule 10b5-1 trading arrangement or a non-Rule 10b5-1 trading arrangement, as such terms are defined under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6.</w:t>
      </w:r>
      <w:r>
        <w:rPr>
          <w:color w:val="000000"/>
        </w:rPr>
        <w:t xml:space="preserve"> </w:t>
      </w:r>
      <w:r>
        <w:rPr>
          <w:rFonts w:ascii="Times New Roman;serif" w:hAnsi="Times New Roman;serif"/>
          <w:b/>
          <w:color w:val="000000"/>
          <w:sz w:val="20"/>
        </w:rPr>
        <w:t>Exhibits.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exhibits listed on the Exhibit Index to this Form 10-Q are filed herewith or incorporated by reference herein: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60"/>
        <w:gridCol w:w="229"/>
        <w:gridCol w:w="230"/>
        <w:gridCol w:w="109"/>
        <w:gridCol w:w="109"/>
        <w:gridCol w:w="109"/>
        <w:gridCol w:w="2009"/>
        <w:gridCol w:w="1835"/>
        <w:gridCol w:w="1857"/>
        <w:gridCol w:w="187"/>
        <w:gridCol w:w="187"/>
        <w:gridCol w:w="188"/>
        <w:gridCol w:w="241"/>
        <w:gridCol w:w="241"/>
        <w:gridCol w:w="242"/>
        <w:gridCol w:w="211"/>
        <w:gridCol w:w="211"/>
        <w:gridCol w:w="213"/>
        <w:gridCol w:w="234"/>
        <w:gridCol w:w="234"/>
        <w:gridCol w:w="235"/>
        <w:gridCol w:w="242"/>
        <w:gridCol w:w="242"/>
        <w:gridCol w:w="350"/>
      </w:tblGrid>
      <w:tr>
        <w:trPr/>
        <w:tc>
          <w:tcPr>
            <w:tcW w:w="26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Incorporation by Reference</w:t>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Description</w:t>
            </w:r>
          </w:p>
        </w:tc>
        <w:tc>
          <w:tcPr>
            <w:tcW w:w="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w:t>
              <w:br/>
              <w:t>Number</w:t>
            </w:r>
          </w:p>
        </w:tc>
        <w:tc>
          <w:tcPr>
            <w:tcW w:w="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Filing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Date</w:t>
            </w:r>
          </w:p>
        </w:tc>
        <w:tc>
          <w:tcPr>
            <w:tcW w:w="7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w:t>
              <w:br/>
              <w:t>Herewith</w:t>
            </w:r>
          </w:p>
        </w:tc>
      </w:tr>
      <w:tr>
        <w:trPr/>
        <w:tc>
          <w:tcPr>
            <w:tcW w:w="7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18"/>
                  <w:u w:val="single"/>
                </w:rPr>
                <w:t>Certificate of Designations of Series C Convertible Preferred Stock of Lucid Group, Inc.</w:t>
              </w:r>
            </w:hyperlink>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April 29, 2026</w:t>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18"/>
                  <w:u w:val="single"/>
                </w:rPr>
                <w:t>Subscription Agreement, dated April 14, 2026, between Lucid Group, Inc. and Ayar Third Investment Company (including form of Certificate of Designations related to the Series C Convertible Preferred Stock and form of Amendment No. 7 to the Investor Rights Agreement by and among Lucid Group, Inc., Ayar Third Investment Company, and the other parties thereto).</w:t>
              </w:r>
            </w:hyperlink>
          </w:p>
        </w:tc>
        <w:tc>
          <w:tcPr>
            <w:tcW w:w="5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April 14, 2026</w:t>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18"/>
                  <w:u w:val="single"/>
                </w:rPr>
                <w:t>Subscription Agreement, dated April 14, 2026, by and between Lucid Group, Inc. and SMB Holding Corporation</w:t>
              </w:r>
            </w:hyperlink>
          </w:p>
        </w:tc>
        <w:tc>
          <w:tcPr>
            <w:tcW w:w="5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April 14, 2026</w:t>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18"/>
                  <w:u w:val="single"/>
                </w:rPr>
                <w:t>Vehicle Production Agreement, dated April 14, 2026, by and between Lucid Group, Inc. and Uber Technologies, Inc.</w:t>
              </w:r>
            </w:hyperlink>
          </w:p>
        </w:tc>
        <w:tc>
          <w:tcPr>
            <w:tcW w:w="5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April 14, 2026</w:t>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18"/>
                  <w:u w:val="single"/>
                </w:rPr>
                <w:t>Amendment No. 2 to Credit Agreement, dated April 14, 2026, among Lucid Group, Inc., and Ayar Third Investment Company, as the sole lender and administrative agent</w:t>
              </w:r>
            </w:hyperlink>
          </w:p>
        </w:tc>
        <w:tc>
          <w:tcPr>
            <w:tcW w:w="5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April 14, 2026</w:t>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18"/>
                  <w:u w:val="single"/>
                </w:rPr>
                <w:t>Underwriting Agreement, dated April 14, 2026, between Lucid Group, Inc., and BofA Securities, Inc.</w:t>
              </w:r>
            </w:hyperlink>
          </w:p>
        </w:tc>
        <w:tc>
          <w:tcPr>
            <w:tcW w:w="5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April 14, 2026</w:t>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18"/>
                  <w:u w:val="single"/>
                </w:rPr>
                <w:t>Amendment No. 7 to the Investor Rights Agreement, dated April 28, 2026, between Lucid Group, Inc., Ayar Third Investment Company and the other parties thereto</w:t>
              </w:r>
            </w:hyperlink>
          </w:p>
        </w:tc>
        <w:tc>
          <w:tcPr>
            <w:tcW w:w="5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April 29, 2026</w:t>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fy2610q-ex108.htm">
              <w:r>
                <w:rPr>
                  <w:rStyle w:val="InternetLink"/>
                  <w:rFonts w:ascii="Times New Roman;serif" w:hAnsi="Times New Roman;serif"/>
                  <w:b w:val="false"/>
                  <w:color w:val="0000FF"/>
                  <w:sz w:val="18"/>
                  <w:u w:val="single"/>
                </w:rPr>
                <w:t xml:space="preserve">Amendment No. 1 to Second Vehicle Production Agreement, dated July 10, 2026, between Lucid Group, Inc. and Uber Technologies, Inc. </w:t>
              </w:r>
            </w:hyperlink>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18"/>
                  <w:u w:val="single"/>
                </w:rPr>
                <w:t>Lucid Group, Inc. Amended and Restated 2021 Stock Incentive Plan (including the Lucid Group, Inc. Amended and Restated 2021 Employee Stock Purchase Plan, attached thereto).</w:t>
              </w:r>
            </w:hyperlink>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DEF 14A</w:t>
            </w:r>
          </w:p>
        </w:tc>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April 23, 2026</w:t>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Annex A</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fy2610q-ex1010.htm">
              <w:r>
                <w:rPr>
                  <w:rStyle w:val="InternetLink"/>
                  <w:rFonts w:ascii="Times New Roman;serif" w:hAnsi="Times New Roman;serif"/>
                  <w:b w:val="false"/>
                  <w:color w:val="0000FF"/>
                  <w:sz w:val="18"/>
                  <w:u w:val="single"/>
                </w:rPr>
                <w:t>Offer of Employment to Silvio Napoli, dated April 9, 2026</w:t>
              </w:r>
            </w:hyperlink>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fy2610q-ex1011.htm">
              <w:r>
                <w:rPr>
                  <w:rStyle w:val="InternetLink"/>
                  <w:rFonts w:ascii="Times New Roman;serif" w:hAnsi="Times New Roman;serif"/>
                  <w:b w:val="false"/>
                  <w:color w:val="0000FF"/>
                  <w:sz w:val="18"/>
                  <w:u w:val="single"/>
                </w:rPr>
                <w:t>Employment Agreement by and between Lucid Switzerland AG and Silvio Napoli</w:t>
              </w:r>
            </w:hyperlink>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fy2610q-ex311.htm">
              <w:r>
                <w:rPr>
                  <w:rStyle w:val="InternetLink"/>
                  <w:rFonts w:ascii="Times New Roman;serif" w:hAnsi="Times New Roman;serif"/>
                  <w:b w:val="false"/>
                  <w:color w:val="0000FF"/>
                  <w:sz w:val="18"/>
                  <w:u w:val="single"/>
                </w:rPr>
                <w:t>Certification of Principal Executive Officer Required Under Rule 13a-14(a) and 15d-14(a) of the Securities Exchange Act of 1934, as amended</w:t>
              </w:r>
            </w:hyperlink>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fy2610q-ex312.htm">
              <w:r>
                <w:rPr>
                  <w:rStyle w:val="InternetLink"/>
                  <w:rFonts w:ascii="Times New Roman;serif" w:hAnsi="Times New Roman;serif"/>
                  <w:b w:val="false"/>
                  <w:color w:val="0000FF"/>
                  <w:sz w:val="18"/>
                  <w:u w:val="single"/>
                </w:rPr>
                <w:t>Certification of Principal Financial Officer Required Under Rule 13a-14(a) and 15d-14(a) of the Securities Exchange Act of 1934, as amended</w:t>
              </w:r>
            </w:hyperlink>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fy2610q-ex321.htm">
              <w:r>
                <w:rPr>
                  <w:rStyle w:val="InternetLink"/>
                  <w:rFonts w:ascii="Times New Roman;serif" w:hAnsi="Times New Roman;serif"/>
                  <w:b w:val="false"/>
                  <w:color w:val="0000FF"/>
                  <w:sz w:val="18"/>
                  <w:u w:val="single"/>
                </w:rPr>
                <w:t>Certification of Chief Executive Officer pursuant to 18 U.S.C. Section 1350, as adopted pursuant to Section 906 of the Sarbanes-Oxley Act of 2002</w:t>
              </w:r>
            </w:hyperlink>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fy2610q-ex322.htm">
              <w:r>
                <w:rPr>
                  <w:rStyle w:val="InternetLink"/>
                  <w:rFonts w:ascii="Times New Roman;serif" w:hAnsi="Times New Roman;serif"/>
                  <w:b w:val="false"/>
                  <w:color w:val="0000FF"/>
                  <w:sz w:val="18"/>
                  <w:u w:val="single"/>
                </w:rPr>
                <w:t>Certification of Chief Financial Officer pursuant to 18 U.S.C. Section 1350, as adopted pursuant to Section 906 of the Sarbanes-Oxley Act of 2002</w:t>
              </w:r>
            </w:hyperlink>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 (the instance document does not appear in the Interactive Data File because its XBRL tags are embedded within the Inline XBRL document)</w:t>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Schema Linkbase Document</w:t>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Calculation Linkbase Document</w:t>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Definition Linkbase Document</w:t>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Labels Linkbase Document</w:t>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Presentation Linkbase Document</w:t>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bl>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Indicates management contract or compensatory plan.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Schedules and certain portions of this exhibit have been redacted in accordance with Items 601(a)(5) and 601(b)(10)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4777" w:type="dxa"/>
        <w:jc w:val="left"/>
        <w:tblInd w:w="0" w:type="dxa"/>
        <w:tblLayout w:type="fixed"/>
        <w:tblCellMar>
          <w:top w:w="28" w:type="dxa"/>
          <w:left w:w="28" w:type="dxa"/>
          <w:bottom w:w="28" w:type="dxa"/>
          <w:right w:w="28" w:type="dxa"/>
        </w:tblCellMar>
      </w:tblPr>
      <w:tblGrid>
        <w:gridCol w:w="667"/>
        <w:gridCol w:w="587"/>
        <w:gridCol w:w="590"/>
        <w:gridCol w:w="308"/>
        <w:gridCol w:w="308"/>
        <w:gridCol w:w="308"/>
        <w:gridCol w:w="587"/>
        <w:gridCol w:w="587"/>
        <w:gridCol w:w="835"/>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LUCID GROUP,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9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Taoufiq Boussaid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Taoufiq Boussaid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10.8</w:t>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AMENDMENT #1</w:t>
      </w:r>
    </w:p>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SECOND VEHICLE PRODUCTION AGREEMENT</w:t>
      </w:r>
    </w:p>
    <w:p>
      <w:pPr>
        <w:pStyle w:val="TextBody"/>
        <w:bidi w:val="0"/>
        <w:spacing w:before="60" w:after="283"/>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This AMENDMENT #1 to the SECOND VEHICLE PRODUCTION AGREEMENT (this “Amendment #1”) is entered into effective as of the date last signed below (“Amendment #1 Effective Date”), between Uber Technologies, Inc. (“Uber”) and Lucid Group, Inc. (“Lucid”)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WHEREAS, Uber and Lucid entered into the SECOND VEHICLE PRODUCTION AGREEMENT dated April 14</w:t>
      </w:r>
      <w:r>
        <w:rPr>
          <w:rFonts w:ascii="Times New Roman;serif" w:hAnsi="Times New Roman;serif"/>
          <w:b w:val="false"/>
          <w:color w:val="000000"/>
          <w:sz w:val="14"/>
        </w:rPr>
        <w:t>th</w:t>
      </w:r>
      <w:r>
        <w:rPr>
          <w:rFonts w:ascii="Times New Roman;serif" w:hAnsi="Times New Roman;serif"/>
          <w:b w:val="false"/>
          <w:color w:val="000000"/>
          <w:sz w:val="22"/>
        </w:rPr>
        <w:t>, 2026 (the “Agreement”);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WHEREAS, Lucid and Uber wish to enter into this Amendment #1 to amend certain provisions of the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NOW THEREFORE, in consideration of the promises and mutual agreements and covenants set forth herein and other good and valuable consideration, the parties hereby agree to amend the Agreement as follows:</w:t>
      </w:r>
    </w:p>
    <w:p>
      <w:pPr>
        <w:pStyle w:val="TextBody"/>
        <w:bidi w:val="0"/>
        <w:spacing w:lineRule="auto" w:line="288" w:before="120" w:after="283"/>
        <w:ind w:left="0" w:right="0" w:hanging="270"/>
        <w:jc w:val="left"/>
        <w:rPr>
          <w:rFonts w:ascii="Times New Roman;serif" w:hAnsi="Times New Roman;serif"/>
          <w:b w:val="false"/>
          <w:color w:val="000000"/>
          <w:sz w:val="22"/>
        </w:rPr>
      </w:pPr>
      <w:r>
        <w:rPr>
          <w:rFonts w:ascii="Times New Roman;serif" w:hAnsi="Times New Roman;serif"/>
          <w:b w:val="false"/>
          <w:color w:val="000000"/>
          <w:sz w:val="22"/>
        </w:rPr>
        <w:t>1.    In Section 3.2 (b) of the Agreement, the phrase:</w:t>
      </w:r>
    </w:p>
    <w:p>
      <w:pPr>
        <w:pStyle w:val="TextBody"/>
        <w:bidi w:val="0"/>
        <w:spacing w:lineRule="auto" w:line="288" w:before="60" w:after="283"/>
        <w:jc w:val="left"/>
        <w:rPr>
          <w:color w:val="000000"/>
        </w:rPr>
      </w:pPr>
      <w:r>
        <w:rPr>
          <w:color w:val="000000"/>
        </w:rPr>
        <w:t>“</w:t>
      </w:r>
      <w:r>
        <w:rPr>
          <w:rFonts w:ascii="Times New Roman;serif" w:hAnsi="Times New Roman;serif"/>
          <w:b w:val="false"/>
          <w:color w:val="000000"/>
          <w:sz w:val="22"/>
        </w:rPr>
        <w:t>No later than three (3) months following the Effective Date,”</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Shall be replaced with:</w:t>
      </w:r>
    </w:p>
    <w:p>
      <w:pPr>
        <w:pStyle w:val="TextBody"/>
        <w:bidi w:val="0"/>
        <w:spacing w:lineRule="auto" w:line="288" w:before="60" w:after="283"/>
        <w:jc w:val="left"/>
        <w:rPr>
          <w:color w:val="000000"/>
        </w:rPr>
      </w:pPr>
      <w:r>
        <w:rPr>
          <w:color w:val="000000"/>
        </w:rPr>
        <w:t>“</w:t>
      </w:r>
      <w:r>
        <w:rPr>
          <w:rFonts w:ascii="Times New Roman;serif" w:hAnsi="Times New Roman;serif"/>
          <w:b w:val="false"/>
          <w:color w:val="000000"/>
          <w:sz w:val="22"/>
        </w:rPr>
        <w:t>No later than five (5) months following the Effective Date,”</w:t>
      </w:r>
    </w:p>
    <w:p>
      <w:pPr>
        <w:pStyle w:val="TextBody"/>
        <w:bidi w:val="0"/>
        <w:spacing w:lineRule="auto" w:line="288" w:before="120" w:after="283"/>
        <w:ind w:left="0" w:right="0" w:hanging="270"/>
        <w:jc w:val="left"/>
        <w:rPr>
          <w:rFonts w:ascii="Times New Roman;serif" w:hAnsi="Times New Roman;serif"/>
          <w:b w:val="false"/>
          <w:color w:val="000000"/>
          <w:sz w:val="22"/>
        </w:rPr>
      </w:pPr>
      <w:r>
        <w:rPr>
          <w:rFonts w:ascii="Times New Roman;serif" w:hAnsi="Times New Roman;serif"/>
          <w:b w:val="false"/>
          <w:color w:val="000000"/>
          <w:sz w:val="22"/>
        </w:rPr>
        <w:t>2.    Except as amended herewith, all other terms and conditions of the Agreement shall remain in full force and effect. In the event of any conflict between this Amendment #1 to the Agreement and the Agreement, the provisions of this Amendment #1 will prevail.</w: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IN WITNESS WHEREOF, the parties hereto have caused this Amendment #1 to be executed as of Amendment #1 Effective Date.</w:t>
      </w:r>
    </w:p>
    <w:p>
      <w:pPr>
        <w:pStyle w:val="TextBody"/>
        <w:bidi w:val="0"/>
        <w:spacing w:before="120" w:after="283"/>
        <w:jc w:val="left"/>
        <w:rPr/>
      </w:pPr>
      <w:r>
        <w:rPr/>
      </w:r>
    </w:p>
    <w:tbl>
      <w:tblPr>
        <w:tblW w:w="4605" w:type="dxa"/>
        <w:jc w:val="left"/>
        <w:tblInd w:w="0" w:type="dxa"/>
        <w:tblLayout w:type="fixed"/>
        <w:tblCellMar>
          <w:top w:w="28" w:type="dxa"/>
          <w:left w:w="28" w:type="dxa"/>
          <w:bottom w:w="28" w:type="dxa"/>
          <w:right w:w="28" w:type="dxa"/>
        </w:tblCellMar>
      </w:tblPr>
      <w:tblGrid>
        <w:gridCol w:w="907"/>
        <w:gridCol w:w="798"/>
        <w:gridCol w:w="800"/>
        <w:gridCol w:w="613"/>
        <w:gridCol w:w="613"/>
        <w:gridCol w:w="874"/>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color w:val="000000"/>
                <w:sz w:val="22"/>
              </w:rPr>
              <w:t>Uber Technologies, Inc.</w:t>
            </w:r>
            <w:r>
              <w:rPr>
                <w:color w:val="000000"/>
              </w:rPr>
              <w:t xml:space="preserve"> </w:t>
            </w:r>
          </w:p>
          <w:p>
            <w:pPr>
              <w:pStyle w:val="TableContents"/>
              <w:bidi w:val="0"/>
              <w:spacing w:before="120" w:after="20"/>
              <w:jc w:val="left"/>
              <w:rPr/>
            </w:pPr>
            <w:r>
              <w:rPr/>
            </w:r>
          </w:p>
          <w:p>
            <w:pPr>
              <w:pStyle w:val="TableContents"/>
              <w:bidi w:val="0"/>
              <w:spacing w:lineRule="auto" w:line="288" w:before="120" w:after="20"/>
              <w:jc w:val="left"/>
              <w:rPr/>
            </w:pPr>
            <w:r>
              <w:rPr>
                <w:rFonts w:ascii="Times New Roman;serif" w:hAnsi="Times New Roman;serif"/>
                <w:b w:val="false"/>
                <w:color w:val="000000"/>
                <w:sz w:val="22"/>
              </w:rPr>
              <w:t xml:space="preserve">Sign: </w:t>
            </w:r>
            <w:r>
              <w:rPr>
                <w:rFonts w:ascii="Times New Roman;serif" w:hAnsi="Times New Roman;serif"/>
                <w:b w:val="false"/>
                <w:color w:val="000000"/>
                <w:sz w:val="22"/>
                <w:u w:val="single"/>
              </w:rPr>
              <w:t>/s/ Noah Zych</w:t>
            </w:r>
          </w:p>
        </w:tc>
        <w:tc>
          <w:tcPr>
            <w:tcW w:w="2100"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Lucid Group, Inc</w:t>
            </w:r>
          </w:p>
          <w:p>
            <w:pPr>
              <w:pStyle w:val="TableContents"/>
              <w:bidi w:val="0"/>
              <w:spacing w:before="120" w:after="20"/>
              <w:jc w:val="left"/>
              <w:rPr/>
            </w:pPr>
            <w:r>
              <w:rPr/>
            </w:r>
          </w:p>
          <w:p>
            <w:pPr>
              <w:pStyle w:val="TableContents"/>
              <w:bidi w:val="0"/>
              <w:spacing w:lineRule="auto" w:line="288" w:before="120" w:after="20"/>
              <w:jc w:val="left"/>
              <w:rPr/>
            </w:pPr>
            <w:r>
              <w:rPr>
                <w:rFonts w:ascii="Times New Roman;serif" w:hAnsi="Times New Roman;serif"/>
                <w:b w:val="false"/>
                <w:color w:val="000000"/>
                <w:sz w:val="22"/>
              </w:rPr>
              <w:t xml:space="preserve">Sign: </w:t>
            </w:r>
            <w:r>
              <w:rPr>
                <w:rFonts w:ascii="Times New Roman;serif" w:hAnsi="Times New Roman;serif"/>
                <w:b w:val="false"/>
                <w:color w:val="000000"/>
                <w:sz w:val="22"/>
                <w:u w:val="single"/>
              </w:rPr>
              <w:t>/s/ Kai Stepper</w:t>
            </w:r>
          </w:p>
        </w:tc>
      </w:tr>
      <w:tr>
        <w:trPr/>
        <w:tc>
          <w:tcPr>
            <w:tcW w:w="2505" w:type="dxa"/>
            <w:gridSpan w:val="3"/>
            <w:tcBorders/>
            <w:tcMar>
              <w:top w:w="0" w:type="dxa"/>
              <w:left w:w="0" w:type="dxa"/>
              <w:bottom w:w="0" w:type="dxa"/>
              <w:right w:w="0" w:type="dxa"/>
            </w:tcMar>
            <w:vAlign w:val="center"/>
          </w:tcPr>
          <w:p>
            <w:pPr>
              <w:pStyle w:val="TableContents"/>
              <w:bidi w:val="0"/>
              <w:spacing w:lineRule="auto" w:line="288" w:before="60" w:after="20"/>
              <w:jc w:val="left"/>
              <w:rPr>
                <w:rFonts w:ascii="Times New Roman;serif" w:hAnsi="Times New Roman;serif"/>
                <w:b w:val="false"/>
                <w:color w:val="000000"/>
                <w:sz w:val="22"/>
              </w:rPr>
            </w:pPr>
            <w:r>
              <w:rPr>
                <w:rFonts w:ascii="Times New Roman;serif" w:hAnsi="Times New Roman;serif"/>
                <w:b w:val="false"/>
                <w:color w:val="000000"/>
                <w:sz w:val="22"/>
              </w:rPr>
              <w:t>Name: Noah Zych</w:t>
            </w:r>
          </w:p>
        </w:tc>
        <w:tc>
          <w:tcPr>
            <w:tcW w:w="2100" w:type="dxa"/>
            <w:gridSpan w:val="3"/>
            <w:tcBorders/>
            <w:tcMar>
              <w:top w:w="0" w:type="dxa"/>
              <w:left w:w="0" w:type="dxa"/>
              <w:bottom w:w="0" w:type="dxa"/>
              <w:right w:w="0" w:type="dxa"/>
            </w:tcMar>
            <w:vAlign w:val="center"/>
          </w:tcPr>
          <w:p>
            <w:pPr>
              <w:pStyle w:val="TableContents"/>
              <w:bidi w:val="0"/>
              <w:spacing w:lineRule="auto" w:line="288" w:before="60" w:after="20"/>
              <w:jc w:val="left"/>
              <w:rPr>
                <w:rFonts w:ascii="Times New Roman;serif" w:hAnsi="Times New Roman;serif"/>
                <w:b w:val="false"/>
                <w:color w:val="000000"/>
                <w:sz w:val="22"/>
              </w:rPr>
            </w:pPr>
            <w:r>
              <w:rPr>
                <w:rFonts w:ascii="Times New Roman;serif" w:hAnsi="Times New Roman;serif"/>
                <w:b w:val="false"/>
                <w:color w:val="000000"/>
                <w:sz w:val="22"/>
              </w:rPr>
              <w:t>Name: Kai Stepper</w:t>
            </w:r>
          </w:p>
        </w:tc>
      </w:tr>
      <w:tr>
        <w:trPr/>
        <w:tc>
          <w:tcPr>
            <w:tcW w:w="2505" w:type="dxa"/>
            <w:gridSpan w:val="3"/>
            <w:tcBorders/>
            <w:tcMar>
              <w:top w:w="0" w:type="dxa"/>
              <w:left w:w="0" w:type="dxa"/>
              <w:bottom w:w="0" w:type="dxa"/>
              <w:right w:w="0" w:type="dxa"/>
            </w:tcMar>
            <w:vAlign w:val="center"/>
          </w:tcPr>
          <w:p>
            <w:pPr>
              <w:pStyle w:val="TableContents"/>
              <w:bidi w:val="0"/>
              <w:spacing w:lineRule="auto" w:line="288" w:before="60" w:after="20"/>
              <w:jc w:val="left"/>
              <w:rPr>
                <w:rFonts w:ascii="Times New Roman;serif" w:hAnsi="Times New Roman;serif"/>
                <w:b w:val="false"/>
                <w:color w:val="000000"/>
                <w:sz w:val="22"/>
              </w:rPr>
            </w:pPr>
            <w:r>
              <w:rPr>
                <w:rFonts w:ascii="Times New Roman;serif" w:hAnsi="Times New Roman;serif"/>
                <w:b w:val="false"/>
                <w:color w:val="000000"/>
                <w:sz w:val="22"/>
              </w:rPr>
              <w:t>Title: Senior Director</w:t>
            </w:r>
          </w:p>
        </w:tc>
        <w:tc>
          <w:tcPr>
            <w:tcW w:w="2100" w:type="dxa"/>
            <w:gridSpan w:val="3"/>
            <w:tcBorders/>
            <w:tcMar>
              <w:top w:w="0" w:type="dxa"/>
              <w:left w:w="0" w:type="dxa"/>
              <w:bottom w:w="0" w:type="dxa"/>
              <w:right w:w="0" w:type="dxa"/>
            </w:tcMar>
            <w:vAlign w:val="center"/>
          </w:tcPr>
          <w:p>
            <w:pPr>
              <w:pStyle w:val="TableContents"/>
              <w:bidi w:val="0"/>
              <w:spacing w:lineRule="auto" w:line="288" w:before="60" w:after="20"/>
              <w:jc w:val="left"/>
              <w:rPr>
                <w:rFonts w:ascii="Times New Roman;serif" w:hAnsi="Times New Roman;serif"/>
                <w:b w:val="false"/>
                <w:color w:val="000000"/>
                <w:sz w:val="22"/>
              </w:rPr>
            </w:pPr>
            <w:r>
              <w:rPr>
                <w:rFonts w:ascii="Times New Roman;serif" w:hAnsi="Times New Roman;serif"/>
                <w:b w:val="false"/>
                <w:color w:val="000000"/>
                <w:sz w:val="22"/>
              </w:rPr>
              <w:t xml:space="preserve">Title: Vice President </w:t>
            </w:r>
          </w:p>
        </w:tc>
      </w:tr>
      <w:tr>
        <w:trPr/>
        <w:tc>
          <w:tcPr>
            <w:tcW w:w="2505" w:type="dxa"/>
            <w:gridSpan w:val="3"/>
            <w:tcBorders/>
            <w:tcMar>
              <w:top w:w="0" w:type="dxa"/>
              <w:left w:w="0" w:type="dxa"/>
              <w:bottom w:w="0" w:type="dxa"/>
              <w:right w:w="0" w:type="dxa"/>
            </w:tcMar>
            <w:vAlign w:val="center"/>
          </w:tcPr>
          <w:p>
            <w:pPr>
              <w:pStyle w:val="TableContents"/>
              <w:bidi w:val="0"/>
              <w:spacing w:lineRule="auto" w:line="288" w:before="60" w:after="20"/>
              <w:jc w:val="left"/>
              <w:rPr>
                <w:rFonts w:ascii="Times New Roman;serif" w:hAnsi="Times New Roman;serif"/>
                <w:b w:val="false"/>
                <w:color w:val="000000"/>
                <w:sz w:val="22"/>
              </w:rPr>
            </w:pPr>
            <w:r>
              <w:rPr>
                <w:rFonts w:ascii="Times New Roman;serif" w:hAnsi="Times New Roman;serif"/>
                <w:b w:val="false"/>
                <w:color w:val="000000"/>
                <w:sz w:val="22"/>
              </w:rPr>
              <w:t>Date: July 10, 2026</w:t>
            </w:r>
          </w:p>
        </w:tc>
        <w:tc>
          <w:tcPr>
            <w:tcW w:w="2100" w:type="dxa"/>
            <w:gridSpan w:val="3"/>
            <w:tcBorders/>
            <w:tcMar>
              <w:top w:w="0" w:type="dxa"/>
              <w:left w:w="0" w:type="dxa"/>
              <w:bottom w:w="0" w:type="dxa"/>
              <w:right w:w="0" w:type="dxa"/>
            </w:tcMar>
            <w:vAlign w:val="center"/>
          </w:tcPr>
          <w:p>
            <w:pPr>
              <w:pStyle w:val="TableContents"/>
              <w:bidi w:val="0"/>
              <w:spacing w:lineRule="auto" w:line="288" w:before="60" w:after="20"/>
              <w:jc w:val="left"/>
              <w:rPr>
                <w:rFonts w:ascii="Times New Roman;serif" w:hAnsi="Times New Roman;serif"/>
                <w:b w:val="false"/>
                <w:color w:val="000000"/>
                <w:sz w:val="22"/>
              </w:rPr>
            </w:pPr>
            <w:r>
              <w:rPr>
                <w:rFonts w:ascii="Times New Roman;serif" w:hAnsi="Times New Roman;serif"/>
                <w:b w:val="false"/>
                <w:color w:val="000000"/>
                <w:sz w:val="22"/>
              </w:rPr>
              <w:t>Date: July 10,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75" w:after="283"/>
        <w:jc w:val="right"/>
        <w:rPr>
          <w:rFonts w:ascii="Times New Roman;serif" w:hAnsi="Times New Roman;serif"/>
          <w:b/>
          <w:color w:val="000000"/>
          <w:sz w:val="24"/>
        </w:rPr>
      </w:pPr>
      <w:r>
        <w:rPr>
          <w:rFonts w:ascii="Times New Roman;serif" w:hAnsi="Times New Roman;serif"/>
          <w:b/>
          <w:color w:val="000000"/>
          <w:sz w:val="24"/>
        </w:rPr>
        <w:t>Exhibit 10.10</w:t>
      </w:r>
    </w:p>
    <w:p>
      <w:pPr>
        <w:pStyle w:val="TextBody"/>
        <w:bidi w:val="0"/>
        <w:spacing w:before="0" w:after="0"/>
        <w:jc w:val="right"/>
        <w:rPr/>
      </w:pPr>
      <w:r>
        <w:rPr/>
      </w:r>
    </w:p>
    <w:p>
      <w:pPr>
        <w:pStyle w:val="TextBody"/>
        <w:bidi w:val="0"/>
        <w:spacing w:lineRule="auto" w:line="240" w:before="0" w:after="0"/>
        <w:jc w:val="left"/>
        <w:rPr/>
      </w:pPr>
      <w:r>
        <w:rPr>
          <w:rFonts w:ascii="Times New Roman;serif" w:hAnsi="Times New Roman;serif"/>
          <w:b w:val="false"/>
          <w:color w:val="000000"/>
          <w:sz w:val="24"/>
        </w:rPr>
        <w:t>April</w:t>
      </w:r>
      <w:r>
        <w:rPr>
          <w:color w:val="000000"/>
        </w:rPr>
        <w:t xml:space="preserve"> </w:t>
      </w:r>
      <w:r>
        <w:rPr>
          <w:rFonts w:ascii="Times New Roman;serif" w:hAnsi="Times New Roman;serif"/>
          <w:b w:val="false"/>
          <w:color w:val="000000"/>
          <w:sz w:val="24"/>
        </w:rPr>
        <w:t>9,</w:t>
      </w:r>
      <w:r>
        <w:rPr>
          <w:color w:val="000000"/>
        </w:rPr>
        <w:t xml:space="preserve"> </w:t>
      </w:r>
      <w:r>
        <w:rPr>
          <w:rFonts w:ascii="Times New Roman;serif" w:hAnsi="Times New Roman;serif"/>
          <w:b w:val="false"/>
          <w:color w:val="000000"/>
          <w:sz w:val="24"/>
        </w:rPr>
        <w:t>2026</w:t>
      </w:r>
    </w:p>
    <w:p>
      <w:pPr>
        <w:pStyle w:val="TextBody"/>
        <w:bidi w:val="0"/>
        <w:spacing w:before="0" w:after="0"/>
        <w:jc w:val="left"/>
        <w:rPr/>
      </w:pPr>
      <w:r>
        <w:rPr/>
      </w:r>
    </w:p>
    <w:p>
      <w:pPr>
        <w:pStyle w:val="TextBody"/>
        <w:bidi w:val="0"/>
        <w:spacing w:before="240" w:after="283"/>
        <w:jc w:val="left"/>
        <w:rPr/>
      </w:pPr>
      <w:r>
        <w:rPr/>
      </w:r>
    </w:p>
    <w:p>
      <w:pPr>
        <w:pStyle w:val="TextBody"/>
        <w:bidi w:val="0"/>
        <w:spacing w:lineRule="auto" w:line="288" w:before="0" w:after="0"/>
        <w:jc w:val="left"/>
        <w:rPr/>
      </w:pPr>
      <w:r>
        <w:rPr>
          <w:rFonts w:ascii="Times New Roman;serif" w:hAnsi="Times New Roman;serif"/>
          <w:b w:val="false"/>
          <w:color w:val="000000"/>
          <w:sz w:val="24"/>
        </w:rPr>
        <w:t>Silvio</w:t>
      </w:r>
      <w:r>
        <w:rPr>
          <w:color w:val="000000"/>
        </w:rPr>
        <w:t xml:space="preserve"> </w:t>
      </w:r>
      <w:r>
        <w:rPr>
          <w:rFonts w:ascii="Times New Roman;serif" w:hAnsi="Times New Roman;serif"/>
          <w:b w:val="false"/>
          <w:color w:val="000000"/>
          <w:sz w:val="24"/>
        </w:rPr>
        <w:t>Napoli</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 w:after="283"/>
        <w:jc w:val="left"/>
        <w:rPr/>
      </w:pPr>
      <w:r>
        <w:rPr>
          <w:rFonts w:ascii="Times New Roman;serif" w:hAnsi="Times New Roman;serif"/>
          <w:b/>
          <w:color w:val="000000"/>
          <w:sz w:val="24"/>
        </w:rPr>
        <w:t>Re:</w:t>
      </w:r>
      <w:r>
        <w:rPr>
          <w:color w:val="000000"/>
        </w:rPr>
        <w:t xml:space="preserve"> </w:t>
      </w:r>
      <w:r>
        <w:rPr>
          <w:rFonts w:ascii="Times New Roman;serif" w:hAnsi="Times New Roman;serif"/>
          <w:b/>
          <w:color w:val="000000"/>
          <w:sz w:val="24"/>
        </w:rPr>
        <w:t>Offer</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Employment</w:t>
      </w:r>
    </w:p>
    <w:p>
      <w:pPr>
        <w:pStyle w:val="TextBody"/>
        <w:bidi w:val="0"/>
        <w:spacing w:lineRule="auto" w:line="288" w:before="240" w:after="283"/>
        <w:jc w:val="left"/>
        <w:rPr/>
      </w:pPr>
      <w:r>
        <w:rPr>
          <w:rFonts w:ascii="Times New Roman;serif" w:hAnsi="Times New Roman;serif"/>
          <w:b w:val="false"/>
          <w:color w:val="000000"/>
          <w:sz w:val="24"/>
        </w:rPr>
        <w:t>Dear</w:t>
      </w:r>
      <w:r>
        <w:rPr>
          <w:color w:val="000000"/>
        </w:rPr>
        <w:t xml:space="preserve"> </w:t>
      </w:r>
      <w:r>
        <w:rPr>
          <w:rFonts w:ascii="Times New Roman;serif" w:hAnsi="Times New Roman;serif"/>
          <w:b w:val="false"/>
          <w:color w:val="000000"/>
          <w:sz w:val="24"/>
        </w:rPr>
        <w:t>Silvio,</w:t>
      </w:r>
    </w:p>
    <w:p>
      <w:pPr>
        <w:pStyle w:val="TextBody"/>
        <w:bidi w:val="0"/>
        <w:spacing w:lineRule="auto" w:line="288" w:before="240" w:after="283"/>
        <w:ind w:left="0" w:right="0" w:firstLine="720"/>
        <w:jc w:val="left"/>
        <w:rPr/>
      </w:pPr>
      <w:r>
        <w:rPr>
          <w:rFonts w:ascii="Times New Roman;serif" w:hAnsi="Times New Roman;serif"/>
          <w:b w:val="false"/>
          <w:color w:val="000000"/>
          <w:sz w:val="24"/>
        </w:rPr>
        <w:t>We</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pleased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offer</w:t>
      </w:r>
      <w:r>
        <w:rPr>
          <w:color w:val="000000"/>
        </w:rPr>
        <w:t xml:space="preserve"> </w:t>
      </w:r>
      <w:r>
        <w:rPr>
          <w:rFonts w:ascii="Times New Roman;serif" w:hAnsi="Times New Roman;serif"/>
          <w:b w:val="false"/>
          <w:color w:val="000000"/>
          <w:sz w:val="24"/>
        </w:rPr>
        <w:t>you</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exempt</w:t>
      </w:r>
      <w:r>
        <w:rPr>
          <w:color w:val="000000"/>
        </w:rPr>
        <w:t xml:space="preserve"> </w:t>
      </w:r>
      <w:r>
        <w:rPr>
          <w:rFonts w:ascii="Times New Roman;serif" w:hAnsi="Times New Roman;serif"/>
          <w:b w:val="false"/>
          <w:color w:val="000000"/>
          <w:sz w:val="24"/>
        </w:rPr>
        <w:t>position</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Lucid</w:t>
      </w:r>
      <w:r>
        <w:rPr>
          <w:color w:val="000000"/>
        </w:rPr>
        <w:t xml:space="preserve"> </w:t>
      </w:r>
      <w:r>
        <w:rPr>
          <w:rFonts w:ascii="Times New Roman;serif" w:hAnsi="Times New Roman;serif"/>
          <w:b w:val="false"/>
          <w:color w:val="000000"/>
          <w:sz w:val="24"/>
        </w:rPr>
        <w:t>USA,</w:t>
      </w:r>
      <w:r>
        <w:rPr>
          <w:color w:val="000000"/>
        </w:rPr>
        <w:t xml:space="preserve"> </w:t>
      </w:r>
      <w:r>
        <w:rPr>
          <w:rFonts w:ascii="Times New Roman;serif" w:hAnsi="Times New Roman;serif"/>
          <w:b w:val="false"/>
          <w:color w:val="000000"/>
          <w:sz w:val="24"/>
        </w:rPr>
        <w:t>Inc.</w:t>
      </w:r>
      <w:r>
        <w:rPr>
          <w:color w:val="000000"/>
        </w:rPr>
        <w:t xml:space="preserve"> </w:t>
      </w:r>
      <w:r>
        <w:rPr>
          <w:rFonts w:ascii="Times New Roman;serif" w:hAnsi="Times New Roman;serif"/>
          <w:b w:val="false"/>
          <w:color w:val="000000"/>
          <w:sz w:val="24"/>
        </w:rPr>
        <w:t>(doing</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as Lucid Motors) (the “Company”) as the Company’s Chief Executive Officer (“CEO”), reporting 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Directors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Lucid</w:t>
      </w:r>
      <w:r>
        <w:rPr>
          <w:color w:val="000000"/>
        </w:rPr>
        <w:t xml:space="preserve"> </w:t>
      </w:r>
      <w:r>
        <w:rPr>
          <w:rFonts w:ascii="Times New Roman;serif" w:hAnsi="Times New Roman;serif"/>
          <w:b w:val="false"/>
          <w:color w:val="000000"/>
          <w:sz w:val="24"/>
        </w:rPr>
        <w:t>Group,</w:t>
      </w:r>
      <w:r>
        <w:rPr>
          <w:color w:val="000000"/>
        </w:rPr>
        <w:t xml:space="preserve"> </w:t>
      </w:r>
      <w:r>
        <w:rPr>
          <w:rFonts w:ascii="Times New Roman;serif" w:hAnsi="Times New Roman;serif"/>
          <w:b w:val="false"/>
          <w:color w:val="000000"/>
          <w:sz w:val="24"/>
        </w:rPr>
        <w:t>Inc.</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conditions set forth herein. Moreover, subject to the terms and conditions set forth herein, you will also serve as the CEO of Lucid Group, Inc. As set forth more fully below, the Board shall also appoint you to the Board on a date mutually agreed by you and the Board and will use its reasonable efforts to cause you to be re-elected to the Board for the period hereunder during which you serve as CEO.</w:t>
      </w:r>
    </w:p>
    <w:p>
      <w:pPr>
        <w:pStyle w:val="TextBody"/>
        <w:bidi w:val="0"/>
        <w:spacing w:lineRule="auto" w:line="288" w:before="237" w:after="283"/>
        <w:ind w:left="0" w:right="0" w:firstLine="720"/>
        <w:jc w:val="left"/>
        <w:rPr/>
      </w:pP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commencing</w:t>
      </w:r>
      <w:r>
        <w:rPr>
          <w:color w:val="000000"/>
        </w:rPr>
        <w:t xml:space="preserve"> </w:t>
      </w:r>
      <w:r>
        <w:rPr>
          <w:rFonts w:ascii="Times New Roman;serif" w:hAnsi="Times New Roman;serif"/>
          <w:b w:val="false"/>
          <w:color w:val="000000"/>
          <w:sz w:val="24"/>
        </w:rPr>
        <w:t>employment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CEO,</w:t>
      </w:r>
      <w:r>
        <w:rPr>
          <w:color w:val="000000"/>
        </w:rPr>
        <w:t xml:space="preserve"> </w:t>
      </w:r>
      <w:r>
        <w:rPr>
          <w:rFonts w:ascii="Times New Roman;serif" w:hAnsi="Times New Roman;serif"/>
          <w:b w:val="false"/>
          <w:color w:val="000000"/>
          <w:sz w:val="24"/>
        </w:rPr>
        <w:t>you</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to obtain</w:t>
      </w:r>
      <w:r>
        <w:rPr>
          <w:color w:val="000000"/>
        </w:rPr>
        <w:t xml:space="preserve"> </w:t>
      </w:r>
      <w:r>
        <w:rPr>
          <w:rFonts w:ascii="Times New Roman;serif" w:hAnsi="Times New Roman;serif"/>
          <w:b w:val="false"/>
          <w:color w:val="000000"/>
          <w:sz w:val="24"/>
        </w:rPr>
        <w:t>authorization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work</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United</w:t>
      </w:r>
      <w:r>
        <w:rPr>
          <w:color w:val="000000"/>
        </w:rPr>
        <w:t xml:space="preserve"> </w:t>
      </w:r>
      <w:r>
        <w:rPr>
          <w:rFonts w:ascii="Times New Roman;serif" w:hAnsi="Times New Roman;serif"/>
          <w:b w:val="false"/>
          <w:color w:val="000000"/>
          <w:sz w:val="24"/>
        </w:rPr>
        <w:t>States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visa</w:t>
      </w:r>
      <w:r>
        <w:rPr>
          <w:color w:val="000000"/>
        </w:rPr>
        <w:t xml:space="preserve"> </w:t>
      </w:r>
      <w:r>
        <w:rPr>
          <w:rFonts w:ascii="Times New Roman;serif" w:hAnsi="Times New Roman;serif"/>
          <w:b w:val="false"/>
          <w:color w:val="000000"/>
          <w:sz w:val="24"/>
        </w:rPr>
        <w:t>from the U.S. government, as set forth more fully below.</w:t>
      </w:r>
      <w:r>
        <w:rPr>
          <w:color w:val="000000"/>
        </w:rPr>
        <w:t xml:space="preserve"> </w:t>
      </w:r>
      <w:r>
        <w:rPr>
          <w:rFonts w:ascii="Times New Roman;serif" w:hAnsi="Times New Roman;serif"/>
          <w:b w:val="false"/>
          <w:color w:val="000000"/>
          <w:sz w:val="24"/>
        </w:rPr>
        <w:t>You agree to establish a residence in the San Francisco</w:t>
      </w:r>
      <w:r>
        <w:rPr>
          <w:color w:val="000000"/>
        </w:rPr>
        <w:t xml:space="preserve"> </w:t>
      </w:r>
      <w:r>
        <w:rPr>
          <w:rFonts w:ascii="Times New Roman;serif" w:hAnsi="Times New Roman;serif"/>
          <w:b w:val="false"/>
          <w:color w:val="000000"/>
          <w:sz w:val="24"/>
        </w:rPr>
        <w:t>Bay</w:t>
      </w:r>
      <w:r>
        <w:rPr>
          <w:color w:val="000000"/>
        </w:rPr>
        <w:t xml:space="preserve"> </w:t>
      </w:r>
      <w:r>
        <w:rPr>
          <w:rFonts w:ascii="Times New Roman;serif" w:hAnsi="Times New Roman;serif"/>
          <w:b w:val="false"/>
          <w:color w:val="000000"/>
          <w:sz w:val="24"/>
        </w:rPr>
        <w:t>Area</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soon</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practicable</w:t>
      </w:r>
      <w:r>
        <w:rPr>
          <w:color w:val="000000"/>
        </w:rPr>
        <w:t xml:space="preserve"> </w:t>
      </w:r>
      <w:r>
        <w:rPr>
          <w:rFonts w:ascii="Times New Roman;serif" w:hAnsi="Times New Roman;serif"/>
          <w:b w:val="false"/>
          <w:color w:val="000000"/>
          <w:sz w:val="24"/>
        </w:rPr>
        <w:t>following</w:t>
      </w:r>
      <w:r>
        <w:rPr>
          <w:color w:val="000000"/>
        </w:rPr>
        <w:t xml:space="preserve"> </w:t>
      </w:r>
      <w:r>
        <w:rPr>
          <w:rFonts w:ascii="Times New Roman;serif" w:hAnsi="Times New Roman;serif"/>
          <w:b w:val="false"/>
          <w:color w:val="000000"/>
          <w:sz w:val="24"/>
        </w:rPr>
        <w:t>receipt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your</w:t>
      </w:r>
      <w:r>
        <w:rPr>
          <w:color w:val="000000"/>
        </w:rPr>
        <w:t xml:space="preserve"> </w:t>
      </w:r>
      <w:r>
        <w:rPr>
          <w:rFonts w:ascii="Times New Roman;serif" w:hAnsi="Times New Roman;serif"/>
          <w:b w:val="false"/>
          <w:color w:val="000000"/>
          <w:sz w:val="24"/>
        </w:rPr>
        <w:t>authorization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work</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 U.S.</w:t>
      </w:r>
    </w:p>
    <w:p>
      <w:pPr>
        <w:pStyle w:val="TextBody"/>
        <w:bidi w:val="0"/>
        <w:spacing w:lineRule="auto" w:line="288" w:before="241" w:after="283"/>
        <w:ind w:left="0" w:right="0" w:firstLine="720"/>
        <w:jc w:val="left"/>
        <w:rPr/>
      </w:pP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appoint</w:t>
      </w:r>
      <w:r>
        <w:rPr>
          <w:color w:val="000000"/>
        </w:rPr>
        <w:t xml:space="preserve"> </w:t>
      </w:r>
      <w:r>
        <w:rPr>
          <w:rFonts w:ascii="Times New Roman;serif" w:hAnsi="Times New Roman;serif"/>
          <w:b w:val="false"/>
          <w:color w:val="000000"/>
          <w:sz w:val="24"/>
        </w:rPr>
        <w:t>you</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CEO</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soon</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administratively</w:t>
      </w:r>
      <w:r>
        <w:rPr>
          <w:color w:val="000000"/>
        </w:rPr>
        <w:t xml:space="preserve"> </w:t>
      </w:r>
      <w:r>
        <w:rPr>
          <w:rFonts w:ascii="Times New Roman;serif" w:hAnsi="Times New Roman;serif"/>
          <w:b w:val="false"/>
          <w:color w:val="000000"/>
          <w:sz w:val="24"/>
        </w:rPr>
        <w:t>practicable</w:t>
      </w:r>
      <w:r>
        <w:rPr>
          <w:color w:val="000000"/>
        </w:rPr>
        <w:t xml:space="preserve"> </w:t>
      </w:r>
      <w:r>
        <w:rPr>
          <w:rFonts w:ascii="Times New Roman;serif" w:hAnsi="Times New Roman;serif"/>
          <w:b w:val="false"/>
          <w:color w:val="000000"/>
          <w:sz w:val="24"/>
        </w:rPr>
        <w:t>following</w:t>
      </w:r>
      <w:r>
        <w:rPr>
          <w:color w:val="000000"/>
        </w:rPr>
        <w:t xml:space="preserve"> </w:t>
      </w:r>
      <w:r>
        <w:rPr>
          <w:rFonts w:ascii="Times New Roman;serif" w:hAnsi="Times New Roman;serif"/>
          <w:b w:val="false"/>
          <w:color w:val="000000"/>
          <w:sz w:val="24"/>
        </w:rPr>
        <w:t>the date you receive your authorization to work in the U.S. (and in no event later than the next scheduled Board meeting following such date), which shall constitute the first day of your employment with Lucid USA, Inc. (for purposes of this Letter, your “Hire Date”).</w:t>
      </w:r>
      <w:r>
        <w:rPr>
          <w:color w:val="000000"/>
        </w:rPr>
        <w:t xml:space="preserve"> </w:t>
      </w:r>
      <w:r>
        <w:rPr>
          <w:rFonts w:ascii="Times New Roman;serif" w:hAnsi="Times New Roman;serif"/>
          <w:b w:val="false"/>
          <w:color w:val="000000"/>
          <w:sz w:val="24"/>
        </w:rPr>
        <w:t>The terms and conditions of your employment with the Company will be as set forth below in this offer letter (this “offer” or this “Letter”).</w:t>
      </w:r>
    </w:p>
    <w:p>
      <w:pPr>
        <w:pStyle w:val="TextBody"/>
        <w:bidi w:val="0"/>
        <w:spacing w:lineRule="auto" w:line="288" w:before="240" w:after="283"/>
        <w:jc w:val="left"/>
        <w:rPr/>
      </w:pPr>
      <w:r>
        <w:rPr>
          <w:rFonts w:ascii="Times New Roman;serif" w:hAnsi="Times New Roman;serif"/>
          <w:b/>
          <w:color w:val="000000"/>
          <w:sz w:val="24"/>
          <w:u w:val="single"/>
        </w:rPr>
        <w:t>Immigration</w:t>
      </w:r>
      <w:r>
        <w:rPr>
          <w:color w:val="000000"/>
          <w:u w:val="single"/>
        </w:rPr>
        <w:t xml:space="preserve"> </w:t>
      </w:r>
      <w:r>
        <w:rPr>
          <w:rFonts w:ascii="Times New Roman;serif" w:hAnsi="Times New Roman;serif"/>
          <w:b/>
          <w:color w:val="000000"/>
          <w:sz w:val="24"/>
          <w:u w:val="single"/>
        </w:rPr>
        <w:t>Proceedings</w:t>
      </w:r>
      <w:r>
        <w:rPr>
          <w:color w:val="000000"/>
          <w:u w:val="single"/>
        </w:rPr>
        <w:t xml:space="preserve"> </w:t>
      </w:r>
      <w:r>
        <w:rPr>
          <w:rFonts w:ascii="Times New Roman;serif" w:hAnsi="Times New Roman;serif"/>
          <w:b/>
          <w:color w:val="000000"/>
          <w:sz w:val="24"/>
          <w:u w:val="single"/>
        </w:rPr>
        <w:t>and</w:t>
      </w:r>
      <w:r>
        <w:rPr>
          <w:color w:val="000000"/>
          <w:u w:val="single"/>
        </w:rPr>
        <w:t xml:space="preserve"> </w:t>
      </w:r>
      <w:r>
        <w:rPr>
          <w:rFonts w:ascii="Times New Roman;serif" w:hAnsi="Times New Roman;serif"/>
          <w:b/>
          <w:color w:val="000000"/>
          <w:sz w:val="24"/>
          <w:u w:val="single"/>
        </w:rPr>
        <w:t>Conditions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You</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mutually</w:t>
      </w:r>
      <w:r>
        <w:rPr>
          <w:color w:val="000000"/>
        </w:rPr>
        <w:t xml:space="preserve"> </w:t>
      </w:r>
      <w:r>
        <w:rPr>
          <w:rFonts w:ascii="Times New Roman;serif" w:hAnsi="Times New Roman;serif"/>
          <w:b w:val="false"/>
          <w:color w:val="000000"/>
          <w:sz w:val="24"/>
        </w:rPr>
        <w:t>agree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cooperate</w:t>
      </w:r>
      <w:r>
        <w:rPr>
          <w:color w:val="000000"/>
        </w:rPr>
        <w:t xml:space="preserve"> </w:t>
      </w:r>
      <w:r>
        <w:rPr>
          <w:rFonts w:ascii="Times New Roman;serif" w:hAnsi="Times New Roman;serif"/>
          <w:b w:val="false"/>
          <w:color w:val="000000"/>
          <w:sz w:val="24"/>
        </w:rPr>
        <w:t>fully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promptly</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other and</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counsel</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preparation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filing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immigration</w:t>
      </w:r>
      <w:r>
        <w:rPr>
          <w:color w:val="000000"/>
        </w:rPr>
        <w:t xml:space="preserve"> </w:t>
      </w:r>
      <w:r>
        <w:rPr>
          <w:rFonts w:ascii="Times New Roman;serif" w:hAnsi="Times New Roman;serif"/>
          <w:b w:val="false"/>
          <w:color w:val="000000"/>
          <w:sz w:val="24"/>
        </w:rPr>
        <w:t>petitions and applications, including providing accurate</w:t>
      </w:r>
      <w:r>
        <w:rPr>
          <w:color w:val="000000"/>
        </w:rPr>
        <w:t xml:space="preserve"> </w:t>
      </w:r>
      <w:r>
        <w:rPr>
          <w:rFonts w:ascii="Times New Roman;serif" w:hAnsi="Times New Roman;serif"/>
          <w:b w:val="false"/>
          <w:color w:val="000000"/>
          <w:sz w:val="24"/>
        </w:rPr>
        <w:t>information and supporting documentation. In fulfilling its obligations hereunder, the Company reserves the right to determine, in its sole discretion,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timing,</w:t>
      </w:r>
      <w:r>
        <w:rPr>
          <w:color w:val="000000"/>
        </w:rPr>
        <w:t xml:space="preserve"> </w:t>
      </w:r>
      <w:r>
        <w:rPr>
          <w:rFonts w:ascii="Times New Roman;serif" w:hAnsi="Times New Roman;serif"/>
          <w:b w:val="false"/>
          <w:color w:val="000000"/>
          <w:sz w:val="24"/>
        </w:rPr>
        <w:t>manner,</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sponsorship</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immigration</w:t>
      </w:r>
      <w:r>
        <w:rPr>
          <w:color w:val="000000"/>
        </w:rPr>
        <w:t xml:space="preserve"> </w:t>
      </w:r>
      <w:r>
        <w:rPr>
          <w:rFonts w:ascii="Times New Roman;serif" w:hAnsi="Times New Roman;serif"/>
          <w:b w:val="false"/>
          <w:color w:val="000000"/>
          <w:sz w:val="24"/>
        </w:rPr>
        <w:t>filings.</w:t>
      </w:r>
      <w:r>
        <w:rPr>
          <w:color w:val="000000"/>
        </w:rPr>
        <w:t xml:space="preserve"> </w:t>
      </w:r>
      <w:r>
        <w:rPr>
          <w:rFonts w:ascii="Times New Roman;serif" w:hAnsi="Times New Roman;serif"/>
          <w:b w:val="false"/>
          <w:color w:val="000000"/>
          <w:sz w:val="24"/>
        </w:rPr>
        <w:t>You</w:t>
      </w:r>
      <w:r>
        <w:rPr>
          <w:color w:val="000000"/>
        </w:rPr>
        <w:t xml:space="preserve"> </w:t>
      </w:r>
      <w:r>
        <w:rPr>
          <w:rFonts w:ascii="Times New Roman;serif" w:hAnsi="Times New Roman;serif"/>
          <w:b w:val="false"/>
          <w:color w:val="000000"/>
          <w:sz w:val="24"/>
        </w:rPr>
        <w:t>understand</w:t>
      </w:r>
      <w:r>
        <w:rPr>
          <w:color w:val="000000"/>
        </w:rPr>
        <w:t xml:space="preserve"> </w:t>
      </w:r>
      <w:r>
        <w:rPr>
          <w:rFonts w:ascii="Times New Roman;serif" w:hAnsi="Times New Roman;serif"/>
          <w:b w:val="false"/>
          <w:color w:val="000000"/>
          <w:sz w:val="24"/>
        </w:rPr>
        <w:t>that this offer of employment is contingent upon approval by U.S. Citizenship and Immigration Services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petition</w:t>
      </w:r>
      <w:r>
        <w:rPr>
          <w:color w:val="000000"/>
        </w:rPr>
        <w:t xml:space="preserve"> </w:t>
      </w:r>
      <w:r>
        <w:rPr>
          <w:rFonts w:ascii="Times New Roman;serif" w:hAnsi="Times New Roman;serif"/>
          <w:b w:val="false"/>
          <w:color w:val="000000"/>
          <w:sz w:val="24"/>
        </w:rPr>
        <w:t>filed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your</w:t>
      </w:r>
      <w:r>
        <w:rPr>
          <w:color w:val="000000"/>
        </w:rPr>
        <w:t xml:space="preserve"> </w:t>
      </w:r>
      <w:r>
        <w:rPr>
          <w:rFonts w:ascii="Times New Roman;serif" w:hAnsi="Times New Roman;serif"/>
          <w:b w:val="false"/>
          <w:color w:val="000000"/>
          <w:sz w:val="24"/>
        </w:rPr>
        <w:t>behalf</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O-1</w:t>
      </w:r>
      <w:r>
        <w:rPr>
          <w:color w:val="000000"/>
        </w:rPr>
        <w:t xml:space="preserve"> </w:t>
      </w:r>
      <w:r>
        <w:rPr>
          <w:rFonts w:ascii="Times New Roman;serif" w:hAnsi="Times New Roman;serif"/>
          <w:b w:val="false"/>
          <w:color w:val="000000"/>
          <w:sz w:val="24"/>
        </w:rPr>
        <w:t>nonimmigrant</w:t>
      </w:r>
      <w:r>
        <w:rPr>
          <w:color w:val="000000"/>
        </w:rPr>
        <w:t xml:space="preserve"> </w:t>
      </w:r>
      <w:r>
        <w:rPr>
          <w:rFonts w:ascii="Times New Roman;serif" w:hAnsi="Times New Roman;serif"/>
          <w:b w:val="false"/>
          <w:color w:val="000000"/>
          <w:sz w:val="24"/>
        </w:rPr>
        <w:t>classification.</w:t>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581660"/>
                <wp:effectExtent l="0" t="0" r="0" b="0"/>
                <wp:wrapNone/>
                <wp:docPr id="122" name="Frame122"/>
                <a:graphic xmlns:a="http://schemas.openxmlformats.org/drawingml/2006/main">
                  <a:graphicData uri="http://schemas.microsoft.com/office/word/2010/wordprocessingShape">
                    <wps:wsp>
                      <wps:cNvSpPr txBox="1"/>
                      <wps:spPr>
                        <a:xfrm>
                          <a:off x="0" y="0"/>
                          <a:ext cx="6480175" cy="58166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8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40" w:before="240" w:after="283"/>
        <w:jc w:val="both"/>
        <w:rPr/>
      </w:pPr>
      <w:r>
        <w:rPr>
          <w:rFonts w:ascii="Times New Roman;serif" w:hAnsi="Times New Roman;serif"/>
          <w:b/>
          <w:color w:val="000000"/>
          <w:sz w:val="24"/>
          <w:u w:val="single"/>
        </w:rPr>
        <w:t>Interim</w:t>
      </w:r>
      <w:r>
        <w:rPr>
          <w:color w:val="000000"/>
          <w:u w:val="single"/>
        </w:rPr>
        <w:t xml:space="preserve"> </w:t>
      </w:r>
      <w:r>
        <w:rPr>
          <w:rFonts w:ascii="Times New Roman;serif" w:hAnsi="Times New Roman;serif"/>
          <w:b/>
          <w:color w:val="000000"/>
          <w:sz w:val="24"/>
          <w:u w:val="single"/>
        </w:rPr>
        <w:t>International</w:t>
      </w:r>
      <w:r>
        <w:rPr>
          <w:color w:val="000000"/>
          <w:u w:val="single"/>
        </w:rPr>
        <w:t xml:space="preserve"> </w:t>
      </w:r>
      <w:r>
        <w:rPr>
          <w:rFonts w:ascii="Times New Roman;serif" w:hAnsi="Times New Roman;serif"/>
          <w:b/>
          <w:color w:val="000000"/>
          <w:sz w:val="24"/>
          <w:u w:val="single"/>
        </w:rPr>
        <w:t>Employment</w:t>
      </w:r>
      <w:r>
        <w:rPr>
          <w:color w:val="000000"/>
          <w:u w:val="single"/>
        </w:rPr>
        <w:t xml:space="preserve"> </w:t>
      </w:r>
      <w:r>
        <w:rPr>
          <w:rFonts w:ascii="Times New Roman;serif" w:hAnsi="Times New Roman;serif"/>
          <w:b/>
          <w:color w:val="000000"/>
          <w:sz w:val="24"/>
          <w:u w:val="single"/>
        </w:rPr>
        <w:t>with</w:t>
      </w:r>
      <w:r>
        <w:rPr>
          <w:color w:val="000000"/>
          <w:u w:val="single"/>
        </w:rPr>
        <w:t xml:space="preserve"> </w:t>
      </w:r>
      <w:r>
        <w:rPr>
          <w:rFonts w:ascii="Times New Roman;serif" w:hAnsi="Times New Roman;serif"/>
          <w:b/>
          <w:color w:val="000000"/>
          <w:sz w:val="24"/>
          <w:u w:val="single"/>
        </w:rPr>
        <w:t>Affiliate</w:t>
      </w:r>
    </w:p>
    <w:p>
      <w:pPr>
        <w:pStyle w:val="TextBody"/>
        <w:bidi w:val="0"/>
        <w:spacing w:lineRule="auto" w:line="288" w:before="240" w:after="283"/>
        <w:ind w:left="0" w:right="0" w:firstLine="720"/>
        <w:jc w:val="left"/>
        <w:rPr/>
      </w:pPr>
      <w:r>
        <w:rPr>
          <w:rFonts w:ascii="Times New Roman;serif" w:hAnsi="Times New Roman;serif"/>
          <w:b w:val="false"/>
          <w:color w:val="000000"/>
          <w:sz w:val="24"/>
        </w:rPr>
        <w:t>Concurrent with, and conditioned upon, your execution of this Letter, you have been offered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opportunity</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international</w:t>
      </w:r>
      <w:r>
        <w:rPr>
          <w:color w:val="000000"/>
        </w:rPr>
        <w:t xml:space="preserve"> </w:t>
      </w:r>
      <w:r>
        <w:rPr>
          <w:rFonts w:ascii="Times New Roman;serif" w:hAnsi="Times New Roman;serif"/>
          <w:b w:val="false"/>
          <w:color w:val="000000"/>
          <w:sz w:val="24"/>
        </w:rPr>
        <w:t>employment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Lucid</w:t>
      </w:r>
      <w:r>
        <w:rPr>
          <w:color w:val="000000"/>
        </w:rPr>
        <w:t xml:space="preserve"> </w:t>
      </w:r>
      <w:r>
        <w:rPr>
          <w:rFonts w:ascii="Times New Roman;serif" w:hAnsi="Times New Roman;serif"/>
          <w:b w:val="false"/>
          <w:color w:val="000000"/>
          <w:sz w:val="24"/>
        </w:rPr>
        <w:t>Switzerland</w:t>
      </w:r>
      <w:r>
        <w:rPr>
          <w:color w:val="000000"/>
        </w:rPr>
        <w:t xml:space="preserve"> </w:t>
      </w:r>
      <w:r>
        <w:rPr>
          <w:rFonts w:ascii="Times New Roman;serif" w:hAnsi="Times New Roman;serif"/>
          <w:b w:val="false"/>
          <w:color w:val="000000"/>
          <w:sz w:val="24"/>
        </w:rPr>
        <w:t>AG on certain terms and conditions of a separate Employment Agreement between you and the international affiliate (the “Swiss Contract”), with the understanding that you shall only be entitled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receive certain</w:t>
      </w:r>
      <w:r>
        <w:rPr>
          <w:color w:val="000000"/>
        </w:rPr>
        <w:t xml:space="preserve"> </w:t>
      </w:r>
      <w:r>
        <w:rPr>
          <w:rFonts w:ascii="Times New Roman;serif" w:hAnsi="Times New Roman;serif"/>
          <w:b w:val="false"/>
          <w:color w:val="000000"/>
          <w:sz w:val="24"/>
        </w:rPr>
        <w:t>benefits</w:t>
      </w:r>
      <w:r>
        <w:rPr>
          <w:color w:val="000000"/>
        </w:rPr>
        <w:t xml:space="preserve"> </w:t>
      </w:r>
      <w:r>
        <w:rPr>
          <w:rFonts w:ascii="Times New Roman;serif" w:hAnsi="Times New Roman;serif"/>
          <w:b w:val="false"/>
          <w:color w:val="000000"/>
          <w:sz w:val="24"/>
        </w:rPr>
        <w:t>under either</w:t>
      </w:r>
      <w:r>
        <w:rPr>
          <w:color w:val="000000"/>
        </w:rPr>
        <w:t xml:space="preserve"> </w:t>
      </w:r>
      <w:r>
        <w:rPr>
          <w:rFonts w:ascii="Times New Roman;serif" w:hAnsi="Times New Roman;serif"/>
          <w:b w:val="false"/>
          <w:color w:val="000000"/>
          <w:sz w:val="24"/>
        </w:rPr>
        <w:t>this Letter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Swiss</w:t>
      </w:r>
      <w:r>
        <w:rPr>
          <w:color w:val="000000"/>
        </w:rPr>
        <w:t xml:space="preserve"> </w:t>
      </w:r>
      <w:r>
        <w:rPr>
          <w:rFonts w:ascii="Times New Roman;serif" w:hAnsi="Times New Roman;serif"/>
          <w:b w:val="false"/>
          <w:color w:val="000000"/>
          <w:sz w:val="24"/>
        </w:rPr>
        <w:t>Contract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both)</w:t>
      </w:r>
      <w:r>
        <w:rPr>
          <w:color w:val="000000"/>
        </w:rPr>
        <w:t xml:space="preserve"> </w:t>
      </w:r>
      <w:r>
        <w:rPr>
          <w:rFonts w:ascii="Times New Roman;serif" w:hAnsi="Times New Roman;serif"/>
          <w:b w:val="false"/>
          <w:color w:val="000000"/>
          <w:sz w:val="24"/>
        </w:rPr>
        <w:t>to the extent of any overlap addressing the same pay or benefit opportunity.</w:t>
      </w:r>
    </w:p>
    <w:p>
      <w:pPr>
        <w:pStyle w:val="TextBody"/>
        <w:bidi w:val="0"/>
        <w:spacing w:lineRule="auto" w:line="288" w:before="240" w:after="283"/>
        <w:jc w:val="left"/>
        <w:rPr/>
      </w:pPr>
      <w:r>
        <w:rPr>
          <w:rFonts w:ascii="Times New Roman;serif" w:hAnsi="Times New Roman;serif"/>
          <w:b/>
          <w:color w:val="000000"/>
          <w:sz w:val="24"/>
          <w:u w:val="single"/>
        </w:rPr>
        <w:t>Base</w:t>
      </w:r>
      <w:r>
        <w:rPr>
          <w:color w:val="000000"/>
          <w:u w:val="single"/>
        </w:rPr>
        <w:t xml:space="preserve"> </w:t>
      </w:r>
      <w:r>
        <w:rPr>
          <w:rFonts w:ascii="Times New Roman;serif" w:hAnsi="Times New Roman;serif"/>
          <w:b/>
          <w:color w:val="000000"/>
          <w:sz w:val="24"/>
          <w:u w:val="single"/>
        </w:rPr>
        <w:t>Salary</w:t>
      </w:r>
      <w:r>
        <w:rPr>
          <w:color w:val="000000"/>
          <w:u w:val="single"/>
        </w:rPr>
        <w:t xml:space="preserve"> </w:t>
      </w:r>
      <w:r>
        <w:rPr>
          <w:rFonts w:ascii="Times New Roman;serif" w:hAnsi="Times New Roman;serif"/>
          <w:b/>
          <w:color w:val="000000"/>
          <w:sz w:val="24"/>
          <w:u w:val="single"/>
        </w:rPr>
        <w:t>and</w:t>
      </w:r>
      <w:r>
        <w:rPr>
          <w:color w:val="000000"/>
          <w:u w:val="single"/>
        </w:rPr>
        <w:t xml:space="preserve"> </w:t>
      </w:r>
      <w:r>
        <w:rPr>
          <w:rFonts w:ascii="Times New Roman;serif" w:hAnsi="Times New Roman;serif"/>
          <w:b/>
          <w:color w:val="000000"/>
          <w:sz w:val="24"/>
          <w:u w:val="single"/>
        </w:rPr>
        <w:t>Other</w:t>
      </w:r>
      <w:r>
        <w:rPr>
          <w:color w:val="000000"/>
          <w:u w:val="single"/>
        </w:rPr>
        <w:t xml:space="preserve"> </w:t>
      </w:r>
      <w:r>
        <w:rPr>
          <w:rFonts w:ascii="Times New Roman;serif" w:hAnsi="Times New Roman;serif"/>
          <w:b/>
          <w:color w:val="000000"/>
          <w:sz w:val="24"/>
          <w:u w:val="single"/>
        </w:rPr>
        <w:t>Compensation</w:t>
      </w:r>
    </w:p>
    <w:p>
      <w:pPr>
        <w:pStyle w:val="TextBody"/>
        <w:bidi w:val="0"/>
        <w:spacing w:lineRule="auto" w:line="288" w:before="240" w:after="283"/>
        <w:jc w:val="left"/>
        <w:rPr/>
      </w:pP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Hire Date:</w:t>
      </w:r>
    </w:p>
    <w:p>
      <w:pPr>
        <w:pStyle w:val="TextBody"/>
        <w:bidi w:val="0"/>
        <w:spacing w:lineRule="auto" w:line="288" w:before="240" w:after="283"/>
        <w:ind w:left="0" w:right="0" w:hanging="360"/>
        <w:jc w:val="left"/>
        <w:rPr/>
      </w:pPr>
      <w:r>
        <w:rPr>
          <w:color w:val="000000"/>
        </w:rPr>
        <w:t>▪    </w:t>
      </w:r>
      <w:r>
        <w:rPr>
          <w:rFonts w:ascii="Times New Roman;serif" w:hAnsi="Times New Roman;serif"/>
          <w:b w:val="false"/>
          <w:color w:val="000000"/>
          <w:sz w:val="24"/>
        </w:rPr>
        <w:t>During</w:t>
      </w:r>
      <w:r>
        <w:rPr>
          <w:color w:val="000000"/>
        </w:rPr>
        <w:t xml:space="preserve"> </w:t>
      </w:r>
      <w:r>
        <w:rPr>
          <w:rFonts w:ascii="Times New Roman;serif" w:hAnsi="Times New Roman;serif"/>
          <w:b w:val="false"/>
          <w:color w:val="000000"/>
          <w:sz w:val="24"/>
        </w:rPr>
        <w:t>your</w:t>
      </w:r>
      <w:r>
        <w:rPr>
          <w:color w:val="000000"/>
        </w:rPr>
        <w:t xml:space="preserve"> </w:t>
      </w:r>
      <w:r>
        <w:rPr>
          <w:rFonts w:ascii="Times New Roman;serif" w:hAnsi="Times New Roman;serif"/>
          <w:b w:val="false"/>
          <w:color w:val="000000"/>
          <w:sz w:val="24"/>
        </w:rPr>
        <w:t>service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your</w:t>
      </w:r>
      <w:r>
        <w:rPr>
          <w:color w:val="000000"/>
        </w:rPr>
        <w:t xml:space="preserve"> </w:t>
      </w:r>
      <w:r>
        <w:rPr>
          <w:rFonts w:ascii="Times New Roman;serif" w:hAnsi="Times New Roman;serif"/>
          <w:b w:val="false"/>
          <w:color w:val="000000"/>
          <w:sz w:val="24"/>
        </w:rPr>
        <w:t>annual</w:t>
      </w:r>
      <w:r>
        <w:rPr>
          <w:color w:val="000000"/>
        </w:rPr>
        <w:t xml:space="preserve"> </w:t>
      </w:r>
      <w:r>
        <w:rPr>
          <w:rFonts w:ascii="Times New Roman;serif" w:hAnsi="Times New Roman;serif"/>
          <w:b w:val="false"/>
          <w:color w:val="000000"/>
          <w:sz w:val="24"/>
        </w:rPr>
        <w:t>base</w:t>
      </w:r>
      <w:r>
        <w:rPr>
          <w:color w:val="000000"/>
        </w:rPr>
        <w:t xml:space="preserve"> </w:t>
      </w:r>
      <w:r>
        <w:rPr>
          <w:rFonts w:ascii="Times New Roman;serif" w:hAnsi="Times New Roman;serif"/>
          <w:b w:val="false"/>
          <w:color w:val="000000"/>
          <w:sz w:val="24"/>
        </w:rPr>
        <w:t>salary</w:t>
      </w:r>
      <w:r>
        <w:rPr>
          <w:color w:val="000000"/>
        </w:rPr>
        <w:t xml:space="preserve"> </w:t>
      </w:r>
      <w:r>
        <w:rPr>
          <w:rFonts w:ascii="Times New Roman;serif" w:hAnsi="Times New Roman;serif"/>
          <w:b w:val="false"/>
          <w:color w:val="000000"/>
          <w:sz w:val="24"/>
        </w:rPr>
        <w:t>rate</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$1,500,000 (earned and paid bi-weekly in accordance with the regular payroll practices of the Company,</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pro-rata</w:t>
      </w:r>
      <w:r>
        <w:rPr>
          <w:color w:val="000000"/>
        </w:rPr>
        <w:t xml:space="preserve"> </w:t>
      </w:r>
      <w:r>
        <w:rPr>
          <w:rFonts w:ascii="Times New Roman;serif" w:hAnsi="Times New Roman;serif"/>
          <w:b w:val="false"/>
          <w:color w:val="000000"/>
          <w:sz w:val="24"/>
        </w:rPr>
        <w:t>adjustment</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partial</w:t>
      </w:r>
      <w:r>
        <w:rPr>
          <w:color w:val="000000"/>
        </w:rPr>
        <w:t xml:space="preserve"> </w:t>
      </w:r>
      <w:r>
        <w:rPr>
          <w:rFonts w:ascii="Times New Roman;serif" w:hAnsi="Times New Roman;serif"/>
          <w:b w:val="false"/>
          <w:color w:val="000000"/>
          <w:sz w:val="24"/>
        </w:rPr>
        <w:t>work</w:t>
      </w:r>
      <w:r>
        <w:rPr>
          <w:color w:val="000000"/>
        </w:rPr>
        <w:t xml:space="preserve"> </w:t>
      </w:r>
      <w:r>
        <w:rPr>
          <w:rFonts w:ascii="Times New Roman;serif" w:hAnsi="Times New Roman;serif"/>
          <w:b w:val="false"/>
          <w:color w:val="000000"/>
          <w:sz w:val="24"/>
        </w:rPr>
        <w:t>periods),</w:t>
      </w:r>
      <w:r>
        <w:rPr>
          <w:color w:val="000000"/>
        </w:rPr>
        <w:t xml:space="preserve"> </w:t>
      </w:r>
      <w:r>
        <w:rPr>
          <w:rFonts w:ascii="Times New Roman;serif" w:hAnsi="Times New Roman;serif"/>
          <w:b w:val="false"/>
          <w:color w:val="000000"/>
          <w:sz w:val="24"/>
        </w:rPr>
        <w:t>less</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tax</w:t>
      </w:r>
      <w:r>
        <w:rPr>
          <w:color w:val="000000"/>
        </w:rPr>
        <w:t xml:space="preserve"> </w:t>
      </w:r>
      <w:r>
        <w:rPr>
          <w:rFonts w:ascii="Times New Roman;serif" w:hAnsi="Times New Roman;serif"/>
          <w:b w:val="false"/>
          <w:color w:val="000000"/>
          <w:sz w:val="24"/>
        </w:rPr>
        <w:t>and other withholdings.</w:t>
      </w:r>
    </w:p>
    <w:p>
      <w:pPr>
        <w:pStyle w:val="TextBody"/>
        <w:bidi w:val="0"/>
        <w:spacing w:lineRule="auto" w:line="288" w:before="240" w:after="283"/>
        <w:ind w:left="0" w:right="0" w:hanging="360"/>
        <w:jc w:val="left"/>
        <w:rPr/>
      </w:pPr>
      <w:r>
        <w:rPr>
          <w:color w:val="000000"/>
        </w:rPr>
        <w:t>▪    </w:t>
      </w:r>
      <w:r>
        <w:rPr>
          <w:rFonts w:ascii="Times New Roman;serif" w:hAnsi="Times New Roman;serif"/>
          <w:b w:val="false"/>
          <w:color w:val="000000"/>
          <w:sz w:val="24"/>
        </w:rPr>
        <w:t>You will be eligible to earn a target annual incentive program (“AIP”) bonus of 200% of your base salary, less applicable tax and other withholdings, based upon achievement of performance</w:t>
      </w:r>
      <w:r>
        <w:rPr>
          <w:color w:val="000000"/>
        </w:rPr>
        <w:t xml:space="preserve"> </w:t>
      </w:r>
      <w:r>
        <w:rPr>
          <w:rFonts w:ascii="Times New Roman;serif" w:hAnsi="Times New Roman;serif"/>
          <w:b w:val="false"/>
          <w:color w:val="000000"/>
          <w:sz w:val="24"/>
        </w:rPr>
        <w:t>goals,</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threshold</w:t>
      </w:r>
      <w:r>
        <w:rPr>
          <w:color w:val="000000"/>
        </w:rPr>
        <w:t xml:space="preserve"> </w:t>
      </w:r>
      <w:r>
        <w:rPr>
          <w:rFonts w:ascii="Times New Roman;serif" w:hAnsi="Times New Roman;serif"/>
          <w:b w:val="false"/>
          <w:color w:val="000000"/>
          <w:sz w:val="24"/>
        </w:rPr>
        <w:t>payout</w:t>
      </w:r>
      <w:r>
        <w:rPr>
          <w:color w:val="000000"/>
        </w:rPr>
        <w:t xml:space="preserve"> </w:t>
      </w:r>
      <w:r>
        <w:rPr>
          <w:rFonts w:ascii="Times New Roman;serif" w:hAnsi="Times New Roman;serif"/>
          <w:b w:val="false"/>
          <w:color w:val="000000"/>
          <w:sz w:val="24"/>
        </w:rPr>
        <w:t>level</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100%</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your</w:t>
      </w:r>
      <w:r>
        <w:rPr>
          <w:color w:val="000000"/>
        </w:rPr>
        <w:t xml:space="preserve"> </w:t>
      </w:r>
      <w:r>
        <w:rPr>
          <w:rFonts w:ascii="Times New Roman;serif" w:hAnsi="Times New Roman;serif"/>
          <w:b w:val="false"/>
          <w:color w:val="000000"/>
          <w:sz w:val="24"/>
        </w:rPr>
        <w:t>base</w:t>
      </w:r>
      <w:r>
        <w:rPr>
          <w:color w:val="000000"/>
        </w:rPr>
        <w:t xml:space="preserve"> </w:t>
      </w:r>
      <w:r>
        <w:rPr>
          <w:rFonts w:ascii="Times New Roman;serif" w:hAnsi="Times New Roman;serif"/>
          <w:b w:val="false"/>
          <w:color w:val="000000"/>
          <w:sz w:val="24"/>
        </w:rPr>
        <w:t>salary</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threshold performance is achieved and a maximum payout level of 300% of your base salary if maximum performance is achieved, except as otherwise provided herein. Your AIP bonus is subject in all cases to details established by the Board or the Board’s Compensation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Human</w:t>
      </w:r>
      <w:r>
        <w:rPr>
          <w:color w:val="000000"/>
        </w:rPr>
        <w:t xml:space="preserve"> </w:t>
      </w:r>
      <w:r>
        <w:rPr>
          <w:rFonts w:ascii="Times New Roman;serif" w:hAnsi="Times New Roman;serif"/>
          <w:b w:val="false"/>
          <w:color w:val="000000"/>
          <w:sz w:val="24"/>
        </w:rPr>
        <w:t>Capital</w:t>
      </w:r>
      <w:r>
        <w:rPr>
          <w:color w:val="000000"/>
        </w:rPr>
        <w:t xml:space="preserve"> </w:t>
      </w:r>
      <w:r>
        <w:rPr>
          <w:rFonts w:ascii="Times New Roman;serif" w:hAnsi="Times New Roman;serif"/>
          <w:b w:val="false"/>
          <w:color w:val="000000"/>
          <w:sz w:val="24"/>
        </w:rPr>
        <w:t>Committee</w:t>
      </w:r>
      <w:r>
        <w:rPr>
          <w:color w:val="000000"/>
        </w:rPr>
        <w:t xml:space="preserve"> </w:t>
      </w:r>
      <w:r>
        <w:rPr>
          <w:rFonts w:ascii="Times New Roman;serif" w:hAnsi="Times New Roman;serif"/>
          <w:b w:val="false"/>
          <w:color w:val="000000"/>
          <w:sz w:val="24"/>
        </w:rPr>
        <w:t>(“Compensation</w:t>
      </w:r>
      <w:r>
        <w:rPr>
          <w:color w:val="000000"/>
        </w:rPr>
        <w:t xml:space="preserve"> </w:t>
      </w:r>
      <w:r>
        <w:rPr>
          <w:rFonts w:ascii="Times New Roman;serif" w:hAnsi="Times New Roman;serif"/>
          <w:b w:val="false"/>
          <w:color w:val="000000"/>
          <w:sz w:val="24"/>
        </w:rPr>
        <w:t>Committee”)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plan document for the AIP, as it may be established or modified from time to time.</w:t>
      </w:r>
    </w:p>
    <w:p>
      <w:pPr>
        <w:pStyle w:val="TextBody"/>
        <w:bidi w:val="0"/>
        <w:spacing w:lineRule="auto" w:line="288" w:before="243" w:after="283"/>
        <w:ind w:left="0" w:right="0" w:hanging="360"/>
        <w:jc w:val="left"/>
        <w:rPr/>
      </w:pPr>
      <w:r>
        <w:rPr>
          <w:color w:val="000000"/>
        </w:rPr>
        <w:t>▪    </w:t>
      </w:r>
      <w:r>
        <w:rPr>
          <w:rFonts w:ascii="Times New Roman;serif" w:hAnsi="Times New Roman;serif"/>
          <w:b w:val="false"/>
          <w:color w:val="000000"/>
          <w:sz w:val="24"/>
        </w:rPr>
        <w:t>For the 2026 performance period, your AIP bonus shall be paid out based on the greater of</w:t>
      </w:r>
      <w:r>
        <w:rPr>
          <w:color w:val="000000"/>
        </w:rPr>
        <w:t xml:space="preserve"> </w:t>
      </w:r>
      <w:r>
        <w:rPr>
          <w:rFonts w:ascii="Times New Roman;serif" w:hAnsi="Times New Roman;serif"/>
          <w:b w:val="false"/>
          <w:color w:val="000000"/>
          <w:sz w:val="24"/>
        </w:rPr>
        <w:t>(x)</w:t>
      </w:r>
      <w:r>
        <w:rPr>
          <w:color w:val="000000"/>
        </w:rPr>
        <w:t xml:space="preserve"> </w:t>
      </w:r>
      <w:r>
        <w:rPr>
          <w:rFonts w:ascii="Times New Roman;serif" w:hAnsi="Times New Roman;serif"/>
          <w:b w:val="false"/>
          <w:color w:val="000000"/>
          <w:sz w:val="24"/>
        </w:rPr>
        <w:t>target</w:t>
      </w:r>
      <w:r>
        <w:rPr>
          <w:color w:val="000000"/>
        </w:rPr>
        <w:t xml:space="preserve"> </w:t>
      </w:r>
      <w:r>
        <w:rPr>
          <w:rFonts w:ascii="Times New Roman;serif" w:hAnsi="Times New Roman;serif"/>
          <w:b w:val="false"/>
          <w:color w:val="000000"/>
          <w:sz w:val="24"/>
        </w:rPr>
        <w:t>performance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(y)</w:t>
      </w:r>
      <w:r>
        <w:rPr>
          <w:color w:val="000000"/>
        </w:rPr>
        <w:t xml:space="preserve"> </w:t>
      </w:r>
      <w:r>
        <w:rPr>
          <w:rFonts w:ascii="Times New Roman;serif" w:hAnsi="Times New Roman;serif"/>
          <w:b w:val="false"/>
          <w:color w:val="000000"/>
          <w:sz w:val="24"/>
        </w:rPr>
        <w:t>actual</w:t>
      </w:r>
      <w:r>
        <w:rPr>
          <w:color w:val="000000"/>
        </w:rPr>
        <w:t xml:space="preserve"> </w:t>
      </w:r>
      <w:r>
        <w:rPr>
          <w:rFonts w:ascii="Times New Roman;serif" w:hAnsi="Times New Roman;serif"/>
          <w:b w:val="false"/>
          <w:color w:val="000000"/>
          <w:sz w:val="24"/>
        </w:rPr>
        <w:t>performance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full</w:t>
      </w:r>
      <w:r>
        <w:rPr>
          <w:color w:val="000000"/>
        </w:rPr>
        <w:t xml:space="preserve"> </w:t>
      </w:r>
      <w:r>
        <w:rPr>
          <w:rFonts w:ascii="Times New Roman;serif" w:hAnsi="Times New Roman;serif"/>
          <w:b w:val="false"/>
          <w:color w:val="000000"/>
          <w:sz w:val="24"/>
        </w:rPr>
        <w:t>2026</w:t>
      </w:r>
      <w:r>
        <w:rPr>
          <w:color w:val="000000"/>
        </w:rPr>
        <w:t xml:space="preserve"> </w:t>
      </w:r>
      <w:r>
        <w:rPr>
          <w:rFonts w:ascii="Times New Roman;serif" w:hAnsi="Times New Roman;serif"/>
          <w:b w:val="false"/>
          <w:color w:val="000000"/>
          <w:sz w:val="24"/>
        </w:rPr>
        <w:t>performance</w:t>
      </w:r>
      <w:r>
        <w:rPr>
          <w:color w:val="000000"/>
        </w:rPr>
        <w:t xml:space="preserve"> </w:t>
      </w:r>
      <w:r>
        <w:rPr>
          <w:rFonts w:ascii="Times New Roman;serif" w:hAnsi="Times New Roman;serif"/>
          <w:b w:val="false"/>
          <w:color w:val="000000"/>
          <w:sz w:val="24"/>
        </w:rPr>
        <w:t>period, provided that the final amount of the 2026 AIP bonus payable to you shall be pro-rated based on your start of employment under the Swiss Contract (your “Swiss Contract Commencement Date”), with the specific formula for pro-ration determined in the Board’s or the Compensation Committee’s discretion, and shall take into consideration your performance under the Swiss Contract.</w:t>
      </w:r>
    </w:p>
    <w:p>
      <w:pPr>
        <w:pStyle w:val="TextBody"/>
        <w:bidi w:val="0"/>
        <w:spacing w:lineRule="auto" w:line="288" w:before="240" w:after="283"/>
        <w:ind w:left="0" w:right="0" w:hanging="360"/>
        <w:jc w:val="left"/>
        <w:rPr/>
      </w:pPr>
      <w:r>
        <w:rPr>
          <w:color w:val="000000"/>
        </w:rPr>
        <w:t>▪    </w:t>
      </w:r>
      <w:r>
        <w:rPr>
          <w:rFonts w:ascii="Times New Roman;serif" w:hAnsi="Times New Roman;serif"/>
          <w:b w:val="false"/>
          <w:color w:val="000000"/>
          <w:sz w:val="24"/>
        </w:rPr>
        <w:t>For the avoidance of doubt, for performance periods following the 2026 performance period, if actual performance is below threshold performance, your AIP bonus shall be equal</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$0,</w:t>
      </w:r>
      <w:r>
        <w:rPr>
          <w:color w:val="000000"/>
        </w:rPr>
        <w:t xml:space="preserve"> </w:t>
      </w:r>
      <w:r>
        <w:rPr>
          <w:rFonts w:ascii="Times New Roman;serif" w:hAnsi="Times New Roman;serif"/>
          <w:b w:val="false"/>
          <w:color w:val="000000"/>
          <w:sz w:val="24"/>
        </w:rPr>
        <w:t>unless</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determined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Compensation</w:t>
      </w:r>
      <w:r>
        <w:rPr>
          <w:color w:val="000000"/>
        </w:rPr>
        <w:t xml:space="preserve"> </w:t>
      </w:r>
      <w:r>
        <w:rPr>
          <w:rFonts w:ascii="Times New Roman;serif" w:hAnsi="Times New Roman;serif"/>
          <w:b w:val="false"/>
          <w:color w:val="000000"/>
          <w:sz w:val="24"/>
        </w:rPr>
        <w:t>Committee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Board.</w:t>
      </w:r>
    </w:p>
    <w:p>
      <w:pPr>
        <w:pStyle w:val="TextBody"/>
        <w:bidi w:val="0"/>
        <w:spacing w:lineRule="auto" w:line="288" w:before="240" w:after="283"/>
        <w:ind w:left="0" w:right="0" w:hanging="360"/>
        <w:jc w:val="left"/>
        <w:rPr/>
      </w:pPr>
      <w:r>
        <w:rPr>
          <w:color w:val="000000"/>
        </w:rPr>
        <w:t>▪    </w:t>
      </w:r>
      <w:r>
        <w:rPr>
          <w:rFonts w:ascii="Times New Roman;serif" w:hAnsi="Times New Roman;serif"/>
          <w:b w:val="false"/>
          <w:color w:val="000000"/>
          <w:sz w:val="24"/>
        </w:rPr>
        <w:t>Notwithstanding anything herein to the contrary, except as otherwise provided in the Lucid Group, Inc. Executive Severance Benefit Plan, as it may be amended or restated from time to time (the “Severance Plan”) or as otherwise determined by the Compensation</w:t>
      </w:r>
      <w:r>
        <w:rPr>
          <w:color w:val="000000"/>
        </w:rPr>
        <w:t xml:space="preserve"> </w:t>
      </w:r>
      <w:r>
        <w:rPr>
          <w:rFonts w:ascii="Times New Roman;serif" w:hAnsi="Times New Roman;serif"/>
          <w:b w:val="false"/>
          <w:color w:val="000000"/>
          <w:sz w:val="24"/>
        </w:rPr>
        <w:t>Committee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approved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your</w:t>
      </w:r>
      <w:r>
        <w:rPr>
          <w:color w:val="000000"/>
        </w:rPr>
        <w:t xml:space="preserve"> </w:t>
      </w:r>
      <w:r>
        <w:rPr>
          <w:rFonts w:ascii="Times New Roman;serif" w:hAnsi="Times New Roman;serif"/>
          <w:b w:val="false"/>
          <w:color w:val="000000"/>
          <w:sz w:val="24"/>
        </w:rPr>
        <w:t>receipt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AIP</w:t>
      </w:r>
      <w:r>
        <w:rPr>
          <w:color w:val="000000"/>
        </w:rPr>
        <w:t xml:space="preserve"> </w:t>
      </w:r>
      <w:r>
        <w:rPr>
          <w:rFonts w:ascii="Times New Roman;serif" w:hAnsi="Times New Roman;serif"/>
          <w:b w:val="false"/>
          <w:color w:val="000000"/>
          <w:sz w:val="24"/>
        </w:rPr>
        <w:t>bonus</w:t>
      </w:r>
      <w:r>
        <w:rPr>
          <w:color w:val="000000"/>
        </w:rPr>
        <w:t xml:space="preserve"> </w:t>
      </w:r>
      <w:r>
        <w:rPr>
          <w:rFonts w:ascii="Times New Roman;serif" w:hAnsi="Times New Roman;serif"/>
          <w:b w:val="false"/>
          <w:color w:val="000000"/>
          <w:sz w:val="24"/>
        </w:rPr>
        <w:t>is contingent on your continued employment with the Company on the AIP bonus’s payment</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payment</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occur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AIP plan document as generally applicable to the Company’s other executive officers.</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581660"/>
                <wp:effectExtent l="0" t="0" r="0" b="0"/>
                <wp:wrapNone/>
                <wp:docPr id="123" name="Frame123"/>
                <a:graphic xmlns:a="http://schemas.openxmlformats.org/drawingml/2006/main">
                  <a:graphicData uri="http://schemas.microsoft.com/office/word/2010/wordprocessingShape">
                    <wps:wsp>
                      <wps:cNvSpPr txBox="1"/>
                      <wps:spPr>
                        <a:xfrm>
                          <a:off x="0" y="0"/>
                          <a:ext cx="6480175" cy="58166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8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color w:val="000000"/>
          <w:sz w:val="24"/>
          <w:u w:val="single"/>
        </w:rPr>
        <w:t>Equity-based</w:t>
      </w:r>
      <w:r>
        <w:rPr>
          <w:color w:val="000000"/>
          <w:u w:val="single"/>
        </w:rPr>
        <w:t xml:space="preserve"> </w:t>
      </w:r>
      <w:r>
        <w:rPr>
          <w:rFonts w:ascii="Times New Roman;serif" w:hAnsi="Times New Roman;serif"/>
          <w:b/>
          <w:color w:val="000000"/>
          <w:sz w:val="24"/>
          <w:u w:val="single"/>
        </w:rPr>
        <w:t>Awards</w:t>
      </w:r>
    </w:p>
    <w:p>
      <w:pPr>
        <w:pStyle w:val="TextBody"/>
        <w:bidi w:val="0"/>
        <w:spacing w:lineRule="auto" w:line="288" w:before="240" w:after="283"/>
        <w:jc w:val="left"/>
        <w:rPr/>
      </w:pPr>
      <w:r>
        <w:rPr>
          <w:rFonts w:ascii="Times New Roman;serif" w:hAnsi="Times New Roman;serif"/>
          <w:b w:val="false"/>
          <w:color w:val="000000"/>
          <w:sz w:val="24"/>
        </w:rPr>
        <w:t>Subject in each case to Compensation Committee and Board approval, your employment 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award’s</w:t>
      </w:r>
      <w:r>
        <w:rPr>
          <w:color w:val="000000"/>
        </w:rPr>
        <w:t xml:space="preserve"> </w:t>
      </w:r>
      <w:r>
        <w:rPr>
          <w:rFonts w:ascii="Times New Roman;serif" w:hAnsi="Times New Roman;serif"/>
          <w:b w:val="false"/>
          <w:color w:val="000000"/>
          <w:sz w:val="24"/>
        </w:rPr>
        <w:t>grant</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described</w:t>
      </w:r>
      <w:r>
        <w:rPr>
          <w:color w:val="000000"/>
        </w:rPr>
        <w:t xml:space="preserve"> </w:t>
      </w:r>
      <w:r>
        <w:rPr>
          <w:rFonts w:ascii="Times New Roman;serif" w:hAnsi="Times New Roman;serif"/>
          <w:b w:val="false"/>
          <w:color w:val="000000"/>
          <w:sz w:val="24"/>
        </w:rPr>
        <w:t>herein,</w:t>
      </w:r>
      <w:r>
        <w:rPr>
          <w:color w:val="000000"/>
        </w:rPr>
        <w:t xml:space="preserve"> </w:t>
      </w:r>
      <w:r>
        <w:rPr>
          <w:rFonts w:ascii="Times New Roman;serif" w:hAnsi="Times New Roman;serif"/>
          <w:b w:val="false"/>
          <w:color w:val="000000"/>
          <w:sz w:val="24"/>
        </w:rPr>
        <w:t>you</w:t>
      </w:r>
      <w:r>
        <w:rPr>
          <w:color w:val="000000"/>
        </w:rPr>
        <w:t xml:space="preserve"> </w:t>
      </w:r>
      <w:r>
        <w:rPr>
          <w:rFonts w:ascii="Times New Roman;serif" w:hAnsi="Times New Roman;serif"/>
          <w:b w:val="false"/>
          <w:color w:val="000000"/>
          <w:sz w:val="24"/>
        </w:rPr>
        <w:t>will receive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following equity-based awards (collectively, the</w:t>
      </w:r>
      <w:r>
        <w:rPr>
          <w:color w:val="000000"/>
        </w:rPr>
        <w:t xml:space="preserve"> “</w:t>
      </w:r>
      <w:r>
        <w:rPr>
          <w:rFonts w:ascii="Times New Roman;serif" w:hAnsi="Times New Roman;serif"/>
          <w:b w:val="false"/>
          <w:color w:val="000000"/>
          <w:sz w:val="24"/>
        </w:rPr>
        <w:t>Awards”) with respect to Class A shares of common stock (“Shares”) of Lucid Group, Inc. or its successor: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4"/>
          <w:u w:val="single"/>
        </w:rPr>
        <w:t>Vesting of Equity Under Swiss Contract</w:t>
      </w:r>
      <w:r>
        <w:rPr>
          <w:rFonts w:ascii="Times New Roman;serif" w:hAnsi="Times New Roman;serif"/>
          <w:b w:val="false"/>
          <w:color w:val="000000"/>
          <w:sz w:val="24"/>
        </w:rPr>
        <w:t>: Subject to your compliance with the terms of the Swiss Contract and this Letter, you will continue to vest in any equity granted to</w:t>
      </w:r>
      <w:r>
        <w:rPr>
          <w:color w:val="000000"/>
        </w:rPr>
        <w:t xml:space="preserve"> </w:t>
      </w:r>
      <w:r>
        <w:rPr>
          <w:rFonts w:ascii="Times New Roman;serif" w:hAnsi="Times New Roman;serif"/>
          <w:b w:val="false"/>
          <w:color w:val="000000"/>
          <w:sz w:val="24"/>
        </w:rPr>
        <w:t>you</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Swiss</w:t>
      </w:r>
      <w:r>
        <w:rPr>
          <w:color w:val="000000"/>
        </w:rPr>
        <w:t xml:space="preserve"> </w:t>
      </w:r>
      <w:r>
        <w:rPr>
          <w:rFonts w:ascii="Times New Roman;serif" w:hAnsi="Times New Roman;serif"/>
          <w:b w:val="false"/>
          <w:color w:val="000000"/>
          <w:sz w:val="24"/>
        </w:rPr>
        <w:t>Contract</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avoidance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doubt,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New</w:t>
      </w:r>
      <w:r>
        <w:rPr>
          <w:color w:val="000000"/>
        </w:rPr>
        <w:t xml:space="preserve"> </w:t>
      </w:r>
      <w:r>
        <w:rPr>
          <w:rFonts w:ascii="Times New Roman;serif" w:hAnsi="Times New Roman;serif"/>
          <w:b w:val="false"/>
          <w:color w:val="000000"/>
          <w:sz w:val="24"/>
        </w:rPr>
        <w:t>Hire Performance-Based Stock Options and Annual Long-Term Incentive (“LTI”) Target Compensation).</w:t>
      </w:r>
    </w:p>
    <w:p>
      <w:pPr>
        <w:pStyle w:val="TextBody"/>
        <w:bidi w:val="0"/>
        <w:spacing w:lineRule="auto" w:line="268" w:before="245" w:after="283"/>
        <w:ind w:left="0" w:right="0" w:hanging="360"/>
        <w:jc w:val="left"/>
        <w:rPr/>
      </w:pPr>
      <w:r>
        <w:rPr>
          <w:color w:val="000000"/>
        </w:rPr>
        <w:t>◦</w:t>
      </w:r>
      <w:r>
        <w:rPr>
          <w:rFonts w:ascii="Times New Roman;serif" w:hAnsi="Times New Roman;serif"/>
          <w:b w:val="false"/>
          <w:color w:val="000000"/>
          <w:sz w:val="24"/>
        </w:rPr>
        <w:t>The Awards that have a grant date tied to your Swiss Contract Commencement Date (the “Initial Awards”) will be governed by the terms and conditions of the Lucid Group, Inc. Amended and Restated 2021 Stock Incentive</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amended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restated</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 applicable</w:t>
      </w:r>
      <w:r>
        <w:rPr>
          <w:color w:val="000000"/>
        </w:rPr>
        <w:t xml:space="preserve"> </w:t>
      </w:r>
      <w:r>
        <w:rPr>
          <w:rFonts w:ascii="Times New Roman;serif" w:hAnsi="Times New Roman;serif"/>
          <w:b w:val="false"/>
          <w:color w:val="000000"/>
          <w:sz w:val="24"/>
        </w:rPr>
        <w:t>award</w:t>
      </w:r>
      <w:r>
        <w:rPr>
          <w:color w:val="000000"/>
        </w:rPr>
        <w:t xml:space="preserve"> </w:t>
      </w:r>
      <w:r>
        <w:rPr>
          <w:rFonts w:ascii="Times New Roman;serif" w:hAnsi="Times New Roman;serif"/>
          <w:b w:val="false"/>
          <w:color w:val="000000"/>
          <w:sz w:val="24"/>
        </w:rPr>
        <w:t>agreements,</w:t>
      </w:r>
      <w:r>
        <w:rPr>
          <w:color w:val="000000"/>
        </w:rPr>
        <w:t xml:space="preserve"> </w:t>
      </w:r>
      <w:r>
        <w:rPr>
          <w:rFonts w:ascii="Times New Roman;serif" w:hAnsi="Times New Roman;serif"/>
          <w:b w:val="false"/>
          <w:color w:val="000000"/>
          <w:sz w:val="24"/>
        </w:rPr>
        <w:t>regardless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whether</w:t>
      </w:r>
      <w:r>
        <w:rPr>
          <w:color w:val="000000"/>
        </w:rPr>
        <w:t xml:space="preserve"> </w:t>
      </w:r>
      <w:r>
        <w:rPr>
          <w:rFonts w:ascii="Times New Roman;serif" w:hAnsi="Times New Roman;serif"/>
          <w:b w:val="false"/>
          <w:color w:val="000000"/>
          <w:sz w:val="24"/>
        </w:rPr>
        <w:t>they</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granted</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or outside of the Plan.</w:t>
      </w:r>
    </w:p>
    <w:p>
      <w:pPr>
        <w:pStyle w:val="TextBody"/>
        <w:bidi w:val="0"/>
        <w:spacing w:lineRule="auto" w:line="288" w:before="239" w:after="283"/>
        <w:ind w:left="0" w:right="0" w:hanging="360"/>
        <w:jc w:val="both"/>
        <w:rPr/>
      </w:pPr>
      <w:r>
        <w:rPr>
          <w:color w:val="000000"/>
        </w:rPr>
        <w:t>•</w:t>
      </w:r>
      <w:r>
        <w:rPr>
          <w:rFonts w:ascii="Times New Roman;serif" w:hAnsi="Times New Roman;serif"/>
          <w:b w:val="false"/>
          <w:color w:val="000000"/>
          <w:sz w:val="24"/>
          <w:u w:val="single"/>
        </w:rPr>
        <w:t>Annual</w:t>
      </w:r>
      <w:r>
        <w:rPr>
          <w:color w:val="000000"/>
          <w:u w:val="single"/>
        </w:rPr>
        <w:t xml:space="preserve"> </w:t>
      </w:r>
      <w:r>
        <w:rPr>
          <w:rFonts w:ascii="Times New Roman;serif" w:hAnsi="Times New Roman;serif"/>
          <w:b w:val="false"/>
          <w:color w:val="000000"/>
          <w:sz w:val="24"/>
          <w:u w:val="single"/>
        </w:rPr>
        <w:t>LTI</w:t>
      </w:r>
      <w:r>
        <w:rPr>
          <w:color w:val="000000"/>
          <w:u w:val="single"/>
        </w:rPr>
        <w:t xml:space="preserve"> </w:t>
      </w:r>
      <w:r>
        <w:rPr>
          <w:rFonts w:ascii="Times New Roman;serif" w:hAnsi="Times New Roman;serif"/>
          <w:b w:val="false"/>
          <w:color w:val="000000"/>
          <w:sz w:val="24"/>
          <w:u w:val="single"/>
        </w:rPr>
        <w:t>Target</w:t>
      </w:r>
      <w:r>
        <w:rPr>
          <w:color w:val="000000"/>
          <w:u w:val="single"/>
        </w:rPr>
        <w:t xml:space="preserve"> </w:t>
      </w:r>
      <w:r>
        <w:rPr>
          <w:rFonts w:ascii="Times New Roman;serif" w:hAnsi="Times New Roman;serif"/>
          <w:b w:val="false"/>
          <w:color w:val="000000"/>
          <w:sz w:val="24"/>
          <w:u w:val="single"/>
        </w:rPr>
        <w:t>Compensation</w:t>
      </w:r>
      <w:r>
        <w:rPr>
          <w:color w:val="000000"/>
          <w:u w:val="single"/>
        </w:rPr>
        <w:t xml:space="preserve"> </w:t>
      </w:r>
      <w:r>
        <w:rPr>
          <w:rFonts w:ascii="Times New Roman;serif" w:hAnsi="Times New Roman;serif"/>
          <w:b w:val="false"/>
          <w:color w:val="000000"/>
          <w:sz w:val="24"/>
          <w:u w:val="single"/>
        </w:rPr>
        <w:t>For</w:t>
      </w:r>
      <w:r>
        <w:rPr>
          <w:color w:val="000000"/>
          <w:u w:val="single"/>
        </w:rPr>
        <w:t xml:space="preserve"> </w:t>
      </w:r>
      <w:r>
        <w:rPr>
          <w:rFonts w:ascii="Times New Roman;serif" w:hAnsi="Times New Roman;serif"/>
          <w:b w:val="false"/>
          <w:color w:val="000000"/>
          <w:sz w:val="24"/>
          <w:u w:val="single"/>
        </w:rPr>
        <w:t>2027</w:t>
      </w:r>
      <w:r>
        <w:rPr>
          <w:color w:val="000000"/>
          <w:u w:val="single"/>
        </w:rPr>
        <w:t xml:space="preserve"> </w:t>
      </w:r>
      <w:r>
        <w:rPr>
          <w:rFonts w:ascii="Times New Roman;serif" w:hAnsi="Times New Roman;serif"/>
          <w:b w:val="false"/>
          <w:color w:val="000000"/>
          <w:sz w:val="24"/>
          <w:u w:val="single"/>
        </w:rPr>
        <w:t>and</w:t>
      </w:r>
      <w:r>
        <w:rPr>
          <w:color w:val="000000"/>
          <w:u w:val="single"/>
        </w:rPr>
        <w:t xml:space="preserve"> </w:t>
      </w:r>
      <w:r>
        <w:rPr>
          <w:rFonts w:ascii="Times New Roman;serif" w:hAnsi="Times New Roman;serif"/>
          <w:b w:val="false"/>
          <w:color w:val="000000"/>
          <w:sz w:val="24"/>
          <w:u w:val="single"/>
        </w:rPr>
        <w:t>Thereafter</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You</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eligible</w:t>
      </w:r>
      <w:r>
        <w:rPr>
          <w:color w:val="000000"/>
        </w:rPr>
        <w:t xml:space="preserve"> </w:t>
      </w:r>
      <w:r>
        <w:rPr>
          <w:rFonts w:ascii="Times New Roman;serif" w:hAnsi="Times New Roman;serif"/>
          <w:b w:val="false"/>
          <w:color w:val="000000"/>
          <w:sz w:val="24"/>
        </w:rPr>
        <w:t>to receive future annual LTI awards, beginning in 2027, with a target grant value of $9,500,000,</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target</w:t>
      </w:r>
      <w:r>
        <w:rPr>
          <w:color w:val="000000"/>
        </w:rPr>
        <w:t xml:space="preserve"> </w:t>
      </w:r>
      <w:r>
        <w:rPr>
          <w:rFonts w:ascii="Times New Roman;serif" w:hAnsi="Times New Roman;serif"/>
          <w:b w:val="false"/>
          <w:color w:val="000000"/>
          <w:sz w:val="24"/>
        </w:rPr>
        <w:t>grant</w:t>
      </w:r>
      <w:r>
        <w:rPr>
          <w:color w:val="000000"/>
        </w:rPr>
        <w:t xml:space="preserve"> </w:t>
      </w:r>
      <w:r>
        <w:rPr>
          <w:rFonts w:ascii="Times New Roman;serif" w:hAnsi="Times New Roman;serif"/>
          <w:b w:val="false"/>
          <w:color w:val="000000"/>
          <w:sz w:val="24"/>
        </w:rPr>
        <w:t>value</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upward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downward adjustment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Board’s</w:t>
      </w:r>
      <w:r>
        <w:rPr>
          <w:color w:val="000000"/>
        </w:rPr>
        <w:t xml:space="preserve"> </w:t>
      </w:r>
      <w:r>
        <w:rPr>
          <w:rFonts w:ascii="Times New Roman;serif" w:hAnsi="Times New Roman;serif"/>
          <w:b w:val="false"/>
          <w:color w:val="000000"/>
          <w:sz w:val="24"/>
        </w:rPr>
        <w:t>discretion,</w:t>
      </w:r>
      <w:r>
        <w:rPr>
          <w:color w:val="000000"/>
        </w:rPr>
        <w:t xml:space="preserve"> </w:t>
      </w:r>
      <w:r>
        <w:rPr>
          <w:rFonts w:ascii="Times New Roman;serif" w:hAnsi="Times New Roman;serif"/>
          <w:b w:val="false"/>
          <w:color w:val="000000"/>
          <w:sz w:val="24"/>
        </w:rPr>
        <w:t>based</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your</w:t>
      </w:r>
      <w:r>
        <w:rPr>
          <w:color w:val="000000"/>
        </w:rPr>
        <w:t xml:space="preserve"> </w:t>
      </w:r>
      <w:r>
        <w:rPr>
          <w:rFonts w:ascii="Times New Roman;serif" w:hAnsi="Times New Roman;serif"/>
          <w:b w:val="false"/>
          <w:color w:val="000000"/>
          <w:sz w:val="24"/>
        </w:rPr>
        <w:t>individual</w:t>
      </w:r>
      <w:r>
        <w:rPr>
          <w:color w:val="000000"/>
        </w:rPr>
        <w:t xml:space="preserve"> </w:t>
      </w:r>
      <w:r>
        <w:rPr>
          <w:rFonts w:ascii="Times New Roman;serif" w:hAnsi="Times New Roman;serif"/>
          <w:b w:val="false"/>
          <w:color w:val="000000"/>
          <w:sz w:val="24"/>
        </w:rPr>
        <w:t>performance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 Company’s performance.</w:t>
      </w:r>
    </w:p>
    <w:p>
      <w:pPr>
        <w:pStyle w:val="TextBody"/>
        <w:bidi w:val="0"/>
        <w:spacing w:lineRule="auto" w:line="288" w:before="239" w:after="283"/>
        <w:jc w:val="left"/>
        <w:rPr/>
      </w:pP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Awards</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respects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conditions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equity incentive plan (the Plan or any successor plan) and award agreements, which you will be required to enter into to receive the Awards. To the extent permitted by the Plan and the applicable</w:t>
      </w:r>
      <w:r>
        <w:rPr>
          <w:color w:val="000000"/>
        </w:rPr>
        <w:t xml:space="preserve"> </w:t>
      </w:r>
      <w:r>
        <w:rPr>
          <w:rFonts w:ascii="Times New Roman;serif" w:hAnsi="Times New Roman;serif"/>
          <w:b w:val="false"/>
          <w:color w:val="000000"/>
          <w:sz w:val="24"/>
        </w:rPr>
        <w:t>award</w:t>
      </w:r>
      <w:r>
        <w:rPr>
          <w:color w:val="000000"/>
        </w:rPr>
        <w:t xml:space="preserve"> </w:t>
      </w:r>
      <w:r>
        <w:rPr>
          <w:rFonts w:ascii="Times New Roman;serif" w:hAnsi="Times New Roman;serif"/>
          <w:b w:val="false"/>
          <w:color w:val="000000"/>
          <w:sz w:val="24"/>
        </w:rPr>
        <w:t>agreements,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Compensation</w:t>
      </w:r>
      <w:r>
        <w:rPr>
          <w:color w:val="000000"/>
        </w:rPr>
        <w:t xml:space="preserve"> </w:t>
      </w:r>
      <w:r>
        <w:rPr>
          <w:rFonts w:ascii="Times New Roman;serif" w:hAnsi="Times New Roman;serif"/>
          <w:b w:val="false"/>
          <w:color w:val="000000"/>
          <w:sz w:val="24"/>
        </w:rPr>
        <w:t>Committee</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determine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its discretion to settle all or any portion of the Awards in a cash equivalent.</w:t>
      </w:r>
    </w:p>
    <w:p>
      <w:pPr>
        <w:pStyle w:val="TextBody"/>
        <w:bidi w:val="0"/>
        <w:spacing w:lineRule="auto" w:line="288" w:before="241" w:after="283"/>
        <w:jc w:val="left"/>
        <w:rPr/>
      </w:pPr>
      <w:r>
        <w:rPr>
          <w:rFonts w:ascii="Times New Roman;serif" w:hAnsi="Times New Roman;serif"/>
          <w:b/>
          <w:color w:val="000000"/>
          <w:sz w:val="24"/>
          <w:u w:val="single"/>
        </w:rPr>
        <w:t>Employee</w:t>
      </w:r>
      <w:r>
        <w:rPr>
          <w:color w:val="000000"/>
          <w:u w:val="single"/>
        </w:rPr>
        <w:t xml:space="preserve"> </w:t>
      </w:r>
      <w:r>
        <w:rPr>
          <w:rFonts w:ascii="Times New Roman;serif" w:hAnsi="Times New Roman;serif"/>
          <w:b/>
          <w:color w:val="000000"/>
          <w:sz w:val="24"/>
          <w:u w:val="single"/>
        </w:rPr>
        <w:t>Benefits</w:t>
      </w:r>
    </w:p>
    <w:p>
      <w:pPr>
        <w:pStyle w:val="TextBody"/>
        <w:bidi w:val="0"/>
        <w:spacing w:lineRule="auto" w:line="288" w:before="240" w:after="283"/>
        <w:ind w:left="0" w:right="0" w:firstLine="720"/>
        <w:jc w:val="left"/>
        <w:rPr/>
      </w:pP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Hire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you</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eligible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participate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employee benefit plans that the Company makes available to similarly situated employees, as such employee benefit plans may be amended from time to time. The Company provides a competitive benefit package that currently includes major medical, vision, and dental insurance plans, paid time off, flexible spending account and a 401(k) program. The eligibility dates of the benefits are as follows:</w:t>
      </w:r>
    </w:p>
    <w:p>
      <w:pPr>
        <w:pStyle w:val="TextBody"/>
        <w:bidi w:val="0"/>
        <w:spacing w:lineRule="auto" w:line="288" w:before="240" w:after="283"/>
        <w:ind w:left="0" w:right="0" w:hanging="359"/>
        <w:jc w:val="left"/>
        <w:rPr/>
      </w:pPr>
      <w:r>
        <w:rPr>
          <w:color w:val="000000"/>
        </w:rPr>
        <w:t>▪    </w:t>
      </w:r>
      <w:r>
        <w:rPr>
          <w:rFonts w:ascii="Times New Roman;serif" w:hAnsi="Times New Roman;serif"/>
          <w:b w:val="false"/>
          <w:color w:val="000000"/>
          <w:sz w:val="24"/>
        </w:rPr>
        <w:t>Group</w:t>
      </w:r>
      <w:r>
        <w:rPr>
          <w:color w:val="000000"/>
        </w:rPr>
        <w:t xml:space="preserve"> </w:t>
      </w:r>
      <w:r>
        <w:rPr>
          <w:rFonts w:ascii="Times New Roman;serif" w:hAnsi="Times New Roman;serif"/>
          <w:b w:val="false"/>
          <w:color w:val="000000"/>
          <w:sz w:val="24"/>
        </w:rPr>
        <w:t>health</w:t>
      </w:r>
      <w:r>
        <w:rPr>
          <w:color w:val="000000"/>
        </w:rPr>
        <w:t xml:space="preserve"> </w:t>
      </w:r>
      <w:r>
        <w:rPr>
          <w:rFonts w:ascii="Times New Roman;serif" w:hAnsi="Times New Roman;serif"/>
          <w:b w:val="false"/>
          <w:color w:val="000000"/>
          <w:sz w:val="24"/>
        </w:rPr>
        <w:t>insurance</w:t>
      </w:r>
      <w:r>
        <w:rPr>
          <w:color w:val="000000"/>
        </w:rPr>
        <w:t xml:space="preserve"> </w:t>
      </w:r>
      <w:r>
        <w:rPr>
          <w:rFonts w:ascii="Times New Roman;serif" w:hAnsi="Times New Roman;serif"/>
          <w:b w:val="false"/>
          <w:color w:val="000000"/>
          <w:sz w:val="24"/>
        </w:rPr>
        <w:t>benefits:</w:t>
      </w:r>
      <w:r>
        <w:rPr>
          <w:color w:val="000000"/>
        </w:rPr>
        <w:t xml:space="preserve"> </w:t>
      </w:r>
      <w:r>
        <w:rPr>
          <w:rFonts w:ascii="Times New Roman;serif" w:hAnsi="Times New Roman;serif"/>
          <w:b w:val="false"/>
          <w:color w:val="000000"/>
          <w:sz w:val="24"/>
        </w:rPr>
        <w:t>commence</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Hire</w:t>
      </w:r>
      <w:r>
        <w:rPr>
          <w:color w:val="000000"/>
        </w:rPr>
        <w:t xml:space="preserve"> </w:t>
      </w:r>
      <w:r>
        <w:rPr>
          <w:rFonts w:ascii="Times New Roman;serif" w:hAnsi="Times New Roman;serif"/>
          <w:b w:val="false"/>
          <w:color w:val="000000"/>
          <w:sz w:val="24"/>
        </w:rPr>
        <w:t>Date</w:t>
      </w:r>
    </w:p>
    <w:p>
      <w:pPr>
        <w:pStyle w:val="TextBody"/>
        <w:bidi w:val="0"/>
        <w:spacing w:lineRule="auto" w:line="288" w:before="240" w:after="283"/>
        <w:ind w:left="0" w:right="0" w:hanging="360"/>
        <w:jc w:val="left"/>
        <w:rPr/>
      </w:pPr>
      <w:r>
        <w:rPr>
          <w:color w:val="000000"/>
        </w:rPr>
        <w:t>▪    </w:t>
      </w:r>
      <w:r>
        <w:rPr>
          <w:rFonts w:ascii="Times New Roman;serif" w:hAnsi="Times New Roman;serif"/>
          <w:b w:val="false"/>
          <w:color w:val="000000"/>
          <w:sz w:val="24"/>
        </w:rPr>
        <w:t>Vacation</w:t>
      </w:r>
      <w:r>
        <w:rPr>
          <w:color w:val="000000"/>
        </w:rPr>
        <w:t xml:space="preserve"> </w:t>
      </w:r>
      <w:r>
        <w:rPr>
          <w:rFonts w:ascii="Times New Roman;serif" w:hAnsi="Times New Roman;serif"/>
          <w:b w:val="false"/>
          <w:color w:val="000000"/>
          <w:sz w:val="24"/>
        </w:rPr>
        <w:t>days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sick</w:t>
      </w:r>
      <w:r>
        <w:rPr>
          <w:color w:val="000000"/>
        </w:rPr>
        <w:t xml:space="preserve"> </w:t>
      </w:r>
      <w:r>
        <w:rPr>
          <w:rFonts w:ascii="Times New Roman;serif" w:hAnsi="Times New Roman;serif"/>
          <w:b w:val="false"/>
          <w:color w:val="000000"/>
          <w:sz w:val="24"/>
        </w:rPr>
        <w:t>days:</w:t>
      </w:r>
      <w:r>
        <w:rPr>
          <w:color w:val="000000"/>
        </w:rPr>
        <w:t xml:space="preserve"> </w:t>
      </w:r>
      <w:r>
        <w:rPr>
          <w:rFonts w:ascii="Times New Roman;serif" w:hAnsi="Times New Roman;serif"/>
          <w:b w:val="false"/>
          <w:color w:val="000000"/>
          <w:sz w:val="24"/>
        </w:rPr>
        <w:t>accrual</w:t>
      </w:r>
      <w:r>
        <w:rPr>
          <w:color w:val="000000"/>
        </w:rPr>
        <w:t xml:space="preserve"> </w:t>
      </w:r>
      <w:r>
        <w:rPr>
          <w:rFonts w:ascii="Times New Roman;serif" w:hAnsi="Times New Roman;serif"/>
          <w:b w:val="false"/>
          <w:color w:val="000000"/>
          <w:sz w:val="24"/>
        </w:rPr>
        <w:t>starts</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Hire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full</w:t>
      </w:r>
      <w:r>
        <w:rPr>
          <w:color w:val="000000"/>
        </w:rPr>
        <w:t xml:space="preserve"> </w:t>
      </w:r>
      <w:r>
        <w:rPr>
          <w:rFonts w:ascii="Times New Roman;serif" w:hAnsi="Times New Roman;serif"/>
          <w:b w:val="false"/>
          <w:color w:val="000000"/>
          <w:sz w:val="24"/>
        </w:rPr>
        <w:t>non-prorated</w:t>
      </w:r>
      <w:r>
        <w:rPr>
          <w:color w:val="000000"/>
        </w:rPr>
        <w:t xml:space="preserve"> </w:t>
      </w:r>
      <w:r>
        <w:rPr>
          <w:rFonts w:ascii="Times New Roman;serif" w:hAnsi="Times New Roman;serif"/>
          <w:b w:val="false"/>
          <w:color w:val="000000"/>
          <w:sz w:val="24"/>
        </w:rPr>
        <w:t>2026 accrual credited on Hire Date</w:t>
      </w:r>
    </w:p>
    <w:p>
      <w:pPr>
        <w:pStyle w:val="TextBody"/>
        <w:bidi w:val="0"/>
        <w:spacing w:lineRule="auto" w:line="288" w:before="240" w:after="283"/>
        <w:ind w:left="0" w:right="0" w:hanging="360"/>
        <w:jc w:val="left"/>
        <w:rPr/>
      </w:pPr>
      <w:r>
        <w:rPr>
          <w:color w:val="000000"/>
        </w:rPr>
        <w:t>▪    </w:t>
      </w:r>
      <w:r>
        <w:rPr>
          <w:rFonts w:ascii="Times New Roman;serif" w:hAnsi="Times New Roman;serif"/>
          <w:b w:val="false"/>
          <w:color w:val="000000"/>
          <w:sz w:val="24"/>
        </w:rPr>
        <w:t>401(k)</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Flexible</w:t>
      </w:r>
      <w:r>
        <w:rPr>
          <w:color w:val="000000"/>
        </w:rPr>
        <w:t xml:space="preserve"> </w:t>
      </w:r>
      <w:r>
        <w:rPr>
          <w:rFonts w:ascii="Times New Roman;serif" w:hAnsi="Times New Roman;serif"/>
          <w:b w:val="false"/>
          <w:color w:val="000000"/>
          <w:sz w:val="24"/>
        </w:rPr>
        <w:t>spending</w:t>
      </w:r>
      <w:r>
        <w:rPr>
          <w:color w:val="000000"/>
        </w:rPr>
        <w:t xml:space="preserve"> </w:t>
      </w:r>
      <w:r>
        <w:rPr>
          <w:rFonts w:ascii="Times New Roman;serif" w:hAnsi="Times New Roman;serif"/>
          <w:b w:val="false"/>
          <w:color w:val="000000"/>
          <w:sz w:val="24"/>
        </w:rPr>
        <w:t>account:</w:t>
      </w:r>
      <w:r>
        <w:rPr>
          <w:color w:val="000000"/>
        </w:rPr>
        <w:t xml:space="preserve"> </w:t>
      </w:r>
      <w:r>
        <w:rPr>
          <w:rFonts w:ascii="Times New Roman;serif" w:hAnsi="Times New Roman;serif"/>
          <w:b w:val="false"/>
          <w:color w:val="000000"/>
          <w:sz w:val="24"/>
        </w:rPr>
        <w:t>eligibility</w:t>
      </w:r>
      <w:r>
        <w:rPr>
          <w:color w:val="000000"/>
        </w:rPr>
        <w:t xml:space="preserve"> </w:t>
      </w:r>
      <w:r>
        <w:rPr>
          <w:rFonts w:ascii="Times New Roman;serif" w:hAnsi="Times New Roman;serif"/>
          <w:b w:val="false"/>
          <w:color w:val="000000"/>
          <w:sz w:val="24"/>
        </w:rPr>
        <w:t>starts</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Hire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but</w:t>
      </w:r>
      <w:r>
        <w:rPr>
          <w:color w:val="000000"/>
        </w:rPr>
        <w:t xml:space="preserve"> </w:t>
      </w:r>
      <w:r>
        <w:rPr>
          <w:rFonts w:ascii="Times New Roman;serif" w:hAnsi="Times New Roman;serif"/>
          <w:b w:val="false"/>
          <w:color w:val="000000"/>
          <w:sz w:val="24"/>
        </w:rPr>
        <w:t>can</w:t>
      </w:r>
      <w:r>
        <w:rPr>
          <w:color w:val="000000"/>
        </w:rPr>
        <w:t xml:space="preserve"> </w:t>
      </w:r>
      <w:r>
        <w:rPr>
          <w:rFonts w:ascii="Times New Roman;serif" w:hAnsi="Times New Roman;serif"/>
          <w:b w:val="false"/>
          <w:color w:val="000000"/>
          <w:sz w:val="24"/>
        </w:rPr>
        <w:t>take</w:t>
      </w:r>
      <w:r>
        <w:rPr>
          <w:color w:val="000000"/>
        </w:rPr>
        <w:t xml:space="preserve"> </w:t>
      </w:r>
      <w:r>
        <w:rPr>
          <w:rFonts w:ascii="Times New Roman;serif" w:hAnsi="Times New Roman;serif"/>
          <w:b w:val="false"/>
          <w:color w:val="000000"/>
          <w:sz w:val="24"/>
        </w:rPr>
        <w:t>up</w:t>
      </w:r>
      <w:r>
        <w:rPr>
          <w:color w:val="000000"/>
        </w:rPr>
        <w:t xml:space="preserve"> </w:t>
      </w:r>
      <w:r>
        <w:rPr>
          <w:rFonts w:ascii="Times New Roman;serif" w:hAnsi="Times New Roman;serif"/>
          <w:b w:val="false"/>
          <w:color w:val="000000"/>
          <w:sz w:val="24"/>
        </w:rPr>
        <w:t>to 3 pay periods before any payroll deductions are actually deposited into account.</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581660"/>
                <wp:effectExtent l="0" t="0" r="0" b="0"/>
                <wp:wrapNone/>
                <wp:docPr id="124" name="Frame124"/>
                <a:graphic xmlns:a="http://schemas.openxmlformats.org/drawingml/2006/main">
                  <a:graphicData uri="http://schemas.microsoft.com/office/word/2010/wordprocessingShape">
                    <wps:wsp>
                      <wps:cNvSpPr txBox="1"/>
                      <wps:spPr>
                        <a:xfrm>
                          <a:off x="0" y="0"/>
                          <a:ext cx="6480175" cy="58166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8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color w:val="000000"/>
          <w:sz w:val="24"/>
          <w:u w:val="single"/>
        </w:rPr>
        <w:t>Additional</w:t>
      </w:r>
      <w:r>
        <w:rPr>
          <w:color w:val="000000"/>
          <w:u w:val="single"/>
        </w:rPr>
        <w:t xml:space="preserve"> </w:t>
      </w:r>
      <w:r>
        <w:rPr>
          <w:rFonts w:ascii="Times New Roman;serif" w:hAnsi="Times New Roman;serif"/>
          <w:b/>
          <w:color w:val="000000"/>
          <w:sz w:val="24"/>
          <w:u w:val="single"/>
        </w:rPr>
        <w:t>Benefits</w:t>
      </w:r>
    </w:p>
    <w:p>
      <w:pPr>
        <w:pStyle w:val="TextBody"/>
        <w:bidi w:val="0"/>
        <w:spacing w:lineRule="auto" w:line="288" w:before="240" w:after="283"/>
        <w:ind w:left="0" w:right="0" w:firstLine="720"/>
        <w:jc w:val="left"/>
        <w:rPr/>
      </w:pP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Hire Date,</w:t>
      </w:r>
      <w:r>
        <w:rPr>
          <w:color w:val="000000"/>
        </w:rPr>
        <w:t xml:space="preserve"> </w:t>
      </w:r>
      <w:r>
        <w:rPr>
          <w:rFonts w:ascii="Times New Roman;serif" w:hAnsi="Times New Roman;serif"/>
          <w:b w:val="false"/>
          <w:color w:val="000000"/>
          <w:sz w:val="24"/>
        </w:rPr>
        <w:t>separate</w:t>
      </w:r>
      <w:r>
        <w:rPr>
          <w:color w:val="000000"/>
        </w:rPr>
        <w:t xml:space="preserve"> </w:t>
      </w:r>
      <w:r>
        <w:rPr>
          <w:rFonts w:ascii="Times New Roman;serif" w:hAnsi="Times New Roman;serif"/>
          <w:b w:val="false"/>
          <w:color w:val="000000"/>
          <w:sz w:val="24"/>
        </w:rPr>
        <w:t>from (and</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avoidance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doubt,</w:t>
      </w:r>
      <w:r>
        <w:rPr>
          <w:color w:val="000000"/>
        </w:rPr>
        <w:t xml:space="preserve"> </w:t>
      </w:r>
      <w:r>
        <w:rPr>
          <w:rFonts w:ascii="Times New Roman;serif" w:hAnsi="Times New Roman;serif"/>
          <w:b w:val="false"/>
          <w:color w:val="000000"/>
          <w:sz w:val="24"/>
        </w:rPr>
        <w:t>without</w:t>
      </w:r>
      <w:r>
        <w:rPr>
          <w:color w:val="000000"/>
        </w:rPr>
        <w:t xml:space="preserve"> </w:t>
      </w:r>
      <w:r>
        <w:rPr>
          <w:rFonts w:ascii="Times New Roman;serif" w:hAnsi="Times New Roman;serif"/>
          <w:b w:val="false"/>
          <w:color w:val="000000"/>
          <w:sz w:val="24"/>
        </w:rPr>
        <w:t>duplicating) any</w:t>
      </w:r>
      <w:r>
        <w:rPr>
          <w:color w:val="000000"/>
        </w:rPr>
        <w:t xml:space="preserve"> </w:t>
      </w:r>
      <w:r>
        <w:rPr>
          <w:rFonts w:ascii="Times New Roman;serif" w:hAnsi="Times New Roman;serif"/>
          <w:b w:val="false"/>
          <w:color w:val="000000"/>
          <w:sz w:val="24"/>
        </w:rPr>
        <w:t>benefits</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you</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Swiss</w:t>
      </w:r>
      <w:r>
        <w:rPr>
          <w:color w:val="000000"/>
        </w:rPr>
        <w:t xml:space="preserve"> </w:t>
      </w:r>
      <w:r>
        <w:rPr>
          <w:rFonts w:ascii="Times New Roman;serif" w:hAnsi="Times New Roman;serif"/>
          <w:b w:val="false"/>
          <w:color w:val="000000"/>
          <w:sz w:val="24"/>
        </w:rPr>
        <w:t>Contract</w:t>
      </w:r>
      <w:r>
        <w:rPr>
          <w:color w:val="000000"/>
        </w:rPr>
        <w:t xml:space="preserve"> </w:t>
      </w:r>
      <w:r>
        <w:rPr>
          <w:rFonts w:ascii="Times New Roman;serif" w:hAnsi="Times New Roman;serif"/>
          <w:b w:val="false"/>
          <w:color w:val="000000"/>
          <w:sz w:val="24"/>
        </w:rPr>
        <w:t>during</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interim</w:t>
      </w:r>
      <w:r>
        <w:rPr>
          <w:color w:val="000000"/>
        </w:rPr>
        <w:t xml:space="preserve"> </w:t>
      </w:r>
      <w:r>
        <w:rPr>
          <w:rFonts w:ascii="Times New Roman;serif" w:hAnsi="Times New Roman;serif"/>
          <w:b w:val="false"/>
          <w:color w:val="000000"/>
          <w:sz w:val="24"/>
        </w:rPr>
        <w:t>period</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international employment, you will be eligible to receive the following Additional Benefits for a period that spans the lesser of (x) your service to the Company and (y) the period specified in this “Additional Benefits” section for the applicable benefit:</w:t>
      </w:r>
    </w:p>
    <w:p>
      <w:pPr>
        <w:pStyle w:val="TextBody"/>
        <w:bidi w:val="0"/>
        <w:spacing w:lineRule="auto" w:line="280" w:before="273" w:after="283"/>
        <w:ind w:left="0" w:right="0" w:hanging="360"/>
        <w:jc w:val="left"/>
        <w:rPr/>
      </w:pPr>
      <w:r>
        <w:rPr>
          <w:color w:val="000000"/>
        </w:rPr>
        <w:t>•</w:t>
      </w:r>
      <w:r>
        <w:rPr>
          <w:rFonts w:ascii="Times New Roman;serif" w:hAnsi="Times New Roman;serif"/>
          <w:b w:val="false"/>
          <w:color w:val="000000"/>
          <w:sz w:val="24"/>
          <w:u w:val="single"/>
        </w:rPr>
        <w:t>Temporary Housing Benefit; Expenses Relating to Changing Primary Work Location;</w:t>
      </w:r>
      <w:r>
        <w:rPr>
          <w:color w:val="000000"/>
        </w:rPr>
        <w:t xml:space="preserve"> </w:t>
      </w:r>
      <w:r>
        <w:rPr>
          <w:rFonts w:ascii="Times New Roman;serif" w:hAnsi="Times New Roman;serif"/>
          <w:b w:val="false"/>
          <w:color w:val="000000"/>
          <w:sz w:val="24"/>
          <w:u w:val="single"/>
        </w:rPr>
        <w:t>Payment to Defray Miscellaneous Expenses</w:t>
      </w:r>
      <w:r>
        <w:rPr>
          <w:rFonts w:ascii="Times New Roman;serif" w:hAnsi="Times New Roman;serif"/>
          <w:b w:val="false"/>
          <w:color w:val="000000"/>
          <w:sz w:val="24"/>
        </w:rPr>
        <w:t>: The Company will reimburse you for documented</w:t>
      </w:r>
      <w:r>
        <w:rPr>
          <w:color w:val="000000"/>
        </w:rPr>
        <w:t xml:space="preserve"> </w:t>
      </w:r>
      <w:r>
        <w:rPr>
          <w:rFonts w:ascii="Times New Roman;serif" w:hAnsi="Times New Roman;serif"/>
          <w:b w:val="false"/>
          <w:color w:val="000000"/>
          <w:sz w:val="24"/>
        </w:rPr>
        <w:t>temporary</w:t>
      </w:r>
      <w:r>
        <w:rPr>
          <w:color w:val="000000"/>
        </w:rPr>
        <w:t xml:space="preserve"> </w:t>
      </w:r>
      <w:r>
        <w:rPr>
          <w:rFonts w:ascii="Times New Roman;serif" w:hAnsi="Times New Roman;serif"/>
          <w:b w:val="false"/>
          <w:color w:val="000000"/>
          <w:sz w:val="24"/>
        </w:rPr>
        <w:t>housing</w:t>
      </w:r>
      <w:r>
        <w:rPr>
          <w:color w:val="000000"/>
        </w:rPr>
        <w:t xml:space="preserve"> </w:t>
      </w:r>
      <w:r>
        <w:rPr>
          <w:rFonts w:ascii="Times New Roman;serif" w:hAnsi="Times New Roman;serif"/>
          <w:b w:val="false"/>
          <w:color w:val="000000"/>
          <w:sz w:val="24"/>
        </w:rPr>
        <w:t>expenses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San</w:t>
      </w:r>
      <w:r>
        <w:rPr>
          <w:color w:val="000000"/>
        </w:rPr>
        <w:t xml:space="preserve"> </w:t>
      </w:r>
      <w:r>
        <w:rPr>
          <w:rFonts w:ascii="Times New Roman;serif" w:hAnsi="Times New Roman;serif"/>
          <w:b w:val="false"/>
          <w:color w:val="000000"/>
          <w:sz w:val="24"/>
        </w:rPr>
        <w:t>Francisco</w:t>
      </w:r>
      <w:r>
        <w:rPr>
          <w:color w:val="000000"/>
        </w:rPr>
        <w:t xml:space="preserve"> </w:t>
      </w:r>
      <w:r>
        <w:rPr>
          <w:rFonts w:ascii="Times New Roman;serif" w:hAnsi="Times New Roman;serif"/>
          <w:b w:val="false"/>
          <w:color w:val="000000"/>
          <w:sz w:val="24"/>
        </w:rPr>
        <w:t>Bay</w:t>
      </w:r>
      <w:r>
        <w:rPr>
          <w:color w:val="000000"/>
        </w:rPr>
        <w:t xml:space="preserve"> </w:t>
      </w:r>
      <w:r>
        <w:rPr>
          <w:rFonts w:ascii="Times New Roman;serif" w:hAnsi="Times New Roman;serif"/>
          <w:b w:val="false"/>
          <w:color w:val="000000"/>
          <w:sz w:val="24"/>
        </w:rPr>
        <w:t>Area</w:t>
      </w:r>
      <w:r>
        <w:rPr>
          <w:color w:val="000000"/>
        </w:rPr>
        <w:t xml:space="preserve"> </w:t>
      </w:r>
      <w:r>
        <w:rPr>
          <w:rFonts w:ascii="Times New Roman;serif" w:hAnsi="Times New Roman;serif"/>
          <w:b w:val="false"/>
          <w:color w:val="000000"/>
          <w:sz w:val="24"/>
        </w:rPr>
        <w:t>(“SFBA”)</w:t>
      </w:r>
      <w:r>
        <w:rPr>
          <w:color w:val="000000"/>
        </w:rPr>
        <w:t xml:space="preserve"> </w:t>
      </w:r>
      <w:r>
        <w:rPr>
          <w:rFonts w:ascii="Times New Roman;serif" w:hAnsi="Times New Roman;serif"/>
          <w:b w:val="false"/>
          <w:color w:val="000000"/>
          <w:sz w:val="24"/>
        </w:rPr>
        <w:t>up</w:t>
      </w:r>
      <w:r>
        <w:rPr>
          <w:color w:val="000000"/>
        </w:rPr>
        <w:t xml:space="preserve"> </w:t>
      </w:r>
      <w:r>
        <w:rPr>
          <w:rFonts w:ascii="Times New Roman;serif" w:hAnsi="Times New Roman;serif"/>
          <w:b w:val="false"/>
          <w:color w:val="000000"/>
          <w:sz w:val="24"/>
        </w:rPr>
        <w:t>to $25,000 per</w:t>
      </w:r>
      <w:r>
        <w:rPr>
          <w:color w:val="000000"/>
        </w:rPr>
        <w:t xml:space="preserve"> </w:t>
      </w:r>
      <w:r>
        <w:rPr>
          <w:rFonts w:ascii="Times New Roman;serif" w:hAnsi="Times New Roman;serif"/>
          <w:b w:val="false"/>
          <w:color w:val="000000"/>
          <w:sz w:val="24"/>
        </w:rPr>
        <w:t>month, less applicable</w:t>
      </w:r>
      <w:r>
        <w:rPr>
          <w:color w:val="000000"/>
        </w:rPr>
        <w:t xml:space="preserve"> </w:t>
      </w:r>
      <w:r>
        <w:rPr>
          <w:rFonts w:ascii="Times New Roman;serif" w:hAnsi="Times New Roman;serif"/>
          <w:b w:val="false"/>
          <w:color w:val="000000"/>
          <w:sz w:val="24"/>
        </w:rPr>
        <w:t>taxes and withholdings, 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period from the</w:t>
      </w:r>
      <w:r>
        <w:rPr>
          <w:color w:val="000000"/>
        </w:rPr>
        <w:t xml:space="preserve"> </w:t>
      </w:r>
      <w:r>
        <w:rPr>
          <w:rFonts w:ascii="Times New Roman;serif" w:hAnsi="Times New Roman;serif"/>
          <w:b w:val="false"/>
          <w:color w:val="000000"/>
          <w:sz w:val="24"/>
        </w:rPr>
        <w:t>Hire Date up to the six-month anniversary of the Hire Date. You will also be eligible for reimbursement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reasonable</w:t>
      </w:r>
      <w:r>
        <w:rPr>
          <w:color w:val="000000"/>
        </w:rPr>
        <w:t xml:space="preserve"> </w:t>
      </w:r>
      <w:r>
        <w:rPr>
          <w:rFonts w:ascii="Times New Roman;serif" w:hAnsi="Times New Roman;serif"/>
          <w:b w:val="false"/>
          <w:color w:val="000000"/>
          <w:sz w:val="24"/>
        </w:rPr>
        <w:t>expenses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connection</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establishing</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residence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 SFBA, in accordance with the Company’s relocation policies that are applicable to its executive officers, as they may be amended from time to time.</w:t>
      </w:r>
    </w:p>
    <w:p>
      <w:pPr>
        <w:pStyle w:val="TextBody"/>
        <w:bidi w:val="0"/>
        <w:spacing w:lineRule="auto" w:line="288" w:before="272" w:after="283"/>
        <w:ind w:left="0" w:right="0" w:hanging="360"/>
        <w:jc w:val="left"/>
        <w:rPr/>
      </w:pPr>
      <w:r>
        <w:rPr>
          <w:color w:val="000000"/>
        </w:rPr>
        <w:t>•</w:t>
      </w:r>
      <w:r>
        <w:rPr>
          <w:rFonts w:ascii="Times New Roman;serif" w:hAnsi="Times New Roman;serif"/>
          <w:b w:val="false"/>
          <w:color w:val="000000"/>
          <w:sz w:val="24"/>
          <w:u w:val="single"/>
        </w:rPr>
        <w:t>Executive</w:t>
      </w:r>
      <w:r>
        <w:rPr>
          <w:color w:val="000000"/>
          <w:u w:val="single"/>
        </w:rPr>
        <w:t xml:space="preserve"> </w:t>
      </w:r>
      <w:r>
        <w:rPr>
          <w:rFonts w:ascii="Times New Roman;serif" w:hAnsi="Times New Roman;serif"/>
          <w:b w:val="false"/>
          <w:color w:val="000000"/>
          <w:sz w:val="24"/>
          <w:u w:val="single"/>
        </w:rPr>
        <w:t>Car</w:t>
      </w:r>
      <w:r>
        <w:rPr>
          <w:color w:val="000000"/>
          <w:u w:val="single"/>
        </w:rPr>
        <w:t xml:space="preserve"> </w:t>
      </w:r>
      <w:r>
        <w:rPr>
          <w:rFonts w:ascii="Times New Roman;serif" w:hAnsi="Times New Roman;serif"/>
          <w:b w:val="false"/>
          <w:color w:val="000000"/>
          <w:sz w:val="24"/>
          <w:u w:val="single"/>
        </w:rPr>
        <w:t>Program</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You</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continue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eligible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participate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Company’s executive car program, as it may be in effect or amended from time to time, pursuant to which the Company shall provide you with two Lucid vehicles for your personal and business use.</w:t>
      </w:r>
    </w:p>
    <w:p>
      <w:pPr>
        <w:pStyle w:val="TextBody"/>
        <w:bidi w:val="0"/>
        <w:spacing w:lineRule="auto" w:line="288" w:before="272" w:after="283"/>
        <w:ind w:left="0" w:right="0" w:hanging="360"/>
        <w:jc w:val="left"/>
        <w:rPr/>
      </w:pPr>
      <w:r>
        <w:rPr>
          <w:color w:val="000000"/>
        </w:rPr>
        <w:t>•</w:t>
      </w:r>
      <w:r>
        <w:rPr>
          <w:rFonts w:ascii="Times New Roman;serif" w:hAnsi="Times New Roman;serif"/>
          <w:b w:val="false"/>
          <w:color w:val="000000"/>
          <w:sz w:val="24"/>
          <w:u w:val="single"/>
        </w:rPr>
        <w:t>Security</w:t>
      </w:r>
      <w:r>
        <w:rPr>
          <w:color w:val="000000"/>
          <w:u w:val="single"/>
        </w:rPr>
        <w:t xml:space="preserve"> </w:t>
      </w:r>
      <w:r>
        <w:rPr>
          <w:rFonts w:ascii="Times New Roman;serif" w:hAnsi="Times New Roman;serif"/>
          <w:b w:val="false"/>
          <w:color w:val="000000"/>
          <w:sz w:val="24"/>
          <w:u w:val="single"/>
        </w:rPr>
        <w:t>and</w:t>
      </w:r>
      <w:r>
        <w:rPr>
          <w:color w:val="000000"/>
          <w:u w:val="single"/>
        </w:rPr>
        <w:t xml:space="preserve"> </w:t>
      </w:r>
      <w:r>
        <w:rPr>
          <w:rFonts w:ascii="Times New Roman;serif" w:hAnsi="Times New Roman;serif"/>
          <w:b w:val="false"/>
          <w:color w:val="000000"/>
          <w:sz w:val="24"/>
          <w:u w:val="single"/>
        </w:rPr>
        <w:t>Driver</w:t>
      </w:r>
      <w:r>
        <w:rPr>
          <w:color w:val="000000"/>
          <w:u w:val="single"/>
        </w:rPr>
        <w:t xml:space="preserve"> </w:t>
      </w:r>
      <w:r>
        <w:rPr>
          <w:rFonts w:ascii="Times New Roman;serif" w:hAnsi="Times New Roman;serif"/>
          <w:b w:val="false"/>
          <w:color w:val="000000"/>
          <w:sz w:val="24"/>
          <w:u w:val="single"/>
        </w:rPr>
        <w:t>Benefits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You</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continue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eligible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receive</w:t>
      </w:r>
      <w:r>
        <w:rPr>
          <w:color w:val="000000"/>
        </w:rPr>
        <w:t xml:space="preserve"> </w:t>
      </w:r>
      <w:r>
        <w:rPr>
          <w:rFonts w:ascii="Times New Roman;serif" w:hAnsi="Times New Roman;serif"/>
          <w:b w:val="false"/>
          <w:color w:val="000000"/>
          <w:sz w:val="24"/>
        </w:rPr>
        <w:t>certain</w:t>
      </w:r>
      <w:r>
        <w:rPr>
          <w:color w:val="000000"/>
        </w:rPr>
        <w:t xml:space="preserve"> </w:t>
      </w:r>
      <w:r>
        <w:rPr>
          <w:rFonts w:ascii="Times New Roman;serif" w:hAnsi="Times New Roman;serif"/>
          <w:b w:val="false"/>
          <w:color w:val="000000"/>
          <w:sz w:val="24"/>
        </w:rPr>
        <w:t>security protection and driver benefits to the extent consistent with the Company’s security policies and protocols, as they may be in effect or amended from time to time.</w:t>
      </w:r>
    </w:p>
    <w:p>
      <w:pPr>
        <w:pStyle w:val="TextBody"/>
        <w:bidi w:val="0"/>
        <w:spacing w:lineRule="auto" w:line="288" w:before="275" w:after="283"/>
        <w:ind w:left="0" w:right="0" w:hanging="360"/>
        <w:jc w:val="left"/>
        <w:rPr/>
      </w:pPr>
      <w:r>
        <w:rPr>
          <w:color w:val="000000"/>
        </w:rPr>
        <w:t>•</w:t>
      </w:r>
      <w:r>
        <w:rPr>
          <w:rFonts w:ascii="Times New Roman;serif" w:hAnsi="Times New Roman;serif"/>
          <w:b w:val="false"/>
          <w:color w:val="000000"/>
          <w:sz w:val="24"/>
          <w:u w:val="single"/>
        </w:rPr>
        <w:t>Financial</w:t>
      </w:r>
      <w:r>
        <w:rPr>
          <w:color w:val="000000"/>
          <w:u w:val="single"/>
        </w:rPr>
        <w:t xml:space="preserve"> </w:t>
      </w:r>
      <w:r>
        <w:rPr>
          <w:rFonts w:ascii="Times New Roman;serif" w:hAnsi="Times New Roman;serif"/>
          <w:b w:val="false"/>
          <w:color w:val="000000"/>
          <w:sz w:val="24"/>
          <w:u w:val="single"/>
        </w:rPr>
        <w:t>and</w:t>
      </w:r>
      <w:r>
        <w:rPr>
          <w:color w:val="000000"/>
          <w:u w:val="single"/>
        </w:rPr>
        <w:t xml:space="preserve"> </w:t>
      </w:r>
      <w:r>
        <w:rPr>
          <w:rFonts w:ascii="Times New Roman;serif" w:hAnsi="Times New Roman;serif"/>
          <w:b w:val="false"/>
          <w:color w:val="000000"/>
          <w:sz w:val="24"/>
          <w:u w:val="single"/>
        </w:rPr>
        <w:t>Tax</w:t>
      </w:r>
      <w:r>
        <w:rPr>
          <w:color w:val="000000"/>
          <w:u w:val="single"/>
        </w:rPr>
        <w:t xml:space="preserve"> </w:t>
      </w:r>
      <w:r>
        <w:rPr>
          <w:rFonts w:ascii="Times New Roman;serif" w:hAnsi="Times New Roman;serif"/>
          <w:b w:val="false"/>
          <w:color w:val="000000"/>
          <w:sz w:val="24"/>
          <w:u w:val="single"/>
        </w:rPr>
        <w:t>Planning</w:t>
      </w:r>
      <w:r>
        <w:rPr>
          <w:color w:val="000000"/>
          <w:u w:val="single"/>
        </w:rPr>
        <w:t xml:space="preserve"> </w:t>
      </w:r>
      <w:r>
        <w:rPr>
          <w:rFonts w:ascii="Times New Roman;serif" w:hAnsi="Times New Roman;serif"/>
          <w:b w:val="false"/>
          <w:color w:val="000000"/>
          <w:sz w:val="24"/>
          <w:u w:val="single"/>
        </w:rPr>
        <w:t>Benefits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Either</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Letter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Swiss</w:t>
      </w:r>
      <w:r>
        <w:rPr>
          <w:color w:val="000000"/>
        </w:rPr>
        <w:t xml:space="preserve"> </w:t>
      </w:r>
      <w:r>
        <w:rPr>
          <w:rFonts w:ascii="Times New Roman;serif" w:hAnsi="Times New Roman;serif"/>
          <w:b w:val="false"/>
          <w:color w:val="000000"/>
          <w:sz w:val="24"/>
        </w:rPr>
        <w:t>Contract (but not both), the Company will pay, or reimburse (not on a grossed up basis) you for, up</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$25,000</w:t>
      </w:r>
      <w:r>
        <w:rPr>
          <w:color w:val="000000"/>
        </w:rPr>
        <w:t xml:space="preserve"> </w:t>
      </w:r>
      <w:r>
        <w:rPr>
          <w:rFonts w:ascii="Times New Roman;serif" w:hAnsi="Times New Roman;serif"/>
          <w:b w:val="false"/>
          <w:color w:val="000000"/>
          <w:sz w:val="24"/>
        </w:rPr>
        <w:t>per</w:t>
      </w:r>
      <w:r>
        <w:rPr>
          <w:color w:val="000000"/>
        </w:rPr>
        <w:t xml:space="preserve"> </w:t>
      </w:r>
      <w:r>
        <w:rPr>
          <w:rFonts w:ascii="Times New Roman;serif" w:hAnsi="Times New Roman;serif"/>
          <w:b w:val="false"/>
          <w:color w:val="000000"/>
          <w:sz w:val="24"/>
        </w:rPr>
        <w:t>year,</w:t>
      </w:r>
      <w:r>
        <w:rPr>
          <w:color w:val="000000"/>
        </w:rPr>
        <w:t xml:space="preserve"> </w:t>
      </w:r>
      <w:r>
        <w:rPr>
          <w:rFonts w:ascii="Times New Roman;serif" w:hAnsi="Times New Roman;serif"/>
          <w:b w:val="false"/>
          <w:color w:val="000000"/>
          <w:sz w:val="24"/>
        </w:rPr>
        <w:t>less</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taxes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withholdings,</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documented</w:t>
      </w:r>
      <w:r>
        <w:rPr>
          <w:color w:val="000000"/>
        </w:rPr>
        <w:t xml:space="preserve"> </w:t>
      </w:r>
      <w:r>
        <w:rPr>
          <w:rFonts w:ascii="Times New Roman;serif" w:hAnsi="Times New Roman;serif"/>
          <w:b w:val="false"/>
          <w:color w:val="000000"/>
          <w:sz w:val="24"/>
        </w:rPr>
        <w:t>expenses you incur by seeking personal tax preparation and planning, or financial planning services from a professional advisor or advisors during your service to the Company.</w:t>
      </w:r>
    </w:p>
    <w:p>
      <w:pPr>
        <w:pStyle w:val="TextBody"/>
        <w:bidi w:val="0"/>
        <w:spacing w:lineRule="auto" w:line="288" w:before="275" w:after="283"/>
        <w:ind w:left="0" w:right="0" w:hanging="360"/>
        <w:jc w:val="left"/>
        <w:rPr/>
      </w:pPr>
      <w:r>
        <w:rPr>
          <w:color w:val="000000"/>
        </w:rPr>
        <w:t>•</w:t>
      </w:r>
      <w:r>
        <w:rPr>
          <w:rFonts w:ascii="Times New Roman;serif" w:hAnsi="Times New Roman;serif"/>
          <w:b w:val="false"/>
          <w:color w:val="000000"/>
          <w:sz w:val="24"/>
          <w:u w:val="single"/>
        </w:rPr>
        <w:t>Life Insurance</w:t>
      </w:r>
      <w:r>
        <w:rPr>
          <w:rFonts w:ascii="Times New Roman;serif" w:hAnsi="Times New Roman;serif"/>
          <w:b w:val="false"/>
          <w:color w:val="000000"/>
          <w:sz w:val="24"/>
        </w:rPr>
        <w:t>: You will remain eligible to elect to participate in the Company’s life insurance</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Company’s</w:t>
      </w:r>
      <w:r>
        <w:rPr>
          <w:color w:val="000000"/>
        </w:rPr>
        <w:t xml:space="preserve"> </w:t>
      </w:r>
      <w:r>
        <w:rPr>
          <w:rFonts w:ascii="Times New Roman;serif" w:hAnsi="Times New Roman;serif"/>
          <w:b w:val="false"/>
          <w:color w:val="000000"/>
          <w:sz w:val="24"/>
        </w:rPr>
        <w:t>life</w:t>
      </w:r>
      <w:r>
        <w:rPr>
          <w:color w:val="000000"/>
        </w:rPr>
        <w:t xml:space="preserve"> </w:t>
      </w:r>
      <w:r>
        <w:rPr>
          <w:rFonts w:ascii="Times New Roman;serif" w:hAnsi="Times New Roman;serif"/>
          <w:b w:val="false"/>
          <w:color w:val="000000"/>
          <w:sz w:val="24"/>
        </w:rPr>
        <w:t>insurance</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that applies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Company’s</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officers,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it</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amended</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581660"/>
                <wp:effectExtent l="0" t="0" r="0" b="0"/>
                <wp:wrapNone/>
                <wp:docPr id="125" name="Frame125"/>
                <a:graphic xmlns:a="http://schemas.openxmlformats.org/drawingml/2006/main">
                  <a:graphicData uri="http://schemas.microsoft.com/office/word/2010/wordprocessingShape">
                    <wps:wsp>
                      <wps:cNvSpPr txBox="1"/>
                      <wps:spPr>
                        <a:xfrm>
                          <a:off x="0" y="0"/>
                          <a:ext cx="6480175" cy="58166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8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40" w:before="240" w:after="283"/>
        <w:jc w:val="left"/>
        <w:rPr>
          <w:rFonts w:ascii="Times New Roman;serif" w:hAnsi="Times New Roman;serif"/>
          <w:b/>
          <w:color w:val="000000"/>
          <w:sz w:val="24"/>
          <w:u w:val="single"/>
        </w:rPr>
      </w:pPr>
      <w:r>
        <w:rPr>
          <w:rFonts w:ascii="Times New Roman;serif" w:hAnsi="Times New Roman;serif"/>
          <w:b/>
          <w:color w:val="000000"/>
          <w:sz w:val="24"/>
          <w:u w:val="single"/>
        </w:rPr>
        <w:t>Severance</w:t>
      </w:r>
    </w:p>
    <w:p>
      <w:pPr>
        <w:pStyle w:val="TextBody"/>
        <w:bidi w:val="0"/>
        <w:spacing w:lineRule="auto" w:line="288" w:before="240" w:after="283"/>
        <w:ind w:left="0" w:right="0" w:firstLine="720"/>
        <w:jc w:val="left"/>
        <w:rPr/>
      </w:pP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your</w:t>
      </w:r>
      <w:r>
        <w:rPr>
          <w:color w:val="000000"/>
        </w:rPr>
        <w:t xml:space="preserve"> </w:t>
      </w:r>
      <w:r>
        <w:rPr>
          <w:rFonts w:ascii="Times New Roman;serif" w:hAnsi="Times New Roman;serif"/>
          <w:b w:val="false"/>
          <w:color w:val="000000"/>
          <w:sz w:val="24"/>
        </w:rPr>
        <w:t>Hire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extent</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already</w:t>
      </w:r>
      <w:r>
        <w:rPr>
          <w:color w:val="000000"/>
        </w:rPr>
        <w:t xml:space="preserve"> </w:t>
      </w:r>
      <w:r>
        <w:rPr>
          <w:rFonts w:ascii="Times New Roman;serif" w:hAnsi="Times New Roman;serif"/>
          <w:b w:val="false"/>
          <w:color w:val="000000"/>
          <w:sz w:val="24"/>
        </w:rPr>
        <w:t>completed</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component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 Swiss</w:t>
      </w:r>
      <w:r>
        <w:rPr>
          <w:color w:val="000000"/>
        </w:rPr>
        <w:t xml:space="preserve"> </w:t>
      </w:r>
      <w:r>
        <w:rPr>
          <w:rFonts w:ascii="Times New Roman;serif" w:hAnsi="Times New Roman;serif"/>
          <w:b w:val="false"/>
          <w:color w:val="000000"/>
          <w:sz w:val="24"/>
        </w:rPr>
        <w:t>Contract,</w:t>
      </w:r>
      <w:r>
        <w:rPr>
          <w:color w:val="000000"/>
        </w:rPr>
        <w:t xml:space="preserve"> </w:t>
      </w:r>
      <w:r>
        <w:rPr>
          <w:rFonts w:ascii="Times New Roman;serif" w:hAnsi="Times New Roman;serif"/>
          <w:b w:val="false"/>
          <w:color w:val="000000"/>
          <w:sz w:val="24"/>
        </w:rPr>
        <w:t>you</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receive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Participation</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Company’s</w:t>
      </w:r>
      <w:r>
        <w:rPr>
          <w:color w:val="000000"/>
        </w:rPr>
        <w:t xml:space="preserve"> </w:t>
      </w:r>
      <w:r>
        <w:rPr>
          <w:rFonts w:ascii="Times New Roman;serif" w:hAnsi="Times New Roman;serif"/>
          <w:b w:val="false"/>
          <w:color w:val="000000"/>
          <w:sz w:val="24"/>
        </w:rPr>
        <w:t>standard</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for your</w:t>
      </w:r>
      <w:r>
        <w:rPr>
          <w:color w:val="000000"/>
        </w:rPr>
        <w:t xml:space="preserve"> </w:t>
      </w:r>
      <w:r>
        <w:rPr>
          <w:rFonts w:ascii="Times New Roman;serif" w:hAnsi="Times New Roman;serif"/>
          <w:b w:val="false"/>
          <w:color w:val="000000"/>
          <w:sz w:val="24"/>
        </w:rPr>
        <w:t>review</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signature.</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your</w:t>
      </w:r>
      <w:r>
        <w:rPr>
          <w:color w:val="000000"/>
        </w:rPr>
        <w:t xml:space="preserve"> </w:t>
      </w:r>
      <w:r>
        <w:rPr>
          <w:rFonts w:ascii="Times New Roman;serif" w:hAnsi="Times New Roman;serif"/>
          <w:b w:val="false"/>
          <w:color w:val="000000"/>
          <w:sz w:val="24"/>
        </w:rPr>
        <w:t>acceptance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Participation</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 Severance Plan, you will be eligible for the severance benefits described in the Severance Plan and your Participation Agreement (but for the avoidance of doubt, noting that you will only be eligible for such severance pursuant to a qualified separation from employment under either the Swiss Contract (with the understanding that separation from employment under the Swiss Contract in order to commence or continue employment under this Letter shall not trigger any severance entitlement under the Severance Plan or Participation Agreement), or pursuant to this Letter, and not both). Your Participation Agreement shall reflect the following, subject to any terms and conditions set forth therein (but in any event subject to your timely execution, non-revocation, and compliance with a separation agreement and release): (a) in the event of a Non-Change of Control Termination (as defined in the Severance Plan), (i) you shall be entitled to receive 12 months of your Monthly Base Salary (as defined in the Severance Plan), (ii) payment of any unpaid annual incentive for the prior year, and (iii) payment of a prorated target annual incentive for the year of termination with the proration equal to the fraction the numerator of which is the number of days elapsed since the first day of the year and the date of termination and the denominator of which is 365, further adjusted by the financial performance of Lucid Group,</w:t>
      </w:r>
      <w:r>
        <w:rPr>
          <w:color w:val="000000"/>
        </w:rPr>
        <w:t xml:space="preserve"> </w:t>
      </w:r>
      <w:r>
        <w:rPr>
          <w:rFonts w:ascii="Times New Roman;serif" w:hAnsi="Times New Roman;serif"/>
          <w:b w:val="false"/>
          <w:color w:val="000000"/>
          <w:sz w:val="24"/>
        </w:rPr>
        <w:t>Inc.</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year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termination</w:t>
      </w:r>
      <w:r>
        <w:rPr>
          <w:color w:val="000000"/>
        </w:rPr>
        <w:t xml:space="preserve"> </w:t>
      </w:r>
      <w:r>
        <w:rPr>
          <w:rFonts w:ascii="Times New Roman;serif" w:hAnsi="Times New Roman;serif"/>
          <w:b w:val="false"/>
          <w:color w:val="000000"/>
          <w:sz w:val="24"/>
        </w:rPr>
        <w:t>(assuming</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purpose</w:t>
      </w:r>
      <w:r>
        <w:rPr>
          <w:color w:val="000000"/>
        </w:rPr>
        <w:t xml:space="preserve"> </w:t>
      </w:r>
      <w:r>
        <w:rPr>
          <w:rFonts w:ascii="Times New Roman;serif" w:hAnsi="Times New Roman;serif"/>
          <w:b w:val="false"/>
          <w:color w:val="000000"/>
          <w:sz w:val="24"/>
        </w:rPr>
        <w:t>your</w:t>
      </w:r>
      <w:r>
        <w:rPr>
          <w:color w:val="000000"/>
        </w:rPr>
        <w:t xml:space="preserve"> </w:t>
      </w:r>
      <w:r>
        <w:rPr>
          <w:rFonts w:ascii="Times New Roman;serif" w:hAnsi="Times New Roman;serif"/>
          <w:b w:val="false"/>
          <w:color w:val="000000"/>
          <w:sz w:val="24"/>
        </w:rPr>
        <w:t>individual</w:t>
      </w:r>
      <w:r>
        <w:rPr>
          <w:color w:val="000000"/>
        </w:rPr>
        <w:t xml:space="preserve"> </w:t>
      </w:r>
      <w:r>
        <w:rPr>
          <w:rFonts w:ascii="Times New Roman;serif" w:hAnsi="Times New Roman;serif"/>
          <w:b w:val="false"/>
          <w:color w:val="000000"/>
          <w:sz w:val="24"/>
        </w:rPr>
        <w:t>performance</w:t>
      </w:r>
      <w:r>
        <w:rPr>
          <w:color w:val="000000"/>
        </w:rPr>
        <w:t xml:space="preserve"> </w:t>
      </w:r>
      <w:r>
        <w:rPr>
          <w:rFonts w:ascii="Times New Roman;serif" w:hAnsi="Times New Roman;serif"/>
          <w:b w:val="false"/>
          <w:color w:val="000000"/>
          <w:sz w:val="24"/>
        </w:rPr>
        <w:t>is at target); and (b) in the event of a Change of Control Termination (as defined in the Severance Plan), (i) you shall be entitled to receive 24 months of your Monthly Base Salary and Monthly Bonus Amount (in each case, as defined in the Severance Plan) and (ii) 100% of your outstanding, unvested Company equity awards will accelerate and are eligible for acceleration under the Severance Plan. If your start date as CEO does not occur on or before December 31, 2026 for reasons other than the failure to obtain the O-1 visa, you will have incurred a Constructive</w:t>
      </w:r>
      <w:r>
        <w:rPr>
          <w:color w:val="000000"/>
        </w:rPr>
        <w:t xml:space="preserve"> </w:t>
      </w:r>
      <w:r>
        <w:rPr>
          <w:rFonts w:ascii="Times New Roman;serif" w:hAnsi="Times New Roman;serif"/>
          <w:b w:val="false"/>
          <w:color w:val="000000"/>
          <w:sz w:val="24"/>
        </w:rPr>
        <w:t>Termination</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Severance</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avoidance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doubt,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requirement that</w:t>
      </w:r>
      <w:r>
        <w:rPr>
          <w:color w:val="000000"/>
        </w:rPr>
        <w:t xml:space="preserve"> </w:t>
      </w:r>
      <w:r>
        <w:rPr>
          <w:rFonts w:ascii="Times New Roman;serif" w:hAnsi="Times New Roman;serif"/>
          <w:b w:val="false"/>
          <w:color w:val="000000"/>
          <w:sz w:val="24"/>
        </w:rPr>
        <w:t>you</w:t>
      </w:r>
      <w:r>
        <w:rPr>
          <w:color w:val="000000"/>
        </w:rPr>
        <w:t xml:space="preserve"> </w:t>
      </w:r>
      <w:r>
        <w:rPr>
          <w:rFonts w:ascii="Times New Roman;serif" w:hAnsi="Times New Roman;serif"/>
          <w:b w:val="false"/>
          <w:color w:val="000000"/>
          <w:sz w:val="24"/>
        </w:rPr>
        <w:t>relocate</w:t>
      </w:r>
      <w:r>
        <w:rPr>
          <w:color w:val="000000"/>
        </w:rPr>
        <w:t xml:space="preserve"> </w:t>
      </w:r>
      <w:r>
        <w:rPr>
          <w:rFonts w:ascii="Times New Roman;serif" w:hAnsi="Times New Roman;serif"/>
          <w:b w:val="false"/>
          <w:color w:val="000000"/>
          <w:sz w:val="24"/>
        </w:rPr>
        <w:t>your</w:t>
      </w:r>
      <w:r>
        <w:rPr>
          <w:color w:val="000000"/>
        </w:rPr>
        <w:t xml:space="preserve"> </w:t>
      </w:r>
      <w:r>
        <w:rPr>
          <w:rFonts w:ascii="Times New Roman;serif" w:hAnsi="Times New Roman;serif"/>
          <w:b w:val="false"/>
          <w:color w:val="000000"/>
          <w:sz w:val="24"/>
        </w:rPr>
        <w:t>principal</w:t>
      </w:r>
      <w:r>
        <w:rPr>
          <w:color w:val="000000"/>
        </w:rPr>
        <w:t xml:space="preserve"> </w:t>
      </w:r>
      <w:r>
        <w:rPr>
          <w:rFonts w:ascii="Times New Roman;serif" w:hAnsi="Times New Roman;serif"/>
          <w:b w:val="false"/>
          <w:color w:val="000000"/>
          <w:sz w:val="24"/>
        </w:rPr>
        <w:t>place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employment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Newark,</w:t>
      </w:r>
      <w:r>
        <w:rPr>
          <w:color w:val="000000"/>
        </w:rPr>
        <w:t xml:space="preserve"> </w:t>
      </w:r>
      <w:r>
        <w:rPr>
          <w:rFonts w:ascii="Times New Roman;serif" w:hAnsi="Times New Roman;serif"/>
          <w:b w:val="false"/>
          <w:color w:val="000000"/>
          <w:sz w:val="24"/>
        </w:rPr>
        <w:t>California</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becoming</w:t>
      </w:r>
      <w:r>
        <w:rPr>
          <w:color w:val="000000"/>
        </w:rPr>
        <w:t xml:space="preserve"> </w:t>
      </w:r>
      <w:r>
        <w:rPr>
          <w:rFonts w:ascii="Times New Roman;serif" w:hAnsi="Times New Roman;serif"/>
          <w:b w:val="false"/>
          <w:color w:val="000000"/>
          <w:sz w:val="24"/>
        </w:rPr>
        <w:t>CEO and the requirement to establish a residence in the SFBA, shall not constitute a Constructive Termination (as defined in the Severance Plan).</w:t>
      </w:r>
    </w:p>
    <w:p>
      <w:pPr>
        <w:pStyle w:val="TextBody"/>
        <w:bidi w:val="0"/>
        <w:spacing w:lineRule="auto" w:line="288" w:before="240" w:after="283"/>
        <w:jc w:val="left"/>
        <w:rPr>
          <w:rFonts w:ascii="Times New Roman;serif" w:hAnsi="Times New Roman;serif"/>
          <w:b/>
          <w:color w:val="000000"/>
          <w:sz w:val="24"/>
          <w:u w:val="single"/>
        </w:rPr>
      </w:pPr>
      <w:r>
        <w:rPr>
          <w:rFonts w:ascii="Times New Roman;serif" w:hAnsi="Times New Roman;serif"/>
          <w:b/>
          <w:color w:val="000000"/>
          <w:sz w:val="24"/>
          <w:u w:val="single"/>
        </w:rPr>
        <w:t>Location</w:t>
      </w:r>
    </w:p>
    <w:p>
      <w:pPr>
        <w:pStyle w:val="TextBody"/>
        <w:bidi w:val="0"/>
        <w:spacing w:lineRule="auto" w:line="288" w:before="240" w:after="283"/>
        <w:ind w:left="0" w:right="0" w:firstLine="720"/>
        <w:jc w:val="both"/>
        <w:rPr/>
      </w:pPr>
      <w:r>
        <w:rPr>
          <w:rFonts w:ascii="Times New Roman;serif" w:hAnsi="Times New Roman;serif"/>
          <w:b w:val="false"/>
          <w:color w:val="000000"/>
          <w:sz w:val="24"/>
        </w:rPr>
        <w:t>Your</w:t>
      </w:r>
      <w:r>
        <w:rPr>
          <w:color w:val="000000"/>
        </w:rPr>
        <w:t xml:space="preserve"> </w:t>
      </w:r>
      <w:r>
        <w:rPr>
          <w:rFonts w:ascii="Times New Roman;serif" w:hAnsi="Times New Roman;serif"/>
          <w:b w:val="false"/>
          <w:color w:val="000000"/>
          <w:sz w:val="24"/>
        </w:rPr>
        <w:t>principal</w:t>
      </w:r>
      <w:r>
        <w:rPr>
          <w:color w:val="000000"/>
        </w:rPr>
        <w:t xml:space="preserve"> </w:t>
      </w:r>
      <w:r>
        <w:rPr>
          <w:rFonts w:ascii="Times New Roman;serif" w:hAnsi="Times New Roman;serif"/>
          <w:b w:val="false"/>
          <w:color w:val="000000"/>
          <w:sz w:val="24"/>
        </w:rPr>
        <w:t>place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employment</w:t>
      </w:r>
      <w:r>
        <w:rPr>
          <w:color w:val="000000"/>
        </w:rPr>
        <w:t xml:space="preserve"> </w:t>
      </w:r>
      <w:r>
        <w:rPr>
          <w:rFonts w:ascii="Times New Roman;serif" w:hAnsi="Times New Roman;serif"/>
          <w:b w:val="false"/>
          <w:color w:val="000000"/>
          <w:sz w:val="24"/>
        </w:rPr>
        <w:t>while</w:t>
      </w:r>
      <w:r>
        <w:rPr>
          <w:color w:val="000000"/>
        </w:rPr>
        <w:t xml:space="preserve"> </w:t>
      </w:r>
      <w:r>
        <w:rPr>
          <w:rFonts w:ascii="Times New Roman;serif" w:hAnsi="Times New Roman;serif"/>
          <w:b w:val="false"/>
          <w:color w:val="000000"/>
          <w:sz w:val="24"/>
        </w:rPr>
        <w:t>serving</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CEO</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Newark,</w:t>
      </w:r>
      <w:r>
        <w:rPr>
          <w:color w:val="000000"/>
        </w:rPr>
        <w:t xml:space="preserve"> </w:t>
      </w:r>
      <w:r>
        <w:rPr>
          <w:rFonts w:ascii="Times New Roman;serif" w:hAnsi="Times New Roman;serif"/>
          <w:b w:val="false"/>
          <w:color w:val="000000"/>
          <w:sz w:val="24"/>
        </w:rPr>
        <w:t>California. You</w:t>
      </w:r>
      <w:r>
        <w:rPr>
          <w:color w:val="000000"/>
        </w:rPr>
        <w:t xml:space="preserve"> </w:t>
      </w:r>
      <w:r>
        <w:rPr>
          <w:rFonts w:ascii="Times New Roman;serif" w:hAnsi="Times New Roman;serif"/>
          <w:b w:val="false"/>
          <w:color w:val="000000"/>
          <w:sz w:val="24"/>
        </w:rPr>
        <w:t>understand</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you will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travel in</w:t>
      </w:r>
      <w:r>
        <w:rPr>
          <w:color w:val="000000"/>
        </w:rPr>
        <w:t xml:space="preserve"> </w:t>
      </w:r>
      <w:r>
        <w:rPr>
          <w:rFonts w:ascii="Times New Roman;serif" w:hAnsi="Times New Roman;serif"/>
          <w:b w:val="false"/>
          <w:color w:val="000000"/>
          <w:sz w:val="24"/>
        </w:rPr>
        <w:t>connection</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performance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your duties as the business requires.</w:t>
      </w:r>
    </w:p>
    <w:p>
      <w:pPr>
        <w:pStyle w:val="TextBody"/>
        <w:bidi w:val="0"/>
        <w:spacing w:lineRule="auto" w:line="288" w:before="240" w:after="283"/>
        <w:jc w:val="left"/>
        <w:rPr>
          <w:rFonts w:ascii="Times New Roman;serif" w:hAnsi="Times New Roman;serif"/>
          <w:b/>
          <w:color w:val="000000"/>
          <w:sz w:val="24"/>
          <w:u w:val="single"/>
        </w:rPr>
      </w:pPr>
      <w:r>
        <w:rPr>
          <w:rFonts w:ascii="Times New Roman;serif" w:hAnsi="Times New Roman;serif"/>
          <w:b/>
          <w:color w:val="000000"/>
          <w:sz w:val="24"/>
          <w:u w:val="single"/>
        </w:rPr>
        <w:t>Indemnification</w:t>
      </w:r>
    </w:p>
    <w:p>
      <w:pPr>
        <w:pStyle w:val="TextBody"/>
        <w:bidi w:val="0"/>
        <w:spacing w:lineRule="auto" w:line="288" w:before="240" w:after="283"/>
        <w:ind w:left="0" w:right="0" w:firstLine="720"/>
        <w:jc w:val="left"/>
        <w:rPr/>
      </w:pPr>
      <w:r>
        <w:rPr>
          <w:rFonts w:ascii="Times New Roman;serif" w:hAnsi="Times New Roman;serif"/>
          <w:b w:val="false"/>
          <w:color w:val="000000"/>
          <w:sz w:val="24"/>
        </w:rPr>
        <w:t>As a senior executive of the Company, you will receive the same or comparable indemnification</w:t>
      </w:r>
      <w:r>
        <w:rPr>
          <w:color w:val="000000"/>
        </w:rPr>
        <w:t xml:space="preserve"> </w:t>
      </w:r>
      <w:r>
        <w:rPr>
          <w:rFonts w:ascii="Times New Roman;serif" w:hAnsi="Times New Roman;serif"/>
          <w:b w:val="false"/>
          <w:color w:val="000000"/>
          <w:sz w:val="24"/>
        </w:rPr>
        <w:t>protections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directors’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officers’</w:t>
      </w:r>
      <w:r>
        <w:rPr>
          <w:color w:val="000000"/>
        </w:rPr>
        <w:t xml:space="preserve"> </w:t>
      </w:r>
      <w:r>
        <w:rPr>
          <w:rFonts w:ascii="Times New Roman;serif" w:hAnsi="Times New Roman;serif"/>
          <w:b w:val="false"/>
          <w:color w:val="000000"/>
          <w:sz w:val="24"/>
        </w:rPr>
        <w:t>liability</w:t>
      </w:r>
      <w:r>
        <w:rPr>
          <w:color w:val="000000"/>
        </w:rPr>
        <w:t xml:space="preserve"> </w:t>
      </w:r>
      <w:r>
        <w:rPr>
          <w:rFonts w:ascii="Times New Roman;serif" w:hAnsi="Times New Roman;serif"/>
          <w:b w:val="false"/>
          <w:color w:val="000000"/>
          <w:sz w:val="24"/>
        </w:rPr>
        <w:t>insurance</w:t>
      </w:r>
      <w:r>
        <w:rPr>
          <w:color w:val="000000"/>
        </w:rPr>
        <w:t xml:space="preserve"> </w:t>
      </w:r>
      <w:r>
        <w:rPr>
          <w:rFonts w:ascii="Times New Roman;serif" w:hAnsi="Times New Roman;serif"/>
          <w:b w:val="false"/>
          <w:color w:val="000000"/>
          <w:sz w:val="24"/>
        </w:rPr>
        <w:t>coverage</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that provided to the Company’s other senior executives.</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581660"/>
                <wp:effectExtent l="0" t="0" r="0" b="0"/>
                <wp:wrapNone/>
                <wp:docPr id="126" name="Frame126"/>
                <a:graphic xmlns:a="http://schemas.openxmlformats.org/drawingml/2006/main">
                  <a:graphicData uri="http://schemas.microsoft.com/office/word/2010/wordprocessingShape">
                    <wps:wsp>
                      <wps:cNvSpPr txBox="1"/>
                      <wps:spPr>
                        <a:xfrm>
                          <a:off x="0" y="0"/>
                          <a:ext cx="6480175" cy="58166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8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40" w:before="240" w:after="283"/>
        <w:jc w:val="left"/>
        <w:rPr/>
      </w:pPr>
      <w:r>
        <w:rPr>
          <w:rFonts w:ascii="Times New Roman;serif" w:hAnsi="Times New Roman;serif"/>
          <w:b/>
          <w:color w:val="000000"/>
          <w:sz w:val="24"/>
          <w:u w:val="single"/>
        </w:rPr>
        <w:t>Stock</w:t>
      </w:r>
      <w:r>
        <w:rPr>
          <w:color w:val="000000"/>
          <w:u w:val="single"/>
        </w:rPr>
        <w:t xml:space="preserve"> </w:t>
      </w:r>
      <w:r>
        <w:rPr>
          <w:rFonts w:ascii="Times New Roman;serif" w:hAnsi="Times New Roman;serif"/>
          <w:b/>
          <w:color w:val="000000"/>
          <w:sz w:val="24"/>
          <w:u w:val="single"/>
        </w:rPr>
        <w:t>Ownership</w:t>
      </w:r>
      <w:r>
        <w:rPr>
          <w:color w:val="000000"/>
          <w:u w:val="single"/>
        </w:rPr>
        <w:t xml:space="preserve"> </w:t>
      </w:r>
      <w:r>
        <w:rPr>
          <w:rFonts w:ascii="Times New Roman;serif" w:hAnsi="Times New Roman;serif"/>
          <w:b/>
          <w:color w:val="000000"/>
          <w:sz w:val="24"/>
          <w:u w:val="single"/>
        </w:rPr>
        <w:t>Guidelines</w:t>
      </w:r>
    </w:p>
    <w:p>
      <w:pPr>
        <w:pStyle w:val="TextBody"/>
        <w:bidi w:val="0"/>
        <w:spacing w:lineRule="auto" w:line="288" w:before="240" w:after="283"/>
        <w:ind w:left="0" w:right="0" w:firstLine="720"/>
        <w:jc w:val="left"/>
        <w:rPr/>
      </w:pPr>
      <w:r>
        <w:rPr>
          <w:rFonts w:ascii="Times New Roman;serif" w:hAnsi="Times New Roman;serif"/>
          <w:b w:val="false"/>
          <w:color w:val="000000"/>
          <w:sz w:val="24"/>
        </w:rPr>
        <w:t>You</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expected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maintain</w:t>
      </w:r>
      <w:r>
        <w:rPr>
          <w:color w:val="000000"/>
        </w:rPr>
        <w:t xml:space="preserve"> </w:t>
      </w:r>
      <w:r>
        <w:rPr>
          <w:rFonts w:ascii="Times New Roman;serif" w:hAnsi="Times New Roman;serif"/>
          <w:b w:val="false"/>
          <w:color w:val="000000"/>
          <w:sz w:val="24"/>
        </w:rPr>
        <w:t>compliance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Company’s</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Ownership Guidelines, as in effect from time to time.</w:t>
      </w:r>
    </w:p>
    <w:p>
      <w:pPr>
        <w:pStyle w:val="TextBody"/>
        <w:bidi w:val="0"/>
        <w:spacing w:lineRule="auto" w:line="288" w:before="240" w:after="283"/>
        <w:jc w:val="left"/>
        <w:rPr/>
      </w:pPr>
      <w:r>
        <w:rPr>
          <w:rFonts w:ascii="Times New Roman;serif" w:hAnsi="Times New Roman;serif"/>
          <w:b/>
          <w:color w:val="000000"/>
          <w:sz w:val="24"/>
          <w:u w:val="single"/>
        </w:rPr>
        <w:t>Director</w:t>
      </w:r>
      <w:r>
        <w:rPr>
          <w:color w:val="000000"/>
          <w:u w:val="single"/>
        </w:rPr>
        <w:t xml:space="preserve"> </w:t>
      </w:r>
      <w:r>
        <w:rPr>
          <w:rFonts w:ascii="Times New Roman;serif" w:hAnsi="Times New Roman;serif"/>
          <w:b/>
          <w:color w:val="000000"/>
          <w:sz w:val="24"/>
          <w:u w:val="single"/>
        </w:rPr>
        <w:t>Service</w:t>
      </w:r>
      <w:r>
        <w:rPr>
          <w:color w:val="000000"/>
          <w:u w:val="single"/>
        </w:rPr>
        <w:t xml:space="preserve"> </w:t>
      </w:r>
      <w:r>
        <w:rPr>
          <w:rFonts w:ascii="Times New Roman;serif" w:hAnsi="Times New Roman;serif"/>
          <w:b/>
          <w:color w:val="000000"/>
          <w:sz w:val="24"/>
          <w:u w:val="single"/>
        </w:rPr>
        <w:t>and</w:t>
      </w:r>
      <w:r>
        <w:rPr>
          <w:color w:val="000000"/>
          <w:u w:val="single"/>
        </w:rPr>
        <w:t xml:space="preserve"> </w:t>
      </w:r>
      <w:r>
        <w:rPr>
          <w:rFonts w:ascii="Times New Roman;serif" w:hAnsi="Times New Roman;serif"/>
          <w:b/>
          <w:color w:val="000000"/>
          <w:sz w:val="24"/>
          <w:u w:val="single"/>
        </w:rPr>
        <w:t>Compensation</w:t>
      </w:r>
    </w:p>
    <w:p>
      <w:pPr>
        <w:pStyle w:val="TextBody"/>
        <w:bidi w:val="0"/>
        <w:spacing w:lineRule="auto" w:line="288" w:before="240" w:after="283"/>
        <w:ind w:left="0" w:right="0" w:firstLine="720"/>
        <w:jc w:val="both"/>
        <w:rPr/>
      </w:pP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appoint</w:t>
      </w:r>
      <w:r>
        <w:rPr>
          <w:color w:val="000000"/>
        </w:rPr>
        <w:t xml:space="preserve"> </w:t>
      </w:r>
      <w:r>
        <w:rPr>
          <w:rFonts w:ascii="Times New Roman;serif" w:hAnsi="Times New Roman;serif"/>
          <w:b w:val="false"/>
          <w:color w:val="000000"/>
          <w:sz w:val="24"/>
        </w:rPr>
        <w:t>you</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your</w:t>
      </w:r>
      <w:r>
        <w:rPr>
          <w:color w:val="000000"/>
        </w:rPr>
        <w:t xml:space="preserve"> </w:t>
      </w:r>
      <w:r>
        <w:rPr>
          <w:rFonts w:ascii="Times New Roman;serif" w:hAnsi="Times New Roman;serif"/>
          <w:b w:val="false"/>
          <w:color w:val="000000"/>
          <w:sz w:val="24"/>
        </w:rPr>
        <w:t>Swiss</w:t>
      </w:r>
      <w:r>
        <w:rPr>
          <w:color w:val="000000"/>
        </w:rPr>
        <w:t xml:space="preserve"> </w:t>
      </w:r>
      <w:r>
        <w:rPr>
          <w:rFonts w:ascii="Times New Roman;serif" w:hAnsi="Times New Roman;serif"/>
          <w:b w:val="false"/>
          <w:color w:val="000000"/>
          <w:sz w:val="24"/>
        </w:rPr>
        <w:t>Contract</w:t>
      </w:r>
      <w:r>
        <w:rPr>
          <w:color w:val="000000"/>
        </w:rPr>
        <w:t xml:space="preserve"> </w:t>
      </w:r>
      <w:r>
        <w:rPr>
          <w:rFonts w:ascii="Times New Roman;serif" w:hAnsi="Times New Roman;serif"/>
          <w:b w:val="false"/>
          <w:color w:val="000000"/>
          <w:sz w:val="24"/>
        </w:rPr>
        <w:t>Commencement</w:t>
      </w:r>
      <w:r>
        <w:rPr>
          <w:color w:val="000000"/>
        </w:rPr>
        <w:t xml:space="preserve"> </w:t>
      </w:r>
      <w:r>
        <w:rPr>
          <w:rFonts w:ascii="Times New Roman;serif" w:hAnsi="Times New Roman;serif"/>
          <w:b w:val="false"/>
          <w:color w:val="000000"/>
          <w:sz w:val="24"/>
        </w:rPr>
        <w:t>Date and will use its reasonable efforts to cause you to be re-elected to the Board while</w:t>
      </w:r>
      <w:r>
        <w:rPr>
          <w:color w:val="000000"/>
        </w:rPr>
        <w:t xml:space="preserve"> </w:t>
      </w:r>
      <w:r>
        <w:rPr>
          <w:rFonts w:ascii="Times New Roman;serif" w:hAnsi="Times New Roman;serif"/>
          <w:b w:val="false"/>
          <w:color w:val="000000"/>
          <w:sz w:val="24"/>
        </w:rPr>
        <w:t>you serve as CEO. If the Board fails to nominate you as a director at the expiration of any particular term without Cause (as defined under the Severance Plan), you will have incurred a Constructive Termination</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Severance</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You</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earn</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compensation</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your</w:t>
      </w:r>
      <w:r>
        <w:rPr>
          <w:color w:val="000000"/>
        </w:rPr>
        <w:t xml:space="preserve"> </w:t>
      </w:r>
      <w:r>
        <w:rPr>
          <w:rFonts w:ascii="Times New Roman;serif" w:hAnsi="Times New Roman;serif"/>
          <w:b w:val="false"/>
          <w:color w:val="000000"/>
          <w:sz w:val="24"/>
        </w:rPr>
        <w:t>service</w:t>
      </w:r>
      <w:r>
        <w:rPr>
          <w:color w:val="000000"/>
        </w:rPr>
        <w:t xml:space="preserve"> </w:t>
      </w:r>
      <w:r>
        <w:rPr>
          <w:rFonts w:ascii="Times New Roman;serif" w:hAnsi="Times New Roman;serif"/>
          <w:b w:val="false"/>
          <w:color w:val="000000"/>
          <w:sz w:val="24"/>
        </w:rPr>
        <w:t>on the Board while you are employed by the Company pursuant to this Letter.</w:t>
      </w:r>
    </w:p>
    <w:p>
      <w:pPr>
        <w:pStyle w:val="TextBody"/>
        <w:bidi w:val="0"/>
        <w:spacing w:lineRule="auto" w:line="288" w:before="240" w:after="283"/>
        <w:jc w:val="left"/>
        <w:rPr/>
      </w:pPr>
      <w:r>
        <w:rPr>
          <w:rFonts w:ascii="Times New Roman;serif" w:hAnsi="Times New Roman;serif"/>
          <w:b/>
          <w:color w:val="000000"/>
          <w:sz w:val="24"/>
          <w:u w:val="single"/>
        </w:rPr>
        <w:t>Confidential</w:t>
      </w:r>
      <w:r>
        <w:rPr>
          <w:color w:val="000000"/>
          <w:u w:val="single"/>
        </w:rPr>
        <w:t xml:space="preserve"> </w:t>
      </w:r>
      <w:r>
        <w:rPr>
          <w:rFonts w:ascii="Times New Roman;serif" w:hAnsi="Times New Roman;serif"/>
          <w:b/>
          <w:color w:val="000000"/>
          <w:sz w:val="24"/>
          <w:u w:val="single"/>
        </w:rPr>
        <w:t>Information</w:t>
      </w:r>
      <w:r>
        <w:rPr>
          <w:color w:val="000000"/>
          <w:u w:val="single"/>
        </w:rPr>
        <w:t xml:space="preserve"> </w:t>
      </w:r>
      <w:r>
        <w:rPr>
          <w:rFonts w:ascii="Times New Roman;serif" w:hAnsi="Times New Roman;serif"/>
          <w:b/>
          <w:color w:val="000000"/>
          <w:sz w:val="24"/>
          <w:u w:val="single"/>
        </w:rPr>
        <w:t>and</w:t>
      </w:r>
      <w:r>
        <w:rPr>
          <w:color w:val="000000"/>
          <w:u w:val="single"/>
        </w:rPr>
        <w:t xml:space="preserve"> </w:t>
      </w:r>
      <w:r>
        <w:rPr>
          <w:rFonts w:ascii="Times New Roman;serif" w:hAnsi="Times New Roman;serif"/>
          <w:b/>
          <w:color w:val="000000"/>
          <w:sz w:val="24"/>
          <w:u w:val="single"/>
        </w:rPr>
        <w:t>Invention</w:t>
      </w:r>
      <w:r>
        <w:rPr>
          <w:color w:val="000000"/>
          <w:u w:val="single"/>
        </w:rPr>
        <w:t xml:space="preserve"> </w:t>
      </w:r>
      <w:r>
        <w:rPr>
          <w:rFonts w:ascii="Times New Roman;serif" w:hAnsi="Times New Roman;serif"/>
          <w:b/>
          <w:color w:val="000000"/>
          <w:sz w:val="24"/>
          <w:u w:val="single"/>
        </w:rPr>
        <w:t>Assignment</w:t>
      </w:r>
      <w:r>
        <w:rPr>
          <w:color w:val="000000"/>
          <w:u w:val="single"/>
        </w:rPr>
        <w:t xml:space="preserve"> </w:t>
      </w:r>
      <w:r>
        <w:rPr>
          <w:rFonts w:ascii="Times New Roman;serif" w:hAnsi="Times New Roman;serif"/>
          <w:b/>
          <w:color w:val="000000"/>
          <w:sz w:val="24"/>
          <w:u w:val="single"/>
        </w:rPr>
        <w:t>Agreement;</w:t>
      </w:r>
      <w:r>
        <w:rPr>
          <w:color w:val="000000"/>
          <w:u w:val="single"/>
        </w:rPr>
        <w:t xml:space="preserve"> </w:t>
      </w:r>
      <w:r>
        <w:rPr>
          <w:rFonts w:ascii="Times New Roman;serif" w:hAnsi="Times New Roman;serif"/>
          <w:b/>
          <w:color w:val="000000"/>
          <w:sz w:val="24"/>
          <w:u w:val="single"/>
        </w:rPr>
        <w:t>Arbitration</w:t>
      </w:r>
      <w:r>
        <w:rPr>
          <w:color w:val="000000"/>
          <w:u w:val="single"/>
        </w:rPr>
        <w:t xml:space="preserve"> </w:t>
      </w:r>
      <w:r>
        <w:rPr>
          <w:rFonts w:ascii="Times New Roman;serif" w:hAnsi="Times New Roman;serif"/>
          <w:b/>
          <w:color w:val="000000"/>
          <w:sz w:val="24"/>
          <w:u w:val="single"/>
        </w:rPr>
        <w:t>Agreement</w:t>
      </w:r>
    </w:p>
    <w:p>
      <w:pPr>
        <w:pStyle w:val="TextBody"/>
        <w:bidi w:val="0"/>
        <w:spacing w:lineRule="auto" w:line="288" w:before="240" w:after="283"/>
        <w:ind w:left="0" w:right="0" w:firstLine="720"/>
        <w:jc w:val="left"/>
        <w:rPr/>
      </w:pPr>
      <w:r>
        <w:rPr>
          <w:rFonts w:ascii="Times New Roman;serif" w:hAnsi="Times New Roman;serif"/>
          <w:b w:val="false"/>
          <w:color w:val="000000"/>
          <w:sz w:val="24"/>
        </w:rPr>
        <w:t>Your acceptance of this offer and commencement of employment with the Company is contingent</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execution,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delivery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officer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Company’s</w:t>
      </w:r>
      <w:r>
        <w:rPr>
          <w:color w:val="000000"/>
        </w:rPr>
        <w:t xml:space="preserve"> </w:t>
      </w:r>
      <w:r>
        <w:rPr>
          <w:rFonts w:ascii="Times New Roman;serif" w:hAnsi="Times New Roman;serif"/>
          <w:b w:val="false"/>
          <w:color w:val="000000"/>
          <w:sz w:val="24"/>
        </w:rPr>
        <w:t>(i) Confidential</w:t>
      </w:r>
      <w:r>
        <w:rPr>
          <w:color w:val="000000"/>
        </w:rPr>
        <w:t xml:space="preserve"> </w:t>
      </w:r>
      <w:r>
        <w:rPr>
          <w:rFonts w:ascii="Times New Roman;serif" w:hAnsi="Times New Roman;serif"/>
          <w:b w:val="false"/>
          <w:color w:val="000000"/>
          <w:sz w:val="24"/>
        </w:rPr>
        <w:t>Information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Invention</w:t>
      </w:r>
      <w:r>
        <w:rPr>
          <w:color w:val="000000"/>
        </w:rPr>
        <w:t xml:space="preserve"> </w:t>
      </w:r>
      <w:r>
        <w:rPr>
          <w:rFonts w:ascii="Times New Roman;serif" w:hAnsi="Times New Roman;serif"/>
          <w:b w:val="false"/>
          <w:color w:val="000000"/>
          <w:sz w:val="24"/>
        </w:rPr>
        <w:t>Assignment</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(ii)</w:t>
      </w:r>
      <w:r>
        <w:rPr>
          <w:color w:val="000000"/>
        </w:rPr>
        <w:t xml:space="preserve"> </w:t>
      </w:r>
      <w:r>
        <w:rPr>
          <w:rFonts w:ascii="Times New Roman;serif" w:hAnsi="Times New Roman;serif"/>
          <w:b w:val="false"/>
          <w:color w:val="000000"/>
          <w:sz w:val="24"/>
        </w:rPr>
        <w:t>Arbitration</w:t>
      </w:r>
      <w:r>
        <w:rPr>
          <w:color w:val="000000"/>
        </w:rPr>
        <w:t xml:space="preserve"> </w:t>
      </w:r>
      <w:r>
        <w:rPr>
          <w:rFonts w:ascii="Times New Roman;serif" w:hAnsi="Times New Roman;serif"/>
          <w:b w:val="false"/>
          <w:color w:val="000000"/>
          <w:sz w:val="24"/>
        </w:rPr>
        <w:t>Agreement, in each case, prior to or on the Hire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581660"/>
                <wp:effectExtent l="0" t="0" r="0" b="0"/>
                <wp:wrapNone/>
                <wp:docPr id="127" name="Frame127"/>
                <a:graphic xmlns:a="http://schemas.openxmlformats.org/drawingml/2006/main">
                  <a:graphicData uri="http://schemas.microsoft.com/office/word/2010/wordprocessingShape">
                    <wps:wsp>
                      <wps:cNvSpPr txBox="1"/>
                      <wps:spPr>
                        <a:xfrm>
                          <a:off x="0" y="0"/>
                          <a:ext cx="6480175" cy="58166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8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color w:val="000000"/>
          <w:sz w:val="24"/>
          <w:u w:val="single"/>
        </w:rPr>
        <w:t>Additional</w:t>
      </w:r>
      <w:r>
        <w:rPr>
          <w:color w:val="000000"/>
          <w:u w:val="single"/>
        </w:rPr>
        <w:t xml:space="preserve"> </w:t>
      </w:r>
      <w:r>
        <w:rPr>
          <w:rFonts w:ascii="Times New Roman;serif" w:hAnsi="Times New Roman;serif"/>
          <w:b/>
          <w:color w:val="000000"/>
          <w:sz w:val="24"/>
          <w:u w:val="single"/>
        </w:rPr>
        <w:t>Confidentiality</w:t>
      </w:r>
      <w:r>
        <w:rPr>
          <w:color w:val="000000"/>
          <w:u w:val="single"/>
        </w:rPr>
        <w:t xml:space="preserve"> </w:t>
      </w:r>
      <w:r>
        <w:rPr>
          <w:rFonts w:ascii="Times New Roman;serif" w:hAnsi="Times New Roman;serif"/>
          <w:b/>
          <w:color w:val="000000"/>
          <w:sz w:val="24"/>
          <w:u w:val="single"/>
        </w:rPr>
        <w:t>Restrictions</w:t>
      </w:r>
    </w:p>
    <w:p>
      <w:pPr>
        <w:pStyle w:val="TextBody"/>
        <w:bidi w:val="0"/>
        <w:spacing w:lineRule="auto" w:line="288" w:before="240" w:after="283"/>
        <w:ind w:left="0" w:right="0" w:firstLine="720"/>
        <w:jc w:val="left"/>
        <w:rPr/>
      </w:pP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connection</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your</w:t>
      </w:r>
      <w:r>
        <w:rPr>
          <w:color w:val="000000"/>
        </w:rPr>
        <w:t xml:space="preserve"> </w:t>
      </w:r>
      <w:r>
        <w:rPr>
          <w:rFonts w:ascii="Times New Roman;serif" w:hAnsi="Times New Roman;serif"/>
          <w:b w:val="false"/>
          <w:color w:val="000000"/>
          <w:sz w:val="24"/>
        </w:rPr>
        <w:t>candidacy,</w:t>
      </w:r>
      <w:r>
        <w:rPr>
          <w:color w:val="000000"/>
        </w:rPr>
        <w:t xml:space="preserve"> </w:t>
      </w:r>
      <w:r>
        <w:rPr>
          <w:rFonts w:ascii="Times New Roman;serif" w:hAnsi="Times New Roman;serif"/>
          <w:b w:val="false"/>
          <w:color w:val="000000"/>
          <w:sz w:val="24"/>
        </w:rPr>
        <w:t>you</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previously</w:t>
      </w:r>
      <w:r>
        <w:rPr>
          <w:color w:val="000000"/>
        </w:rPr>
        <w:t xml:space="preserve"> </w:t>
      </w:r>
      <w:r>
        <w:rPr>
          <w:rFonts w:ascii="Times New Roman;serif" w:hAnsi="Times New Roman;serif"/>
          <w:b w:val="false"/>
          <w:color w:val="000000"/>
          <w:sz w:val="24"/>
        </w:rPr>
        <w:t>received,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access</w:t>
      </w:r>
      <w:r>
        <w:rPr>
          <w:color w:val="000000"/>
        </w:rPr>
        <w:t xml:space="preserve"> </w:t>
      </w:r>
      <w:r>
        <w:rPr>
          <w:rFonts w:ascii="Times New Roman;serif" w:hAnsi="Times New Roman;serif"/>
          <w:b w:val="false"/>
          <w:color w:val="000000"/>
          <w:sz w:val="24"/>
        </w:rPr>
        <w:t>in the</w:t>
      </w:r>
      <w:r>
        <w:rPr>
          <w:color w:val="000000"/>
        </w:rPr>
        <w:t xml:space="preserve"> </w:t>
      </w:r>
      <w:r>
        <w:rPr>
          <w:rFonts w:ascii="Times New Roman;serif" w:hAnsi="Times New Roman;serif"/>
          <w:b w:val="false"/>
          <w:color w:val="000000"/>
          <w:sz w:val="24"/>
        </w:rPr>
        <w:t>future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confidential</w:t>
      </w:r>
      <w:r>
        <w:rPr>
          <w:color w:val="000000"/>
        </w:rPr>
        <w:t xml:space="preserve"> </w:t>
      </w:r>
      <w:r>
        <w:rPr>
          <w:rFonts w:ascii="Times New Roman;serif" w:hAnsi="Times New Roman;serif"/>
          <w:b w:val="false"/>
          <w:color w:val="000000"/>
          <w:sz w:val="24"/>
        </w:rPr>
        <w:t>information,</w:t>
      </w:r>
      <w:r>
        <w:rPr>
          <w:color w:val="000000"/>
        </w:rPr>
        <w:t xml:space="preserve"> </w:t>
      </w:r>
      <w:r>
        <w:rPr>
          <w:rFonts w:ascii="Times New Roman;serif" w:hAnsi="Times New Roman;serif"/>
          <w:b w:val="false"/>
          <w:color w:val="000000"/>
          <w:sz w:val="24"/>
        </w:rPr>
        <w:t>whether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reduced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written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recorded</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is related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Lucid</w:t>
      </w:r>
      <w:r>
        <w:rPr>
          <w:color w:val="000000"/>
        </w:rPr>
        <w:t xml:space="preserve"> </w:t>
      </w:r>
      <w:r>
        <w:rPr>
          <w:rFonts w:ascii="Times New Roman;serif" w:hAnsi="Times New Roman;serif"/>
          <w:b w:val="false"/>
          <w:color w:val="000000"/>
          <w:sz w:val="24"/>
        </w:rPr>
        <w:t>Group,</w:t>
      </w:r>
      <w:r>
        <w:rPr>
          <w:color w:val="000000"/>
        </w:rPr>
        <w:t xml:space="preserve"> </w:t>
      </w:r>
      <w:r>
        <w:rPr>
          <w:rFonts w:ascii="Times New Roman;serif" w:hAnsi="Times New Roman;serif"/>
          <w:b w:val="false"/>
          <w:color w:val="000000"/>
          <w:sz w:val="24"/>
        </w:rPr>
        <w:t>Inc.</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their</w:t>
      </w:r>
      <w:r>
        <w:rPr>
          <w:color w:val="000000"/>
        </w:rPr>
        <w:t xml:space="preserve"> </w:t>
      </w:r>
      <w:r>
        <w:rPr>
          <w:rFonts w:ascii="Times New Roman;serif" w:hAnsi="Times New Roman;serif"/>
          <w:b w:val="false"/>
          <w:color w:val="000000"/>
          <w:sz w:val="24"/>
        </w:rPr>
        <w:t>affiliated</w:t>
      </w:r>
      <w:r>
        <w:rPr>
          <w:color w:val="000000"/>
        </w:rPr>
        <w:t xml:space="preserve"> </w:t>
      </w:r>
      <w:r>
        <w:rPr>
          <w:rFonts w:ascii="Times New Roman;serif" w:hAnsi="Times New Roman;serif"/>
          <w:b w:val="false"/>
          <w:color w:val="000000"/>
          <w:sz w:val="24"/>
        </w:rPr>
        <w:t>entities</w:t>
      </w:r>
      <w:r>
        <w:rPr>
          <w:color w:val="000000"/>
        </w:rPr>
        <w:t xml:space="preserve"> </w:t>
      </w:r>
      <w:r>
        <w:rPr>
          <w:rFonts w:ascii="Times New Roman;serif" w:hAnsi="Times New Roman;serif"/>
          <w:b w:val="false"/>
          <w:color w:val="000000"/>
          <w:sz w:val="24"/>
        </w:rPr>
        <w:t>(collectively,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Group”) and that is not generally known or accessible to members of the public and/or competitors of the members of the Company Group and not intended for general dissemination (the “Confidential Information”), including without limitation, information about the Company Group’s operations, processes, procedures, trade secrets, employee information, technology, marketing techniques, advertising techniques, know-how, finances, business plans, strategy, costs, pricing, sales, investor communications, customer lists, the needs and demands of customers, and vendor lists.</w:t>
      </w:r>
      <w:r>
        <w:rPr>
          <w:color w:val="000000"/>
        </w:rPr>
        <w:t xml:space="preserve"> </w:t>
      </w:r>
      <w:r>
        <w:rPr>
          <w:rFonts w:ascii="Times New Roman;serif" w:hAnsi="Times New Roman;serif"/>
          <w:b w:val="false"/>
          <w:color w:val="000000"/>
          <w:sz w:val="24"/>
        </w:rPr>
        <w:t>You will not, directly or indirectly, disclose, furnish, or make available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Confidential</w:t>
      </w:r>
      <w:r>
        <w:rPr>
          <w:color w:val="000000"/>
        </w:rPr>
        <w:t xml:space="preserve"> </w:t>
      </w:r>
      <w:r>
        <w:rPr>
          <w:rFonts w:ascii="Times New Roman;serif" w:hAnsi="Times New Roman;serif"/>
          <w:b w:val="false"/>
          <w:color w:val="000000"/>
          <w:sz w:val="24"/>
        </w:rPr>
        <w:t>Information</w:t>
      </w:r>
      <w:r>
        <w:rPr>
          <w:color w:val="000000"/>
        </w:rPr>
        <w:t xml:space="preserve"> </w:t>
      </w:r>
      <w:r>
        <w:rPr>
          <w:rFonts w:ascii="Times New Roman;serif" w:hAnsi="Times New Roman;serif"/>
          <w:b w:val="false"/>
          <w:color w:val="000000"/>
          <w:sz w:val="24"/>
        </w:rPr>
        <w:t>(regardless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how</w:t>
      </w:r>
      <w:r>
        <w:rPr>
          <w:color w:val="000000"/>
        </w:rPr>
        <w:t xml:space="preserve"> </w:t>
      </w:r>
      <w:r>
        <w:rPr>
          <w:rFonts w:ascii="Times New Roman;serif" w:hAnsi="Times New Roman;serif"/>
          <w:b w:val="false"/>
          <w:color w:val="000000"/>
          <w:sz w:val="24"/>
        </w:rPr>
        <w:t>you</w:t>
      </w:r>
      <w:r>
        <w:rPr>
          <w:color w:val="000000"/>
        </w:rPr>
        <w:t xml:space="preserve"> </w:t>
      </w:r>
      <w:r>
        <w:rPr>
          <w:rFonts w:ascii="Times New Roman;serif" w:hAnsi="Times New Roman;serif"/>
          <w:b w:val="false"/>
          <w:color w:val="000000"/>
          <w:sz w:val="24"/>
        </w:rPr>
        <w:t>learned</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who</w:t>
      </w:r>
      <w:r>
        <w:rPr>
          <w:color w:val="000000"/>
        </w:rPr>
        <w:t xml:space="preserve"> </w:t>
      </w:r>
      <w:r>
        <w:rPr>
          <w:rFonts w:ascii="Times New Roman;serif" w:hAnsi="Times New Roman;serif"/>
          <w:b w:val="false"/>
          <w:color w:val="000000"/>
          <w:sz w:val="24"/>
        </w:rPr>
        <w:t>developed</w:t>
      </w:r>
      <w:r>
        <w:rPr>
          <w:color w:val="000000"/>
        </w:rPr>
        <w:t xml:space="preserve"> </w:t>
      </w:r>
      <w:r>
        <w:rPr>
          <w:rFonts w:ascii="Times New Roman;serif" w:hAnsi="Times New Roman;serif"/>
          <w:b w:val="false"/>
          <w:color w:val="000000"/>
          <w:sz w:val="24"/>
        </w:rPr>
        <w:t>it), without the Company’s or Lucid Group, Inc.’s prior written approval; provided, however, that you will not be held criminally or civilly liable under any federal or state trade secret law for the disclosure of a trade secret of the Company Group that (a) is made (i) in confidence to a federal, state, or local government official, either directly or indirectly, or to your attorney and (ii) solely for the purpose of reporting or investigating a suspected violation of law; or (b) is made in a complaint or other document that is filed under seal in a lawsuit or other proceeding.</w:t>
      </w:r>
      <w:r>
        <w:rPr>
          <w:color w:val="000000"/>
        </w:rPr>
        <w:t xml:space="preserve"> </w:t>
      </w:r>
      <w:r>
        <w:rPr>
          <w:rFonts w:ascii="Times New Roman;serif" w:hAnsi="Times New Roman;serif"/>
          <w:b w:val="false"/>
          <w:color w:val="000000"/>
          <w:sz w:val="24"/>
        </w:rPr>
        <w:t>You understand that if you file a lawsuit for retaliation by any member of the Company Group for reporting a suspected violation of law, you may disclose the trade secret to your attorney, as applicable, and use the trade secret information in the court proceeding if you (x) file any document containing the trade secret under seal, and (y) do not disclose the trade secret, except 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court</w:t>
      </w:r>
      <w:r>
        <w:rPr>
          <w:color w:val="000000"/>
        </w:rPr>
        <w:t xml:space="preserve"> </w:t>
      </w:r>
      <w:r>
        <w:rPr>
          <w:rFonts w:ascii="Times New Roman;serif" w:hAnsi="Times New Roman;serif"/>
          <w:b w:val="false"/>
          <w:color w:val="000000"/>
          <w:sz w:val="24"/>
        </w:rPr>
        <w:t>order.</w:t>
      </w:r>
      <w:r>
        <w:rPr>
          <w:color w:val="000000"/>
        </w:rPr>
        <w:t xml:space="preserve"> </w:t>
      </w:r>
      <w:r>
        <w:rPr>
          <w:rFonts w:ascii="Times New Roman;serif" w:hAnsi="Times New Roman;serif"/>
          <w:b w:val="false"/>
          <w:color w:val="000000"/>
          <w:sz w:val="24"/>
        </w:rPr>
        <w:t>Nothing</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Letter</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intended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conflict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18</w:t>
      </w:r>
      <w:r>
        <w:rPr>
          <w:color w:val="000000"/>
        </w:rPr>
        <w:t xml:space="preserve"> </w:t>
      </w:r>
      <w:r>
        <w:rPr>
          <w:rFonts w:ascii="Times New Roman;serif" w:hAnsi="Times New Roman;serif"/>
          <w:b w:val="false"/>
          <w:color w:val="000000"/>
          <w:sz w:val="24"/>
        </w:rPr>
        <w:t>U.S.C.</w:t>
      </w:r>
      <w:r>
        <w:rPr>
          <w:color w:val="000000"/>
        </w:rPr>
        <w:t xml:space="preserve">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1833(b)</w:t>
      </w:r>
      <w:r>
        <w:rPr>
          <w:color w:val="000000"/>
        </w:rPr>
        <w:t xml:space="preserve"> </w:t>
      </w:r>
      <w:r>
        <w:rPr>
          <w:rFonts w:ascii="Times New Roman;serif" w:hAnsi="Times New Roman;serif"/>
          <w:b w:val="false"/>
          <w:color w:val="000000"/>
          <w:sz w:val="24"/>
        </w:rPr>
        <w:t>or create liability for disclosures of trade secrets that are expressly allowed by such section. Further, nothing herein shall prohibit you from (A) voluntarily communicating with, including 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purposes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filing</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charge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complaint,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participating</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investigation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proceeding conducted by, any law enforcement, federal, state or local governmental agency, or self-regulatory organization, (B) seeking or recovering a U.S. Securities and Exchange Commission whistleblower award as provided under Section 21F of the Exchange Act or any other whistleblower award, or (C) discussing or disclosing information about unlawful acts in the workplace, such as harassment or discrimination or any other conduct that you have reason to believe is unlawful, in each case, without advance notice to the Company Group.</w:t>
      </w:r>
      <w:r>
        <w:rPr>
          <w:color w:val="000000"/>
        </w:rPr>
        <w:t xml:space="preserve"> </w:t>
      </w:r>
      <w:r>
        <w:rPr>
          <w:rFonts w:ascii="Times New Roman;serif" w:hAnsi="Times New Roman;serif"/>
          <w:b w:val="false"/>
          <w:color w:val="000000"/>
          <w:sz w:val="24"/>
        </w:rPr>
        <w:t>These restrictions concerning Confidential Information shall remain in effect until the date your Confidential Information and Invention Assignment Agreement with the Company becomes effective, provided that, if you do not enter into a Confidential Information and Invention Assignment</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these</w:t>
      </w:r>
      <w:r>
        <w:rPr>
          <w:color w:val="000000"/>
        </w:rPr>
        <w:t xml:space="preserve"> </w:t>
      </w:r>
      <w:r>
        <w:rPr>
          <w:rFonts w:ascii="Times New Roman;serif" w:hAnsi="Times New Roman;serif"/>
          <w:b w:val="false"/>
          <w:color w:val="000000"/>
          <w:sz w:val="24"/>
        </w:rPr>
        <w:t>restrictions</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continue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binding following the termination of this Letter.</w:t>
      </w:r>
    </w:p>
    <w:p>
      <w:pPr>
        <w:pStyle w:val="TextBody"/>
        <w:bidi w:val="0"/>
        <w:spacing w:lineRule="auto" w:line="288" w:before="240" w:after="283"/>
        <w:jc w:val="left"/>
        <w:rPr/>
      </w:pPr>
      <w:r>
        <w:rPr>
          <w:rFonts w:ascii="Times New Roman;serif" w:hAnsi="Times New Roman;serif"/>
          <w:b/>
          <w:color w:val="000000"/>
          <w:sz w:val="24"/>
          <w:u w:val="single"/>
        </w:rPr>
        <w:t>Release</w:t>
      </w:r>
      <w:r>
        <w:rPr>
          <w:color w:val="000000"/>
          <w:u w:val="single"/>
        </w:rPr>
        <w:t xml:space="preserve"> </w:t>
      </w:r>
      <w:r>
        <w:rPr>
          <w:rFonts w:ascii="Times New Roman;serif" w:hAnsi="Times New Roman;serif"/>
          <w:b/>
          <w:color w:val="000000"/>
          <w:sz w:val="24"/>
          <w:u w:val="single"/>
        </w:rPr>
        <w:t>From</w:t>
      </w:r>
      <w:r>
        <w:rPr>
          <w:color w:val="000000"/>
          <w:u w:val="single"/>
        </w:rPr>
        <w:t xml:space="preserve"> </w:t>
      </w:r>
      <w:r>
        <w:rPr>
          <w:rFonts w:ascii="Times New Roman;serif" w:hAnsi="Times New Roman;serif"/>
          <w:b/>
          <w:color w:val="000000"/>
          <w:sz w:val="24"/>
          <w:u w:val="single"/>
        </w:rPr>
        <w:t>Restrictive</w:t>
      </w:r>
      <w:r>
        <w:rPr>
          <w:color w:val="000000"/>
          <w:u w:val="single"/>
        </w:rPr>
        <w:t xml:space="preserve"> </w:t>
      </w:r>
      <w:r>
        <w:rPr>
          <w:rFonts w:ascii="Times New Roman;serif" w:hAnsi="Times New Roman;serif"/>
          <w:b/>
          <w:color w:val="000000"/>
          <w:sz w:val="24"/>
          <w:u w:val="single"/>
        </w:rPr>
        <w:t>Covenants;</w:t>
      </w:r>
      <w:r>
        <w:rPr>
          <w:color w:val="000000"/>
          <w:u w:val="single"/>
        </w:rPr>
        <w:t xml:space="preserve"> </w:t>
      </w:r>
      <w:r>
        <w:rPr>
          <w:rFonts w:ascii="Times New Roman;serif" w:hAnsi="Times New Roman;serif"/>
          <w:b/>
          <w:color w:val="000000"/>
          <w:sz w:val="24"/>
          <w:u w:val="single"/>
        </w:rPr>
        <w:t>No</w:t>
      </w:r>
      <w:r>
        <w:rPr>
          <w:color w:val="000000"/>
          <w:u w:val="single"/>
        </w:rPr>
        <w:t xml:space="preserve"> </w:t>
      </w:r>
      <w:r>
        <w:rPr>
          <w:rFonts w:ascii="Times New Roman;serif" w:hAnsi="Times New Roman;serif"/>
          <w:b/>
          <w:color w:val="000000"/>
          <w:sz w:val="24"/>
          <w:u w:val="single"/>
        </w:rPr>
        <w:t>Other</w:t>
      </w:r>
      <w:r>
        <w:rPr>
          <w:color w:val="000000"/>
          <w:u w:val="single"/>
        </w:rPr>
        <w:t xml:space="preserve"> </w:t>
      </w:r>
      <w:r>
        <w:rPr>
          <w:rFonts w:ascii="Times New Roman;serif" w:hAnsi="Times New Roman;serif"/>
          <w:b/>
          <w:color w:val="000000"/>
          <w:sz w:val="24"/>
          <w:u w:val="single"/>
        </w:rPr>
        <w:t>Restrictions</w:t>
      </w:r>
    </w:p>
    <w:p>
      <w:pPr>
        <w:pStyle w:val="TextBody"/>
        <w:bidi w:val="0"/>
        <w:spacing w:lineRule="auto" w:line="288" w:before="240" w:after="283"/>
        <w:ind w:left="0" w:right="0" w:firstLine="720"/>
        <w:jc w:val="left"/>
        <w:rPr/>
      </w:pPr>
      <w:r>
        <w:rPr>
          <w:rFonts w:ascii="Times New Roman;serif" w:hAnsi="Times New Roman;serif"/>
          <w:b w:val="false"/>
          <w:color w:val="000000"/>
          <w:sz w:val="24"/>
        </w:rPr>
        <w:t>You hereby represent that you are not subject to any restrictive covenants that could prevent,</w:t>
      </w:r>
      <w:r>
        <w:rPr>
          <w:color w:val="000000"/>
        </w:rPr>
        <w:t xml:space="preserve"> </w:t>
      </w:r>
      <w:r>
        <w:rPr>
          <w:rFonts w:ascii="Times New Roman;serif" w:hAnsi="Times New Roman;serif"/>
          <w:b w:val="false"/>
          <w:color w:val="000000"/>
          <w:sz w:val="24"/>
        </w:rPr>
        <w:t>hinder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interfere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your</w:t>
      </w:r>
      <w:r>
        <w:rPr>
          <w:color w:val="000000"/>
        </w:rPr>
        <w:t xml:space="preserve"> </w:t>
      </w:r>
      <w:r>
        <w:rPr>
          <w:rFonts w:ascii="Times New Roman;serif" w:hAnsi="Times New Roman;serif"/>
          <w:b w:val="false"/>
          <w:color w:val="000000"/>
          <w:sz w:val="24"/>
        </w:rPr>
        <w:t>acceptance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offer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exercise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your</w:t>
      </w:r>
      <w:r>
        <w:rPr>
          <w:color w:val="000000"/>
        </w:rPr>
        <w:t xml:space="preserve"> </w:t>
      </w:r>
      <w:r>
        <w:rPr>
          <w:rFonts w:ascii="Times New Roman;serif" w:hAnsi="Times New Roman;serif"/>
          <w:b w:val="false"/>
          <w:color w:val="000000"/>
          <w:sz w:val="24"/>
        </w:rPr>
        <w:t>best</w:t>
      </w:r>
      <w:r>
        <w:rPr>
          <w:color w:val="000000"/>
        </w:rPr>
        <w:t xml:space="preserve"> </w:t>
      </w:r>
      <w:r>
        <w:rPr>
          <w:rFonts w:ascii="Times New Roman;serif" w:hAnsi="Times New Roman;serif"/>
          <w:b w:val="false"/>
          <w:color w:val="000000"/>
          <w:sz w:val="24"/>
        </w:rPr>
        <w:t>efforts in the performance of your duties to the Company or any of its affiliates.</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581660"/>
                <wp:effectExtent l="0" t="0" r="0" b="0"/>
                <wp:wrapNone/>
                <wp:docPr id="128" name="Frame128"/>
                <a:graphic xmlns:a="http://schemas.openxmlformats.org/drawingml/2006/main">
                  <a:graphicData uri="http://schemas.microsoft.com/office/word/2010/wordprocessingShape">
                    <wps:wsp>
                      <wps:cNvSpPr txBox="1"/>
                      <wps:spPr>
                        <a:xfrm>
                          <a:off x="0" y="0"/>
                          <a:ext cx="6480175" cy="58166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8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color w:val="000000"/>
          <w:sz w:val="24"/>
          <w:u w:val="single"/>
        </w:rPr>
        <w:t>Recoupment</w:t>
      </w:r>
      <w:r>
        <w:rPr>
          <w:color w:val="000000"/>
          <w:u w:val="single"/>
        </w:rPr>
        <w:t xml:space="preserve"> </w:t>
      </w:r>
      <w:r>
        <w:rPr>
          <w:rFonts w:ascii="Times New Roman;serif" w:hAnsi="Times New Roman;serif"/>
          <w:b/>
          <w:color w:val="000000"/>
          <w:sz w:val="24"/>
          <w:u w:val="single"/>
        </w:rPr>
        <w:t>Policy</w:t>
      </w:r>
    </w:p>
    <w:p>
      <w:pPr>
        <w:pStyle w:val="TextBody"/>
        <w:bidi w:val="0"/>
        <w:spacing w:lineRule="auto" w:line="288" w:before="240" w:after="283"/>
        <w:ind w:left="0" w:right="0" w:firstLine="720"/>
        <w:jc w:val="left"/>
        <w:rPr/>
      </w:pPr>
      <w:r>
        <w:rPr>
          <w:rFonts w:ascii="Times New Roman;serif" w:hAnsi="Times New Roman;serif"/>
          <w:b w:val="false"/>
          <w:color w:val="000000"/>
          <w:sz w:val="24"/>
        </w:rPr>
        <w:t>You acknowledge and agree that any Covered Compensation (as defined in the Company’s Compensation Recoupment Policy (as may be amended from time to time, the “Recoupment</w:t>
      </w:r>
      <w:r>
        <w:rPr>
          <w:color w:val="000000"/>
        </w:rPr>
        <w:t xml:space="preserve"> </w:t>
      </w:r>
      <w:r>
        <w:rPr>
          <w:rFonts w:ascii="Times New Roman;serif" w:hAnsi="Times New Roman;serif"/>
          <w:b w:val="false"/>
          <w:color w:val="000000"/>
          <w:sz w:val="24"/>
        </w:rPr>
        <w:t>Policy”))</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you</w:t>
      </w:r>
      <w:r>
        <w:rPr>
          <w:color w:val="000000"/>
        </w:rPr>
        <w:t xml:space="preserve"> </w:t>
      </w:r>
      <w:r>
        <w:rPr>
          <w:rFonts w:ascii="Times New Roman;serif" w:hAnsi="Times New Roman;serif"/>
          <w:b w:val="false"/>
          <w:color w:val="000000"/>
          <w:sz w:val="24"/>
        </w:rPr>
        <w:t>receive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future</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affiliates</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 subject to the Recoupment Policy.</w:t>
      </w:r>
    </w:p>
    <w:p>
      <w:pPr>
        <w:pStyle w:val="TextBody"/>
        <w:bidi w:val="0"/>
        <w:spacing w:lineRule="auto" w:line="288" w:before="240" w:after="283"/>
        <w:jc w:val="left"/>
        <w:rPr/>
      </w:pPr>
      <w:r>
        <w:rPr>
          <w:rFonts w:ascii="Times New Roman;serif" w:hAnsi="Times New Roman;serif"/>
          <w:b/>
          <w:color w:val="000000"/>
          <w:sz w:val="24"/>
          <w:u w:val="single"/>
        </w:rPr>
        <w:t>Section</w:t>
      </w:r>
      <w:r>
        <w:rPr>
          <w:color w:val="000000"/>
          <w:u w:val="single"/>
        </w:rPr>
        <w:t xml:space="preserve"> </w:t>
      </w:r>
      <w:r>
        <w:rPr>
          <w:rFonts w:ascii="Times New Roman;serif" w:hAnsi="Times New Roman;serif"/>
          <w:b/>
          <w:color w:val="000000"/>
          <w:sz w:val="24"/>
          <w:u w:val="single"/>
        </w:rPr>
        <w:t>409A</w:t>
      </w:r>
    </w:p>
    <w:p>
      <w:pPr>
        <w:pStyle w:val="TextBody"/>
        <w:bidi w:val="0"/>
        <w:spacing w:lineRule="auto" w:line="288" w:before="240" w:after="283"/>
        <w:ind w:left="0" w:right="0" w:firstLine="720"/>
        <w:jc w:val="left"/>
        <w:rPr/>
      </w:pPr>
      <w:r>
        <w:rPr>
          <w:rFonts w:ascii="Times New Roman;serif" w:hAnsi="Times New Roman;serif"/>
          <w:b w:val="false"/>
          <w:color w:val="000000"/>
          <w:sz w:val="24"/>
        </w:rPr>
        <w:t>This Letter and the payments and benefits referenced herein are intended to be exempt from,</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extent</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thereto,</w:t>
      </w:r>
      <w:r>
        <w:rPr>
          <w:color w:val="000000"/>
        </w:rPr>
        <w:t xml:space="preserve"> </w:t>
      </w:r>
      <w:r>
        <w:rPr>
          <w:rFonts w:ascii="Times New Roman;serif" w:hAnsi="Times New Roman;serif"/>
          <w:b w:val="false"/>
          <w:color w:val="000000"/>
          <w:sz w:val="24"/>
        </w:rPr>
        <w:t>comply</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Section</w:t>
      </w:r>
      <w:r>
        <w:rPr>
          <w:color w:val="000000"/>
        </w:rPr>
        <w:t xml:space="preserve"> </w:t>
      </w:r>
      <w:r>
        <w:rPr>
          <w:rFonts w:ascii="Times New Roman;serif" w:hAnsi="Times New Roman;serif"/>
          <w:b w:val="false"/>
          <w:color w:val="000000"/>
          <w:sz w:val="24"/>
        </w:rPr>
        <w:t>409A</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Internal</w:t>
      </w:r>
      <w:r>
        <w:rPr>
          <w:color w:val="000000"/>
        </w:rPr>
        <w:t xml:space="preserve"> </w:t>
      </w:r>
      <w:r>
        <w:rPr>
          <w:rFonts w:ascii="Times New Roman;serif" w:hAnsi="Times New Roman;serif"/>
          <w:b w:val="false"/>
          <w:color w:val="000000"/>
          <w:sz w:val="24"/>
        </w:rPr>
        <w:t>Revenue</w:t>
      </w:r>
      <w:r>
        <w:rPr>
          <w:color w:val="000000"/>
        </w:rPr>
        <w:t xml:space="preserve"> </w:t>
      </w:r>
      <w:r>
        <w:rPr>
          <w:rFonts w:ascii="Times New Roman;serif" w:hAnsi="Times New Roman;serif"/>
          <w:b w:val="false"/>
          <w:color w:val="000000"/>
          <w:sz w:val="24"/>
        </w:rPr>
        <w:t>Code</w:t>
      </w:r>
      <w:r>
        <w:rPr>
          <w:color w:val="000000"/>
        </w:rPr>
        <w:t xml:space="preserve"> </w:t>
      </w:r>
      <w:r>
        <w:rPr>
          <w:rFonts w:ascii="Times New Roman;serif" w:hAnsi="Times New Roman;serif"/>
          <w:b w:val="false"/>
          <w:color w:val="000000"/>
          <w:sz w:val="24"/>
        </w:rPr>
        <w:t>of 1986, as amended (the “Code”) and the regulations and guidance promulgated thereunder (collectively, “Section 409A”) and, accordingly, to the maximum extent permitted, this Letter will be</w:t>
      </w:r>
      <w:r>
        <w:rPr>
          <w:color w:val="000000"/>
        </w:rPr>
        <w:t xml:space="preserve"> </w:t>
      </w:r>
      <w:r>
        <w:rPr>
          <w:rFonts w:ascii="Times New Roman;serif" w:hAnsi="Times New Roman;serif"/>
          <w:b w:val="false"/>
          <w:color w:val="000000"/>
          <w:sz w:val="24"/>
        </w:rPr>
        <w:t>interpreted to be</w:t>
      </w:r>
      <w:r>
        <w:rPr>
          <w:color w:val="000000"/>
        </w:rPr>
        <w:t xml:space="preserve"> </w:t>
      </w:r>
      <w:r>
        <w:rPr>
          <w:rFonts w:ascii="Times New Roman;serif" w:hAnsi="Times New Roman;serif"/>
          <w:b w:val="false"/>
          <w:color w:val="000000"/>
          <w:sz w:val="24"/>
        </w:rPr>
        <w:t>in compliance</w:t>
      </w:r>
      <w:r>
        <w:rPr>
          <w:color w:val="000000"/>
        </w:rPr>
        <w:t xml:space="preserve"> </w:t>
      </w:r>
      <w:r>
        <w:rPr>
          <w:rFonts w:ascii="Times New Roman;serif" w:hAnsi="Times New Roman;serif"/>
          <w:b w:val="false"/>
          <w:color w:val="000000"/>
          <w:sz w:val="24"/>
        </w:rPr>
        <w:t>therewith. Notwithstanding anything in this Letter</w:t>
      </w:r>
      <w:r>
        <w:rPr>
          <w:color w:val="000000"/>
        </w:rPr>
        <w:t xml:space="preserve"> </w:t>
      </w:r>
      <w:r>
        <w:rPr>
          <w:rFonts w:ascii="Times New Roman;serif" w:hAnsi="Times New Roman;serif"/>
          <w:b w:val="false"/>
          <w:color w:val="000000"/>
          <w:sz w:val="24"/>
        </w:rPr>
        <w:t>or any other agreement providing compensatory payments to you to the contrary, if you are deemed by the Company at the time of your “separation from service” with the Company within the meaning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Section</w:t>
      </w:r>
      <w:r>
        <w:rPr>
          <w:color w:val="000000"/>
        </w:rPr>
        <w:t xml:space="preserve"> </w:t>
      </w:r>
      <w:r>
        <w:rPr>
          <w:rFonts w:ascii="Times New Roman;serif" w:hAnsi="Times New Roman;serif"/>
          <w:b w:val="false"/>
          <w:color w:val="000000"/>
          <w:sz w:val="24"/>
        </w:rPr>
        <w:t>409A</w:t>
      </w:r>
      <w:r>
        <w:rPr>
          <w:color w:val="000000"/>
        </w:rPr>
        <w:t xml:space="preserve"> </w:t>
      </w:r>
      <w:r>
        <w:rPr>
          <w:rFonts w:ascii="Times New Roman;serif" w:hAnsi="Times New Roman;serif"/>
          <w:b w:val="false"/>
          <w:color w:val="000000"/>
          <w:sz w:val="24"/>
        </w:rPr>
        <w:t>(“Separation</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Service”)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specified</w:t>
      </w:r>
      <w:r>
        <w:rPr>
          <w:color w:val="000000"/>
        </w:rPr>
        <w:t xml:space="preserve"> </w:t>
      </w:r>
      <w:r>
        <w:rPr>
          <w:rFonts w:ascii="Times New Roman;serif" w:hAnsi="Times New Roman;serif"/>
          <w:b w:val="false"/>
          <w:color w:val="000000"/>
          <w:sz w:val="24"/>
        </w:rPr>
        <w:t>employee”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purposes of Section 409A, any payment of compensation or benefits to which you are entitled under this Letter or any other compensatory plan or agreement that is considered nonqualified deferred compensation under Section 409A payable as a result of your Separation from Service will be delayed to the extent required in order to avoid a prohibited distribution under Section 409A until the earlier of (i) the expiration of the six-month period measured from the date of your Separation from Service with the</w:t>
      </w:r>
      <w:r>
        <w:rPr>
          <w:color w:val="000000"/>
        </w:rPr>
        <w:t xml:space="preserve"> </w:t>
      </w:r>
      <w:r>
        <w:rPr>
          <w:rFonts w:ascii="Times New Roman;serif" w:hAnsi="Times New Roman;serif"/>
          <w:b w:val="false"/>
          <w:color w:val="000000"/>
          <w:sz w:val="24"/>
        </w:rPr>
        <w:t>Company or</w:t>
      </w:r>
      <w:r>
        <w:rPr>
          <w:color w:val="000000"/>
        </w:rPr>
        <w:t xml:space="preserve"> </w:t>
      </w:r>
      <w:r>
        <w:rPr>
          <w:rFonts w:ascii="Times New Roman;serif" w:hAnsi="Times New Roman;serif"/>
          <w:b w:val="false"/>
          <w:color w:val="000000"/>
          <w:sz w:val="24"/>
        </w:rPr>
        <w:t>(ii)</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your</w:t>
      </w:r>
      <w:r>
        <w:rPr>
          <w:color w:val="000000"/>
        </w:rPr>
        <w:t xml:space="preserve"> </w:t>
      </w:r>
      <w:r>
        <w:rPr>
          <w:rFonts w:ascii="Times New Roman;serif" w:hAnsi="Times New Roman;serif"/>
          <w:b w:val="false"/>
          <w:color w:val="000000"/>
          <w:sz w:val="24"/>
        </w:rPr>
        <w:t>death. Upon the</w:t>
      </w:r>
      <w:r>
        <w:rPr>
          <w:color w:val="000000"/>
        </w:rPr>
        <w:t xml:space="preserve"> </w:t>
      </w:r>
      <w:r>
        <w:rPr>
          <w:rFonts w:ascii="Times New Roman;serif" w:hAnsi="Times New Roman;serif"/>
          <w:b w:val="false"/>
          <w:color w:val="000000"/>
          <w:sz w:val="24"/>
        </w:rPr>
        <w:t>first business day following the expiration of the applicable Section 409A period, all payments deferred pursuant to the preceding sentence will be paid in a lump sum to you (or your estate or beneficiaries), and any remaining payments due to you under this Letter or any other compensatory plan or agreement will be paid as otherwise provided herein or therein. For purposes of</w:t>
      </w:r>
      <w:r>
        <w:rPr>
          <w:color w:val="000000"/>
        </w:rPr>
        <w:t xml:space="preserve"> </w:t>
      </w:r>
      <w:r>
        <w:rPr>
          <w:rFonts w:ascii="Times New Roman;serif" w:hAnsi="Times New Roman;serif"/>
          <w:b w:val="false"/>
          <w:color w:val="000000"/>
          <w:sz w:val="24"/>
        </w:rPr>
        <w:t>Section 409A, each amount to be</w:t>
      </w:r>
      <w:r>
        <w:rPr>
          <w:color w:val="000000"/>
        </w:rPr>
        <w:t xml:space="preserve"> </w:t>
      </w:r>
      <w:r>
        <w:rPr>
          <w:rFonts w:ascii="Times New Roman;serif" w:hAnsi="Times New Roman;serif"/>
          <w:b w:val="false"/>
          <w:color w:val="000000"/>
          <w:sz w:val="24"/>
        </w:rPr>
        <w:t>paid or</w:t>
      </w:r>
      <w:r>
        <w:rPr>
          <w:color w:val="000000"/>
        </w:rPr>
        <w:t xml:space="preserve"> </w:t>
      </w:r>
      <w:r>
        <w:rPr>
          <w:rFonts w:ascii="Times New Roman;serif" w:hAnsi="Times New Roman;serif"/>
          <w:b w:val="false"/>
          <w:color w:val="000000"/>
          <w:sz w:val="24"/>
        </w:rPr>
        <w:t>installment or</w:t>
      </w:r>
      <w:r>
        <w:rPr>
          <w:color w:val="000000"/>
        </w:rPr>
        <w:t xml:space="preserve"> </w:t>
      </w:r>
      <w:r>
        <w:rPr>
          <w:rFonts w:ascii="Times New Roman;serif" w:hAnsi="Times New Roman;serif"/>
          <w:b w:val="false"/>
          <w:color w:val="000000"/>
          <w:sz w:val="24"/>
        </w:rPr>
        <w:t>benefit to be</w:t>
      </w:r>
      <w:r>
        <w:rPr>
          <w:color w:val="000000"/>
        </w:rPr>
        <w:t xml:space="preserve"> </w:t>
      </w:r>
      <w:r>
        <w:rPr>
          <w:rFonts w:ascii="Times New Roman;serif" w:hAnsi="Times New Roman;serif"/>
          <w:b w:val="false"/>
          <w:color w:val="000000"/>
          <w:sz w:val="24"/>
        </w:rPr>
        <w:t>provided under this Letter will be construed as a separate identified payment. To the extent that any reimbursements under this Letter are subject to Section 409A, any such reimbursements payable to</w:t>
      </w:r>
      <w:r>
        <w:rPr>
          <w:color w:val="000000"/>
        </w:rPr>
        <w:t xml:space="preserve"> </w:t>
      </w:r>
      <w:r>
        <w:rPr>
          <w:rFonts w:ascii="Times New Roman;serif" w:hAnsi="Times New Roman;serif"/>
          <w:b w:val="false"/>
          <w:color w:val="000000"/>
          <w:sz w:val="24"/>
        </w:rPr>
        <w:t>you</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paid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you</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later</w:t>
      </w:r>
      <w:r>
        <w:rPr>
          <w:color w:val="000000"/>
        </w:rPr>
        <w:t xml:space="preserve"> </w:t>
      </w:r>
      <w:r>
        <w:rPr>
          <w:rFonts w:ascii="Times New Roman;serif" w:hAnsi="Times New Roman;serif"/>
          <w:b w:val="false"/>
          <w:color w:val="000000"/>
          <w:sz w:val="24"/>
        </w:rPr>
        <w:t>than</w:t>
      </w:r>
      <w:r>
        <w:rPr>
          <w:color w:val="000000"/>
        </w:rPr>
        <w:t xml:space="preserve"> </w:t>
      </w:r>
      <w:r>
        <w:rPr>
          <w:rFonts w:ascii="Times New Roman;serif" w:hAnsi="Times New Roman;serif"/>
          <w:b w:val="false"/>
          <w:color w:val="000000"/>
          <w:sz w:val="24"/>
        </w:rPr>
        <w:t>December</w:t>
      </w:r>
      <w:r>
        <w:rPr>
          <w:color w:val="000000"/>
        </w:rPr>
        <w:t xml:space="preserve"> </w:t>
      </w:r>
      <w:r>
        <w:rPr>
          <w:rFonts w:ascii="Times New Roman;serif" w:hAnsi="Times New Roman;serif"/>
          <w:b w:val="false"/>
          <w:color w:val="000000"/>
          <w:sz w:val="24"/>
        </w:rPr>
        <w:t>31</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year</w:t>
      </w:r>
      <w:r>
        <w:rPr>
          <w:color w:val="000000"/>
        </w:rPr>
        <w:t xml:space="preserve"> </w:t>
      </w:r>
      <w:r>
        <w:rPr>
          <w:rFonts w:ascii="Times New Roman;serif" w:hAnsi="Times New Roman;serif"/>
          <w:b w:val="false"/>
          <w:color w:val="000000"/>
          <w:sz w:val="24"/>
        </w:rPr>
        <w:t>following the</w:t>
      </w:r>
      <w:r>
        <w:rPr>
          <w:color w:val="000000"/>
        </w:rPr>
        <w:t xml:space="preserve"> </w:t>
      </w:r>
      <w:r>
        <w:rPr>
          <w:rFonts w:ascii="Times New Roman;serif" w:hAnsi="Times New Roman;serif"/>
          <w:b w:val="false"/>
          <w:color w:val="000000"/>
          <w:sz w:val="24"/>
        </w:rPr>
        <w:t>year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the expense</w:t>
      </w:r>
      <w:r>
        <w:rPr>
          <w:color w:val="000000"/>
        </w:rPr>
        <w:t xml:space="preserve"> </w:t>
      </w:r>
      <w:r>
        <w:rPr>
          <w:rFonts w:ascii="Times New Roman;serif" w:hAnsi="Times New Roman;serif"/>
          <w:b w:val="false"/>
          <w:color w:val="000000"/>
          <w:sz w:val="24"/>
        </w:rPr>
        <w:t>was</w:t>
      </w:r>
      <w:r>
        <w:rPr>
          <w:color w:val="000000"/>
        </w:rPr>
        <w:t xml:space="preserve"> </w:t>
      </w:r>
      <w:r>
        <w:rPr>
          <w:rFonts w:ascii="Times New Roman;serif" w:hAnsi="Times New Roman;serif"/>
          <w:b w:val="false"/>
          <w:color w:val="000000"/>
          <w:sz w:val="24"/>
        </w:rPr>
        <w:t>incurred;</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you</w:t>
      </w:r>
      <w:r>
        <w:rPr>
          <w:color w:val="000000"/>
        </w:rPr>
        <w:t xml:space="preserve"> </w:t>
      </w:r>
      <w:r>
        <w:rPr>
          <w:rFonts w:ascii="Times New Roman;serif" w:hAnsi="Times New Roman;serif"/>
          <w:b w:val="false"/>
          <w:color w:val="000000"/>
          <w:sz w:val="24"/>
        </w:rPr>
        <w:t>submit</w:t>
      </w:r>
      <w:r>
        <w:rPr>
          <w:color w:val="000000"/>
        </w:rPr>
        <w:t xml:space="preserve"> </w:t>
      </w:r>
      <w:r>
        <w:rPr>
          <w:rFonts w:ascii="Times New Roman;serif" w:hAnsi="Times New Roman;serif"/>
          <w:b w:val="false"/>
          <w:color w:val="000000"/>
          <w:sz w:val="24"/>
        </w:rPr>
        <w:t>your</w:t>
      </w:r>
      <w:r>
        <w:rPr>
          <w:color w:val="000000"/>
        </w:rPr>
        <w:t xml:space="preserve"> </w:t>
      </w:r>
      <w:r>
        <w:rPr>
          <w:rFonts w:ascii="Times New Roman;serif" w:hAnsi="Times New Roman;serif"/>
          <w:b w:val="false"/>
          <w:color w:val="000000"/>
          <w:sz w:val="24"/>
        </w:rPr>
        <w:t>reimbursement</w:t>
      </w:r>
      <w:r>
        <w:rPr>
          <w:color w:val="000000"/>
        </w:rPr>
        <w:t xml:space="preserve"> </w:t>
      </w:r>
      <w:r>
        <w:rPr>
          <w:rFonts w:ascii="Times New Roman;serif" w:hAnsi="Times New Roman;serif"/>
          <w:b w:val="false"/>
          <w:color w:val="000000"/>
          <w:sz w:val="24"/>
        </w:rPr>
        <w:t>request</w:t>
      </w:r>
      <w:r>
        <w:rPr>
          <w:color w:val="000000"/>
        </w:rPr>
        <w:t xml:space="preserve"> </w:t>
      </w:r>
      <w:r>
        <w:rPr>
          <w:rFonts w:ascii="Times New Roman;serif" w:hAnsi="Times New Roman;serif"/>
          <w:b w:val="false"/>
          <w:color w:val="000000"/>
          <w:sz w:val="24"/>
        </w:rPr>
        <w:t>promptly</w:t>
      </w:r>
      <w:r>
        <w:rPr>
          <w:color w:val="000000"/>
        </w:rPr>
        <w:t xml:space="preserve"> </w:t>
      </w:r>
      <w:r>
        <w:rPr>
          <w:rFonts w:ascii="Times New Roman;serif" w:hAnsi="Times New Roman;serif"/>
          <w:b w:val="false"/>
          <w:color w:val="000000"/>
          <w:sz w:val="24"/>
        </w:rPr>
        <w:t>following the date the expense is incurred, the amount of expenses reimbursed in one year shall not affect the amount eligible for reimbursement in any subsequent year, other than medical expenses referred to in Section 105(b) of the Code, and your right to reimbursement under this Letter will not be subject to liquidation or exchange for another benefit.</w:t>
      </w:r>
    </w:p>
    <w:p>
      <w:pPr>
        <w:pStyle w:val="TextBody"/>
        <w:bidi w:val="0"/>
        <w:spacing w:lineRule="auto" w:line="240" w:before="240" w:after="283"/>
        <w:jc w:val="left"/>
        <w:rPr/>
      </w:pPr>
      <w:r>
        <w:rPr>
          <w:rFonts w:ascii="Times New Roman;serif" w:hAnsi="Times New Roman;serif"/>
          <w:b/>
          <w:color w:val="000000"/>
          <w:sz w:val="24"/>
          <w:u w:val="single"/>
        </w:rPr>
        <w:t>At-Will</w:t>
      </w:r>
      <w:r>
        <w:rPr>
          <w:color w:val="000000"/>
          <w:u w:val="single"/>
        </w:rPr>
        <w:t xml:space="preserve"> </w:t>
      </w:r>
      <w:r>
        <w:rPr>
          <w:rFonts w:ascii="Times New Roman;serif" w:hAnsi="Times New Roman;serif"/>
          <w:b/>
          <w:color w:val="000000"/>
          <w:sz w:val="24"/>
          <w:u w:val="single"/>
        </w:rPr>
        <w:t>Employment</w:t>
      </w:r>
    </w:p>
    <w:p>
      <w:pPr>
        <w:pStyle w:val="TextBody"/>
        <w:bidi w:val="0"/>
        <w:spacing w:lineRule="auto" w:line="288" w:before="240" w:after="283"/>
        <w:ind w:left="0" w:right="0" w:firstLine="720"/>
        <w:jc w:val="left"/>
        <w:rPr/>
      </w:pPr>
      <w:r>
        <w:rPr>
          <w:rFonts w:ascii="Times New Roman;serif" w:hAnsi="Times New Roman;serif"/>
          <w:b w:val="false"/>
          <w:color w:val="000000"/>
          <w:sz w:val="24"/>
        </w:rPr>
        <w:t>Your employment with the Company is “at will,” and thus you or the Company may terminate your employment relationship at any time, with or without cause or advance notice. Subject to your rights under the Severance Plan, the Company reserves the right to change your position,</w:t>
      </w:r>
      <w:r>
        <w:rPr>
          <w:color w:val="000000"/>
        </w:rPr>
        <w:t xml:space="preserve"> </w:t>
      </w:r>
      <w:r>
        <w:rPr>
          <w:rFonts w:ascii="Times New Roman;serif" w:hAnsi="Times New Roman;serif"/>
          <w:b w:val="false"/>
          <w:color w:val="000000"/>
          <w:sz w:val="24"/>
        </w:rPr>
        <w:t>duties,</w:t>
      </w:r>
      <w:r>
        <w:rPr>
          <w:color w:val="000000"/>
        </w:rPr>
        <w:t xml:space="preserve"> </w:t>
      </w:r>
      <w:r>
        <w:rPr>
          <w:rFonts w:ascii="Times New Roman;serif" w:hAnsi="Times New Roman;serif"/>
          <w:b w:val="false"/>
          <w:color w:val="000000"/>
          <w:sz w:val="24"/>
        </w:rPr>
        <w:t>compensation,</w:t>
      </w:r>
      <w:r>
        <w:rPr>
          <w:color w:val="000000"/>
        </w:rPr>
        <w:t xml:space="preserve"> </w:t>
      </w:r>
      <w:r>
        <w:rPr>
          <w:rFonts w:ascii="Times New Roman;serif" w:hAnsi="Times New Roman;serif"/>
          <w:b w:val="false"/>
          <w:color w:val="000000"/>
          <w:sz w:val="24"/>
        </w:rPr>
        <w:t>and/or</w:t>
      </w:r>
      <w:r>
        <w:rPr>
          <w:color w:val="000000"/>
        </w:rPr>
        <w:t xml:space="preserve"> </w:t>
      </w:r>
      <w:r>
        <w:rPr>
          <w:rFonts w:ascii="Times New Roman;serif" w:hAnsi="Times New Roman;serif"/>
          <w:b w:val="false"/>
          <w:color w:val="000000"/>
          <w:sz w:val="24"/>
        </w:rPr>
        <w:t>employee</w:t>
      </w:r>
      <w:r>
        <w:rPr>
          <w:color w:val="000000"/>
        </w:rPr>
        <w:t xml:space="preserve"> </w:t>
      </w:r>
      <w:r>
        <w:rPr>
          <w:rFonts w:ascii="Times New Roman;serif" w:hAnsi="Times New Roman;serif"/>
          <w:b w:val="false"/>
          <w:color w:val="000000"/>
          <w:sz w:val="24"/>
        </w:rPr>
        <w:t>benefits</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prospective</w:t>
      </w:r>
      <w:r>
        <w:rPr>
          <w:color w:val="000000"/>
        </w:rPr>
        <w:t xml:space="preserve"> </w:t>
      </w:r>
      <w:r>
        <w:rPr>
          <w:rFonts w:ascii="Times New Roman;serif" w:hAnsi="Times New Roman;serif"/>
          <w:b w:val="false"/>
          <w:color w:val="000000"/>
          <w:sz w:val="24"/>
        </w:rPr>
        <w:t>basis.</w:t>
      </w:r>
      <w:r>
        <w:rPr>
          <w:color w:val="000000"/>
        </w:rPr>
        <w:t xml:space="preserve"> </w:t>
      </w:r>
      <w:r>
        <w:rPr>
          <w:rFonts w:ascii="Times New Roman;serif" w:hAnsi="Times New Roman;serif"/>
          <w:b w:val="false"/>
          <w:color w:val="000000"/>
          <w:sz w:val="24"/>
        </w:rPr>
        <w:t>This offer shall be governed by and construed under the laws of the state of California.</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581660"/>
                <wp:effectExtent l="0" t="0" r="0" b="0"/>
                <wp:wrapNone/>
                <wp:docPr id="129" name="Frame129"/>
                <a:graphic xmlns:a="http://schemas.openxmlformats.org/drawingml/2006/main">
                  <a:graphicData uri="http://schemas.microsoft.com/office/word/2010/wordprocessingShape">
                    <wps:wsp>
                      <wps:cNvSpPr txBox="1"/>
                      <wps:spPr>
                        <a:xfrm>
                          <a:off x="0" y="0"/>
                          <a:ext cx="6480175" cy="58166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8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color w:val="000000"/>
          <w:sz w:val="24"/>
          <w:u w:val="single"/>
        </w:rPr>
        <w:t>Integration</w:t>
      </w:r>
      <w:r>
        <w:rPr>
          <w:color w:val="000000"/>
          <w:u w:val="single"/>
        </w:rPr>
        <w:t xml:space="preserve"> </w:t>
      </w:r>
      <w:r>
        <w:rPr>
          <w:rFonts w:ascii="Times New Roman;serif" w:hAnsi="Times New Roman;serif"/>
          <w:b/>
          <w:color w:val="000000"/>
          <w:sz w:val="24"/>
          <w:u w:val="single"/>
        </w:rPr>
        <w:t>and</w:t>
      </w:r>
      <w:r>
        <w:rPr>
          <w:color w:val="000000"/>
          <w:u w:val="single"/>
        </w:rPr>
        <w:t xml:space="preserve"> </w:t>
      </w:r>
      <w:r>
        <w:rPr>
          <w:rFonts w:ascii="Times New Roman;serif" w:hAnsi="Times New Roman;serif"/>
          <w:b/>
          <w:color w:val="000000"/>
          <w:sz w:val="24"/>
          <w:u w:val="single"/>
        </w:rPr>
        <w:t>Modification</w:t>
      </w:r>
    </w:p>
    <w:p>
      <w:pPr>
        <w:pStyle w:val="TextBody"/>
        <w:bidi w:val="0"/>
        <w:spacing w:lineRule="auto" w:line="288" w:before="240" w:after="283"/>
        <w:ind w:left="0" w:right="0" w:firstLine="720"/>
        <w:jc w:val="left"/>
        <w:rPr/>
      </w:pPr>
      <w:r>
        <w:rPr>
          <w:rFonts w:ascii="Times New Roman;serif" w:hAnsi="Times New Roman;serif"/>
          <w:b w:val="false"/>
          <w:color w:val="000000"/>
          <w:sz w:val="24"/>
        </w:rPr>
        <w:t>This Letter, together with any other documents described herein, sets forth the terms and conditions of our offer of employment with the Company, and supersedes any prior representations,</w:t>
      </w:r>
      <w:r>
        <w:rPr>
          <w:color w:val="000000"/>
        </w:rPr>
        <w:t xml:space="preserve"> </w:t>
      </w:r>
      <w:r>
        <w:rPr>
          <w:rFonts w:ascii="Times New Roman;serif" w:hAnsi="Times New Roman;serif"/>
          <w:b w:val="false"/>
          <w:color w:val="000000"/>
          <w:sz w:val="24"/>
        </w:rPr>
        <w:t>agreements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communications</w:t>
      </w:r>
      <w:r>
        <w:rPr>
          <w:color w:val="000000"/>
        </w:rPr>
        <w:t xml:space="preserve"> </w:t>
      </w:r>
      <w:r>
        <w:rPr>
          <w:rFonts w:ascii="Times New Roman;serif" w:hAnsi="Times New Roman;serif"/>
          <w:b w:val="false"/>
          <w:color w:val="000000"/>
          <w:sz w:val="24"/>
        </w:rPr>
        <w:t>concerning</w:t>
      </w:r>
      <w:r>
        <w:rPr>
          <w:color w:val="000000"/>
        </w:rPr>
        <w:t xml:space="preserve"> </w:t>
      </w:r>
      <w:r>
        <w:rPr>
          <w:rFonts w:ascii="Times New Roman;serif" w:hAnsi="Times New Roman;serif"/>
          <w:b w:val="false"/>
          <w:color w:val="000000"/>
          <w:sz w:val="24"/>
        </w:rPr>
        <w:t>your</w:t>
      </w:r>
      <w:r>
        <w:rPr>
          <w:color w:val="000000"/>
        </w:rPr>
        <w:t xml:space="preserve"> </w:t>
      </w:r>
      <w:r>
        <w:rPr>
          <w:rFonts w:ascii="Times New Roman;serif" w:hAnsi="Times New Roman;serif"/>
          <w:b w:val="false"/>
          <w:color w:val="000000"/>
          <w:sz w:val="24"/>
        </w:rPr>
        <w:t>employment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whether written or oral. You acknowledge and agree that, in accepting this offer and signing below, you have not relied upon any statement, promise, agreement or representation not set forth in this Letter or the other documents described herein.</w:t>
      </w:r>
    </w:p>
    <w:p>
      <w:pPr>
        <w:pStyle w:val="TextBody"/>
        <w:bidi w:val="0"/>
        <w:spacing w:lineRule="auto" w:line="288" w:before="240" w:after="283"/>
        <w:jc w:val="left"/>
        <w:rPr>
          <w:rFonts w:ascii="Times New Roman;serif" w:hAnsi="Times New Roman;serif"/>
          <w:b/>
          <w:color w:val="000000"/>
          <w:sz w:val="24"/>
          <w:u w:val="single"/>
        </w:rPr>
      </w:pPr>
      <w:r>
        <w:rPr>
          <w:rFonts w:ascii="Times New Roman;serif" w:hAnsi="Times New Roman;serif"/>
          <w:b/>
          <w:color w:val="000000"/>
          <w:sz w:val="24"/>
          <w:u w:val="single"/>
        </w:rPr>
        <w:t>Severability</w:t>
      </w:r>
    </w:p>
    <w:p>
      <w:pPr>
        <w:pStyle w:val="TextBody"/>
        <w:bidi w:val="0"/>
        <w:spacing w:lineRule="auto" w:line="288" w:before="240" w:after="283"/>
        <w:ind w:left="0" w:right="0" w:firstLine="720"/>
        <w:jc w:val="left"/>
        <w:rPr/>
      </w:pPr>
      <w:r>
        <w:rPr>
          <w:rFonts w:ascii="Times New Roman;serif" w:hAnsi="Times New Roman;serif"/>
          <w:b w:val="false"/>
          <w:color w:val="000000"/>
          <w:sz w:val="24"/>
        </w:rPr>
        <w:t>If any provision of this Letter is held to be invalid, illegal, or unenforceable, such provision shall be fully severable; this Letter shall be construed and enforced as if such illegal, invalid, or unenforceable provision had never comprised a portion of this Letter; and the remaining</w:t>
      </w:r>
      <w:r>
        <w:rPr>
          <w:color w:val="000000"/>
        </w:rPr>
        <w:t xml:space="preserve"> </w:t>
      </w:r>
      <w:r>
        <w:rPr>
          <w:rFonts w:ascii="Times New Roman;serif" w:hAnsi="Times New Roman;serif"/>
          <w:b w:val="false"/>
          <w:color w:val="000000"/>
          <w:sz w:val="24"/>
        </w:rPr>
        <w:t>provisions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Letter</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remain</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full</w:t>
      </w:r>
      <w:r>
        <w:rPr>
          <w:color w:val="000000"/>
        </w:rPr>
        <w:t xml:space="preserve"> </w:t>
      </w:r>
      <w:r>
        <w:rPr>
          <w:rFonts w:ascii="Times New Roman;serif" w:hAnsi="Times New Roman;serif"/>
          <w:b w:val="false"/>
          <w:color w:val="000000"/>
          <w:sz w:val="24"/>
        </w:rPr>
        <w:t>force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affected by the illegal, invalid, or unenforceable provision or by its severance from this Letter.</w:t>
      </w:r>
    </w:p>
    <w:p>
      <w:pPr>
        <w:pStyle w:val="TextBody"/>
        <w:bidi w:val="0"/>
        <w:spacing w:lineRule="auto" w:line="288" w:before="240" w:after="283"/>
        <w:jc w:val="left"/>
        <w:rPr>
          <w:rFonts w:ascii="Times New Roman;serif" w:hAnsi="Times New Roman;serif"/>
          <w:b/>
          <w:color w:val="000000"/>
          <w:sz w:val="24"/>
          <w:u w:val="single"/>
        </w:rPr>
      </w:pPr>
      <w:r>
        <w:rPr>
          <w:rFonts w:ascii="Times New Roman;serif" w:hAnsi="Times New Roman;serif"/>
          <w:b/>
          <w:color w:val="000000"/>
          <w:sz w:val="24"/>
          <w:u w:val="single"/>
        </w:rPr>
        <w:t>Counterparts</w:t>
      </w:r>
    </w:p>
    <w:p>
      <w:pPr>
        <w:pStyle w:val="TextBody"/>
        <w:bidi w:val="0"/>
        <w:spacing w:lineRule="auto" w:line="288" w:before="243" w:after="283"/>
        <w:ind w:left="0" w:right="0" w:firstLine="720"/>
        <w:jc w:val="left"/>
        <w:rPr/>
      </w:pP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Letter</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executed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several</w:t>
      </w:r>
      <w:r>
        <w:rPr>
          <w:color w:val="000000"/>
        </w:rPr>
        <w:t xml:space="preserve"> </w:t>
      </w:r>
      <w:r>
        <w:rPr>
          <w:rFonts w:ascii="Times New Roman;serif" w:hAnsi="Times New Roman;serif"/>
          <w:b w:val="false"/>
          <w:color w:val="000000"/>
          <w:sz w:val="24"/>
        </w:rPr>
        <w:t>counterparts,</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deemed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 an original, but all of which together will constitute one and the same Letter. Signatures delivered by facsimile or by electronic PDF shall be deemed effective for all purposes.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We</w:t>
      </w:r>
      <w:r>
        <w:rPr>
          <w:color w:val="000000"/>
        </w:rPr>
        <w:t xml:space="preserve"> </w:t>
      </w:r>
      <w:r>
        <w:rPr>
          <w:rFonts w:ascii="Times New Roman;serif" w:hAnsi="Times New Roman;serif"/>
          <w:b w:val="false"/>
          <w:color w:val="000000"/>
          <w:sz w:val="24"/>
        </w:rPr>
        <w:t>welcome</w:t>
      </w:r>
      <w:r>
        <w:rPr>
          <w:color w:val="000000"/>
        </w:rPr>
        <w:t xml:space="preserve"> </w:t>
      </w:r>
      <w:r>
        <w:rPr>
          <w:rFonts w:ascii="Times New Roman;serif" w:hAnsi="Times New Roman;serif"/>
          <w:b w:val="false"/>
          <w:color w:val="000000"/>
          <w:sz w:val="24"/>
        </w:rPr>
        <w:t>you</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Lucid</w:t>
      </w:r>
      <w:r>
        <w:rPr>
          <w:color w:val="000000"/>
        </w:rPr>
        <w:t xml:space="preserve"> </w:t>
      </w:r>
      <w:r>
        <w:rPr>
          <w:rFonts w:ascii="Times New Roman;serif" w:hAnsi="Times New Roman;serif"/>
          <w:b w:val="false"/>
          <w:color w:val="000000"/>
          <w:sz w:val="24"/>
        </w:rPr>
        <w:t>Motors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look</w:t>
      </w:r>
      <w:r>
        <w:rPr>
          <w:color w:val="000000"/>
        </w:rPr>
        <w:t xml:space="preserve"> </w:t>
      </w:r>
      <w:r>
        <w:rPr>
          <w:rFonts w:ascii="Times New Roman;serif" w:hAnsi="Times New Roman;serif"/>
          <w:b w:val="false"/>
          <w:color w:val="000000"/>
          <w:sz w:val="24"/>
        </w:rPr>
        <w:t>forward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working</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you.</w:t>
      </w:r>
      <w:r>
        <w:rPr>
          <w:color w:val="000000"/>
        </w:rPr>
        <w:t xml:space="preserve"> </w:t>
      </w:r>
      <w:r>
        <w:rPr>
          <w:rFonts w:ascii="Times New Roman;serif" w:hAnsi="Times New Roman;serif"/>
          <w:b w:val="false"/>
          <w:color w:val="000000"/>
          <w:sz w:val="24"/>
        </w:rPr>
        <w:t>We</w:t>
      </w:r>
      <w:r>
        <w:rPr>
          <w:color w:val="000000"/>
        </w:rPr>
        <w:t xml:space="preserve"> </w:t>
      </w:r>
      <w:r>
        <w:rPr>
          <w:rFonts w:ascii="Times New Roman;serif" w:hAnsi="Times New Roman;serif"/>
          <w:b w:val="false"/>
          <w:color w:val="000000"/>
          <w:sz w:val="24"/>
        </w:rPr>
        <w:t>trust</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it will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mutually</w:t>
      </w:r>
      <w:r>
        <w:rPr>
          <w:color w:val="000000"/>
        </w:rPr>
        <w:t xml:space="preserve"> </w:t>
      </w:r>
      <w:r>
        <w:rPr>
          <w:rFonts w:ascii="Times New Roman;serif" w:hAnsi="Times New Roman;serif"/>
          <w:b w:val="false"/>
          <w:color w:val="000000"/>
          <w:sz w:val="24"/>
        </w:rPr>
        <w:t>rewarding</w:t>
      </w:r>
      <w:r>
        <w:rPr>
          <w:color w:val="000000"/>
        </w:rPr>
        <w:t xml:space="preserve"> </w:t>
      </w:r>
      <w:r>
        <w:rPr>
          <w:rFonts w:ascii="Times New Roman;serif" w:hAnsi="Times New Roman;serif"/>
          <w:b w:val="false"/>
          <w:color w:val="000000"/>
          <w:sz w:val="24"/>
        </w:rPr>
        <w:t>experience.</w:t>
      </w:r>
      <w:r>
        <w:rPr>
          <w:color w:val="000000"/>
        </w:rPr>
        <w:t xml:space="preserve"> </w:t>
      </w:r>
      <w:r>
        <w:rPr>
          <w:rFonts w:ascii="Times New Roman;serif" w:hAnsi="Times New Roman;serif"/>
          <w:b w:val="false"/>
          <w:color w:val="000000"/>
          <w:sz w:val="24"/>
        </w:rPr>
        <w:t>Please</w:t>
      </w:r>
      <w:r>
        <w:rPr>
          <w:color w:val="000000"/>
        </w:rPr>
        <w:t xml:space="preserve"> </w:t>
      </w:r>
      <w:r>
        <w:rPr>
          <w:rFonts w:ascii="Times New Roman;serif" w:hAnsi="Times New Roman;serif"/>
          <w:b w:val="false"/>
          <w:color w:val="000000"/>
          <w:sz w:val="24"/>
        </w:rPr>
        <w:t>confirm</w:t>
      </w:r>
      <w:r>
        <w:rPr>
          <w:color w:val="000000"/>
        </w:rPr>
        <w:t xml:space="preserve"> </w:t>
      </w:r>
      <w:r>
        <w:rPr>
          <w:rFonts w:ascii="Times New Roman;serif" w:hAnsi="Times New Roman;serif"/>
          <w:b w:val="false"/>
          <w:color w:val="000000"/>
          <w:sz w:val="24"/>
        </w:rPr>
        <w:t>your</w:t>
      </w:r>
      <w:r>
        <w:rPr>
          <w:color w:val="000000"/>
        </w:rPr>
        <w:t xml:space="preserve"> </w:t>
      </w:r>
      <w:r>
        <w:rPr>
          <w:rFonts w:ascii="Times New Roman;serif" w:hAnsi="Times New Roman;serif"/>
          <w:b w:val="false"/>
          <w:color w:val="000000"/>
          <w:sz w:val="24"/>
        </w:rPr>
        <w:t>acceptance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offer</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signing and dating this offer on the space below and returning it to me.</w:t>
      </w:r>
    </w:p>
    <w:p>
      <w:pPr>
        <w:pStyle w:val="TextBody"/>
        <w:bidi w:val="0"/>
        <w:spacing w:before="0" w:after="0"/>
        <w:jc w:val="left"/>
        <w:rPr/>
      </w:pPr>
      <w:r>
        <w:rPr/>
      </w:r>
    </w:p>
    <w:p>
      <w:pPr>
        <w:pStyle w:val="TextBody"/>
        <w:bidi w:val="0"/>
        <w:spacing w:before="204" w:after="283"/>
        <w:jc w:val="left"/>
        <w:rPr/>
      </w:pPr>
      <w:r>
        <w:rPr/>
      </w:r>
    </w:p>
    <w:p>
      <w:pPr>
        <w:pStyle w:val="TextBody"/>
        <w:bidi w:val="0"/>
        <w:spacing w:lineRule="auto" w:line="288" w:before="0" w:after="0"/>
        <w:jc w:val="center"/>
        <w:rPr/>
      </w:pPr>
      <w:r>
        <w:rPr>
          <w:rFonts w:ascii="Times New Roman;serif" w:hAnsi="Times New Roman;serif"/>
          <w:b/>
          <w:color w:val="000000"/>
          <w:sz w:val="24"/>
        </w:rPr>
        <w:t>[Signature</w:t>
      </w:r>
      <w:r>
        <w:rPr>
          <w:color w:val="000000"/>
        </w:rPr>
        <w:t xml:space="preserve"> </w:t>
      </w:r>
      <w:r>
        <w:rPr>
          <w:rFonts w:ascii="Times New Roman;serif" w:hAnsi="Times New Roman;serif"/>
          <w:b/>
          <w:color w:val="000000"/>
          <w:sz w:val="24"/>
        </w:rPr>
        <w:t>Page</w:t>
      </w:r>
      <w:r>
        <w:rPr>
          <w:color w:val="000000"/>
        </w:rPr>
        <w:t xml:space="preserve"> </w:t>
      </w:r>
      <w:r>
        <w:rPr>
          <w:rFonts w:ascii="Times New Roman;serif" w:hAnsi="Times New Roman;serif"/>
          <w:b/>
          <w:color w:val="000000"/>
          <w:sz w:val="24"/>
        </w:rPr>
        <w:t>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581660"/>
                <wp:effectExtent l="0" t="0" r="0" b="0"/>
                <wp:wrapNone/>
                <wp:docPr id="130" name="Frame130"/>
                <a:graphic xmlns:a="http://schemas.openxmlformats.org/drawingml/2006/main">
                  <a:graphicData uri="http://schemas.microsoft.com/office/word/2010/wordprocessingShape">
                    <wps:wsp>
                      <wps:cNvSpPr txBox="1"/>
                      <wps:spPr>
                        <a:xfrm>
                          <a:off x="0" y="0"/>
                          <a:ext cx="6480175" cy="58166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8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363" w:type="dxa"/>
        <w:jc w:val="left"/>
        <w:tblInd w:w="0" w:type="dxa"/>
        <w:tblLayout w:type="fixed"/>
        <w:tblCellMar>
          <w:top w:w="28" w:type="dxa"/>
          <w:left w:w="28" w:type="dxa"/>
          <w:bottom w:w="28" w:type="dxa"/>
          <w:right w:w="28" w:type="dxa"/>
        </w:tblCellMar>
      </w:tblPr>
      <w:tblGrid>
        <w:gridCol w:w="1336"/>
        <w:gridCol w:w="1175"/>
        <w:gridCol w:w="1189"/>
        <w:gridCol w:w="194"/>
        <w:gridCol w:w="194"/>
        <w:gridCol w:w="275"/>
      </w:tblGrid>
      <w:tr>
        <w:trPr/>
        <w:tc>
          <w:tcPr>
            <w:tcW w:w="133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Sincerely,</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Turqi Alnowaiser</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Turqi Alnowaiser</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Chairman of the Board of Lucid Group, Inc.</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04" w:after="283"/>
        <w:jc w:val="left"/>
        <w:rPr/>
      </w:pPr>
      <w:r>
        <w:rPr/>
      </w:r>
    </w:p>
    <w:p>
      <w:pPr>
        <w:pStyle w:val="TextBody"/>
        <w:bidi w:val="0"/>
        <w:spacing w:lineRule="auto" w:line="288" w:before="0" w:after="0"/>
        <w:jc w:val="left"/>
        <w:rPr/>
      </w:pPr>
      <w:r>
        <w:rPr>
          <w:rFonts w:ascii="Times New Roman;serif" w:hAnsi="Times New Roman;serif"/>
          <w:b w:val="false"/>
          <w:color w:val="000000"/>
          <w:sz w:val="24"/>
        </w:rPr>
        <w:t>I have read and understand the terms and conditions set forth in this offer. Furthermore, in choosing</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accept</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employment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Lucid</w:t>
      </w:r>
      <w:r>
        <w:rPr>
          <w:color w:val="000000"/>
        </w:rPr>
        <w:t xml:space="preserve"> </w:t>
      </w:r>
      <w:r>
        <w:rPr>
          <w:rFonts w:ascii="Times New Roman;serif" w:hAnsi="Times New Roman;serif"/>
          <w:b w:val="false"/>
          <w:color w:val="000000"/>
          <w:sz w:val="24"/>
        </w:rPr>
        <w:t>USA,</w:t>
      </w:r>
      <w:r>
        <w:rPr>
          <w:color w:val="000000"/>
        </w:rPr>
        <w:t xml:space="preserve"> </w:t>
      </w:r>
      <w:r>
        <w:rPr>
          <w:rFonts w:ascii="Times New Roman;serif" w:hAnsi="Times New Roman;serif"/>
          <w:b w:val="false"/>
          <w:color w:val="000000"/>
          <w:sz w:val="24"/>
        </w:rPr>
        <w:t>Inc.</w:t>
      </w:r>
      <w:r>
        <w:rPr>
          <w:color w:val="000000"/>
        </w:rPr>
        <w:t xml:space="preserve"> </w:t>
      </w:r>
      <w:r>
        <w:rPr>
          <w:rFonts w:ascii="Times New Roman;serif" w:hAnsi="Times New Roman;serif"/>
          <w:b w:val="false"/>
          <w:color w:val="000000"/>
          <w:sz w:val="24"/>
        </w:rPr>
        <w:t>(dba</w:t>
      </w:r>
      <w:r>
        <w:rPr>
          <w:color w:val="000000"/>
        </w:rPr>
        <w:t xml:space="preserve"> </w:t>
      </w:r>
      <w:r>
        <w:rPr>
          <w:rFonts w:ascii="Times New Roman;serif" w:hAnsi="Times New Roman;serif"/>
          <w:b w:val="false"/>
          <w:color w:val="000000"/>
          <w:sz w:val="24"/>
        </w:rPr>
        <w:t>Lucid</w:t>
      </w:r>
      <w:r>
        <w:rPr>
          <w:color w:val="000000"/>
        </w:rPr>
        <w:t xml:space="preserve"> </w:t>
      </w:r>
      <w:r>
        <w:rPr>
          <w:rFonts w:ascii="Times New Roman;serif" w:hAnsi="Times New Roman;serif"/>
          <w:b w:val="false"/>
          <w:color w:val="000000"/>
          <w:sz w:val="24"/>
        </w:rPr>
        <w:t>Motors),</w:t>
      </w:r>
      <w:r>
        <w:rPr>
          <w:color w:val="000000"/>
        </w:rPr>
        <w:t xml:space="preserve"> </w:t>
      </w:r>
      <w:r>
        <w:rPr>
          <w:rFonts w:ascii="Times New Roman;serif" w:hAnsi="Times New Roman;serif"/>
          <w:b w:val="false"/>
          <w:color w:val="000000"/>
          <w:sz w:val="24"/>
        </w:rPr>
        <w:t>I</w:t>
      </w:r>
      <w:r>
        <w:rPr>
          <w:color w:val="000000"/>
        </w:rPr>
        <w:t xml:space="preserve"> </w:t>
      </w:r>
      <w:r>
        <w:rPr>
          <w:rFonts w:ascii="Times New Roman;serif" w:hAnsi="Times New Roman;serif"/>
          <w:b w:val="false"/>
          <w:color w:val="000000"/>
          <w:sz w:val="24"/>
        </w:rPr>
        <w:t>agree</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I</w:t>
      </w:r>
      <w:r>
        <w:rPr>
          <w:color w:val="000000"/>
        </w:rPr>
        <w:t xml:space="preserve"> </w:t>
      </w:r>
      <w:r>
        <w:rPr>
          <w:rFonts w:ascii="Times New Roman;serif" w:hAnsi="Times New Roman;serif"/>
          <w:b w:val="false"/>
          <w:color w:val="000000"/>
          <w:sz w:val="24"/>
        </w:rPr>
        <w:t>am not relying on any representations, whether verbal or written, except as specifically set forth in this offer.</w:t>
      </w:r>
    </w:p>
    <w:p>
      <w:pPr>
        <w:pStyle w:val="TextBody"/>
        <w:bidi w:val="0"/>
        <w:spacing w:before="0" w:after="0"/>
        <w:jc w:val="left"/>
        <w:rPr/>
      </w:pPr>
      <w:r>
        <w:rPr/>
      </w:r>
    </w:p>
    <w:p>
      <w:pPr>
        <w:pStyle w:val="TextBody"/>
        <w:bidi w:val="0"/>
        <w:spacing w:before="0" w:after="0"/>
        <w:jc w:val="left"/>
        <w:rPr/>
      </w:pPr>
      <w:r>
        <w:rPr/>
      </w:r>
    </w:p>
    <w:tbl>
      <w:tblPr>
        <w:tblW w:w="1694" w:type="dxa"/>
        <w:jc w:val="left"/>
        <w:tblInd w:w="0" w:type="dxa"/>
        <w:tblLayout w:type="fixed"/>
        <w:tblCellMar>
          <w:top w:w="28" w:type="dxa"/>
          <w:left w:w="28" w:type="dxa"/>
          <w:bottom w:w="28" w:type="dxa"/>
          <w:right w:w="28" w:type="dxa"/>
        </w:tblCellMar>
      </w:tblPr>
      <w:tblGrid>
        <w:gridCol w:w="541"/>
        <w:gridCol w:w="476"/>
        <w:gridCol w:w="677"/>
      </w:tblGrid>
      <w:tr>
        <w:trPr/>
        <w:tc>
          <w:tcPr>
            <w:tcW w:w="54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4"/>
              </w:rPr>
            </w:pPr>
            <w:r>
              <w:rPr>
                <w:rFonts w:ascii="Times New Roman;serif" w:hAnsi="Times New Roman;serif"/>
                <w:b w:val="false"/>
                <w:color w:val="000000"/>
                <w:sz w:val="24"/>
              </w:rPr>
              <w:t>/s/ Silvio Napoli</w:t>
            </w:r>
          </w:p>
        </w:tc>
      </w:tr>
      <w:tr>
        <w:trPr/>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Silvio Napoli</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April 9, 2026</w:t>
            </w:r>
          </w:p>
        </w:tc>
      </w:tr>
      <w:tr>
        <w:trPr/>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sans-serif" w:hAnsi="sans-serif"/>
          <w:b/>
          <w:color w:val="000000"/>
          <w:sz w:val="20"/>
        </w:rPr>
      </w:pPr>
      <w:r>
        <w:rPr>
          <w:rFonts w:ascii="sans-serif" w:hAnsi="sans-serif"/>
          <w:b/>
          <w:color w:val="000000"/>
          <w:sz w:val="20"/>
        </w:rPr>
        <w:t>Exhibit 10.11</w:t>
      </w:r>
    </w:p>
    <w:p>
      <w:pPr>
        <w:pStyle w:val="TextBody"/>
        <w:bidi w:val="0"/>
        <w:spacing w:before="0" w:after="0"/>
        <w:jc w:val="left"/>
        <w:rPr/>
      </w:pPr>
      <w:r>
        <w:rPr/>
      </w:r>
    </w:p>
    <w:p>
      <w:pPr>
        <w:pStyle w:val="TextBody"/>
        <w:bidi w:val="0"/>
        <w:spacing w:before="0" w:after="0"/>
        <w:jc w:val="left"/>
        <w:rPr/>
      </w:pPr>
      <w:r>
        <w:rPr/>
      </w:r>
    </w:p>
    <w:p>
      <w:pPr>
        <w:pStyle w:val="TextBody"/>
        <w:bidi w:val="0"/>
        <w:spacing w:before="6" w:after="283"/>
        <w:jc w:val="left"/>
        <w:rPr/>
      </w:pPr>
      <w:r>
        <w:rPr/>
      </w:r>
    </w:p>
    <w:p>
      <w:pPr>
        <w:pStyle w:val="TextBody"/>
        <w:bidi w:val="0"/>
        <w:spacing w:before="0" w:after="0"/>
        <w:jc w:val="left"/>
        <w:rPr/>
      </w:pPr>
      <w:r>
        <w:rPr/>
      </w:r>
    </w:p>
    <w:tbl>
      <w:tblPr>
        <w:tblW w:w="6206" w:type="dxa"/>
        <w:jc w:val="left"/>
        <w:tblInd w:w="0" w:type="dxa"/>
        <w:tblLayout w:type="fixed"/>
        <w:tblCellMar>
          <w:top w:w="28" w:type="dxa"/>
          <w:left w:w="28" w:type="dxa"/>
          <w:bottom w:w="28" w:type="dxa"/>
          <w:right w:w="28" w:type="dxa"/>
        </w:tblCellMar>
      </w:tblPr>
      <w:tblGrid>
        <w:gridCol w:w="2114"/>
        <w:gridCol w:w="1858"/>
        <w:gridCol w:w="1862"/>
        <w:gridCol w:w="109"/>
        <w:gridCol w:w="109"/>
        <w:gridCol w:w="154"/>
      </w:tblGrid>
      <w:tr>
        <w:trPr/>
        <w:tc>
          <w:tcPr>
            <w:tcW w:w="2114"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42"/>
              </w:rPr>
            </w:pPr>
            <w:r>
              <w:rPr>
                <w:rFonts w:ascii="sans-serif" w:hAnsi="sans-serif"/>
                <w:b/>
                <w:color w:val="000000"/>
                <w:sz w:val="42"/>
              </w:rPr>
              <w:t>Employment Agreement</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1" w:after="283"/>
        <w:jc w:val="left"/>
        <w:rPr/>
      </w:pPr>
      <w:r>
        <w:rPr/>
      </w:r>
    </w:p>
    <w:p>
      <w:pPr>
        <w:pStyle w:val="TextBody"/>
        <w:bidi w:val="0"/>
        <w:spacing w:lineRule="auto" w:line="288" w:before="1" w:after="283"/>
        <w:jc w:val="left"/>
        <w:rPr/>
      </w:pPr>
      <w:r>
        <w:rPr>
          <w:rFonts w:ascii="sans-serif" w:hAnsi="sans-serif"/>
          <w:b w:val="false"/>
          <w:color w:val="000000"/>
          <w:sz w:val="24"/>
        </w:rPr>
        <w:t>by</w:t>
      </w:r>
      <w:r>
        <w:rPr>
          <w:color w:val="000000"/>
        </w:rPr>
        <w:t xml:space="preserve"> </w:t>
      </w:r>
      <w:r>
        <w:rPr>
          <w:rFonts w:ascii="sans-serif" w:hAnsi="sans-serif"/>
          <w:b w:val="false"/>
          <w:color w:val="000000"/>
          <w:sz w:val="24"/>
        </w:rPr>
        <w:t>and between</w:t>
      </w:r>
    </w:p>
    <w:p>
      <w:pPr>
        <w:pStyle w:val="TextBody"/>
        <w:bidi w:val="0"/>
        <w:spacing w:before="171" w:after="283"/>
        <w:jc w:val="left"/>
        <w:rPr/>
      </w:pPr>
      <w:r>
        <w:rPr/>
      </w:r>
    </w:p>
    <w:tbl>
      <w:tblPr>
        <w:tblW w:w="7365" w:type="dxa"/>
        <w:jc w:val="left"/>
        <w:tblInd w:w="0" w:type="dxa"/>
        <w:tblLayout w:type="fixed"/>
        <w:tblCellMar>
          <w:top w:w="28" w:type="dxa"/>
          <w:left w:w="28" w:type="dxa"/>
          <w:bottom w:w="28" w:type="dxa"/>
          <w:right w:w="28" w:type="dxa"/>
        </w:tblCellMar>
      </w:tblPr>
      <w:tblGrid>
        <w:gridCol w:w="1925"/>
        <w:gridCol w:w="1691"/>
        <w:gridCol w:w="1694"/>
        <w:gridCol w:w="602"/>
        <w:gridCol w:w="602"/>
        <w:gridCol w:w="851"/>
      </w:tblGrid>
      <w:tr>
        <w:trPr/>
        <w:tc>
          <w:tcPr>
            <w:tcW w:w="1925"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op w:val="single" w:sz="4" w:space="0" w:color="A69D63"/>
            </w:tcBorders>
            <w:tcMar>
              <w:top w:w="30" w:type="dxa"/>
              <w:left w:w="0" w:type="dxa"/>
              <w:bottom w:w="0" w:type="dxa"/>
              <w:right w:w="0" w:type="dxa"/>
            </w:tcMar>
            <w:vAlign w:val="center"/>
          </w:tcPr>
          <w:p>
            <w:pPr>
              <w:pStyle w:val="TableContents"/>
              <w:bidi w:val="0"/>
              <w:spacing w:lineRule="auto" w:line="288" w:before="19" w:after="283"/>
              <w:jc w:val="left"/>
              <w:rPr/>
            </w:pPr>
            <w:r>
              <w:rPr>
                <w:rFonts w:ascii="sans-serif" w:hAnsi="sans-serif"/>
                <w:b/>
                <w:color w:val="000000"/>
                <w:sz w:val="24"/>
              </w:rPr>
              <w:t>Lucid</w:t>
            </w:r>
            <w:r>
              <w:rPr>
                <w:color w:val="000000"/>
              </w:rPr>
              <w:t xml:space="preserve"> </w:t>
            </w:r>
            <w:r>
              <w:rPr>
                <w:rFonts w:ascii="sans-serif" w:hAnsi="sans-serif"/>
                <w:b/>
                <w:color w:val="000000"/>
                <w:sz w:val="24"/>
              </w:rPr>
              <w:t>Switzerland</w:t>
            </w:r>
            <w:r>
              <w:rPr>
                <w:color w:val="000000"/>
              </w:rPr>
              <w:t xml:space="preserve"> </w:t>
            </w:r>
            <w:r>
              <w:rPr>
                <w:rFonts w:ascii="sans-serif" w:hAnsi="sans-serif"/>
                <w:b/>
                <w:color w:val="000000"/>
                <w:sz w:val="24"/>
              </w:rPr>
              <w:t>AG</w:t>
            </w:r>
            <w:r>
              <w:rPr>
                <w:color w:val="000000"/>
              </w:rPr>
              <w:t>    </w:t>
            </w:r>
          </w:p>
        </w:tc>
        <w:tc>
          <w:tcPr>
            <w:tcW w:w="2055" w:type="dxa"/>
            <w:gridSpan w:val="3"/>
            <w:tcBorders>
              <w:top w:val="single" w:sz="4" w:space="0" w:color="A69D63"/>
            </w:tcBorders>
            <w:tcMar>
              <w:top w:w="30" w:type="dxa"/>
              <w:left w:w="0" w:type="dxa"/>
              <w:bottom w:w="0" w:type="dxa"/>
              <w:right w:w="0" w:type="dxa"/>
            </w:tcMar>
            <w:vAlign w:val="center"/>
          </w:tcPr>
          <w:p>
            <w:pPr>
              <w:pStyle w:val="TableContents"/>
              <w:bidi w:val="0"/>
              <w:spacing w:lineRule="auto" w:line="288" w:before="19" w:after="283"/>
              <w:jc w:val="right"/>
              <w:rPr/>
            </w:pPr>
            <w:r>
              <w:rPr>
                <w:rFonts w:ascii="sans-serif" w:hAnsi="sans-serif"/>
                <w:b/>
                <w:color w:val="000000"/>
                <w:sz w:val="24"/>
              </w:rPr>
              <w:t>(</w:t>
            </w:r>
            <w:r>
              <w:rPr>
                <w:rFonts w:ascii="sans-serif" w:hAnsi="sans-serif"/>
                <w:b w:val="false"/>
                <w:color w:val="000000"/>
                <w:sz w:val="24"/>
              </w:rPr>
              <w:t>the</w:t>
            </w:r>
            <w:r>
              <w:rPr>
                <w:color w:val="000000"/>
              </w:rPr>
              <w:t xml:space="preserve"> </w:t>
            </w:r>
            <w:r>
              <w:rPr>
                <w:rFonts w:ascii="sans-serif" w:hAnsi="sans-serif"/>
                <w:b/>
                <w:color w:val="000000"/>
                <w:sz w:val="24"/>
              </w:rPr>
              <w:t>Company)</w:t>
            </w:r>
          </w:p>
        </w:tc>
      </w:tr>
      <w:tr>
        <w:trPr/>
        <w:tc>
          <w:tcPr>
            <w:tcW w:w="5310" w:type="dxa"/>
            <w:gridSpan w:val="3"/>
            <w:tcBorders/>
            <w:tcMar>
              <w:top w:w="0" w:type="dxa"/>
              <w:left w:w="0" w:type="dxa"/>
              <w:bottom w:w="0" w:type="dxa"/>
              <w:right w:w="0" w:type="dxa"/>
            </w:tcMar>
            <w:vAlign w:val="center"/>
          </w:tcPr>
          <w:p>
            <w:pPr>
              <w:pStyle w:val="TableContents"/>
              <w:bidi w:val="0"/>
              <w:spacing w:lineRule="auto" w:line="288" w:before="8" w:after="283"/>
              <w:jc w:val="left"/>
              <w:rPr/>
            </w:pPr>
            <w:r>
              <w:rPr>
                <w:rFonts w:ascii="sans-serif" w:hAnsi="sans-serif"/>
                <w:b w:val="false"/>
                <w:color w:val="000000"/>
                <w:sz w:val="24"/>
              </w:rPr>
              <w:t>c/o</w:t>
            </w:r>
            <w:r>
              <w:rPr>
                <w:color w:val="000000"/>
              </w:rPr>
              <w:t xml:space="preserve"> </w:t>
            </w:r>
            <w:r>
              <w:rPr>
                <w:rFonts w:ascii="sans-serif" w:hAnsi="sans-serif"/>
                <w:b w:val="false"/>
                <w:color w:val="000000"/>
                <w:sz w:val="24"/>
              </w:rPr>
              <w:t>CSC</w:t>
            </w:r>
            <w:r>
              <w:rPr>
                <w:color w:val="000000"/>
              </w:rPr>
              <w:t xml:space="preserve"> </w:t>
            </w:r>
            <w:r>
              <w:rPr>
                <w:rFonts w:ascii="sans-serif" w:hAnsi="sans-serif"/>
                <w:b w:val="false"/>
                <w:color w:val="000000"/>
                <w:sz w:val="24"/>
              </w:rPr>
              <w:t>Corporate</w:t>
            </w:r>
            <w:r>
              <w:rPr>
                <w:color w:val="000000"/>
              </w:rPr>
              <w:t xml:space="preserve"> </w:t>
            </w:r>
            <w:r>
              <w:rPr>
                <w:rFonts w:ascii="sans-serif" w:hAnsi="sans-serif"/>
                <w:b w:val="false"/>
                <w:color w:val="000000"/>
                <w:sz w:val="24"/>
              </w:rPr>
              <w:t>Services</w:t>
            </w:r>
            <w:r>
              <w:rPr>
                <w:color w:val="000000"/>
              </w:rPr>
              <w:t xml:space="preserve"> </w:t>
            </w:r>
            <w:r>
              <w:rPr>
                <w:rFonts w:ascii="sans-serif" w:hAnsi="sans-serif"/>
                <w:b w:val="false"/>
                <w:color w:val="000000"/>
                <w:sz w:val="24"/>
              </w:rPr>
              <w:t>(Suisse)</w:t>
            </w:r>
            <w:r>
              <w:rPr>
                <w:color w:val="000000"/>
              </w:rPr>
              <w:t xml:space="preserve"> </w:t>
            </w:r>
            <w:r>
              <w:rPr>
                <w:rFonts w:ascii="sans-serif" w:hAnsi="sans-serif"/>
                <w:b w:val="false"/>
                <w:color w:val="000000"/>
                <w:sz w:val="24"/>
              </w:rPr>
              <w:t xml:space="preserve">GmbH, </w:t>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88" w:before="8" w:after="283"/>
              <w:jc w:val="left"/>
              <w:rPr>
                <w:rFonts w:ascii="sans-serif" w:hAnsi="sans-serif"/>
                <w:b w:val="false"/>
                <w:color w:val="000000"/>
                <w:sz w:val="24"/>
              </w:rPr>
            </w:pPr>
            <w:r>
              <w:rPr>
                <w:rFonts w:ascii="sans-serif" w:hAnsi="sans-serif"/>
                <w:b w:val="false"/>
                <w:color w:val="000000"/>
                <w:sz w:val="24"/>
              </w:rPr>
              <w:t>Zweigniederlassung Zürich</w:t>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tLeast" w:line="293" w:before="0" w:after="0"/>
              <w:jc w:val="left"/>
              <w:rPr/>
            </w:pPr>
            <w:r>
              <w:rPr>
                <w:rFonts w:ascii="sans-serif" w:hAnsi="sans-serif"/>
                <w:b w:val="false"/>
                <w:color w:val="000000"/>
                <w:sz w:val="24"/>
              </w:rPr>
              <w:t>Limmatquai</w:t>
            </w:r>
            <w:r>
              <w:rPr>
                <w:color w:val="000000"/>
              </w:rPr>
              <w:t xml:space="preserve"> </w:t>
            </w:r>
            <w:r>
              <w:rPr>
                <w:rFonts w:ascii="sans-serif" w:hAnsi="sans-serif"/>
                <w:b w:val="false"/>
                <w:color w:val="000000"/>
                <w:sz w:val="24"/>
              </w:rPr>
              <w:t>72</w:t>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tLeast" w:line="268" w:before="0" w:after="0"/>
              <w:jc w:val="left"/>
              <w:rPr/>
            </w:pPr>
            <w:r>
              <w:rPr>
                <w:rFonts w:ascii="sans-serif" w:hAnsi="sans-serif"/>
                <w:b w:val="false"/>
                <w:color w:val="000000"/>
                <w:sz w:val="24"/>
              </w:rPr>
              <w:t>8001</w:t>
            </w:r>
            <w:r>
              <w:rPr>
                <w:color w:val="000000"/>
              </w:rPr>
              <w:t xml:space="preserve"> </w:t>
            </w:r>
            <w:r>
              <w:rPr>
                <w:rFonts w:ascii="sans-serif" w:hAnsi="sans-serif"/>
                <w:b w:val="false"/>
                <w:color w:val="000000"/>
                <w:sz w:val="24"/>
              </w:rPr>
              <w:t>Zürich</w:t>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5" w:after="283"/>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and</w:t>
      </w:r>
    </w:p>
    <w:p>
      <w:pPr>
        <w:pStyle w:val="TextBody"/>
        <w:bidi w:val="0"/>
        <w:spacing w:before="0" w:after="0"/>
        <w:jc w:val="left"/>
        <w:rPr/>
      </w:pPr>
      <w:r>
        <w:rPr/>
      </w:r>
    </w:p>
    <w:p>
      <w:pPr>
        <w:pStyle w:val="TextBody"/>
        <w:bidi w:val="0"/>
        <w:spacing w:before="33" w:after="283"/>
        <w:jc w:val="left"/>
        <w:rPr/>
      </w:pPr>
      <w:r>
        <w:rPr/>
      </w:r>
    </w:p>
    <w:tbl>
      <w:tblPr>
        <w:tblW w:w="5400" w:type="dxa"/>
        <w:jc w:val="left"/>
        <w:tblInd w:w="0" w:type="dxa"/>
        <w:tblLayout w:type="fixed"/>
        <w:tblCellMar>
          <w:top w:w="28" w:type="dxa"/>
          <w:left w:w="28" w:type="dxa"/>
          <w:bottom w:w="28" w:type="dxa"/>
          <w:right w:w="28" w:type="dxa"/>
        </w:tblCellMar>
      </w:tblPr>
      <w:tblGrid>
        <w:gridCol w:w="890"/>
        <w:gridCol w:w="782"/>
        <w:gridCol w:w="788"/>
        <w:gridCol w:w="861"/>
        <w:gridCol w:w="861"/>
        <w:gridCol w:w="1218"/>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tLeast" w:line="244" w:before="0" w:after="63"/>
              <w:jc w:val="left"/>
              <w:rPr>
                <w:rFonts w:ascii="sans-serif" w:hAnsi="sans-serif"/>
                <w:b/>
                <w:color w:val="000000"/>
                <w:sz w:val="24"/>
              </w:rPr>
            </w:pPr>
            <w:r>
              <w:rPr>
                <w:rFonts w:ascii="sans-serif" w:hAnsi="sans-serif"/>
                <w:b/>
                <w:color w:val="000000"/>
                <w:sz w:val="24"/>
              </w:rPr>
              <w:t>Silvio Napoli</w:t>
            </w:r>
          </w:p>
        </w:tc>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pPr>
            <w:r>
              <w:rPr>
                <w:rFonts w:ascii="sans-serif" w:hAnsi="sans-serif"/>
                <w:b w:val="false"/>
                <w:color w:val="000000"/>
                <w:sz w:val="24"/>
              </w:rPr>
              <w:t xml:space="preserve">(you or the </w:t>
            </w:r>
            <w:r>
              <w:rPr>
                <w:rFonts w:ascii="sans-serif" w:hAnsi="sans-serif"/>
                <w:b/>
                <w:color w:val="000000"/>
                <w:sz w:val="24"/>
              </w:rPr>
              <w:t>Executive)</w:t>
            </w:r>
          </w:p>
        </w:tc>
      </w:tr>
      <w:tr>
        <w:trPr/>
        <w:tc>
          <w:tcPr>
            <w:tcW w:w="2460" w:type="dxa"/>
            <w:gridSpan w:val="3"/>
            <w:tcBorders/>
            <w:tcMar>
              <w:top w:w="0" w:type="dxa"/>
              <w:left w:w="0" w:type="dxa"/>
              <w:bottom w:w="0" w:type="dxa"/>
              <w:right w:w="0" w:type="dxa"/>
            </w:tcMar>
            <w:vAlign w:val="center"/>
          </w:tcPr>
          <w:p>
            <w:pPr>
              <w:pStyle w:val="TableContents"/>
              <w:bidi w:val="0"/>
              <w:spacing w:lineRule="auto" w:line="288" w:before="8" w:after="283"/>
              <w:jc w:val="left"/>
              <w:rPr/>
            </w:pPr>
            <w:r>
              <w:rPr>
                <w:rFonts w:ascii="sans-serif" w:hAnsi="sans-serif"/>
                <w:b w:val="false"/>
                <w:color w:val="000000"/>
                <w:sz w:val="24"/>
              </w:rPr>
              <w:t>Kroenleinstrasse</w:t>
            </w:r>
            <w:r>
              <w:rPr>
                <w:color w:val="000000"/>
              </w:rPr>
              <w:t xml:space="preserve"> </w:t>
            </w:r>
            <w:r>
              <w:rPr>
                <w:rFonts w:ascii="sans-serif" w:hAnsi="sans-serif"/>
                <w:b w:val="false"/>
                <w:color w:val="000000"/>
                <w:sz w:val="24"/>
              </w:rPr>
              <w:t>44</w:t>
            </w:r>
          </w:p>
          <w:p>
            <w:pPr>
              <w:pStyle w:val="TableContents"/>
              <w:bidi w:val="0"/>
              <w:spacing w:lineRule="atLeast" w:line="269" w:before="60" w:after="283"/>
              <w:jc w:val="left"/>
              <w:rPr/>
            </w:pPr>
            <w:r>
              <w:rPr>
                <w:rFonts w:ascii="sans-serif" w:hAnsi="sans-serif"/>
                <w:b w:val="false"/>
                <w:color w:val="000000"/>
                <w:sz w:val="24"/>
              </w:rPr>
              <w:t>8044</w:t>
            </w:r>
            <w:r>
              <w:rPr>
                <w:color w:val="000000"/>
              </w:rPr>
              <w:t xml:space="preserve"> </w:t>
            </w:r>
            <w:r>
              <w:rPr>
                <w:rFonts w:ascii="sans-serif" w:hAnsi="sans-serif"/>
                <w:b w:val="false"/>
                <w:color w:val="000000"/>
                <w:sz w:val="24"/>
              </w:rPr>
              <w:t>Zurich</w:t>
            </w:r>
          </w:p>
        </w:tc>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9581" w:type="dxa"/>
        <w:jc w:val="left"/>
        <w:tblInd w:w="0" w:type="dxa"/>
        <w:tblLayout w:type="fixed"/>
        <w:tblCellMar>
          <w:top w:w="28" w:type="dxa"/>
          <w:left w:w="28" w:type="dxa"/>
          <w:bottom w:w="28" w:type="dxa"/>
          <w:right w:w="28" w:type="dxa"/>
        </w:tblCellMar>
      </w:tblPr>
      <w:tblGrid>
        <w:gridCol w:w="124"/>
        <w:gridCol w:w="109"/>
        <w:gridCol w:w="109"/>
        <w:gridCol w:w="2702"/>
        <w:gridCol w:w="2702"/>
        <w:gridCol w:w="38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38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8" w:after="283"/>
              <w:jc w:val="left"/>
              <w:rPr/>
            </w:pPr>
            <w:r>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000000"/>
                <w:sz w:val="24"/>
              </w:rPr>
              <w:t xml:space="preserve">(The Company and the Executive are also referred to as </w:t>
            </w:r>
            <w:r>
              <w:rPr>
                <w:rFonts w:ascii="sans-serif" w:hAnsi="sans-serif"/>
                <w:b/>
                <w:color w:val="000000"/>
                <w:sz w:val="24"/>
              </w:rPr>
              <w:t>Party</w:t>
            </w:r>
            <w:r>
              <w:rPr>
                <w:color w:val="000000"/>
              </w:rPr>
              <w:t xml:space="preserve"> </w:t>
            </w:r>
            <w:r>
              <w:rPr>
                <w:rFonts w:ascii="sans-serif" w:hAnsi="sans-serif"/>
                <w:b w:val="false"/>
                <w:color w:val="000000"/>
                <w:sz w:val="24"/>
              </w:rPr>
              <w:t xml:space="preserve">or </w:t>
            </w:r>
            <w:r>
              <w:rPr>
                <w:rFonts w:ascii="sans-serif" w:hAnsi="sans-serif"/>
                <w:b/>
                <w:color w:val="000000"/>
                <w:sz w:val="24"/>
              </w:rPr>
              <w:t>Parties</w:t>
            </w:r>
            <w:r>
              <w:rPr>
                <w:rFonts w:ascii="sans-serif" w:hAnsi="sans-serif"/>
                <w:b w:val="false"/>
                <w:color w:val="000000"/>
                <w:sz w:val="24"/>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11" w:before="0" w:after="0"/>
        <w:jc w:val="right"/>
        <w:rPr>
          <w:rFonts w:ascii="sans-serif" w:hAnsi="sans-serif"/>
          <w:b/>
          <w:color w:val="000000"/>
          <w:sz w:val="16"/>
        </w:rPr>
      </w:pPr>
      <w:r>
        <w:rPr>
          <w:rFonts w:ascii="sans-serif" w:hAnsi="sans-serif"/>
          <w:b/>
          <w:color w:val="000000"/>
          <w:sz w:val="16"/>
        </w:rPr>
        <w:t>Employment Agreement between Lucid Switzerland AG and Silvio Napoli</w:t>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582930"/>
                <wp:effectExtent l="0" t="0" r="0" b="0"/>
                <wp:wrapNone/>
                <wp:docPr id="132" name="Frame132"/>
                <a:graphic xmlns:a="http://schemas.openxmlformats.org/drawingml/2006/main">
                  <a:graphicData uri="http://schemas.microsoft.com/office/word/2010/wordprocessingShape">
                    <wps:wsp>
                      <wps:cNvSpPr txBox="1"/>
                      <wps:spPr>
                        <a:xfrm>
                          <a:off x="0" y="0"/>
                          <a:ext cx="6480175" cy="58293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sans-serif" w:hAnsi="sans-serif"/>
                                <w:b w:val="false"/>
                                <w:color w:val="000000"/>
                                <w:sz w:val="22"/>
                              </w:rPr>
                            </w:pPr>
                            <w:r>
                              <w:rPr>
                                <w:rFonts w:ascii="sans-serif" w:hAnsi="sans-serif"/>
                                <w:b w:val="false"/>
                                <w:color w:val="000000"/>
                                <w:sz w:val="22"/>
                              </w:rPr>
                              <w:t xml:space="preserve">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9pt;mso-wrap-distance-left:0pt;mso-wrap-distance-right:0pt;mso-wrap-distance-top:0pt;mso-wrap-distance-bottom:0pt;margin-top:0pt;mso-position-vertical:top;mso-position-vertical-relative:text;margin-left:-154.2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sans-serif" w:hAnsi="sans-serif"/>
                          <w:b w:val="false"/>
                          <w:color w:val="000000"/>
                          <w:sz w:val="22"/>
                        </w:rPr>
                      </w:pPr>
                      <w:r>
                        <w:rPr>
                          <w:rFonts w:ascii="sans-serif" w:hAnsi="sans-serif"/>
                          <w:b w:val="false"/>
                          <w:color w:val="000000"/>
                          <w:sz w:val="22"/>
                        </w:rPr>
                        <w:t xml:space="preserve">1 </w:t>
                      </w:r>
                    </w:p>
                  </w:txbxContent>
                </v:textbox>
                <w10:wrap type="none"/>
              </v:rect>
            </w:pict>
          </mc:Fallback>
        </mc:AlternateContent>
      </w:r>
    </w:p>
    <w:p>
      <w:pPr>
        <w:pStyle w:val="TextBody"/>
        <w:bidi w:val="0"/>
        <w:spacing w:lineRule="auto" w:line="288" w:before="198" w:after="283"/>
        <w:ind w:left="0" w:right="0" w:hanging="566"/>
        <w:jc w:val="left"/>
        <w:rPr/>
      </w:pPr>
      <w:r>
        <w:rPr>
          <w:rFonts w:ascii="sans-serif" w:hAnsi="sans-serif"/>
          <w:b/>
          <w:color w:val="958849"/>
          <w:sz w:val="28"/>
        </w:rPr>
        <w:t>Table</w:t>
      </w:r>
      <w:r>
        <w:rPr>
          <w:color w:val="958849"/>
        </w:rPr>
        <w:t xml:space="preserve"> </w:t>
      </w:r>
      <w:r>
        <w:rPr>
          <w:rFonts w:ascii="sans-serif" w:hAnsi="sans-serif"/>
          <w:b/>
          <w:color w:val="958849"/>
          <w:sz w:val="28"/>
        </w:rPr>
        <w:t>of</w:t>
      </w:r>
      <w:r>
        <w:rPr>
          <w:color w:val="958849"/>
        </w:rPr>
        <w:t xml:space="preserve"> </w:t>
      </w:r>
      <w:r>
        <w:rPr>
          <w:rFonts w:ascii="sans-serif" w:hAnsi="sans-serif"/>
          <w:b/>
          <w:color w:val="958849"/>
          <w:sz w:val="28"/>
        </w:rPr>
        <w:t>Contents</w:t>
      </w:r>
    </w:p>
    <w:tbl>
      <w:tblPr>
        <w:tblW w:w="9461" w:type="dxa"/>
        <w:jc w:val="left"/>
        <w:tblInd w:w="0" w:type="dxa"/>
        <w:tblLayout w:type="fixed"/>
        <w:tblCellMar>
          <w:top w:w="28" w:type="dxa"/>
          <w:left w:w="28" w:type="dxa"/>
          <w:bottom w:w="28" w:type="dxa"/>
          <w:right w:w="28" w:type="dxa"/>
        </w:tblCellMar>
      </w:tblPr>
      <w:tblGrid>
        <w:gridCol w:w="184"/>
        <w:gridCol w:w="162"/>
        <w:gridCol w:w="163"/>
        <w:gridCol w:w="2723"/>
        <w:gridCol w:w="2723"/>
        <w:gridCol w:w="2728"/>
        <w:gridCol w:w="109"/>
        <w:gridCol w:w="109"/>
        <w:gridCol w:w="109"/>
        <w:gridCol w:w="132"/>
        <w:gridCol w:w="132"/>
        <w:gridCol w:w="187"/>
      </w:tblGrid>
      <w:tr>
        <w:trPr/>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723" w:type="dxa"/>
            <w:tcBorders/>
            <w:vAlign w:val="center"/>
          </w:tcPr>
          <w:p>
            <w:pPr>
              <w:pStyle w:val="TableContents"/>
              <w:bidi w:val="0"/>
              <w:spacing w:before="0" w:after="283"/>
              <w:jc w:val="left"/>
              <w:rPr>
                <w:sz w:val="4"/>
                <w:szCs w:val="4"/>
              </w:rPr>
            </w:pPr>
            <w:r>
              <w:rPr>
                <w:sz w:val="4"/>
                <w:szCs w:val="4"/>
              </w:rPr>
            </w:r>
          </w:p>
        </w:tc>
        <w:tc>
          <w:tcPr>
            <w:tcW w:w="2723"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1.</w:t>
            </w:r>
          </w:p>
        </w:tc>
        <w:tc>
          <w:tcPr>
            <w:tcW w:w="8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Condition Precedent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3</w:t>
            </w:r>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2.</w:t>
            </w:r>
          </w:p>
        </w:tc>
        <w:tc>
          <w:tcPr>
            <w:tcW w:w="8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Commencement Date and Termination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3</w:t>
            </w:r>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3.</w:t>
            </w:r>
          </w:p>
        </w:tc>
        <w:tc>
          <w:tcPr>
            <w:tcW w:w="8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Cooperation and Good Faith Efforts for U.S. Work Authorization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3</w:t>
            </w:r>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4.</w:t>
            </w:r>
          </w:p>
        </w:tc>
        <w:tc>
          <w:tcPr>
            <w:tcW w:w="8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Function, Duties and Responsibilities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4</w:t>
            </w:r>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5.</w:t>
            </w:r>
          </w:p>
        </w:tc>
        <w:tc>
          <w:tcPr>
            <w:tcW w:w="8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Group 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4</w:t>
            </w:r>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6.</w:t>
            </w:r>
          </w:p>
        </w:tc>
        <w:tc>
          <w:tcPr>
            <w:tcW w:w="8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Work for Third Parties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4</w:t>
            </w:r>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7.</w:t>
            </w:r>
          </w:p>
        </w:tc>
        <w:tc>
          <w:tcPr>
            <w:tcW w:w="8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Officer Position / Conflict of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4</w:t>
            </w:r>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8.</w:t>
            </w:r>
          </w:p>
        </w:tc>
        <w:tc>
          <w:tcPr>
            <w:tcW w:w="8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Place of Work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5</w:t>
            </w:r>
          </w:p>
        </w:tc>
      </w:tr>
      <w:tr>
        <w:trPr/>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88" w:before="60" w:after="283"/>
              <w:jc w:val="left"/>
              <w:rPr/>
            </w:pPr>
            <w:r>
              <w:rPr>
                <w:rFonts w:ascii="sans-serif" w:hAnsi="sans-serif"/>
                <w:b w:val="false"/>
                <w:color w:val="000000"/>
                <w:sz w:val="22"/>
              </w:rPr>
              <w:t>8.1.    Place</w:t>
            </w:r>
            <w:r>
              <w:rPr>
                <w:color w:val="000000"/>
              </w:rPr>
              <w:t xml:space="preserve"> </w:t>
            </w:r>
            <w:r>
              <w:rPr>
                <w:rFonts w:ascii="sans-serif" w:hAnsi="sans-serif"/>
                <w:b w:val="false"/>
                <w:color w:val="000000"/>
                <w:sz w:val="22"/>
              </w:rPr>
              <w:t>of Work</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Business</w:t>
            </w:r>
            <w:r>
              <w:rPr>
                <w:color w:val="000000"/>
              </w:rPr>
              <w:t xml:space="preserve"> </w:t>
            </w:r>
            <w:r>
              <w:rPr>
                <w:rFonts w:ascii="sans-serif" w:hAnsi="sans-serif"/>
                <w:b w:val="false"/>
                <w:color w:val="000000"/>
                <w:sz w:val="22"/>
              </w:rPr>
              <w:t>Trips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5</w:t>
            </w:r>
          </w:p>
        </w:tc>
      </w:tr>
      <w:tr>
        <w:trPr/>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88" w:before="60" w:after="283"/>
              <w:jc w:val="left"/>
              <w:rPr/>
            </w:pPr>
            <w:r>
              <w:rPr>
                <w:rFonts w:ascii="sans-serif" w:hAnsi="sans-serif"/>
                <w:b w:val="false"/>
                <w:color w:val="000000"/>
                <w:sz w:val="22"/>
              </w:rPr>
              <w:t>8.2.    Data</w:t>
            </w:r>
            <w:r>
              <w:rPr>
                <w:color w:val="000000"/>
              </w:rPr>
              <w:t xml:space="preserve"> </w:t>
            </w:r>
            <w:r>
              <w:rPr>
                <w:rFonts w:ascii="sans-serif" w:hAnsi="sans-serif"/>
                <w:b w:val="false"/>
                <w:color w:val="000000"/>
                <w:sz w:val="22"/>
              </w:rPr>
              <w:t>Safety</w:t>
            </w:r>
            <w:r>
              <w:rPr>
                <w:color w:val="000000"/>
              </w:rPr>
              <w:t xml:space="preserve"> </w:t>
            </w:r>
            <w:r>
              <w:rPr>
                <w:rFonts w:ascii="sans-serif" w:hAnsi="sans-serif"/>
                <w:b w:val="false"/>
                <w:color w:val="000000"/>
                <w:sz w:val="22"/>
              </w:rPr>
              <w:t>regarding</w:t>
            </w:r>
            <w:r>
              <w:rPr>
                <w:color w:val="000000"/>
              </w:rPr>
              <w:t xml:space="preserve"> </w:t>
            </w:r>
            <w:r>
              <w:rPr>
                <w:rFonts w:ascii="sans-serif" w:hAnsi="sans-serif"/>
                <w:b w:val="false"/>
                <w:color w:val="000000"/>
                <w:sz w:val="22"/>
              </w:rPr>
              <w:t>Remote Working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5</w:t>
            </w:r>
          </w:p>
        </w:tc>
      </w:tr>
      <w:tr>
        <w:trPr/>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88" w:before="60" w:after="283"/>
              <w:jc w:val="left"/>
              <w:rPr/>
            </w:pPr>
            <w:r>
              <w:rPr>
                <w:rFonts w:ascii="sans-serif" w:hAnsi="sans-serif"/>
                <w:b w:val="false"/>
                <w:color w:val="000000"/>
                <w:sz w:val="22"/>
              </w:rPr>
              <w:t>8.3.    Remote</w:t>
            </w:r>
            <w:r>
              <w:rPr>
                <w:color w:val="000000"/>
              </w:rPr>
              <w:t xml:space="preserve"> </w:t>
            </w:r>
            <w:r>
              <w:rPr>
                <w:rFonts w:ascii="sans-serif" w:hAnsi="sans-serif"/>
                <w:b w:val="false"/>
                <w:color w:val="000000"/>
                <w:sz w:val="22"/>
              </w:rPr>
              <w:t>Working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5</w:t>
            </w:r>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9.</w:t>
            </w:r>
          </w:p>
        </w:tc>
        <w:tc>
          <w:tcPr>
            <w:tcW w:w="81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2"/>
              </w:rPr>
            </w:pPr>
            <w:r>
              <w:rPr>
                <w:rFonts w:ascii="sans-serif" w:hAnsi="sans-serif"/>
                <w:b/>
                <w:color w:val="000000"/>
                <w:sz w:val="22"/>
              </w:rPr>
              <w:t>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5</w:t>
            </w:r>
          </w:p>
        </w:tc>
      </w:tr>
      <w:tr>
        <w:trPr/>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88" w:before="62" w:after="283"/>
              <w:ind w:left="0" w:right="0" w:hanging="0"/>
              <w:jc w:val="left"/>
              <w:rPr>
                <w:rFonts w:ascii="sans-serif" w:hAnsi="sans-serif"/>
                <w:b w:val="false"/>
                <w:color w:val="000000"/>
                <w:sz w:val="22"/>
              </w:rPr>
            </w:pPr>
            <w:r>
              <w:rPr>
                <w:rFonts w:ascii="sans-serif" w:hAnsi="sans-serif"/>
                <w:b w:val="false"/>
                <w:color w:val="000000"/>
                <w:sz w:val="22"/>
              </w:rPr>
              <w:t>9.1.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5</w:t>
            </w:r>
          </w:p>
        </w:tc>
      </w:tr>
      <w:tr>
        <w:trPr/>
        <w:tc>
          <w:tcPr>
            <w:tcW w:w="509" w:type="dxa"/>
            <w:gridSpan w:val="3"/>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9.2.     Equity-based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6</w:t>
            </w:r>
          </w:p>
        </w:tc>
      </w:tr>
      <w:tr>
        <w:trPr/>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88" w:before="60" w:after="283"/>
              <w:jc w:val="left"/>
              <w:rPr/>
            </w:pPr>
            <w:r>
              <w:rPr>
                <w:rFonts w:ascii="sans-serif" w:hAnsi="sans-serif"/>
                <w:b w:val="false"/>
                <w:color w:val="000000"/>
                <w:sz w:val="22"/>
              </w:rPr>
              <w:t>9.2.1.    New</w:t>
            </w:r>
            <w:r>
              <w:rPr>
                <w:color w:val="000000"/>
              </w:rPr>
              <w:t xml:space="preserve"> </w:t>
            </w:r>
            <w:r>
              <w:rPr>
                <w:rFonts w:ascii="sans-serif" w:hAnsi="sans-serif"/>
                <w:b w:val="false"/>
                <w:color w:val="000000"/>
                <w:sz w:val="22"/>
              </w:rPr>
              <w:t>Hire</w:t>
            </w:r>
            <w:r>
              <w:rPr>
                <w:color w:val="000000"/>
              </w:rPr>
              <w:t xml:space="preserve"> </w:t>
            </w:r>
            <w:r>
              <w:rPr>
                <w:rFonts w:ascii="sans-serif" w:hAnsi="sans-serif"/>
                <w:b w:val="false"/>
                <w:color w:val="000000"/>
                <w:sz w:val="22"/>
              </w:rPr>
              <w:t>Performance-Based Stock</w:t>
            </w:r>
            <w:r>
              <w:rPr>
                <w:color w:val="000000"/>
              </w:rPr>
              <w:t xml:space="preserve"> </w:t>
            </w:r>
            <w:r>
              <w:rPr>
                <w:rFonts w:ascii="sans-serif" w:hAnsi="sans-serif"/>
                <w:b w:val="false"/>
                <w:color w:val="000000"/>
                <w:sz w:val="22"/>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6</w:t>
            </w:r>
          </w:p>
        </w:tc>
      </w:tr>
      <w:tr>
        <w:trPr/>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88" w:before="60" w:after="283"/>
              <w:jc w:val="left"/>
              <w:rPr/>
            </w:pPr>
            <w:r>
              <w:rPr>
                <w:rFonts w:ascii="sans-serif" w:hAnsi="sans-serif"/>
                <w:b w:val="false"/>
                <w:color w:val="000000"/>
                <w:sz w:val="22"/>
              </w:rPr>
              <w:t>9.2.2.    Annual</w:t>
            </w:r>
            <w:r>
              <w:rPr>
                <w:color w:val="000000"/>
              </w:rPr>
              <w:t xml:space="preserve"> </w:t>
            </w:r>
            <w:r>
              <w:rPr>
                <w:rFonts w:ascii="sans-serif" w:hAnsi="sans-serif"/>
                <w:b w:val="false"/>
                <w:color w:val="000000"/>
                <w:sz w:val="22"/>
              </w:rPr>
              <w:t>Long-Term</w:t>
            </w:r>
            <w:r>
              <w:rPr>
                <w:color w:val="000000"/>
              </w:rPr>
              <w:t xml:space="preserve"> </w:t>
            </w:r>
            <w:r>
              <w:rPr>
                <w:rFonts w:ascii="sans-serif" w:hAnsi="sans-serif"/>
                <w:b w:val="false"/>
                <w:color w:val="000000"/>
                <w:sz w:val="22"/>
              </w:rPr>
              <w:t>Incentive (“LTI”)</w:t>
            </w:r>
            <w:r>
              <w:rPr>
                <w:color w:val="000000"/>
              </w:rPr>
              <w:t xml:space="preserve"> </w:t>
            </w:r>
            <w:r>
              <w:rPr>
                <w:rFonts w:ascii="sans-serif" w:hAnsi="sans-serif"/>
                <w:b w:val="false"/>
                <w:color w:val="000000"/>
                <w:sz w:val="22"/>
              </w:rPr>
              <w:t>Target</w:t>
            </w:r>
            <w:r>
              <w:rPr>
                <w:color w:val="000000"/>
              </w:rPr>
              <w:t xml:space="preserve"> </w:t>
            </w:r>
            <w:r>
              <w:rPr>
                <w:rFonts w:ascii="sans-serif" w:hAnsi="sans-serif"/>
                <w:b w:val="false"/>
                <w:color w:val="000000"/>
                <w:sz w:val="22"/>
              </w:rPr>
              <w:t>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7</w:t>
            </w:r>
          </w:p>
        </w:tc>
      </w:tr>
      <w:tr>
        <w:trPr/>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88" w:before="59" w:after="283"/>
              <w:ind w:left="0" w:right="0" w:hanging="0"/>
              <w:jc w:val="left"/>
              <w:rPr/>
            </w:pPr>
            <w:r>
              <w:rPr>
                <w:rFonts w:ascii="sans-serif" w:hAnsi="sans-serif"/>
                <w:b w:val="false"/>
                <w:color w:val="000000"/>
                <w:sz w:val="22"/>
              </w:rPr>
              <w:t>9.3.    Up-Front</w:t>
            </w:r>
            <w:r>
              <w:rPr>
                <w:color w:val="000000"/>
              </w:rPr>
              <w:t xml:space="preserve"> </w:t>
            </w:r>
            <w:r>
              <w:rPr>
                <w:rFonts w:ascii="sans-serif" w:hAnsi="sans-serif"/>
                <w:b w:val="false"/>
                <w:color w:val="000000"/>
                <w:sz w:val="22"/>
              </w:rPr>
              <w:t>Incentive</w:t>
            </w:r>
            <w:r>
              <w:rPr>
                <w:color w:val="000000"/>
              </w:rPr>
              <w:t xml:space="preserve"> </w:t>
            </w:r>
            <w:r>
              <w:rPr>
                <w:rFonts w:ascii="sans-serif" w:hAnsi="sans-serif"/>
                <w:b w:val="false"/>
                <w:color w:val="000000"/>
                <w:sz w:val="22"/>
              </w:rPr>
              <w:t>Payment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8</w:t>
            </w:r>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10.</w:t>
            </w:r>
          </w:p>
        </w:tc>
        <w:tc>
          <w:tcPr>
            <w:tcW w:w="81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2"/>
              </w:rPr>
            </w:pPr>
            <w:r>
              <w:rPr>
                <w:rFonts w:ascii="sans-serif" w:hAnsi="sans-serif"/>
                <w:b/>
                <w:color w:val="000000"/>
                <w:sz w:val="22"/>
              </w:rPr>
              <w:t>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8</w:t>
            </w:r>
          </w:p>
        </w:tc>
      </w:tr>
      <w:tr>
        <w:trPr/>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88" w:before="60" w:after="283"/>
              <w:ind w:left="0" w:right="0" w:hanging="0"/>
              <w:jc w:val="left"/>
              <w:rPr/>
            </w:pPr>
            <w:r>
              <w:rPr>
                <w:rFonts w:ascii="sans-serif" w:hAnsi="sans-serif"/>
                <w:b w:val="false"/>
                <w:color w:val="000000"/>
                <w:sz w:val="22"/>
              </w:rPr>
              <w:t>10.1.    Executive Car</w:t>
            </w:r>
            <w:r>
              <w:rPr>
                <w:color w:val="000000"/>
              </w:rPr>
              <w:t xml:space="preserve"> </w:t>
            </w:r>
            <w:r>
              <w:rPr>
                <w:rFonts w:ascii="sans-serif" w:hAnsi="sans-serif"/>
                <w:b w:val="false"/>
                <w:color w:val="000000"/>
                <w:sz w:val="22"/>
              </w:rPr>
              <w:t>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8</w:t>
            </w:r>
          </w:p>
        </w:tc>
      </w:tr>
      <w:tr>
        <w:trPr/>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88" w:before="60" w:after="283"/>
              <w:ind w:left="0" w:right="0" w:hanging="0"/>
              <w:jc w:val="left"/>
              <w:rPr/>
            </w:pPr>
            <w:r>
              <w:rPr>
                <w:rFonts w:ascii="sans-serif" w:hAnsi="sans-serif"/>
                <w:b w:val="false"/>
                <w:color w:val="000000"/>
                <w:sz w:val="22"/>
              </w:rPr>
              <w:t>10.2.    Security</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Driver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8</w:t>
            </w:r>
          </w:p>
        </w:tc>
      </w:tr>
      <w:tr>
        <w:trPr/>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88" w:before="60" w:after="283"/>
              <w:ind w:left="0" w:right="0" w:hanging="0"/>
              <w:jc w:val="left"/>
              <w:rPr/>
            </w:pPr>
            <w:r>
              <w:rPr>
                <w:rFonts w:ascii="sans-serif" w:hAnsi="sans-serif"/>
                <w:b w:val="false"/>
                <w:color w:val="000000"/>
                <w:sz w:val="22"/>
              </w:rPr>
              <w:t>10.3.    Financial</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Tax</w:t>
            </w:r>
            <w:r>
              <w:rPr>
                <w:color w:val="000000"/>
              </w:rPr>
              <w:t xml:space="preserve"> </w:t>
            </w:r>
            <w:r>
              <w:rPr>
                <w:rFonts w:ascii="sans-serif" w:hAnsi="sans-serif"/>
                <w:b w:val="false"/>
                <w:color w:val="000000"/>
                <w:sz w:val="22"/>
              </w:rPr>
              <w:t>Planning</w:t>
            </w:r>
            <w:r>
              <w:rPr>
                <w:color w:val="000000"/>
              </w:rPr>
              <w:t xml:space="preserve"> </w:t>
            </w:r>
            <w:r>
              <w:rPr>
                <w:rFonts w:ascii="sans-serif" w:hAnsi="sans-serif"/>
                <w:b w:val="false"/>
                <w:color w:val="000000"/>
                <w:sz w:val="22"/>
              </w:rPr>
              <w:t>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9</w:t>
            </w:r>
          </w:p>
        </w:tc>
      </w:tr>
      <w:tr>
        <w:trPr/>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88" w:before="60" w:after="283"/>
              <w:ind w:left="0" w:right="0" w:hanging="0"/>
              <w:jc w:val="left"/>
              <w:rPr/>
            </w:pPr>
            <w:r>
              <w:rPr>
                <w:rFonts w:ascii="sans-serif" w:hAnsi="sans-serif"/>
                <w:b w:val="false"/>
                <w:color w:val="000000"/>
                <w:sz w:val="22"/>
              </w:rPr>
              <w:t>10.4.    Life</w:t>
            </w:r>
            <w:r>
              <w:rPr>
                <w:color w:val="000000"/>
              </w:rPr>
              <w:t xml:space="preserve"> </w:t>
            </w:r>
            <w:r>
              <w:rPr>
                <w:rFonts w:ascii="sans-serif" w:hAnsi="sans-serif"/>
                <w:b w:val="false"/>
                <w:color w:val="000000"/>
                <w:sz w:val="22"/>
              </w:rPr>
              <w:t>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9</w:t>
            </w:r>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sans-serif" w:hAnsi="sans-serif"/>
                <w:b/>
                <w:color w:val="000000"/>
                <w:sz w:val="22"/>
              </w:rPr>
            </w:pPr>
            <w:r>
              <w:rPr>
                <w:rFonts w:ascii="sans-serif" w:hAnsi="sans-serif"/>
                <w:b/>
                <w:color w:val="000000"/>
                <w:sz w:val="22"/>
              </w:rPr>
              <w:t>11.</w:t>
            </w:r>
          </w:p>
        </w:tc>
        <w:tc>
          <w:tcPr>
            <w:tcW w:w="81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2"/>
              </w:rPr>
            </w:pPr>
            <w:r>
              <w:rPr>
                <w:rFonts w:ascii="sans-serif" w:hAnsi="sans-serif"/>
                <w:b/>
                <w:color w:val="000000"/>
                <w:sz w:val="22"/>
              </w:rPr>
              <w:t>Severance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9</w:t>
            </w:r>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12.</w:t>
            </w:r>
          </w:p>
        </w:tc>
        <w:tc>
          <w:tcPr>
            <w:tcW w:w="8174" w:type="dxa"/>
            <w:gridSpan w:val="3"/>
            <w:tcBorders/>
            <w:tcMar>
              <w:top w:w="0" w:type="dxa"/>
              <w:left w:w="0" w:type="dxa"/>
              <w:bottom w:w="0" w:type="dxa"/>
              <w:right w:w="0" w:type="dxa"/>
            </w:tcMar>
            <w:vAlign w:val="center"/>
          </w:tcPr>
          <w:p>
            <w:pPr>
              <w:pStyle w:val="TableContents"/>
              <w:bidi w:val="0"/>
              <w:spacing w:lineRule="auto" w:line="288" w:before="60" w:after="283"/>
              <w:ind w:left="0" w:right="0" w:hanging="0"/>
              <w:jc w:val="left"/>
              <w:rPr>
                <w:rFonts w:ascii="sans-serif" w:hAnsi="sans-serif"/>
                <w:b/>
                <w:color w:val="000000"/>
                <w:sz w:val="22"/>
              </w:rPr>
            </w:pPr>
            <w:r>
              <w:rPr>
                <w:rFonts w:ascii="sans-serif" w:hAnsi="sans-serif"/>
                <w:b/>
                <w:color w:val="000000"/>
                <w:sz w:val="22"/>
              </w:rPr>
              <w:t>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9</w:t>
            </w:r>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sans-serif" w:hAnsi="sans-serif"/>
                <w:b/>
                <w:color w:val="000000"/>
                <w:sz w:val="22"/>
              </w:rPr>
            </w:pPr>
            <w:r>
              <w:rPr>
                <w:rFonts w:ascii="sans-serif" w:hAnsi="sans-serif"/>
                <w:b/>
                <w:color w:val="000000"/>
                <w:sz w:val="22"/>
              </w:rPr>
              <w:t>13.</w:t>
            </w:r>
          </w:p>
        </w:tc>
        <w:tc>
          <w:tcPr>
            <w:tcW w:w="81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2"/>
              </w:rPr>
            </w:pPr>
            <w:r>
              <w:rPr>
                <w:rFonts w:ascii="sans-serif" w:hAnsi="sans-serif"/>
                <w:b/>
                <w:color w:val="000000"/>
                <w:sz w:val="22"/>
              </w:rPr>
              <w:t>Release from Work (Garden Leave)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10</w:t>
            </w:r>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sans-serif" w:hAnsi="sans-serif"/>
                <w:b/>
                <w:color w:val="000000"/>
                <w:sz w:val="22"/>
              </w:rPr>
            </w:pPr>
            <w:r>
              <w:rPr>
                <w:rFonts w:ascii="sans-serif" w:hAnsi="sans-serif"/>
                <w:b/>
                <w:color w:val="000000"/>
                <w:sz w:val="22"/>
              </w:rPr>
              <w:t>14.</w:t>
            </w:r>
          </w:p>
        </w:tc>
        <w:tc>
          <w:tcPr>
            <w:tcW w:w="81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2"/>
              </w:rPr>
            </w:pPr>
            <w:r>
              <w:rPr>
                <w:rFonts w:ascii="sans-serif" w:hAnsi="sans-serif"/>
                <w:b/>
                <w:color w:val="000000"/>
                <w:sz w:val="22"/>
              </w:rPr>
              <w:t>Obligation to Return Work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10</w:t>
            </w:r>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sans-serif" w:hAnsi="sans-serif"/>
                <w:b/>
                <w:color w:val="000000"/>
                <w:sz w:val="22"/>
              </w:rPr>
            </w:pPr>
            <w:r>
              <w:rPr>
                <w:rFonts w:ascii="sans-serif" w:hAnsi="sans-serif"/>
                <w:b/>
                <w:color w:val="000000"/>
                <w:sz w:val="22"/>
              </w:rPr>
              <w:t>15.</w:t>
            </w:r>
          </w:p>
        </w:tc>
        <w:tc>
          <w:tcPr>
            <w:tcW w:w="81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2"/>
              </w:rPr>
            </w:pPr>
            <w:r>
              <w:rPr>
                <w:rFonts w:ascii="sans-serif" w:hAnsi="sans-serif"/>
                <w:b/>
                <w:color w:val="000000"/>
                <w:sz w:val="22"/>
              </w:rPr>
              <w:t>Woking Time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10</w:t>
            </w:r>
          </w:p>
        </w:tc>
      </w:tr>
      <w:tr>
        <w:trPr/>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88" w:before="62" w:after="283"/>
              <w:ind w:left="0" w:right="0" w:hanging="0"/>
              <w:jc w:val="left"/>
              <w:rPr>
                <w:rFonts w:ascii="sans-serif" w:hAnsi="sans-serif"/>
                <w:b w:val="false"/>
                <w:color w:val="000000"/>
                <w:sz w:val="22"/>
              </w:rPr>
            </w:pPr>
            <w:r>
              <w:rPr>
                <w:rFonts w:ascii="sans-serif" w:hAnsi="sans-serif"/>
                <w:b w:val="false"/>
                <w:color w:val="000000"/>
                <w:sz w:val="22"/>
              </w:rPr>
              <w:t>15.1.    General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10</w:t>
            </w:r>
          </w:p>
        </w:tc>
      </w:tr>
      <w:tr>
        <w:trPr/>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88" w:before="60" w:after="283"/>
              <w:ind w:left="0" w:right="0" w:hanging="0"/>
              <w:jc w:val="left"/>
              <w:rPr/>
            </w:pPr>
            <w:r>
              <w:rPr>
                <w:rFonts w:ascii="sans-serif" w:hAnsi="sans-serif"/>
                <w:b w:val="false"/>
                <w:color w:val="000000"/>
                <w:sz w:val="22"/>
              </w:rPr>
              <w:t>15.2.    Additional</w:t>
            </w:r>
            <w:r>
              <w:rPr>
                <w:color w:val="000000"/>
              </w:rPr>
              <w:t xml:space="preserve"> </w:t>
            </w:r>
            <w:r>
              <w:rPr>
                <w:rFonts w:ascii="sans-serif" w:hAnsi="sans-serif"/>
                <w:b w:val="false"/>
                <w:color w:val="000000"/>
                <w:sz w:val="22"/>
              </w:rPr>
              <w:t>Work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10</w:t>
            </w:r>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sans-serif" w:hAnsi="sans-serif"/>
                <w:b/>
                <w:color w:val="000000"/>
                <w:sz w:val="22"/>
              </w:rPr>
            </w:pPr>
            <w:r>
              <w:rPr>
                <w:rFonts w:ascii="sans-serif" w:hAnsi="sans-serif"/>
                <w:b/>
                <w:color w:val="000000"/>
                <w:sz w:val="22"/>
              </w:rPr>
              <w:t>16.</w:t>
            </w:r>
          </w:p>
        </w:tc>
        <w:tc>
          <w:tcPr>
            <w:tcW w:w="81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2"/>
              </w:rPr>
            </w:pPr>
            <w:r>
              <w:rPr>
                <w:rFonts w:ascii="sans-serif" w:hAnsi="sans-serif"/>
                <w:b/>
                <w:color w:val="000000"/>
                <w:sz w:val="22"/>
              </w:rPr>
              <w:t>Vacation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11</w:t>
            </w:r>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sans-serif" w:hAnsi="sans-serif"/>
                <w:b/>
                <w:color w:val="000000"/>
                <w:sz w:val="22"/>
              </w:rPr>
            </w:pPr>
            <w:r>
              <w:rPr>
                <w:rFonts w:ascii="sans-serif" w:hAnsi="sans-serif"/>
                <w:b/>
                <w:color w:val="000000"/>
                <w:sz w:val="22"/>
              </w:rPr>
              <w:t>17.</w:t>
            </w:r>
          </w:p>
        </w:tc>
        <w:tc>
          <w:tcPr>
            <w:tcW w:w="81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2"/>
              </w:rPr>
            </w:pPr>
            <w:r>
              <w:rPr>
                <w:rFonts w:ascii="sans-serif" w:hAnsi="sans-serif"/>
                <w:b/>
                <w:color w:val="000000"/>
                <w:sz w:val="22"/>
              </w:rPr>
              <w:t>Incapacity to Work and Insurances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11</w:t>
            </w:r>
          </w:p>
        </w:tc>
      </w:tr>
      <w:tr>
        <w:trPr/>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88" w:before="59" w:after="283"/>
              <w:ind w:left="0" w:right="0" w:hanging="0"/>
              <w:jc w:val="left"/>
              <w:rPr/>
            </w:pPr>
            <w:r>
              <w:rPr>
                <w:rFonts w:ascii="sans-serif" w:hAnsi="sans-serif"/>
                <w:b w:val="false"/>
                <w:color w:val="000000"/>
                <w:sz w:val="22"/>
              </w:rPr>
              <w:t>17.1.    Obligation</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Notify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11</w:t>
            </w:r>
          </w:p>
        </w:tc>
      </w:tr>
      <w:tr>
        <w:trPr/>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88" w:before="60" w:after="283"/>
              <w:ind w:left="0" w:right="0" w:hanging="0"/>
              <w:jc w:val="left"/>
              <w:rPr>
                <w:rFonts w:ascii="sans-serif" w:hAnsi="sans-serif"/>
                <w:b w:val="false"/>
                <w:color w:val="000000"/>
                <w:sz w:val="22"/>
              </w:rPr>
            </w:pPr>
            <w:r>
              <w:rPr>
                <w:rFonts w:ascii="sans-serif" w:hAnsi="sans-serif"/>
                <w:b w:val="false"/>
                <w:color w:val="000000"/>
                <w:sz w:val="22"/>
              </w:rPr>
              <w:t>17.2.    Medical Certificate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11</w:t>
            </w:r>
          </w:p>
        </w:tc>
      </w:tr>
      <w:tr>
        <w:trPr/>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88" w:before="60" w:after="283"/>
              <w:ind w:left="0" w:right="0" w:hanging="0"/>
              <w:jc w:val="left"/>
              <w:rPr/>
            </w:pPr>
            <w:r>
              <w:rPr>
                <w:rFonts w:ascii="sans-serif" w:hAnsi="sans-serif"/>
                <w:b w:val="false"/>
                <w:color w:val="000000"/>
                <w:sz w:val="22"/>
              </w:rPr>
              <w:t>17.3.    Salary</w:t>
            </w:r>
            <w:r>
              <w:rPr>
                <w:color w:val="000000"/>
              </w:rPr>
              <w:t xml:space="preserve"> </w:t>
            </w:r>
            <w:r>
              <w:rPr>
                <w:rFonts w:ascii="sans-serif" w:hAnsi="sans-serif"/>
                <w:b w:val="false"/>
                <w:color w:val="000000"/>
                <w:sz w:val="22"/>
              </w:rPr>
              <w:t>in case of</w:t>
            </w:r>
            <w:r>
              <w:rPr>
                <w:color w:val="000000"/>
              </w:rPr>
              <w:t xml:space="preserve"> </w:t>
            </w:r>
            <w:r>
              <w:rPr>
                <w:rFonts w:ascii="sans-serif" w:hAnsi="sans-serif"/>
                <w:b w:val="false"/>
                <w:color w:val="000000"/>
                <w:sz w:val="22"/>
              </w:rPr>
              <w:t>Executive’s</w:t>
            </w:r>
            <w:r>
              <w:rPr>
                <w:color w:val="000000"/>
              </w:rPr>
              <w:t xml:space="preserve"> </w:t>
            </w:r>
            <w:r>
              <w:rPr>
                <w:rFonts w:ascii="sans-serif" w:hAnsi="sans-serif"/>
                <w:b w:val="false"/>
                <w:color w:val="000000"/>
                <w:sz w:val="22"/>
              </w:rPr>
              <w:t>Incapacity</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Work</w:t>
            </w:r>
            <w:r>
              <w:rPr>
                <w:color w:val="000000"/>
              </w:rPr>
              <w:t xml:space="preserve"> </w:t>
            </w:r>
            <w:r>
              <w:rPr>
                <w:rFonts w:ascii="sans-serif" w:hAnsi="sans-serif"/>
                <w:b w:val="false"/>
                <w:color w:val="000000"/>
                <w:sz w:val="22"/>
              </w:rPr>
              <w:t>due</w:t>
            </w:r>
            <w:r>
              <w:rPr>
                <w:color w:val="000000"/>
              </w:rPr>
              <w:t xml:space="preserve"> </w:t>
            </w:r>
            <w:r>
              <w:rPr>
                <w:rFonts w:ascii="sans-serif" w:hAnsi="sans-serif"/>
                <w:b w:val="false"/>
                <w:color w:val="000000"/>
                <w:sz w:val="22"/>
              </w:rPr>
              <w:t>to Illness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11</w:t>
            </w:r>
          </w:p>
        </w:tc>
      </w:tr>
      <w:tr>
        <w:trPr/>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88" w:before="60" w:after="283"/>
              <w:ind w:left="0" w:right="0" w:hanging="0"/>
              <w:jc w:val="left"/>
              <w:rPr/>
            </w:pPr>
            <w:r>
              <w:rPr>
                <w:rFonts w:ascii="sans-serif" w:hAnsi="sans-serif"/>
                <w:b w:val="false"/>
                <w:color w:val="000000"/>
                <w:sz w:val="22"/>
              </w:rPr>
              <w:t>17.4.    Salary</w:t>
            </w:r>
            <w:r>
              <w:rPr>
                <w:color w:val="000000"/>
              </w:rPr>
              <w:t xml:space="preserve"> </w:t>
            </w:r>
            <w:r>
              <w:rPr>
                <w:rFonts w:ascii="sans-serif" w:hAnsi="sans-serif"/>
                <w:b w:val="false"/>
                <w:color w:val="000000"/>
                <w:sz w:val="22"/>
              </w:rPr>
              <w:t>in case of</w:t>
            </w:r>
            <w:r>
              <w:rPr>
                <w:color w:val="000000"/>
              </w:rPr>
              <w:t xml:space="preserve"> </w:t>
            </w:r>
            <w:r>
              <w:rPr>
                <w:rFonts w:ascii="sans-serif" w:hAnsi="sans-serif"/>
                <w:b w:val="false"/>
                <w:color w:val="000000"/>
                <w:sz w:val="22"/>
              </w:rPr>
              <w:t>Executive’s</w:t>
            </w:r>
            <w:r>
              <w:rPr>
                <w:color w:val="000000"/>
              </w:rPr>
              <w:t xml:space="preserve"> </w:t>
            </w:r>
            <w:r>
              <w:rPr>
                <w:rFonts w:ascii="sans-serif" w:hAnsi="sans-serif"/>
                <w:b w:val="false"/>
                <w:color w:val="000000"/>
                <w:sz w:val="22"/>
              </w:rPr>
              <w:t>Incapacity</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Work</w:t>
            </w:r>
            <w:r>
              <w:rPr>
                <w:color w:val="000000"/>
              </w:rPr>
              <w:t xml:space="preserve"> </w:t>
            </w:r>
            <w:r>
              <w:rPr>
                <w:rFonts w:ascii="sans-serif" w:hAnsi="sans-serif"/>
                <w:b w:val="false"/>
                <w:color w:val="000000"/>
                <w:sz w:val="22"/>
              </w:rPr>
              <w:t>due</w:t>
            </w:r>
            <w:r>
              <w:rPr>
                <w:color w:val="000000"/>
              </w:rPr>
              <w:t xml:space="preserve"> </w:t>
            </w:r>
            <w:r>
              <w:rPr>
                <w:rFonts w:ascii="sans-serif" w:hAnsi="sans-serif"/>
                <w:b w:val="false"/>
                <w:color w:val="000000"/>
                <w:sz w:val="22"/>
              </w:rPr>
              <w:t>to Accident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12</w:t>
            </w:r>
          </w:p>
        </w:tc>
      </w:tr>
      <w:tr>
        <w:trPr/>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88" w:before="60" w:after="283"/>
              <w:ind w:left="0" w:right="0" w:hanging="0"/>
              <w:jc w:val="left"/>
              <w:rPr/>
            </w:pPr>
            <w:r>
              <w:rPr>
                <w:rFonts w:ascii="sans-serif" w:hAnsi="sans-serif"/>
                <w:b w:val="false"/>
                <w:color w:val="000000"/>
                <w:sz w:val="22"/>
              </w:rPr>
              <w:t>17.5.    Pension</w:t>
            </w:r>
            <w:r>
              <w:rPr>
                <w:color w:val="000000"/>
              </w:rPr>
              <w:t xml:space="preserve"> </w:t>
            </w:r>
            <w:r>
              <w:rPr>
                <w:rFonts w:ascii="sans-serif" w:hAnsi="sans-serif"/>
                <w:b w:val="false"/>
                <w:color w:val="000000"/>
                <w:sz w:val="22"/>
              </w:rPr>
              <w:t>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12</w:t>
            </w:r>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sans-serif" w:hAnsi="sans-serif"/>
                <w:b/>
                <w:color w:val="000000"/>
                <w:sz w:val="22"/>
              </w:rPr>
            </w:pPr>
            <w:r>
              <w:rPr>
                <w:rFonts w:ascii="sans-serif" w:hAnsi="sans-serif"/>
                <w:b/>
                <w:color w:val="000000"/>
                <w:sz w:val="22"/>
              </w:rPr>
              <w:t>18.</w:t>
            </w:r>
          </w:p>
        </w:tc>
        <w:tc>
          <w:tcPr>
            <w:tcW w:w="81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2"/>
              </w:rPr>
            </w:pPr>
            <w:r>
              <w:rPr>
                <w:rFonts w:ascii="sans-serif" w:hAnsi="sans-serif"/>
                <w:b/>
                <w:color w:val="000000"/>
                <w:sz w:val="22"/>
              </w:rPr>
              <w:t>Intellectual Property Rights and Work 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12</w:t>
            </w:r>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sans-serif" w:hAnsi="sans-serif"/>
                <w:b/>
                <w:color w:val="000000"/>
                <w:sz w:val="22"/>
              </w:rPr>
            </w:pPr>
            <w:r>
              <w:rPr>
                <w:rFonts w:ascii="sans-serif" w:hAnsi="sans-serif"/>
                <w:b/>
                <w:color w:val="000000"/>
                <w:sz w:val="22"/>
              </w:rPr>
              <w:t>19.</w:t>
            </w:r>
          </w:p>
        </w:tc>
        <w:tc>
          <w:tcPr>
            <w:tcW w:w="81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2"/>
              </w:rPr>
            </w:pPr>
            <w:r>
              <w:rPr>
                <w:rFonts w:ascii="sans-serif" w:hAnsi="sans-serif"/>
                <w:b/>
                <w:color w:val="000000"/>
                <w:sz w:val="22"/>
              </w:rPr>
              <w:t>Data Protection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13</w:t>
            </w:r>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sans-serif" w:hAnsi="sans-serif"/>
                <w:b/>
                <w:color w:val="000000"/>
                <w:sz w:val="22"/>
              </w:rPr>
            </w:pPr>
            <w:r>
              <w:rPr>
                <w:rFonts w:ascii="sans-serif" w:hAnsi="sans-serif"/>
                <w:b/>
                <w:color w:val="000000"/>
                <w:sz w:val="22"/>
              </w:rPr>
              <w:t>20</w:t>
            </w:r>
          </w:p>
        </w:tc>
        <w:tc>
          <w:tcPr>
            <w:tcW w:w="81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2"/>
              </w:rPr>
            </w:pPr>
            <w:r>
              <w:rPr>
                <w:rFonts w:ascii="sans-serif" w:hAnsi="sans-serif"/>
                <w:b/>
                <w:color w:val="000000"/>
                <w:sz w:val="22"/>
              </w:rPr>
              <w:t>Confidentiality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13</w:t>
            </w:r>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sans-serif" w:hAnsi="sans-serif"/>
                <w:b/>
                <w:color w:val="000000"/>
                <w:sz w:val="22"/>
              </w:rPr>
            </w:pPr>
            <w:r>
              <w:rPr>
                <w:rFonts w:ascii="sans-serif" w:hAnsi="sans-serif"/>
                <w:b/>
                <w:color w:val="000000"/>
                <w:sz w:val="22"/>
              </w:rPr>
              <w:t>21</w:t>
            </w:r>
          </w:p>
        </w:tc>
        <w:tc>
          <w:tcPr>
            <w:tcW w:w="81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2"/>
              </w:rPr>
            </w:pPr>
            <w:r>
              <w:rPr>
                <w:rFonts w:ascii="sans-serif" w:hAnsi="sans-serif"/>
                <w:b/>
                <w:color w:val="000000"/>
                <w:sz w:val="22"/>
              </w:rPr>
              <w:t>Instructions and Policies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13</w:t>
            </w:r>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22.</w:t>
            </w:r>
          </w:p>
        </w:tc>
        <w:tc>
          <w:tcPr>
            <w:tcW w:w="8174" w:type="dxa"/>
            <w:gridSpan w:val="3"/>
            <w:tcBorders/>
            <w:tcMar>
              <w:top w:w="0" w:type="dxa"/>
              <w:left w:w="0" w:type="dxa"/>
              <w:bottom w:w="0" w:type="dxa"/>
              <w:right w:w="0" w:type="dxa"/>
            </w:tcMar>
            <w:vAlign w:val="center"/>
          </w:tcPr>
          <w:p>
            <w:pPr>
              <w:pStyle w:val="TableContents"/>
              <w:bidi w:val="0"/>
              <w:spacing w:lineRule="auto" w:line="288" w:before="60" w:after="283"/>
              <w:ind w:left="0" w:right="0" w:hanging="0"/>
              <w:jc w:val="left"/>
              <w:rPr>
                <w:rFonts w:ascii="sans-serif" w:hAnsi="sans-serif"/>
                <w:b/>
                <w:color w:val="000000"/>
                <w:sz w:val="22"/>
              </w:rPr>
            </w:pPr>
            <w:r>
              <w:rPr>
                <w:rFonts w:ascii="sans-serif" w:hAnsi="sans-serif"/>
                <w:b/>
                <w:color w:val="000000"/>
                <w:sz w:val="22"/>
              </w:rPr>
              <w:t>Miscellaneous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13</w:t>
            </w:r>
          </w:p>
        </w:tc>
      </w:tr>
      <w:tr>
        <w:trPr/>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88" w:before="60" w:after="283"/>
              <w:ind w:left="0" w:right="0" w:hanging="0"/>
              <w:jc w:val="left"/>
              <w:rPr>
                <w:rFonts w:ascii="sans-serif" w:hAnsi="sans-serif"/>
                <w:b w:val="false"/>
                <w:color w:val="000000"/>
                <w:sz w:val="22"/>
              </w:rPr>
            </w:pPr>
            <w:r>
              <w:rPr>
                <w:rFonts w:ascii="sans-serif" w:hAnsi="sans-serif"/>
                <w:b w:val="false"/>
                <w:color w:val="000000"/>
                <w:sz w:val="22"/>
              </w:rPr>
              <w:t>22.1.    Entire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13</w:t>
            </w:r>
          </w:p>
        </w:tc>
      </w:tr>
      <w:tr>
        <w:trPr/>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88" w:before="60" w:after="283"/>
              <w:ind w:left="0" w:right="0" w:hanging="0"/>
              <w:jc w:val="left"/>
              <w:rPr>
                <w:rFonts w:ascii="sans-serif" w:hAnsi="sans-serif"/>
                <w:b w:val="false"/>
                <w:color w:val="000000"/>
                <w:sz w:val="22"/>
              </w:rPr>
            </w:pPr>
            <w:r>
              <w:rPr>
                <w:rFonts w:ascii="sans-serif" w:hAnsi="sans-serif"/>
                <w:b w:val="false"/>
                <w:color w:val="000000"/>
                <w:sz w:val="22"/>
              </w:rPr>
              <w:t>22.2.    Amendments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13</w:t>
            </w:r>
          </w:p>
        </w:tc>
      </w:tr>
      <w:tr>
        <w:trPr/>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88" w:before="60" w:after="283"/>
              <w:ind w:left="0" w:right="0" w:hanging="0"/>
              <w:jc w:val="left"/>
              <w:rPr/>
            </w:pPr>
            <w:r>
              <w:rPr>
                <w:rFonts w:ascii="sans-serif" w:hAnsi="sans-serif"/>
                <w:b w:val="false"/>
                <w:color w:val="000000"/>
                <w:sz w:val="22"/>
              </w:rPr>
              <w:t>22.3.    Applicable</w:t>
            </w:r>
            <w:r>
              <w:rPr>
                <w:color w:val="000000"/>
              </w:rPr>
              <w:t xml:space="preserve"> </w:t>
            </w:r>
            <w:r>
              <w:rPr>
                <w:rFonts w:ascii="sans-serif" w:hAnsi="sans-serif"/>
                <w:b w:val="false"/>
                <w:color w:val="000000"/>
                <w:sz w:val="22"/>
              </w:rPr>
              <w:t>Law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13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11" w:before="0" w:after="0"/>
        <w:jc w:val="right"/>
        <w:rPr>
          <w:rFonts w:ascii="sans-serif" w:hAnsi="sans-serif"/>
          <w:b/>
          <w:color w:val="000000"/>
          <w:sz w:val="16"/>
        </w:rPr>
      </w:pPr>
      <w:r>
        <w:rPr>
          <w:rFonts w:ascii="sans-serif" w:hAnsi="sans-serif"/>
          <w:b/>
          <w:color w:val="000000"/>
          <w:sz w:val="16"/>
        </w:rPr>
        <w:t>Employment Agreement between Lucid Switzerland AG and Silvio Napoli</w:t>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582930"/>
                <wp:effectExtent l="0" t="0" r="0" b="0"/>
                <wp:wrapNone/>
                <wp:docPr id="133" name="Frame133"/>
                <a:graphic xmlns:a="http://schemas.openxmlformats.org/drawingml/2006/main">
                  <a:graphicData uri="http://schemas.microsoft.com/office/word/2010/wordprocessingShape">
                    <wps:wsp>
                      <wps:cNvSpPr txBox="1"/>
                      <wps:spPr>
                        <a:xfrm>
                          <a:off x="0" y="0"/>
                          <a:ext cx="6480175" cy="58293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sans-serif" w:hAnsi="sans-serif"/>
                                <w:b w:val="false"/>
                                <w:color w:val="000000"/>
                                <w:sz w:val="22"/>
                              </w:rPr>
                            </w:pPr>
                            <w:r>
                              <w:rPr>
                                <w:rFonts w:ascii="sans-serif" w:hAnsi="sans-serif"/>
                                <w:b w:val="false"/>
                                <w:color w:val="000000"/>
                                <w:sz w:val="22"/>
                              </w:rPr>
                              <w:t xml:space="preserve">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9pt;mso-wrap-distance-left:0pt;mso-wrap-distance-right:0pt;mso-wrap-distance-top:0pt;mso-wrap-distance-bottom:0pt;margin-top:0pt;mso-position-vertical:top;mso-position-vertical-relative:text;margin-left:-154.2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sans-serif" w:hAnsi="sans-serif"/>
                          <w:b w:val="false"/>
                          <w:color w:val="000000"/>
                          <w:sz w:val="22"/>
                        </w:rPr>
                      </w:pPr>
                      <w:r>
                        <w:rPr>
                          <w:rFonts w:ascii="sans-serif" w:hAnsi="sans-serif"/>
                          <w:b w:val="false"/>
                          <w:color w:val="000000"/>
                          <w:sz w:val="22"/>
                        </w:rPr>
                        <w:t xml:space="preserve">2 </w:t>
                      </w:r>
                    </w:p>
                  </w:txbxContent>
                </v:textbox>
                <w10:wrap type="none"/>
              </v:rect>
            </w:pict>
          </mc:Fallback>
        </mc:AlternateContent>
      </w:r>
    </w:p>
    <w:p>
      <w:pPr>
        <w:pStyle w:val="TextBody"/>
        <w:bidi w:val="0"/>
        <w:spacing w:lineRule="auto" w:line="288" w:before="785" w:after="283"/>
        <w:ind w:left="0" w:right="0" w:hanging="851"/>
        <w:jc w:val="left"/>
        <w:rPr/>
      </w:pPr>
      <w:r>
        <w:rPr>
          <w:rFonts w:ascii="sans-serif" w:hAnsi="sans-serif"/>
          <w:b/>
          <w:color w:val="000000"/>
          <w:sz w:val="22"/>
        </w:rPr>
        <w:t>1.    Condition</w:t>
      </w:r>
      <w:r>
        <w:rPr>
          <w:color w:val="000000"/>
        </w:rPr>
        <w:t xml:space="preserve"> </w:t>
      </w:r>
      <w:r>
        <w:rPr>
          <w:rFonts w:ascii="sans-serif" w:hAnsi="sans-serif"/>
          <w:b/>
          <w:color w:val="000000"/>
          <w:sz w:val="22"/>
        </w:rPr>
        <w:t>Precedent</w:t>
      </w:r>
    </w:p>
    <w:p>
      <w:pPr>
        <w:pStyle w:val="TextBody"/>
        <w:bidi w:val="0"/>
        <w:spacing w:lineRule="auto" w:line="288" w:before="199" w:after="283"/>
        <w:jc w:val="left"/>
        <w:rPr/>
      </w:pPr>
      <w:r>
        <w:rPr>
          <w:rFonts w:ascii="sans-serif" w:hAnsi="sans-serif"/>
          <w:b w:val="false"/>
          <w:color w:val="000000"/>
          <w:sz w:val="22"/>
        </w:rPr>
        <w:t>This Employment Agreement shall be conditional upon the Executive having duly executed</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offer</w:t>
      </w:r>
      <w:r>
        <w:rPr>
          <w:color w:val="000000"/>
        </w:rPr>
        <w:t xml:space="preserve"> </w:t>
      </w:r>
      <w:r>
        <w:rPr>
          <w:rFonts w:ascii="sans-serif" w:hAnsi="sans-serif"/>
          <w:b w:val="false"/>
          <w:color w:val="000000"/>
          <w:sz w:val="22"/>
        </w:rPr>
        <w:t>letter</w:t>
      </w:r>
      <w:r>
        <w:rPr>
          <w:color w:val="000000"/>
        </w:rPr>
        <w:t xml:space="preserve"> </w:t>
      </w:r>
      <w:r>
        <w:rPr>
          <w:rFonts w:ascii="sans-serif" w:hAnsi="sans-serif"/>
          <w:b w:val="false"/>
          <w:color w:val="000000"/>
          <w:sz w:val="22"/>
        </w:rPr>
        <w:t>with</w:t>
      </w:r>
      <w:r>
        <w:rPr>
          <w:color w:val="000000"/>
        </w:rPr>
        <w:t xml:space="preserve"> </w:t>
      </w:r>
      <w:r>
        <w:rPr>
          <w:rFonts w:ascii="sans-serif" w:hAnsi="sans-serif"/>
          <w:b w:val="false"/>
          <w:color w:val="000000"/>
          <w:sz w:val="22"/>
        </w:rPr>
        <w:t>Lucid</w:t>
      </w:r>
      <w:r>
        <w:rPr>
          <w:color w:val="000000"/>
        </w:rPr>
        <w:t xml:space="preserve"> </w:t>
      </w:r>
      <w:r>
        <w:rPr>
          <w:rFonts w:ascii="sans-serif" w:hAnsi="sans-serif"/>
          <w:b w:val="false"/>
          <w:color w:val="000000"/>
          <w:sz w:val="22"/>
        </w:rPr>
        <w:t>USA,</w:t>
      </w:r>
      <w:r>
        <w:rPr>
          <w:color w:val="000000"/>
        </w:rPr>
        <w:t xml:space="preserve"> </w:t>
      </w:r>
      <w:r>
        <w:rPr>
          <w:rFonts w:ascii="sans-serif" w:hAnsi="sans-serif"/>
          <w:b w:val="false"/>
          <w:color w:val="000000"/>
          <w:sz w:val="22"/>
        </w:rPr>
        <w:t>Inc.</w:t>
      </w:r>
      <w:r>
        <w:rPr>
          <w:color w:val="000000"/>
        </w:rPr>
        <w:t xml:space="preserve"> </w:t>
      </w:r>
      <w:r>
        <w:rPr>
          <w:rFonts w:ascii="sans-serif" w:hAnsi="sans-serif"/>
          <w:b w:val="false"/>
          <w:color w:val="000000"/>
          <w:sz w:val="22"/>
        </w:rPr>
        <w:t>(the</w:t>
      </w:r>
      <w:r>
        <w:rPr>
          <w:color w:val="000000"/>
        </w:rPr>
        <w:t xml:space="preserve"> </w:t>
      </w:r>
      <w:r>
        <w:rPr>
          <w:rFonts w:ascii="sans-serif" w:hAnsi="sans-serif"/>
          <w:b/>
          <w:color w:val="000000"/>
          <w:sz w:val="22"/>
        </w:rPr>
        <w:t>U.S.</w:t>
      </w:r>
      <w:r>
        <w:rPr>
          <w:color w:val="000000"/>
        </w:rPr>
        <w:t xml:space="preserve"> </w:t>
      </w:r>
      <w:r>
        <w:rPr>
          <w:rFonts w:ascii="sans-serif" w:hAnsi="sans-serif"/>
          <w:b/>
          <w:color w:val="000000"/>
          <w:sz w:val="22"/>
        </w:rPr>
        <w:t>Offer</w:t>
      </w:r>
      <w:r>
        <w:rPr>
          <w:color w:val="000000"/>
        </w:rPr>
        <w:t xml:space="preserve"> </w:t>
      </w:r>
      <w:r>
        <w:rPr>
          <w:rFonts w:ascii="sans-serif" w:hAnsi="sans-serif"/>
          <w:b/>
          <w:color w:val="000000"/>
          <w:sz w:val="22"/>
        </w:rPr>
        <w:t>Letter</w:t>
      </w:r>
      <w:r>
        <w:rPr>
          <w:rFonts w:ascii="sans-serif" w:hAnsi="sans-serif"/>
          <w:b w:val="false"/>
          <w:color w:val="000000"/>
          <w:sz w:val="22"/>
        </w:rPr>
        <w:t>).</w:t>
      </w:r>
      <w:r>
        <w:rPr>
          <w:color w:val="000000"/>
        </w:rPr>
        <w:t xml:space="preserve"> </w:t>
      </w:r>
      <w:r>
        <w:rPr>
          <w:rFonts w:ascii="sans-serif" w:hAnsi="sans-serif"/>
          <w:b w:val="false"/>
          <w:color w:val="000000"/>
          <w:sz w:val="22"/>
        </w:rPr>
        <w:t>This</w:t>
      </w:r>
      <w:r>
        <w:rPr>
          <w:color w:val="000000"/>
        </w:rPr>
        <w:t xml:space="preserve"> </w:t>
      </w:r>
      <w:r>
        <w:rPr>
          <w:rFonts w:ascii="sans-serif" w:hAnsi="sans-serif"/>
          <w:b w:val="false"/>
          <w:color w:val="000000"/>
          <w:sz w:val="22"/>
        </w:rPr>
        <w:t>Employment Agreement shall only enter into force upon valid execution of the U.S.</w:t>
      </w:r>
      <w:r>
        <w:rPr>
          <w:color w:val="000000"/>
        </w:rPr>
        <w:t xml:space="preserve"> </w:t>
      </w:r>
      <w:r>
        <w:rPr>
          <w:rFonts w:ascii="sans-serif" w:hAnsi="sans-serif"/>
          <w:b w:val="false"/>
          <w:color w:val="000000"/>
          <w:sz w:val="22"/>
        </w:rPr>
        <w:t>Offer Letter by the Employee.</w:t>
      </w:r>
    </w:p>
    <w:p>
      <w:pPr>
        <w:pStyle w:val="TextBody"/>
        <w:bidi w:val="0"/>
        <w:spacing w:lineRule="auto" w:line="288" w:before="431" w:after="283"/>
        <w:ind w:left="0" w:right="0" w:hanging="851"/>
        <w:jc w:val="left"/>
        <w:rPr/>
      </w:pPr>
      <w:r>
        <w:rPr>
          <w:rFonts w:ascii="sans-serif" w:hAnsi="sans-serif"/>
          <w:b/>
          <w:color w:val="000000"/>
          <w:sz w:val="22"/>
        </w:rPr>
        <w:t>2.    Commencement</w:t>
      </w:r>
      <w:r>
        <w:rPr>
          <w:color w:val="000000"/>
        </w:rPr>
        <w:t xml:space="preserve"> </w:t>
      </w:r>
      <w:r>
        <w:rPr>
          <w:rFonts w:ascii="sans-serif" w:hAnsi="sans-serif"/>
          <w:b/>
          <w:color w:val="000000"/>
          <w:sz w:val="22"/>
        </w:rPr>
        <w:t>Date</w:t>
      </w:r>
      <w:r>
        <w:rPr>
          <w:color w:val="000000"/>
        </w:rPr>
        <w:t xml:space="preserve"> </w:t>
      </w:r>
      <w:r>
        <w:rPr>
          <w:rFonts w:ascii="sans-serif" w:hAnsi="sans-serif"/>
          <w:b/>
          <w:color w:val="000000"/>
          <w:sz w:val="22"/>
        </w:rPr>
        <w:t>and</w:t>
      </w:r>
      <w:r>
        <w:rPr>
          <w:color w:val="000000"/>
        </w:rPr>
        <w:t xml:space="preserve"> </w:t>
      </w:r>
      <w:r>
        <w:rPr>
          <w:rFonts w:ascii="sans-serif" w:hAnsi="sans-serif"/>
          <w:b/>
          <w:color w:val="000000"/>
          <w:sz w:val="22"/>
        </w:rPr>
        <w:t>Termination</w:t>
      </w:r>
    </w:p>
    <w:p>
      <w:pPr>
        <w:pStyle w:val="TextBody"/>
        <w:bidi w:val="0"/>
        <w:spacing w:lineRule="auto" w:line="288" w:before="200" w:after="283"/>
        <w:jc w:val="left"/>
        <w:rPr/>
      </w:pPr>
      <w:r>
        <w:rPr>
          <w:rFonts w:ascii="sans-serif" w:hAnsi="sans-serif"/>
          <w:b w:val="false"/>
          <w:color w:val="000000"/>
          <w:sz w:val="22"/>
        </w:rPr>
        <w:t>The</w:t>
      </w:r>
      <w:r>
        <w:rPr>
          <w:color w:val="000000"/>
        </w:rPr>
        <w:t xml:space="preserve"> </w:t>
      </w:r>
      <w:r>
        <w:rPr>
          <w:rFonts w:ascii="sans-serif" w:hAnsi="sans-serif"/>
          <w:b w:val="false"/>
          <w:color w:val="000000"/>
          <w:sz w:val="22"/>
        </w:rPr>
        <w:t>Employment</w:t>
      </w:r>
      <w:r>
        <w:rPr>
          <w:color w:val="000000"/>
        </w:rPr>
        <w:t xml:space="preserve"> </w:t>
      </w:r>
      <w:r>
        <w:rPr>
          <w:rFonts w:ascii="sans-serif" w:hAnsi="sans-serif"/>
          <w:b w:val="false"/>
          <w:color w:val="000000"/>
          <w:sz w:val="22"/>
        </w:rPr>
        <w:t>Agreement</w:t>
      </w:r>
      <w:r>
        <w:rPr>
          <w:color w:val="000000"/>
        </w:rPr>
        <w:t xml:space="preserve"> </w:t>
      </w:r>
      <w:r>
        <w:rPr>
          <w:rFonts w:ascii="sans-serif" w:hAnsi="sans-serif"/>
          <w:b w:val="false"/>
          <w:color w:val="000000"/>
          <w:sz w:val="22"/>
        </w:rPr>
        <w:t>starts</w:t>
      </w:r>
      <w:r>
        <w:rPr>
          <w:color w:val="000000"/>
        </w:rPr>
        <w:t xml:space="preserve"> </w:t>
      </w:r>
      <w:r>
        <w:rPr>
          <w:rFonts w:ascii="sans-serif" w:hAnsi="sans-serif"/>
          <w:b w:val="false"/>
          <w:color w:val="000000"/>
          <w:sz w:val="22"/>
        </w:rPr>
        <w:t>on</w:t>
      </w:r>
      <w:r>
        <w:rPr>
          <w:color w:val="000000"/>
        </w:rPr>
        <w:t xml:space="preserve"> </w:t>
      </w:r>
      <w:r>
        <w:rPr>
          <w:rFonts w:ascii="sans-serif" w:hAnsi="sans-serif"/>
          <w:b w:val="false"/>
          <w:color w:val="000000"/>
          <w:sz w:val="22"/>
        </w:rPr>
        <w:t>15</w:t>
      </w:r>
      <w:r>
        <w:rPr>
          <w:color w:val="000000"/>
        </w:rPr>
        <w:t xml:space="preserve"> </w:t>
      </w:r>
      <w:r>
        <w:rPr>
          <w:rFonts w:ascii="sans-serif" w:hAnsi="sans-serif"/>
          <w:b w:val="false"/>
          <w:color w:val="000000"/>
          <w:sz w:val="22"/>
        </w:rPr>
        <w:t>April</w:t>
      </w:r>
      <w:r>
        <w:rPr>
          <w:color w:val="000000"/>
        </w:rPr>
        <w:t xml:space="preserve"> </w:t>
      </w:r>
      <w:r>
        <w:rPr>
          <w:rFonts w:ascii="sans-serif" w:hAnsi="sans-serif"/>
          <w:b w:val="false"/>
          <w:color w:val="000000"/>
          <w:sz w:val="22"/>
        </w:rPr>
        <w:t>2026</w:t>
      </w:r>
      <w:r>
        <w:rPr>
          <w:color w:val="000000"/>
        </w:rPr>
        <w:t xml:space="preserve"> </w:t>
      </w:r>
      <w:r>
        <w:rPr>
          <w:rFonts w:ascii="sans-serif" w:hAnsi="sans-serif"/>
          <w:b w:val="false"/>
          <w:color w:val="000000"/>
          <w:sz w:val="22"/>
        </w:rPr>
        <w:t>(the</w:t>
      </w:r>
      <w:r>
        <w:rPr>
          <w:color w:val="000000"/>
        </w:rPr>
        <w:t xml:space="preserve"> </w:t>
      </w:r>
      <w:r>
        <w:rPr>
          <w:rFonts w:ascii="sans-serif" w:hAnsi="sans-serif"/>
          <w:b/>
          <w:color w:val="000000"/>
          <w:sz w:val="22"/>
        </w:rPr>
        <w:t>Commencement</w:t>
      </w:r>
      <w:r>
        <w:rPr>
          <w:color w:val="000000"/>
        </w:rPr>
        <w:t xml:space="preserve"> </w:t>
      </w:r>
      <w:r>
        <w:rPr>
          <w:rFonts w:ascii="sans-serif" w:hAnsi="sans-serif"/>
          <w:b/>
          <w:color w:val="000000"/>
          <w:sz w:val="22"/>
        </w:rPr>
        <w:t>Date</w:t>
      </w:r>
      <w:r>
        <w:rPr>
          <w:rFonts w:ascii="sans-serif" w:hAnsi="sans-serif"/>
          <w:b w:val="false"/>
          <w:color w:val="000000"/>
          <w:sz w:val="22"/>
        </w:rPr>
        <w:t xml:space="preserve">), shall be concluded for a maximum term and shall, subject to a prior termination as per the next paragraph, end automatically on December 31, 2026 (the </w:t>
      </w:r>
      <w:r>
        <w:rPr>
          <w:rFonts w:ascii="sans-serif" w:hAnsi="sans-serif"/>
          <w:b/>
          <w:color w:val="000000"/>
          <w:sz w:val="22"/>
        </w:rPr>
        <w:t>End Date</w:t>
      </w:r>
      <w:r>
        <w:rPr>
          <w:rFonts w:ascii="sans-serif" w:hAnsi="sans-serif"/>
          <w:b w:val="false"/>
          <w:color w:val="000000"/>
          <w:sz w:val="22"/>
        </w:rPr>
        <w:t>).</w:t>
      </w:r>
    </w:p>
    <w:p>
      <w:pPr>
        <w:pStyle w:val="TextBody"/>
        <w:bidi w:val="0"/>
        <w:spacing w:lineRule="auto" w:line="288" w:before="59" w:after="283"/>
        <w:jc w:val="left"/>
        <w:rPr/>
      </w:pPr>
      <w:r>
        <w:rPr>
          <w:rFonts w:ascii="sans-serif" w:hAnsi="sans-serif"/>
          <w:b w:val="false"/>
          <w:color w:val="000000"/>
          <w:sz w:val="22"/>
        </w:rPr>
        <w:t>Any</w:t>
      </w:r>
      <w:r>
        <w:rPr>
          <w:color w:val="000000"/>
        </w:rPr>
        <w:t xml:space="preserve"> </w:t>
      </w:r>
      <w:r>
        <w:rPr>
          <w:rFonts w:ascii="sans-serif" w:hAnsi="sans-serif"/>
          <w:b w:val="false"/>
          <w:color w:val="000000"/>
          <w:sz w:val="22"/>
        </w:rPr>
        <w:t>extension</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End</w:t>
      </w:r>
      <w:r>
        <w:rPr>
          <w:color w:val="000000"/>
        </w:rPr>
        <w:t xml:space="preserve"> </w:t>
      </w:r>
      <w:r>
        <w:rPr>
          <w:rFonts w:ascii="sans-serif" w:hAnsi="sans-serif"/>
          <w:b w:val="false"/>
          <w:color w:val="000000"/>
          <w:sz w:val="22"/>
        </w:rPr>
        <w:t>Date</w:t>
      </w:r>
      <w:r>
        <w:rPr>
          <w:color w:val="000000"/>
        </w:rPr>
        <w:t xml:space="preserve"> </w:t>
      </w:r>
      <w:r>
        <w:rPr>
          <w:rFonts w:ascii="sans-serif" w:hAnsi="sans-serif"/>
          <w:b w:val="false"/>
          <w:color w:val="000000"/>
          <w:sz w:val="22"/>
        </w:rPr>
        <w:t>or</w:t>
      </w:r>
      <w:r>
        <w:rPr>
          <w:color w:val="000000"/>
        </w:rPr>
        <w:t xml:space="preserve"> </w:t>
      </w:r>
      <w:r>
        <w:rPr>
          <w:rFonts w:ascii="sans-serif" w:hAnsi="sans-serif"/>
          <w:b w:val="false"/>
          <w:color w:val="000000"/>
          <w:sz w:val="22"/>
        </w:rPr>
        <w:t>a</w:t>
      </w:r>
      <w:r>
        <w:rPr>
          <w:color w:val="000000"/>
        </w:rPr>
        <w:t xml:space="preserve"> </w:t>
      </w:r>
      <w:r>
        <w:rPr>
          <w:rFonts w:ascii="sans-serif" w:hAnsi="sans-serif"/>
          <w:b w:val="false"/>
          <w:color w:val="000000"/>
          <w:sz w:val="22"/>
        </w:rPr>
        <w:t>change</w:t>
      </w:r>
      <w:r>
        <w:rPr>
          <w:color w:val="000000"/>
        </w:rPr>
        <w:t xml:space="preserve"> </w:t>
      </w:r>
      <w:r>
        <w:rPr>
          <w:rFonts w:ascii="sans-serif" w:hAnsi="sans-serif"/>
          <w:b w:val="false"/>
          <w:color w:val="000000"/>
          <w:sz w:val="22"/>
        </w:rPr>
        <w:t>into</w:t>
      </w:r>
      <w:r>
        <w:rPr>
          <w:color w:val="000000"/>
        </w:rPr>
        <w:t xml:space="preserve"> </w:t>
      </w:r>
      <w:r>
        <w:rPr>
          <w:rFonts w:ascii="sans-serif" w:hAnsi="sans-serif"/>
          <w:b w:val="false"/>
          <w:color w:val="000000"/>
          <w:sz w:val="22"/>
        </w:rPr>
        <w:t>an</w:t>
      </w:r>
      <w:r>
        <w:rPr>
          <w:color w:val="000000"/>
        </w:rPr>
        <w:t xml:space="preserve"> </w:t>
      </w:r>
      <w:r>
        <w:rPr>
          <w:rFonts w:ascii="sans-serif" w:hAnsi="sans-serif"/>
          <w:b w:val="false"/>
          <w:color w:val="000000"/>
          <w:sz w:val="22"/>
        </w:rPr>
        <w:t>indefinite</w:t>
      </w:r>
      <w:r>
        <w:rPr>
          <w:color w:val="000000"/>
        </w:rPr>
        <w:t xml:space="preserve"> </w:t>
      </w:r>
      <w:r>
        <w:rPr>
          <w:rFonts w:ascii="sans-serif" w:hAnsi="sans-serif"/>
          <w:b w:val="false"/>
          <w:color w:val="000000"/>
          <w:sz w:val="22"/>
        </w:rPr>
        <w:t>Employment</w:t>
      </w:r>
      <w:r>
        <w:rPr>
          <w:color w:val="000000"/>
        </w:rPr>
        <w:t xml:space="preserve"> </w:t>
      </w:r>
      <w:r>
        <w:rPr>
          <w:rFonts w:ascii="sans-serif" w:hAnsi="sans-serif"/>
          <w:b w:val="false"/>
          <w:color w:val="000000"/>
          <w:sz w:val="22"/>
        </w:rPr>
        <w:t>Agreement requires a written agreement of both Parties.</w:t>
      </w:r>
    </w:p>
    <w:p>
      <w:pPr>
        <w:pStyle w:val="TextBody"/>
        <w:bidi w:val="0"/>
        <w:spacing w:lineRule="auto" w:line="288" w:before="60" w:after="283"/>
        <w:jc w:val="left"/>
        <w:rPr/>
      </w:pPr>
      <w:r>
        <w:rPr>
          <w:rFonts w:ascii="sans-serif" w:hAnsi="sans-serif"/>
          <w:b w:val="false"/>
          <w:color w:val="000000"/>
          <w:sz w:val="22"/>
        </w:rPr>
        <w:t>A</w:t>
      </w:r>
      <w:r>
        <w:rPr>
          <w:color w:val="000000"/>
        </w:rPr>
        <w:t xml:space="preserve"> </w:t>
      </w:r>
      <w:r>
        <w:rPr>
          <w:rFonts w:ascii="sans-serif" w:hAnsi="sans-serif"/>
          <w:b w:val="false"/>
          <w:color w:val="000000"/>
          <w:sz w:val="22"/>
        </w:rPr>
        <w:t>probation</w:t>
      </w:r>
      <w:r>
        <w:rPr>
          <w:color w:val="000000"/>
        </w:rPr>
        <w:t xml:space="preserve"> </w:t>
      </w:r>
      <w:r>
        <w:rPr>
          <w:rFonts w:ascii="sans-serif" w:hAnsi="sans-serif"/>
          <w:b w:val="false"/>
          <w:color w:val="000000"/>
          <w:sz w:val="22"/>
        </w:rPr>
        <w:t>period</w:t>
      </w:r>
      <w:r>
        <w:rPr>
          <w:color w:val="000000"/>
        </w:rPr>
        <w:t xml:space="preserve"> </w:t>
      </w:r>
      <w:r>
        <w:rPr>
          <w:rFonts w:ascii="sans-serif" w:hAnsi="sans-serif"/>
          <w:b w:val="false"/>
          <w:color w:val="000000"/>
          <w:sz w:val="22"/>
        </w:rPr>
        <w:t>is</w:t>
      </w:r>
      <w:r>
        <w:rPr>
          <w:color w:val="000000"/>
        </w:rPr>
        <w:t xml:space="preserve"> </w:t>
      </w:r>
      <w:r>
        <w:rPr>
          <w:rFonts w:ascii="sans-serif" w:hAnsi="sans-serif"/>
          <w:b w:val="false"/>
          <w:color w:val="000000"/>
          <w:sz w:val="22"/>
        </w:rPr>
        <w:t>waived.</w:t>
      </w:r>
    </w:p>
    <w:p>
      <w:pPr>
        <w:pStyle w:val="TextBody"/>
        <w:bidi w:val="0"/>
        <w:spacing w:lineRule="auto" w:line="288" w:before="59" w:after="283"/>
        <w:jc w:val="left"/>
        <w:rPr/>
      </w:pPr>
      <w:r>
        <w:rPr>
          <w:rFonts w:ascii="sans-serif" w:hAnsi="sans-serif"/>
          <w:b w:val="false"/>
          <w:color w:val="000000"/>
          <w:sz w:val="22"/>
        </w:rPr>
        <w:t>During the fixed-term of the Employment Agreement and before the End Date, The</w:t>
      </w:r>
      <w:r>
        <w:rPr>
          <w:color w:val="000000"/>
        </w:rPr>
        <w:t xml:space="preserve"> </w:t>
      </w:r>
      <w:r>
        <w:rPr>
          <w:rFonts w:ascii="sans-serif" w:hAnsi="sans-serif"/>
          <w:b w:val="false"/>
          <w:color w:val="000000"/>
          <w:sz w:val="22"/>
        </w:rPr>
        <w:t>Employment</w:t>
      </w:r>
      <w:r>
        <w:rPr>
          <w:color w:val="000000"/>
        </w:rPr>
        <w:t xml:space="preserve"> </w:t>
      </w:r>
      <w:r>
        <w:rPr>
          <w:rFonts w:ascii="sans-serif" w:hAnsi="sans-serif"/>
          <w:b w:val="false"/>
          <w:color w:val="000000"/>
          <w:sz w:val="22"/>
        </w:rPr>
        <w:t>Agreement</w:t>
      </w:r>
      <w:r>
        <w:rPr>
          <w:color w:val="000000"/>
        </w:rPr>
        <w:t xml:space="preserve"> </w:t>
      </w:r>
      <w:r>
        <w:rPr>
          <w:rFonts w:ascii="sans-serif" w:hAnsi="sans-serif"/>
          <w:b w:val="false"/>
          <w:color w:val="000000"/>
          <w:sz w:val="22"/>
        </w:rPr>
        <w:t>may</w:t>
      </w:r>
      <w:r>
        <w:rPr>
          <w:color w:val="000000"/>
        </w:rPr>
        <w:t xml:space="preserve"> </w:t>
      </w:r>
      <w:r>
        <w:rPr>
          <w:rFonts w:ascii="sans-serif" w:hAnsi="sans-serif"/>
          <w:b w:val="false"/>
          <w:color w:val="000000"/>
          <w:sz w:val="22"/>
        </w:rPr>
        <w:t>be</w:t>
      </w:r>
      <w:r>
        <w:rPr>
          <w:color w:val="000000"/>
        </w:rPr>
        <w:t xml:space="preserve"> </w:t>
      </w:r>
      <w:r>
        <w:rPr>
          <w:rFonts w:ascii="sans-serif" w:hAnsi="sans-serif"/>
          <w:b w:val="false"/>
          <w:color w:val="000000"/>
          <w:sz w:val="22"/>
        </w:rPr>
        <w:t>terminated</w:t>
      </w:r>
      <w:r>
        <w:rPr>
          <w:color w:val="000000"/>
        </w:rPr>
        <w:t xml:space="preserve"> </w:t>
      </w:r>
      <w:r>
        <w:rPr>
          <w:rFonts w:ascii="sans-serif" w:hAnsi="sans-serif"/>
          <w:b w:val="false"/>
          <w:color w:val="000000"/>
          <w:sz w:val="22"/>
        </w:rPr>
        <w:t>by</w:t>
      </w:r>
      <w:r>
        <w:rPr>
          <w:color w:val="000000"/>
        </w:rPr>
        <w:t xml:space="preserve"> </w:t>
      </w:r>
      <w:r>
        <w:rPr>
          <w:rFonts w:ascii="sans-serif" w:hAnsi="sans-serif"/>
          <w:b w:val="false"/>
          <w:color w:val="000000"/>
          <w:sz w:val="22"/>
        </w:rPr>
        <w:t>either</w:t>
      </w:r>
      <w:r>
        <w:rPr>
          <w:color w:val="000000"/>
        </w:rPr>
        <w:t xml:space="preserve"> </w:t>
      </w:r>
      <w:r>
        <w:rPr>
          <w:rFonts w:ascii="sans-serif" w:hAnsi="sans-serif"/>
          <w:b w:val="false"/>
          <w:color w:val="000000"/>
          <w:sz w:val="22"/>
        </w:rPr>
        <w:t>Party</w:t>
      </w:r>
      <w:r>
        <w:rPr>
          <w:color w:val="000000"/>
        </w:rPr>
        <w:t xml:space="preserve"> </w:t>
      </w:r>
      <w:r>
        <w:rPr>
          <w:rFonts w:ascii="sans-serif" w:hAnsi="sans-serif"/>
          <w:b w:val="false"/>
          <w:color w:val="000000"/>
          <w:sz w:val="22"/>
        </w:rPr>
        <w:t>with</w:t>
      </w:r>
      <w:r>
        <w:rPr>
          <w:color w:val="000000"/>
        </w:rPr>
        <w:t xml:space="preserve"> </w:t>
      </w:r>
      <w:r>
        <w:rPr>
          <w:rFonts w:ascii="sans-serif" w:hAnsi="sans-serif"/>
          <w:b w:val="false"/>
          <w:color w:val="000000"/>
          <w:sz w:val="22"/>
        </w:rPr>
        <w:t>a</w:t>
      </w:r>
      <w:r>
        <w:rPr>
          <w:color w:val="000000"/>
        </w:rPr>
        <w:t xml:space="preserve"> </w:t>
      </w:r>
      <w:r>
        <w:rPr>
          <w:rFonts w:ascii="sans-serif" w:hAnsi="sans-serif"/>
          <w:b w:val="false"/>
          <w:color w:val="000000"/>
          <w:sz w:val="22"/>
        </w:rPr>
        <w:t>notice</w:t>
      </w:r>
      <w:r>
        <w:rPr>
          <w:color w:val="000000"/>
        </w:rPr>
        <w:t xml:space="preserve"> </w:t>
      </w:r>
      <w:r>
        <w:rPr>
          <w:rFonts w:ascii="sans-serif" w:hAnsi="sans-serif"/>
          <w:b w:val="false"/>
          <w:color w:val="000000"/>
          <w:sz w:val="22"/>
        </w:rPr>
        <w:t>period of 1 (one) month.</w:t>
      </w:r>
    </w:p>
    <w:p>
      <w:pPr>
        <w:pStyle w:val="TextBody"/>
        <w:bidi w:val="0"/>
        <w:spacing w:lineRule="auto" w:line="288" w:before="60" w:after="283"/>
        <w:jc w:val="left"/>
        <w:rPr/>
      </w:pPr>
      <w:r>
        <w:rPr>
          <w:rFonts w:ascii="sans-serif" w:hAnsi="sans-serif"/>
          <w:b w:val="false"/>
          <w:color w:val="000000"/>
          <w:sz w:val="22"/>
        </w:rPr>
        <w:t>Notwithstanding the foregoing, this Employment Agreement shall automatically terminate</w:t>
      </w:r>
      <w:r>
        <w:rPr>
          <w:color w:val="000000"/>
        </w:rPr>
        <w:t xml:space="preserve"> </w:t>
      </w:r>
      <w:r>
        <w:rPr>
          <w:rFonts w:ascii="sans-serif" w:hAnsi="sans-serif"/>
          <w:b w:val="false"/>
          <w:color w:val="000000"/>
          <w:sz w:val="22"/>
        </w:rPr>
        <w:t>on</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day</w:t>
      </w:r>
      <w:r>
        <w:rPr>
          <w:color w:val="000000"/>
        </w:rPr>
        <w:t xml:space="preserve"> </w:t>
      </w:r>
      <w:r>
        <w:rPr>
          <w:rFonts w:ascii="sans-serif" w:hAnsi="sans-serif"/>
          <w:b w:val="false"/>
          <w:color w:val="000000"/>
          <w:sz w:val="22"/>
        </w:rPr>
        <w:t>immediately</w:t>
      </w:r>
      <w:r>
        <w:rPr>
          <w:color w:val="000000"/>
        </w:rPr>
        <w:t xml:space="preserve"> </w:t>
      </w:r>
      <w:r>
        <w:rPr>
          <w:rFonts w:ascii="sans-serif" w:hAnsi="sans-serif"/>
          <w:b w:val="false"/>
          <w:color w:val="000000"/>
          <w:sz w:val="22"/>
        </w:rPr>
        <w:t>prior</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date</w:t>
      </w:r>
      <w:r>
        <w:rPr>
          <w:color w:val="000000"/>
        </w:rPr>
        <w:t xml:space="preserve"> </w:t>
      </w:r>
      <w:r>
        <w:rPr>
          <w:rFonts w:ascii="sans-serif" w:hAnsi="sans-serif"/>
          <w:b w:val="false"/>
          <w:color w:val="000000"/>
          <w:sz w:val="22"/>
        </w:rPr>
        <w:t>on</w:t>
      </w:r>
      <w:r>
        <w:rPr>
          <w:color w:val="000000"/>
        </w:rPr>
        <w:t xml:space="preserve"> </w:t>
      </w:r>
      <w:r>
        <w:rPr>
          <w:rFonts w:ascii="sans-serif" w:hAnsi="sans-serif"/>
          <w:b w:val="false"/>
          <w:color w:val="000000"/>
          <w:sz w:val="22"/>
        </w:rPr>
        <w:t>which</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Executive’s</w:t>
      </w:r>
      <w:r>
        <w:rPr>
          <w:color w:val="000000"/>
        </w:rPr>
        <w:t xml:space="preserve"> </w:t>
      </w:r>
      <w:r>
        <w:rPr>
          <w:rFonts w:ascii="sans-serif" w:hAnsi="sans-serif"/>
          <w:b w:val="false"/>
          <w:color w:val="000000"/>
          <w:sz w:val="22"/>
        </w:rPr>
        <w:t>U.S. employment</w:t>
      </w:r>
      <w:r>
        <w:rPr>
          <w:color w:val="000000"/>
        </w:rPr>
        <w:t xml:space="preserve"> </w:t>
      </w:r>
      <w:r>
        <w:rPr>
          <w:rFonts w:ascii="sans-serif" w:hAnsi="sans-serif"/>
          <w:b w:val="false"/>
          <w:color w:val="000000"/>
          <w:sz w:val="22"/>
        </w:rPr>
        <w:t>agreement</w:t>
      </w:r>
      <w:r>
        <w:rPr>
          <w:color w:val="000000"/>
        </w:rPr>
        <w:t xml:space="preserve"> </w:t>
      </w:r>
      <w:r>
        <w:rPr>
          <w:rFonts w:ascii="sans-serif" w:hAnsi="sans-serif"/>
          <w:b w:val="false"/>
          <w:color w:val="000000"/>
          <w:sz w:val="22"/>
        </w:rPr>
        <w:t>as</w:t>
      </w:r>
      <w:r>
        <w:rPr>
          <w:color w:val="000000"/>
        </w:rPr>
        <w:t xml:space="preserve"> </w:t>
      </w:r>
      <w:r>
        <w:rPr>
          <w:rFonts w:ascii="sans-serif" w:hAnsi="sans-serif"/>
          <w:b w:val="false"/>
          <w:color w:val="000000"/>
          <w:sz w:val="22"/>
        </w:rPr>
        <w:t>per</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U.S.</w:t>
      </w:r>
      <w:r>
        <w:rPr>
          <w:color w:val="000000"/>
        </w:rPr>
        <w:t xml:space="preserve"> </w:t>
      </w:r>
      <w:r>
        <w:rPr>
          <w:rFonts w:ascii="sans-serif" w:hAnsi="sans-serif"/>
          <w:b w:val="false"/>
          <w:color w:val="000000"/>
          <w:sz w:val="22"/>
        </w:rPr>
        <w:t>Offer</w:t>
      </w:r>
      <w:r>
        <w:rPr>
          <w:color w:val="000000"/>
        </w:rPr>
        <w:t xml:space="preserve"> </w:t>
      </w:r>
      <w:r>
        <w:rPr>
          <w:rFonts w:ascii="sans-serif" w:hAnsi="sans-serif"/>
          <w:b w:val="false"/>
          <w:color w:val="000000"/>
          <w:sz w:val="22"/>
        </w:rPr>
        <w:t>Letter</w:t>
      </w:r>
      <w:r>
        <w:rPr>
          <w:color w:val="000000"/>
        </w:rPr>
        <w:t xml:space="preserve"> </w:t>
      </w:r>
      <w:r>
        <w:rPr>
          <w:rFonts w:ascii="sans-serif" w:hAnsi="sans-serif"/>
          <w:b w:val="false"/>
          <w:color w:val="000000"/>
          <w:sz w:val="22"/>
        </w:rPr>
        <w:t>enters</w:t>
      </w:r>
      <w:r>
        <w:rPr>
          <w:color w:val="000000"/>
        </w:rPr>
        <w:t xml:space="preserve"> </w:t>
      </w:r>
      <w:r>
        <w:rPr>
          <w:rFonts w:ascii="sans-serif" w:hAnsi="sans-serif"/>
          <w:b w:val="false"/>
          <w:color w:val="000000"/>
          <w:sz w:val="22"/>
        </w:rPr>
        <w:t>into</w:t>
      </w:r>
      <w:r>
        <w:rPr>
          <w:color w:val="000000"/>
        </w:rPr>
        <w:t xml:space="preserve"> </w:t>
      </w:r>
      <w:r>
        <w:rPr>
          <w:rFonts w:ascii="sans-serif" w:hAnsi="sans-serif"/>
          <w:b w:val="false"/>
          <w:color w:val="000000"/>
          <w:sz w:val="22"/>
        </w:rPr>
        <w:t>force.</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Parties agree that such automatic termination requires no further notice or action by</w:t>
      </w:r>
      <w:r>
        <w:rPr>
          <w:color w:val="000000"/>
        </w:rPr>
        <w:t xml:space="preserve"> </w:t>
      </w:r>
      <w:r>
        <w:rPr>
          <w:rFonts w:ascii="sans-serif" w:hAnsi="sans-serif"/>
          <w:b w:val="false"/>
          <w:color w:val="000000"/>
          <w:sz w:val="22"/>
        </w:rPr>
        <w:t>either Party.</w:t>
      </w:r>
    </w:p>
    <w:p>
      <w:pPr>
        <w:pStyle w:val="TextBody"/>
        <w:bidi w:val="0"/>
        <w:spacing w:before="135" w:after="283"/>
        <w:jc w:val="left"/>
        <w:rPr/>
      </w:pPr>
      <w:r>
        <w:rPr/>
      </w:r>
    </w:p>
    <w:p>
      <w:pPr>
        <w:pStyle w:val="TextBody"/>
        <w:bidi w:val="0"/>
        <w:spacing w:lineRule="auto" w:line="288" w:before="21" w:after="283"/>
        <w:ind w:left="0" w:right="0" w:hanging="851"/>
        <w:jc w:val="left"/>
        <w:rPr/>
      </w:pPr>
      <w:r>
        <w:rPr>
          <w:rFonts w:ascii="sans-serif" w:hAnsi="sans-serif"/>
          <w:b/>
          <w:color w:val="000000"/>
          <w:sz w:val="22"/>
        </w:rPr>
        <w:t>3.    Cooperation</w:t>
      </w:r>
      <w:r>
        <w:rPr>
          <w:color w:val="000000"/>
        </w:rPr>
        <w:t xml:space="preserve"> </w:t>
      </w:r>
      <w:r>
        <w:rPr>
          <w:rFonts w:ascii="sans-serif" w:hAnsi="sans-serif"/>
          <w:b/>
          <w:color w:val="000000"/>
          <w:sz w:val="22"/>
        </w:rPr>
        <w:t>and</w:t>
      </w:r>
      <w:r>
        <w:rPr>
          <w:color w:val="000000"/>
        </w:rPr>
        <w:t xml:space="preserve"> </w:t>
      </w:r>
      <w:r>
        <w:rPr>
          <w:rFonts w:ascii="sans-serif" w:hAnsi="sans-serif"/>
          <w:b/>
          <w:color w:val="000000"/>
          <w:sz w:val="22"/>
        </w:rPr>
        <w:t>Good</w:t>
      </w:r>
      <w:r>
        <w:rPr>
          <w:color w:val="000000"/>
        </w:rPr>
        <w:t xml:space="preserve"> </w:t>
      </w:r>
      <w:r>
        <w:rPr>
          <w:rFonts w:ascii="sans-serif" w:hAnsi="sans-serif"/>
          <w:b/>
          <w:color w:val="000000"/>
          <w:sz w:val="22"/>
        </w:rPr>
        <w:t>Faith</w:t>
      </w:r>
      <w:r>
        <w:rPr>
          <w:color w:val="000000"/>
        </w:rPr>
        <w:t xml:space="preserve"> </w:t>
      </w:r>
      <w:r>
        <w:rPr>
          <w:rFonts w:ascii="sans-serif" w:hAnsi="sans-serif"/>
          <w:b/>
          <w:color w:val="000000"/>
          <w:sz w:val="22"/>
        </w:rPr>
        <w:t>Efforts</w:t>
      </w:r>
      <w:r>
        <w:rPr>
          <w:color w:val="000000"/>
        </w:rPr>
        <w:t xml:space="preserve"> </w:t>
      </w:r>
      <w:r>
        <w:rPr>
          <w:rFonts w:ascii="sans-serif" w:hAnsi="sans-serif"/>
          <w:b/>
          <w:color w:val="000000"/>
          <w:sz w:val="22"/>
        </w:rPr>
        <w:t>for</w:t>
      </w:r>
      <w:r>
        <w:rPr>
          <w:color w:val="000000"/>
        </w:rPr>
        <w:t xml:space="preserve"> </w:t>
      </w:r>
      <w:r>
        <w:rPr>
          <w:rFonts w:ascii="sans-serif" w:hAnsi="sans-serif"/>
          <w:b/>
          <w:color w:val="000000"/>
          <w:sz w:val="22"/>
        </w:rPr>
        <w:t>U.S.</w:t>
      </w:r>
      <w:r>
        <w:rPr>
          <w:color w:val="000000"/>
        </w:rPr>
        <w:t xml:space="preserve"> </w:t>
      </w:r>
      <w:r>
        <w:rPr>
          <w:rFonts w:ascii="sans-serif" w:hAnsi="sans-serif"/>
          <w:b/>
          <w:color w:val="000000"/>
          <w:sz w:val="22"/>
        </w:rPr>
        <w:t>Work</w:t>
      </w:r>
      <w:r>
        <w:rPr>
          <w:color w:val="000000"/>
        </w:rPr>
        <w:t xml:space="preserve"> </w:t>
      </w:r>
      <w:r>
        <w:rPr>
          <w:rFonts w:ascii="sans-serif" w:hAnsi="sans-serif"/>
          <w:b/>
          <w:color w:val="000000"/>
          <w:sz w:val="22"/>
        </w:rPr>
        <w:t>Authorization</w:t>
      </w:r>
    </w:p>
    <w:p>
      <w:pPr>
        <w:pStyle w:val="TextBody"/>
        <w:bidi w:val="0"/>
        <w:spacing w:lineRule="auto" w:line="288" w:before="240" w:after="283"/>
        <w:jc w:val="left"/>
        <w:rPr/>
      </w:pPr>
      <w:r>
        <w:rPr>
          <w:rFonts w:ascii="sans-serif" w:hAnsi="sans-serif"/>
          <w:b w:val="false"/>
          <w:color w:val="000000"/>
          <w:sz w:val="22"/>
        </w:rPr>
        <w:t>Consistent with the mutual commitment of Lucid Group, Inc. and the Executive to cooperate fully and promptly with each other and with Company counsel in the</w:t>
      </w:r>
      <w:r>
        <w:rPr>
          <w:color w:val="000000"/>
        </w:rPr>
        <w:t xml:space="preserve"> </w:t>
      </w:r>
      <w:r>
        <w:rPr>
          <w:rFonts w:ascii="sans-serif" w:hAnsi="sans-serif"/>
          <w:b w:val="false"/>
          <w:color w:val="000000"/>
          <w:sz w:val="22"/>
        </w:rPr>
        <w:t>preparation</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filing</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any</w:t>
      </w:r>
      <w:r>
        <w:rPr>
          <w:color w:val="000000"/>
        </w:rPr>
        <w:t xml:space="preserve"> </w:t>
      </w:r>
      <w:r>
        <w:rPr>
          <w:rFonts w:ascii="sans-serif" w:hAnsi="sans-serif"/>
          <w:b w:val="false"/>
          <w:color w:val="000000"/>
          <w:sz w:val="22"/>
        </w:rPr>
        <w:t>required</w:t>
      </w:r>
      <w:r>
        <w:rPr>
          <w:color w:val="000000"/>
        </w:rPr>
        <w:t xml:space="preserve"> </w:t>
      </w:r>
      <w:r>
        <w:rPr>
          <w:rFonts w:ascii="sans-serif" w:hAnsi="sans-serif"/>
          <w:b w:val="false"/>
          <w:color w:val="000000"/>
          <w:sz w:val="22"/>
        </w:rPr>
        <w:t>immigration</w:t>
      </w:r>
      <w:r>
        <w:rPr>
          <w:color w:val="000000"/>
        </w:rPr>
        <w:t xml:space="preserve"> </w:t>
      </w:r>
      <w:r>
        <w:rPr>
          <w:rFonts w:ascii="sans-serif" w:hAnsi="sans-serif"/>
          <w:b w:val="false"/>
          <w:color w:val="000000"/>
          <w:sz w:val="22"/>
        </w:rPr>
        <w:t>petitions</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applications, including providing accurate information and supporting documentation, the Executive agrees to act in reasonable good faith to facilitate the timely processing and completion of all</w:t>
      </w:r>
      <w:r>
        <w:rPr>
          <w:color w:val="000000"/>
        </w:rPr>
        <w:t xml:space="preserve"> </w:t>
      </w:r>
      <w:r>
        <w:rPr>
          <w:rFonts w:ascii="sans-serif" w:hAnsi="sans-serif"/>
          <w:b w:val="false"/>
          <w:color w:val="000000"/>
          <w:sz w:val="22"/>
        </w:rPr>
        <w:t>requirements</w:t>
      </w:r>
      <w:r>
        <w:rPr>
          <w:color w:val="000000"/>
        </w:rPr>
        <w:t xml:space="preserve"> </w:t>
      </w:r>
      <w:r>
        <w:rPr>
          <w:rFonts w:ascii="sans-serif" w:hAnsi="sans-serif"/>
          <w:b w:val="false"/>
          <w:color w:val="000000"/>
          <w:sz w:val="22"/>
        </w:rPr>
        <w:t>for obtaining</w:t>
      </w:r>
      <w:r>
        <w:rPr>
          <w:color w:val="000000"/>
        </w:rPr>
        <w:t xml:space="preserve"> </w:t>
      </w:r>
      <w:r>
        <w:rPr>
          <w:rFonts w:ascii="sans-serif" w:hAnsi="sans-serif"/>
          <w:b w:val="false"/>
          <w:color w:val="000000"/>
          <w:sz w:val="22"/>
        </w:rPr>
        <w:t>the O-1 work visa necessary for employment in the United States</w:t>
      </w:r>
      <w:r>
        <w:rPr>
          <w:color w:val="000000"/>
        </w:rPr>
        <w:t xml:space="preserve"> </w:t>
      </w:r>
      <w:r>
        <w:rPr>
          <w:rFonts w:ascii="sans-serif" w:hAnsi="sans-serif"/>
          <w:b w:val="false"/>
          <w:color w:val="000000"/>
          <w:sz w:val="22"/>
        </w:rPr>
        <w:t>under the U.S. Offer Letter.</w:t>
      </w:r>
      <w:r>
        <w:rPr>
          <w:color w:val="000000"/>
        </w:rPr>
        <w:t xml:space="preserve"> </w:t>
      </w:r>
      <w:r>
        <w:rPr>
          <w:rFonts w:ascii="sans-serif" w:hAnsi="sans-serif"/>
          <w:b w:val="false"/>
          <w:color w:val="000000"/>
          <w:sz w:val="22"/>
        </w:rPr>
        <w:t>This</w:t>
      </w:r>
      <w:r>
        <w:rPr>
          <w:color w:val="000000"/>
        </w:rPr>
        <w:t xml:space="preserve"> </w:t>
      </w:r>
      <w:r>
        <w:rPr>
          <w:rFonts w:ascii="sans-serif" w:hAnsi="sans-serif"/>
          <w:b w:val="false"/>
          <w:color w:val="000000"/>
          <w:sz w:val="22"/>
        </w:rPr>
        <w:t>includes,</w:t>
      </w:r>
      <w:r>
        <w:rPr>
          <w:color w:val="000000"/>
        </w:rPr>
        <w:t xml:space="preserve"> </w:t>
      </w:r>
      <w:r>
        <w:rPr>
          <w:rFonts w:ascii="sans-serif" w:hAnsi="sans-serif"/>
          <w:b w:val="false"/>
          <w:color w:val="000000"/>
          <w:sz w:val="22"/>
        </w:rPr>
        <w:t>without limitation, attending any required interviews at the U.S. consulate and providing any necessary documentation in a timely manner. The Executive’s efforts shall be coordinated with the Company or any Group Company (as defined below) to align with a mutually agreed date for the commencement of the Executive’s U.S. employment</w:t>
      </w:r>
      <w:r>
        <w:rPr>
          <w:color w:val="000000"/>
        </w:rPr>
        <w:t xml:space="preserve"> </w:t>
      </w:r>
      <w:r>
        <w:rPr>
          <w:rFonts w:ascii="sans-serif" w:hAnsi="sans-serif"/>
          <w:b w:val="false"/>
          <w:color w:val="000000"/>
          <w:sz w:val="22"/>
        </w:rPr>
        <w:t>under</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U.S. Offer Letter and, if applicable,</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Executive’s appointment as the CEO of Lucid Group, Inc.</w:t>
      </w:r>
    </w:p>
    <w:p>
      <w:pPr>
        <w:pStyle w:val="TextBody"/>
        <w:bidi w:val="0"/>
        <w:spacing w:lineRule="auto" w:line="211" w:before="0" w:after="0"/>
        <w:jc w:val="right"/>
        <w:rPr>
          <w:rFonts w:ascii="sans-serif" w:hAnsi="sans-serif"/>
          <w:b/>
          <w:color w:val="000000"/>
          <w:sz w:val="16"/>
        </w:rPr>
      </w:pPr>
      <w:r>
        <w:rPr>
          <w:rFonts w:ascii="sans-serif" w:hAnsi="sans-serif"/>
          <w:b/>
          <w:color w:val="000000"/>
          <w:sz w:val="16"/>
        </w:rPr>
        <w:t>Employment Agreement between Lucid Switzerland AG and Silvio Napoli</w:t>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582930"/>
                <wp:effectExtent l="0" t="0" r="0" b="0"/>
                <wp:wrapNone/>
                <wp:docPr id="134" name="Frame134"/>
                <a:graphic xmlns:a="http://schemas.openxmlformats.org/drawingml/2006/main">
                  <a:graphicData uri="http://schemas.microsoft.com/office/word/2010/wordprocessingShape">
                    <wps:wsp>
                      <wps:cNvSpPr txBox="1"/>
                      <wps:spPr>
                        <a:xfrm>
                          <a:off x="0" y="0"/>
                          <a:ext cx="6480175" cy="58293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sans-serif" w:hAnsi="sans-serif"/>
                                <w:b w:val="false"/>
                                <w:color w:val="000000"/>
                                <w:sz w:val="22"/>
                              </w:rPr>
                            </w:pPr>
                            <w:r>
                              <w:rPr>
                                <w:rFonts w:ascii="sans-serif" w:hAnsi="sans-serif"/>
                                <w:b w:val="false"/>
                                <w:color w:val="000000"/>
                                <w:sz w:val="22"/>
                              </w:rPr>
                              <w:t xml:space="preserve">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9pt;mso-wrap-distance-left:0pt;mso-wrap-distance-right:0pt;mso-wrap-distance-top:0pt;mso-wrap-distance-bottom:0pt;margin-top:0pt;mso-position-vertical:top;mso-position-vertical-relative:text;margin-left:-154.2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sans-serif" w:hAnsi="sans-serif"/>
                          <w:b w:val="false"/>
                          <w:color w:val="000000"/>
                          <w:sz w:val="22"/>
                        </w:rPr>
                      </w:pPr>
                      <w:r>
                        <w:rPr>
                          <w:rFonts w:ascii="sans-serif" w:hAnsi="sans-serif"/>
                          <w:b w:val="false"/>
                          <w:color w:val="000000"/>
                          <w:sz w:val="22"/>
                        </w:rPr>
                        <w:t xml:space="preserve">3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1" w:after="283"/>
        <w:ind w:left="0" w:right="0" w:hanging="851"/>
        <w:jc w:val="left"/>
        <w:rPr/>
      </w:pPr>
      <w:r>
        <w:rPr>
          <w:rFonts w:ascii="sans-serif" w:hAnsi="sans-serif"/>
          <w:b/>
          <w:color w:val="000000"/>
          <w:sz w:val="22"/>
        </w:rPr>
        <w:t>4.    Function,</w:t>
      </w:r>
      <w:r>
        <w:rPr>
          <w:color w:val="000000"/>
        </w:rPr>
        <w:t xml:space="preserve"> </w:t>
      </w:r>
      <w:r>
        <w:rPr>
          <w:rFonts w:ascii="sans-serif" w:hAnsi="sans-serif"/>
          <w:b/>
          <w:color w:val="000000"/>
          <w:sz w:val="22"/>
        </w:rPr>
        <w:t>Duties</w:t>
      </w:r>
      <w:r>
        <w:rPr>
          <w:color w:val="000000"/>
        </w:rPr>
        <w:t xml:space="preserve"> </w:t>
      </w:r>
      <w:r>
        <w:rPr>
          <w:rFonts w:ascii="sans-serif" w:hAnsi="sans-serif"/>
          <w:b/>
          <w:color w:val="000000"/>
          <w:sz w:val="22"/>
        </w:rPr>
        <w:t>and</w:t>
      </w:r>
      <w:r>
        <w:rPr>
          <w:color w:val="000000"/>
        </w:rPr>
        <w:t xml:space="preserve"> </w:t>
      </w:r>
      <w:r>
        <w:rPr>
          <w:rFonts w:ascii="sans-serif" w:hAnsi="sans-serif"/>
          <w:b/>
          <w:color w:val="000000"/>
          <w:sz w:val="22"/>
        </w:rPr>
        <w:t>Responsibilities</w:t>
      </w:r>
    </w:p>
    <w:p>
      <w:pPr>
        <w:pStyle w:val="TextBody"/>
        <w:bidi w:val="0"/>
        <w:spacing w:lineRule="auto" w:line="288" w:before="199" w:after="283"/>
        <w:jc w:val="left"/>
        <w:rPr/>
      </w:pPr>
      <w:r>
        <w:rPr>
          <w:rFonts w:ascii="sans-serif" w:hAnsi="sans-serif"/>
          <w:b w:val="false"/>
          <w:color w:val="000000"/>
          <w:sz w:val="22"/>
        </w:rPr>
        <w:t>You shall assume the function as Executive Director. The duties and responsibilities arising thereof include all tasks customarily or reasonably incidental to such function and those expressly mentioned in the Employment Agreement. The function may be adjusted by the Company at any time to reflect current circumstances. The Company may assign you any other, additional or new duties or responsibilities</w:t>
      </w:r>
      <w:r>
        <w:rPr>
          <w:color w:val="000000"/>
        </w:rPr>
        <w:t xml:space="preserve"> </w:t>
      </w:r>
      <w:r>
        <w:rPr>
          <w:rFonts w:ascii="sans-serif" w:hAnsi="sans-serif"/>
          <w:b w:val="false"/>
          <w:color w:val="000000"/>
          <w:sz w:val="22"/>
        </w:rPr>
        <w:t>consistent</w:t>
      </w:r>
      <w:r>
        <w:rPr>
          <w:color w:val="000000"/>
        </w:rPr>
        <w:t xml:space="preserve"> </w:t>
      </w:r>
      <w:r>
        <w:rPr>
          <w:rFonts w:ascii="sans-serif" w:hAnsi="sans-serif"/>
          <w:b w:val="false"/>
          <w:color w:val="000000"/>
          <w:sz w:val="22"/>
        </w:rPr>
        <w:t>with</w:t>
      </w:r>
      <w:r>
        <w:rPr>
          <w:color w:val="000000"/>
        </w:rPr>
        <w:t xml:space="preserve"> </w:t>
      </w:r>
      <w:r>
        <w:rPr>
          <w:rFonts w:ascii="sans-serif" w:hAnsi="sans-serif"/>
          <w:b w:val="false"/>
          <w:color w:val="000000"/>
          <w:sz w:val="22"/>
        </w:rPr>
        <w:t>your</w:t>
      </w:r>
      <w:r>
        <w:rPr>
          <w:color w:val="000000"/>
        </w:rPr>
        <w:t xml:space="preserve"> </w:t>
      </w:r>
      <w:r>
        <w:rPr>
          <w:rFonts w:ascii="sans-serif" w:hAnsi="sans-serif"/>
          <w:b w:val="false"/>
          <w:color w:val="000000"/>
          <w:sz w:val="22"/>
        </w:rPr>
        <w:t>function</w:t>
      </w:r>
      <w:r>
        <w:rPr>
          <w:color w:val="000000"/>
        </w:rPr>
        <w:t xml:space="preserve"> </w:t>
      </w:r>
      <w:r>
        <w:rPr>
          <w:rFonts w:ascii="sans-serif" w:hAnsi="sans-serif"/>
          <w:b w:val="false"/>
          <w:color w:val="000000"/>
          <w:sz w:val="22"/>
        </w:rPr>
        <w:t>as</w:t>
      </w:r>
      <w:r>
        <w:rPr>
          <w:color w:val="000000"/>
        </w:rPr>
        <w:t xml:space="preserve"> </w:t>
      </w:r>
      <w:r>
        <w:rPr>
          <w:rFonts w:ascii="sans-serif" w:hAnsi="sans-serif"/>
          <w:b w:val="false"/>
          <w:color w:val="000000"/>
          <w:sz w:val="22"/>
        </w:rPr>
        <w:t>deemed</w:t>
      </w:r>
      <w:r>
        <w:rPr>
          <w:color w:val="000000"/>
        </w:rPr>
        <w:t xml:space="preserve"> </w:t>
      </w:r>
      <w:r>
        <w:rPr>
          <w:rFonts w:ascii="sans-serif" w:hAnsi="sans-serif"/>
          <w:b w:val="false"/>
          <w:color w:val="000000"/>
          <w:sz w:val="22"/>
        </w:rPr>
        <w:t>reasonable</w:t>
      </w:r>
      <w:r>
        <w:rPr>
          <w:color w:val="000000"/>
        </w:rPr>
        <w:t xml:space="preserve"> </w:t>
      </w:r>
      <w:r>
        <w:rPr>
          <w:rFonts w:ascii="sans-serif" w:hAnsi="sans-serif"/>
          <w:b w:val="false"/>
          <w:color w:val="000000"/>
          <w:sz w:val="22"/>
        </w:rPr>
        <w:t>or</w:t>
      </w:r>
      <w:r>
        <w:rPr>
          <w:color w:val="000000"/>
        </w:rPr>
        <w:t xml:space="preserve"> </w:t>
      </w:r>
      <w:r>
        <w:rPr>
          <w:rFonts w:ascii="sans-serif" w:hAnsi="sans-serif"/>
          <w:b w:val="false"/>
          <w:color w:val="000000"/>
          <w:sz w:val="22"/>
        </w:rPr>
        <w:t>appropriate by the Company in the course and fulfilment of its business.</w:t>
      </w:r>
    </w:p>
    <w:p>
      <w:pPr>
        <w:pStyle w:val="TextBody"/>
        <w:bidi w:val="0"/>
        <w:spacing w:lineRule="auto" w:line="288" w:before="59" w:after="283"/>
        <w:jc w:val="left"/>
        <w:rPr/>
      </w:pPr>
      <w:r>
        <w:rPr>
          <w:rFonts w:ascii="sans-serif" w:hAnsi="sans-serif"/>
          <w:b w:val="false"/>
          <w:color w:val="000000"/>
          <w:sz w:val="22"/>
        </w:rPr>
        <w:t>You</w:t>
      </w:r>
      <w:r>
        <w:rPr>
          <w:color w:val="000000"/>
        </w:rPr>
        <w:t xml:space="preserve"> </w:t>
      </w:r>
      <w:r>
        <w:rPr>
          <w:rFonts w:ascii="sans-serif" w:hAnsi="sans-serif"/>
          <w:b w:val="false"/>
          <w:color w:val="000000"/>
          <w:sz w:val="22"/>
        </w:rPr>
        <w:t>undertake</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use</w:t>
      </w:r>
      <w:r>
        <w:rPr>
          <w:color w:val="000000"/>
        </w:rPr>
        <w:t xml:space="preserve"> </w:t>
      </w:r>
      <w:r>
        <w:rPr>
          <w:rFonts w:ascii="sans-serif" w:hAnsi="sans-serif"/>
          <w:b w:val="false"/>
          <w:color w:val="000000"/>
          <w:sz w:val="22"/>
        </w:rPr>
        <w:t>your</w:t>
      </w:r>
      <w:r>
        <w:rPr>
          <w:color w:val="000000"/>
        </w:rPr>
        <w:t xml:space="preserve"> </w:t>
      </w:r>
      <w:r>
        <w:rPr>
          <w:rFonts w:ascii="sans-serif" w:hAnsi="sans-serif"/>
          <w:b w:val="false"/>
          <w:color w:val="000000"/>
          <w:sz w:val="22"/>
        </w:rPr>
        <w:t>entire</w:t>
      </w:r>
      <w:r>
        <w:rPr>
          <w:color w:val="000000"/>
        </w:rPr>
        <w:t xml:space="preserve"> </w:t>
      </w:r>
      <w:r>
        <w:rPr>
          <w:rFonts w:ascii="sans-serif" w:hAnsi="sans-serif"/>
          <w:b w:val="false"/>
          <w:color w:val="000000"/>
          <w:sz w:val="22"/>
        </w:rPr>
        <w:t>working</w:t>
      </w:r>
      <w:r>
        <w:rPr>
          <w:color w:val="000000"/>
        </w:rPr>
        <w:t xml:space="preserve"> </w:t>
      </w:r>
      <w:r>
        <w:rPr>
          <w:rFonts w:ascii="sans-serif" w:hAnsi="sans-serif"/>
          <w:b w:val="false"/>
          <w:color w:val="000000"/>
          <w:sz w:val="22"/>
        </w:rPr>
        <w:t>ability</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fulfil</w:t>
      </w:r>
      <w:r>
        <w:rPr>
          <w:color w:val="000000"/>
        </w:rPr>
        <w:t xml:space="preserve"> </w:t>
      </w:r>
      <w:r>
        <w:rPr>
          <w:rFonts w:ascii="sans-serif" w:hAnsi="sans-serif"/>
          <w:b w:val="false"/>
          <w:color w:val="000000"/>
          <w:sz w:val="22"/>
        </w:rPr>
        <w:t>your</w:t>
      </w:r>
      <w:r>
        <w:rPr>
          <w:color w:val="000000"/>
        </w:rPr>
        <w:t xml:space="preserve"> </w:t>
      </w:r>
      <w:r>
        <w:rPr>
          <w:rFonts w:ascii="sans-serif" w:hAnsi="sans-serif"/>
          <w:b w:val="false"/>
          <w:color w:val="000000"/>
          <w:sz w:val="22"/>
        </w:rPr>
        <w:t>contractual</w:t>
      </w:r>
      <w:r>
        <w:rPr>
          <w:color w:val="000000"/>
        </w:rPr>
        <w:t xml:space="preserve"> </w:t>
      </w:r>
      <w:r>
        <w:rPr>
          <w:rFonts w:ascii="sans-serif" w:hAnsi="sans-serif"/>
          <w:b w:val="false"/>
          <w:color w:val="000000"/>
          <w:sz w:val="22"/>
        </w:rPr>
        <w:t>obligations and to loyally safeguard and foster the business and the interests of the Company.</w:t>
      </w:r>
    </w:p>
    <w:p>
      <w:pPr>
        <w:pStyle w:val="TextBody"/>
        <w:bidi w:val="0"/>
        <w:spacing w:lineRule="auto" w:line="288" w:before="240" w:after="283"/>
        <w:ind w:left="0" w:right="0" w:hanging="851"/>
        <w:jc w:val="left"/>
        <w:rPr/>
      </w:pPr>
      <w:r>
        <w:rPr>
          <w:rFonts w:ascii="sans-serif" w:hAnsi="sans-serif"/>
          <w:b/>
          <w:color w:val="000000"/>
          <w:sz w:val="22"/>
        </w:rPr>
        <w:t>5.    Group</w:t>
      </w:r>
      <w:r>
        <w:rPr>
          <w:color w:val="000000"/>
        </w:rPr>
        <w:t xml:space="preserve"> </w:t>
      </w:r>
      <w:r>
        <w:rPr>
          <w:rFonts w:ascii="sans-serif" w:hAnsi="sans-serif"/>
          <w:b/>
          <w:color w:val="000000"/>
          <w:sz w:val="22"/>
        </w:rPr>
        <w:t>Structure</w:t>
      </w:r>
    </w:p>
    <w:p>
      <w:pPr>
        <w:pStyle w:val="TextBody"/>
        <w:bidi w:val="0"/>
        <w:spacing w:lineRule="auto" w:line="288" w:before="240" w:after="283"/>
        <w:jc w:val="left"/>
        <w:rPr/>
      </w:pPr>
      <w:r>
        <w:rPr>
          <w:rFonts w:ascii="sans-serif" w:hAnsi="sans-serif"/>
          <w:b w:val="false"/>
          <w:color w:val="000000"/>
          <w:sz w:val="22"/>
        </w:rPr>
        <w:t>You acknowledge</w:t>
      </w:r>
      <w:r>
        <w:rPr>
          <w:color w:val="000000"/>
        </w:rPr>
        <w:t xml:space="preserve"> </w:t>
      </w:r>
      <w:r>
        <w:rPr>
          <w:rFonts w:ascii="sans-serif" w:hAnsi="sans-serif"/>
          <w:b w:val="false"/>
          <w:color w:val="000000"/>
          <w:sz w:val="22"/>
        </w:rPr>
        <w:t>that</w:t>
      </w:r>
      <w:r>
        <w:rPr>
          <w:color w:val="000000"/>
        </w:rPr>
        <w:t xml:space="preserve"> </w:t>
      </w:r>
      <w:r>
        <w:rPr>
          <w:rFonts w:ascii="sans-serif" w:hAnsi="sans-serif"/>
          <w:b w:val="false"/>
          <w:color w:val="000000"/>
          <w:sz w:val="22"/>
        </w:rPr>
        <w:t>the Company is</w:t>
      </w:r>
      <w:r>
        <w:rPr>
          <w:color w:val="000000"/>
        </w:rPr>
        <w:t xml:space="preserve"> </w:t>
      </w:r>
      <w:r>
        <w:rPr>
          <w:rFonts w:ascii="sans-serif" w:hAnsi="sans-serif"/>
          <w:b w:val="false"/>
          <w:color w:val="000000"/>
          <w:sz w:val="22"/>
        </w:rPr>
        <w:t>part of</w:t>
      </w:r>
      <w:r>
        <w:rPr>
          <w:color w:val="000000"/>
        </w:rPr>
        <w:t xml:space="preserve"> </w:t>
      </w:r>
      <w:r>
        <w:rPr>
          <w:rFonts w:ascii="sans-serif" w:hAnsi="sans-serif"/>
          <w:b w:val="false"/>
          <w:color w:val="000000"/>
          <w:sz w:val="22"/>
        </w:rPr>
        <w:t>a group</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companies</w:t>
      </w:r>
      <w:r>
        <w:rPr>
          <w:color w:val="000000"/>
        </w:rPr>
        <w:t xml:space="preserve"> </w:t>
      </w:r>
      <w:r>
        <w:rPr>
          <w:rFonts w:ascii="sans-serif" w:hAnsi="sans-serif"/>
          <w:b w:val="false"/>
          <w:color w:val="000000"/>
          <w:sz w:val="22"/>
        </w:rPr>
        <w:t>ultimately controlled</w:t>
      </w:r>
      <w:r>
        <w:rPr>
          <w:color w:val="000000"/>
        </w:rPr>
        <w:t xml:space="preserve"> </w:t>
      </w:r>
      <w:r>
        <w:rPr>
          <w:rFonts w:ascii="sans-serif" w:hAnsi="sans-serif"/>
          <w:b w:val="false"/>
          <w:color w:val="000000"/>
          <w:sz w:val="22"/>
        </w:rPr>
        <w:t>by</w:t>
      </w:r>
      <w:r>
        <w:rPr>
          <w:color w:val="000000"/>
        </w:rPr>
        <w:t xml:space="preserve"> </w:t>
      </w:r>
      <w:r>
        <w:rPr>
          <w:rFonts w:ascii="sans-serif" w:hAnsi="sans-serif"/>
          <w:b w:val="false"/>
          <w:color w:val="000000"/>
          <w:sz w:val="22"/>
        </w:rPr>
        <w:t>Lucid</w:t>
      </w:r>
      <w:r>
        <w:rPr>
          <w:color w:val="000000"/>
        </w:rPr>
        <w:t xml:space="preserve"> </w:t>
      </w:r>
      <w:r>
        <w:rPr>
          <w:rFonts w:ascii="sans-serif" w:hAnsi="sans-serif"/>
          <w:b w:val="false"/>
          <w:color w:val="000000"/>
          <w:sz w:val="22"/>
        </w:rPr>
        <w:t>Group,</w:t>
      </w:r>
      <w:r>
        <w:rPr>
          <w:color w:val="000000"/>
        </w:rPr>
        <w:t xml:space="preserve"> </w:t>
      </w:r>
      <w:r>
        <w:rPr>
          <w:rFonts w:ascii="sans-serif" w:hAnsi="sans-serif"/>
          <w:b w:val="false"/>
          <w:color w:val="000000"/>
          <w:sz w:val="22"/>
        </w:rPr>
        <w:t>Inc.</w:t>
      </w:r>
      <w:r>
        <w:rPr>
          <w:color w:val="000000"/>
        </w:rPr>
        <w:t xml:space="preserve"> </w:t>
      </w:r>
      <w:r>
        <w:rPr>
          <w:rFonts w:ascii="sans-serif" w:hAnsi="sans-serif"/>
          <w:b w:val="false"/>
          <w:color w:val="000000"/>
          <w:sz w:val="22"/>
        </w:rPr>
        <w:t>(each</w:t>
      </w:r>
      <w:r>
        <w:rPr>
          <w:color w:val="000000"/>
        </w:rPr>
        <w:t xml:space="preserve"> </w:t>
      </w:r>
      <w:r>
        <w:rPr>
          <w:rFonts w:ascii="sans-serif" w:hAnsi="sans-serif"/>
          <w:b w:val="false"/>
          <w:color w:val="000000"/>
          <w:sz w:val="22"/>
        </w:rPr>
        <w:t>such</w:t>
      </w:r>
      <w:r>
        <w:rPr>
          <w:color w:val="000000"/>
        </w:rPr>
        <w:t xml:space="preserve"> </w:t>
      </w:r>
      <w:r>
        <w:rPr>
          <w:rFonts w:ascii="sans-serif" w:hAnsi="sans-serif"/>
          <w:b w:val="false"/>
          <w:color w:val="000000"/>
          <w:sz w:val="22"/>
        </w:rPr>
        <w:t>company</w:t>
      </w:r>
      <w:r>
        <w:rPr>
          <w:color w:val="000000"/>
        </w:rPr>
        <w:t xml:space="preserve"> </w:t>
      </w:r>
      <w:r>
        <w:rPr>
          <w:rFonts w:ascii="sans-serif" w:hAnsi="sans-serif"/>
          <w:b w:val="false"/>
          <w:color w:val="000000"/>
          <w:sz w:val="22"/>
        </w:rPr>
        <w:t>including</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holding</w:t>
      </w:r>
      <w:r>
        <w:rPr>
          <w:color w:val="000000"/>
        </w:rPr>
        <w:t xml:space="preserve"> </w:t>
      </w:r>
      <w:r>
        <w:rPr>
          <w:rFonts w:ascii="sans-serif" w:hAnsi="sans-serif"/>
          <w:b w:val="false"/>
          <w:color w:val="000000"/>
          <w:sz w:val="22"/>
        </w:rPr>
        <w:t xml:space="preserve">company a </w:t>
      </w:r>
      <w:r>
        <w:rPr>
          <w:rFonts w:ascii="sans-serif" w:hAnsi="sans-serif"/>
          <w:b/>
          <w:color w:val="000000"/>
          <w:sz w:val="22"/>
        </w:rPr>
        <w:t>Group Company</w:t>
      </w:r>
      <w:r>
        <w:rPr>
          <w:rFonts w:ascii="sans-serif" w:hAnsi="sans-serif"/>
          <w:b w:val="false"/>
          <w:color w:val="000000"/>
          <w:sz w:val="22"/>
        </w:rPr>
        <w:t xml:space="preserve">, together the </w:t>
      </w:r>
      <w:r>
        <w:rPr>
          <w:rFonts w:ascii="sans-serif" w:hAnsi="sans-serif"/>
          <w:b/>
          <w:color w:val="000000"/>
          <w:sz w:val="22"/>
        </w:rPr>
        <w:t>Group</w:t>
      </w:r>
      <w:r>
        <w:rPr>
          <w:rFonts w:ascii="sans-serif" w:hAnsi="sans-serif"/>
          <w:b w:val="false"/>
          <w:color w:val="000000"/>
          <w:sz w:val="22"/>
        </w:rPr>
        <w:t>). You acknowledge that you will need</w:t>
      </w:r>
      <w:r>
        <w:rPr>
          <w:color w:val="000000"/>
        </w:rPr>
        <w:t xml:space="preserve"> </w:t>
      </w:r>
      <w:r>
        <w:rPr>
          <w:rFonts w:ascii="sans-serif" w:hAnsi="sans-serif"/>
          <w:b w:val="false"/>
          <w:color w:val="000000"/>
          <w:sz w:val="22"/>
        </w:rPr>
        <w:t>to work</w:t>
      </w:r>
      <w:r>
        <w:rPr>
          <w:color w:val="000000"/>
        </w:rPr>
        <w:t xml:space="preserve"> </w:t>
      </w:r>
      <w:r>
        <w:rPr>
          <w:rFonts w:ascii="sans-serif" w:hAnsi="sans-serif"/>
          <w:b w:val="false"/>
          <w:color w:val="000000"/>
          <w:sz w:val="22"/>
        </w:rPr>
        <w:t>with</w:t>
      </w:r>
      <w:r>
        <w:rPr>
          <w:color w:val="000000"/>
        </w:rPr>
        <w:t xml:space="preserve"> </w:t>
      </w:r>
      <w:r>
        <w:rPr>
          <w:rFonts w:ascii="sans-serif" w:hAnsi="sans-serif"/>
          <w:b w:val="false"/>
          <w:color w:val="000000"/>
          <w:sz w:val="22"/>
        </w:rPr>
        <w:t>other</w:t>
      </w:r>
      <w:r>
        <w:rPr>
          <w:color w:val="000000"/>
        </w:rPr>
        <w:t xml:space="preserve"> </w:t>
      </w:r>
      <w:r>
        <w:rPr>
          <w:rFonts w:ascii="sans-serif" w:hAnsi="sans-serif"/>
          <w:b w:val="false"/>
          <w:color w:val="000000"/>
          <w:sz w:val="22"/>
        </w:rPr>
        <w:t>officers</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other</w:t>
      </w:r>
      <w:r>
        <w:rPr>
          <w:color w:val="000000"/>
        </w:rPr>
        <w:t xml:space="preserve"> </w:t>
      </w:r>
      <w:r>
        <w:rPr>
          <w:rFonts w:ascii="sans-serif" w:hAnsi="sans-serif"/>
          <w:b w:val="false"/>
          <w:color w:val="000000"/>
          <w:sz w:val="22"/>
        </w:rPr>
        <w:t>Group Companies. You acknowledge that</w:t>
      </w:r>
      <w:r>
        <w:rPr>
          <w:color w:val="000000"/>
        </w:rPr>
        <w:t xml:space="preserve"> </w:t>
      </w:r>
      <w:r>
        <w:rPr>
          <w:rFonts w:ascii="sans-serif" w:hAnsi="sans-serif"/>
          <w:b w:val="false"/>
          <w:color w:val="000000"/>
          <w:sz w:val="22"/>
        </w:rPr>
        <w:t>this</w:t>
      </w:r>
      <w:r>
        <w:rPr>
          <w:color w:val="000000"/>
        </w:rPr>
        <w:t xml:space="preserve"> </w:t>
      </w:r>
      <w:r>
        <w:rPr>
          <w:rFonts w:ascii="sans-serif" w:hAnsi="sans-serif"/>
          <w:b w:val="false"/>
          <w:color w:val="000000"/>
          <w:sz w:val="22"/>
        </w:rPr>
        <w:t>does</w:t>
      </w:r>
      <w:r>
        <w:rPr>
          <w:color w:val="000000"/>
        </w:rPr>
        <w:t xml:space="preserve"> </w:t>
      </w:r>
      <w:r>
        <w:rPr>
          <w:rFonts w:ascii="sans-serif" w:hAnsi="sans-serif"/>
          <w:b w:val="false"/>
          <w:color w:val="000000"/>
          <w:sz w:val="22"/>
        </w:rPr>
        <w:t>not</w:t>
      </w:r>
      <w:r>
        <w:rPr>
          <w:color w:val="000000"/>
        </w:rPr>
        <w:t xml:space="preserve"> </w:t>
      </w:r>
      <w:r>
        <w:rPr>
          <w:rFonts w:ascii="sans-serif" w:hAnsi="sans-serif"/>
          <w:b w:val="false"/>
          <w:color w:val="000000"/>
          <w:sz w:val="22"/>
        </w:rPr>
        <w:t>create</w:t>
      </w:r>
      <w:r>
        <w:rPr>
          <w:color w:val="000000"/>
        </w:rPr>
        <w:t xml:space="preserve"> </w:t>
      </w:r>
      <w:r>
        <w:rPr>
          <w:rFonts w:ascii="sans-serif" w:hAnsi="sans-serif"/>
          <w:b w:val="false"/>
          <w:color w:val="000000"/>
          <w:sz w:val="22"/>
        </w:rPr>
        <w:t>separate</w:t>
      </w:r>
      <w:r>
        <w:rPr>
          <w:color w:val="000000"/>
        </w:rPr>
        <w:t xml:space="preserve"> </w:t>
      </w:r>
      <w:r>
        <w:rPr>
          <w:rFonts w:ascii="sans-serif" w:hAnsi="sans-serif"/>
          <w:b w:val="false"/>
          <w:color w:val="000000"/>
          <w:sz w:val="22"/>
        </w:rPr>
        <w:t>employment</w:t>
      </w:r>
      <w:r>
        <w:rPr>
          <w:color w:val="000000"/>
        </w:rPr>
        <w:t xml:space="preserve"> </w:t>
      </w:r>
      <w:r>
        <w:rPr>
          <w:rFonts w:ascii="sans-serif" w:hAnsi="sans-serif"/>
          <w:b w:val="false"/>
          <w:color w:val="000000"/>
          <w:sz w:val="22"/>
        </w:rPr>
        <w:t>relationships</w:t>
      </w:r>
      <w:r>
        <w:rPr>
          <w:color w:val="000000"/>
        </w:rPr>
        <w:t xml:space="preserve"> </w:t>
      </w:r>
      <w:r>
        <w:rPr>
          <w:rFonts w:ascii="sans-serif" w:hAnsi="sans-serif"/>
          <w:b w:val="false"/>
          <w:color w:val="000000"/>
          <w:sz w:val="22"/>
        </w:rPr>
        <w:t>with</w:t>
      </w:r>
      <w:r>
        <w:rPr>
          <w:color w:val="000000"/>
        </w:rPr>
        <w:t xml:space="preserve"> </w:t>
      </w:r>
      <w:r>
        <w:rPr>
          <w:rFonts w:ascii="sans-serif" w:hAnsi="sans-serif"/>
          <w:b w:val="false"/>
          <w:color w:val="000000"/>
          <w:sz w:val="22"/>
        </w:rPr>
        <w:t>other</w:t>
      </w:r>
      <w:r>
        <w:rPr>
          <w:color w:val="000000"/>
        </w:rPr>
        <w:t xml:space="preserve"> </w:t>
      </w:r>
      <w:r>
        <w:rPr>
          <w:rFonts w:ascii="sans-serif" w:hAnsi="sans-serif"/>
          <w:b w:val="false"/>
          <w:color w:val="000000"/>
          <w:sz w:val="22"/>
        </w:rPr>
        <w:t>Group Companies.</w:t>
      </w:r>
    </w:p>
    <w:p>
      <w:pPr>
        <w:pStyle w:val="TextBody"/>
        <w:bidi w:val="0"/>
        <w:spacing w:lineRule="auto" w:line="288" w:before="240" w:after="283"/>
        <w:ind w:left="0" w:right="0" w:hanging="851"/>
        <w:jc w:val="left"/>
        <w:rPr/>
      </w:pPr>
      <w:r>
        <w:rPr>
          <w:rFonts w:ascii="sans-serif" w:hAnsi="sans-serif"/>
          <w:b/>
          <w:color w:val="000000"/>
          <w:sz w:val="22"/>
        </w:rPr>
        <w:t>6.    Work</w:t>
      </w:r>
      <w:r>
        <w:rPr>
          <w:color w:val="000000"/>
        </w:rPr>
        <w:t xml:space="preserve"> </w:t>
      </w:r>
      <w:r>
        <w:rPr>
          <w:rFonts w:ascii="sans-serif" w:hAnsi="sans-serif"/>
          <w:b/>
          <w:color w:val="000000"/>
          <w:sz w:val="22"/>
        </w:rPr>
        <w:t>for</w:t>
      </w:r>
      <w:r>
        <w:rPr>
          <w:color w:val="000000"/>
        </w:rPr>
        <w:t xml:space="preserve"> </w:t>
      </w:r>
      <w:r>
        <w:rPr>
          <w:rFonts w:ascii="sans-serif" w:hAnsi="sans-serif"/>
          <w:b/>
          <w:color w:val="000000"/>
          <w:sz w:val="22"/>
        </w:rPr>
        <w:t>Third Parties</w:t>
      </w:r>
    </w:p>
    <w:p>
      <w:pPr>
        <w:pStyle w:val="TextBody"/>
        <w:bidi w:val="0"/>
        <w:spacing w:lineRule="auto" w:line="288" w:before="196" w:after="283"/>
        <w:jc w:val="left"/>
        <w:rPr/>
      </w:pPr>
      <w:r>
        <w:rPr>
          <w:rFonts w:ascii="sans-serif" w:hAnsi="sans-serif"/>
          <w:b w:val="false"/>
          <w:color w:val="000000"/>
          <w:sz w:val="22"/>
        </w:rPr>
        <w:t>You</w:t>
      </w:r>
      <w:r>
        <w:rPr>
          <w:color w:val="000000"/>
        </w:rPr>
        <w:t xml:space="preserve"> </w:t>
      </w:r>
      <w:r>
        <w:rPr>
          <w:rFonts w:ascii="sans-serif" w:hAnsi="sans-serif"/>
          <w:b w:val="false"/>
          <w:color w:val="000000"/>
          <w:sz w:val="22"/>
        </w:rPr>
        <w:t>are</w:t>
      </w:r>
      <w:r>
        <w:rPr>
          <w:color w:val="000000"/>
        </w:rPr>
        <w:t xml:space="preserve"> </w:t>
      </w:r>
      <w:r>
        <w:rPr>
          <w:rFonts w:ascii="sans-serif" w:hAnsi="sans-serif"/>
          <w:b w:val="false"/>
          <w:color w:val="000000"/>
          <w:sz w:val="22"/>
        </w:rPr>
        <w:t>not</w:t>
      </w:r>
      <w:r>
        <w:rPr>
          <w:color w:val="000000"/>
        </w:rPr>
        <w:t xml:space="preserve"> </w:t>
      </w:r>
      <w:r>
        <w:rPr>
          <w:rFonts w:ascii="sans-serif" w:hAnsi="sans-serif"/>
          <w:b w:val="false"/>
          <w:color w:val="000000"/>
          <w:sz w:val="22"/>
        </w:rPr>
        <w:t>entitled</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work</w:t>
      </w:r>
      <w:r>
        <w:rPr>
          <w:color w:val="000000"/>
        </w:rPr>
        <w:t xml:space="preserve"> </w:t>
      </w:r>
      <w:r>
        <w:rPr>
          <w:rFonts w:ascii="sans-serif" w:hAnsi="sans-serif"/>
          <w:b w:val="false"/>
          <w:color w:val="000000"/>
          <w:sz w:val="22"/>
        </w:rPr>
        <w:t>for</w:t>
      </w:r>
      <w:r>
        <w:rPr>
          <w:color w:val="000000"/>
        </w:rPr>
        <w:t xml:space="preserve"> </w:t>
      </w:r>
      <w:r>
        <w:rPr>
          <w:rFonts w:ascii="sans-serif" w:hAnsi="sans-serif"/>
          <w:b w:val="false"/>
          <w:color w:val="000000"/>
          <w:sz w:val="22"/>
        </w:rPr>
        <w:t>any</w:t>
      </w:r>
      <w:r>
        <w:rPr>
          <w:color w:val="000000"/>
        </w:rPr>
        <w:t xml:space="preserve"> </w:t>
      </w:r>
      <w:r>
        <w:rPr>
          <w:rFonts w:ascii="sans-serif" w:hAnsi="sans-serif"/>
          <w:b w:val="false"/>
          <w:color w:val="000000"/>
          <w:sz w:val="22"/>
        </w:rPr>
        <w:t>third</w:t>
      </w:r>
      <w:r>
        <w:rPr>
          <w:color w:val="000000"/>
        </w:rPr>
        <w:t xml:space="preserve"> </w:t>
      </w:r>
      <w:r>
        <w:rPr>
          <w:rFonts w:ascii="sans-serif" w:hAnsi="sans-serif"/>
          <w:b w:val="false"/>
          <w:color w:val="000000"/>
          <w:sz w:val="22"/>
        </w:rPr>
        <w:t>party</w:t>
      </w:r>
      <w:r>
        <w:rPr>
          <w:color w:val="000000"/>
        </w:rPr>
        <w:t xml:space="preserve"> </w:t>
      </w:r>
      <w:r>
        <w:rPr>
          <w:rFonts w:ascii="sans-serif" w:hAnsi="sans-serif"/>
          <w:b w:val="false"/>
          <w:color w:val="000000"/>
          <w:sz w:val="22"/>
        </w:rPr>
        <w:t>or</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engage</w:t>
      </w:r>
      <w:r>
        <w:rPr>
          <w:color w:val="000000"/>
        </w:rPr>
        <w:t xml:space="preserve"> </w:t>
      </w:r>
      <w:r>
        <w:rPr>
          <w:rFonts w:ascii="sans-serif" w:hAnsi="sans-serif"/>
          <w:b w:val="false"/>
          <w:color w:val="000000"/>
          <w:sz w:val="22"/>
        </w:rPr>
        <w:t>in</w:t>
      </w:r>
      <w:r>
        <w:rPr>
          <w:color w:val="000000"/>
        </w:rPr>
        <w:t xml:space="preserve"> </w:t>
      </w:r>
      <w:r>
        <w:rPr>
          <w:rFonts w:ascii="sans-serif" w:hAnsi="sans-serif"/>
          <w:b w:val="false"/>
          <w:color w:val="000000"/>
          <w:sz w:val="22"/>
        </w:rPr>
        <w:t>any</w:t>
      </w:r>
      <w:r>
        <w:rPr>
          <w:color w:val="000000"/>
        </w:rPr>
        <w:t xml:space="preserve"> </w:t>
      </w:r>
      <w:r>
        <w:rPr>
          <w:rFonts w:ascii="sans-serif" w:hAnsi="sans-serif"/>
          <w:b w:val="false"/>
          <w:color w:val="000000"/>
          <w:sz w:val="22"/>
        </w:rPr>
        <w:t>gainful</w:t>
      </w:r>
      <w:r>
        <w:rPr>
          <w:color w:val="000000"/>
        </w:rPr>
        <w:t xml:space="preserve"> </w:t>
      </w:r>
      <w:r>
        <w:rPr>
          <w:rFonts w:ascii="sans-serif" w:hAnsi="sans-serif"/>
          <w:b w:val="false"/>
          <w:color w:val="000000"/>
          <w:sz w:val="22"/>
        </w:rPr>
        <w:t>or</w:t>
      </w:r>
      <w:r>
        <w:rPr>
          <w:color w:val="000000"/>
        </w:rPr>
        <w:t xml:space="preserve"> </w:t>
      </w:r>
      <w:r>
        <w:rPr>
          <w:rFonts w:ascii="sans-serif" w:hAnsi="sans-serif"/>
          <w:b w:val="false"/>
          <w:color w:val="000000"/>
          <w:sz w:val="22"/>
        </w:rPr>
        <w:t>unpaid employment, whether full-time or part-time, for the duration of the Employment Agreement without the prior written approval of the Company.</w:t>
      </w:r>
    </w:p>
    <w:p>
      <w:pPr>
        <w:pStyle w:val="TextBody"/>
        <w:bidi w:val="0"/>
        <w:spacing w:lineRule="auto" w:line="288" w:before="60" w:after="283"/>
        <w:jc w:val="left"/>
        <w:rPr/>
      </w:pPr>
      <w:r>
        <w:rPr>
          <w:rFonts w:ascii="sans-serif" w:hAnsi="sans-serif"/>
          <w:b w:val="false"/>
          <w:color w:val="000000"/>
          <w:sz w:val="22"/>
        </w:rPr>
        <w:t>The</w:t>
      </w:r>
      <w:r>
        <w:rPr>
          <w:color w:val="000000"/>
        </w:rPr>
        <w:t xml:space="preserve"> </w:t>
      </w:r>
      <w:r>
        <w:rPr>
          <w:rFonts w:ascii="sans-serif" w:hAnsi="sans-serif"/>
          <w:b w:val="false"/>
          <w:color w:val="000000"/>
          <w:sz w:val="22"/>
        </w:rPr>
        <w:t>same</w:t>
      </w:r>
      <w:r>
        <w:rPr>
          <w:color w:val="000000"/>
        </w:rPr>
        <w:t xml:space="preserve"> </w:t>
      </w:r>
      <w:r>
        <w:rPr>
          <w:rFonts w:ascii="sans-serif" w:hAnsi="sans-serif"/>
          <w:b w:val="false"/>
          <w:color w:val="000000"/>
          <w:sz w:val="22"/>
        </w:rPr>
        <w:t>applies</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holding</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public</w:t>
      </w:r>
      <w:r>
        <w:rPr>
          <w:color w:val="000000"/>
        </w:rPr>
        <w:t xml:space="preserve"> </w:t>
      </w:r>
      <w:r>
        <w:rPr>
          <w:rFonts w:ascii="sans-serif" w:hAnsi="sans-serif"/>
          <w:b w:val="false"/>
          <w:color w:val="000000"/>
          <w:sz w:val="22"/>
        </w:rPr>
        <w:t>offices</w:t>
      </w:r>
      <w:r>
        <w:rPr>
          <w:color w:val="000000"/>
        </w:rPr>
        <w:t xml:space="preserve"> </w:t>
      </w:r>
      <w:r>
        <w:rPr>
          <w:rFonts w:ascii="sans-serif" w:hAnsi="sans-serif"/>
          <w:b w:val="false"/>
          <w:color w:val="000000"/>
          <w:sz w:val="22"/>
        </w:rPr>
        <w:t>as</w:t>
      </w:r>
      <w:r>
        <w:rPr>
          <w:color w:val="000000"/>
        </w:rPr>
        <w:t xml:space="preserve"> </w:t>
      </w:r>
      <w:r>
        <w:rPr>
          <w:rFonts w:ascii="sans-serif" w:hAnsi="sans-serif"/>
          <w:b w:val="false"/>
          <w:color w:val="000000"/>
          <w:sz w:val="22"/>
        </w:rPr>
        <w:t>well</w:t>
      </w:r>
      <w:r>
        <w:rPr>
          <w:color w:val="000000"/>
        </w:rPr>
        <w:t xml:space="preserve"> </w:t>
      </w:r>
      <w:r>
        <w:rPr>
          <w:rFonts w:ascii="sans-serif" w:hAnsi="sans-serif"/>
          <w:b w:val="false"/>
          <w:color w:val="000000"/>
          <w:sz w:val="22"/>
        </w:rPr>
        <w:t>as</w:t>
      </w:r>
      <w:r>
        <w:rPr>
          <w:color w:val="000000"/>
        </w:rPr>
        <w:t xml:space="preserve"> </w:t>
      </w:r>
      <w:r>
        <w:rPr>
          <w:rFonts w:ascii="sans-serif" w:hAnsi="sans-serif"/>
          <w:b w:val="false"/>
          <w:color w:val="000000"/>
          <w:sz w:val="22"/>
        </w:rPr>
        <w:t>any</w:t>
      </w:r>
      <w:r>
        <w:rPr>
          <w:color w:val="000000"/>
        </w:rPr>
        <w:t xml:space="preserve"> </w:t>
      </w:r>
      <w:r>
        <w:rPr>
          <w:rFonts w:ascii="sans-serif" w:hAnsi="sans-serif"/>
          <w:b w:val="false"/>
          <w:color w:val="000000"/>
          <w:sz w:val="22"/>
        </w:rPr>
        <w:t>participation</w:t>
      </w:r>
      <w:r>
        <w:rPr>
          <w:color w:val="000000"/>
        </w:rPr>
        <w:t xml:space="preserve"> </w:t>
      </w:r>
      <w:r>
        <w:rPr>
          <w:rFonts w:ascii="sans-serif" w:hAnsi="sans-serif"/>
          <w:b w:val="false"/>
          <w:color w:val="000000"/>
          <w:sz w:val="22"/>
        </w:rPr>
        <w:t>in companies of more than 5%.</w:t>
      </w:r>
    </w:p>
    <w:p>
      <w:pPr>
        <w:pStyle w:val="TextBody"/>
        <w:bidi w:val="0"/>
        <w:spacing w:lineRule="auto" w:line="288" w:before="60" w:after="283"/>
        <w:jc w:val="both"/>
        <w:rPr/>
      </w:pPr>
      <w:r>
        <w:rPr>
          <w:rFonts w:ascii="sans-serif" w:hAnsi="sans-serif"/>
          <w:b w:val="false"/>
          <w:color w:val="000000"/>
          <w:sz w:val="22"/>
        </w:rPr>
        <w:t>Membership</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boards</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directors</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other</w:t>
      </w:r>
      <w:r>
        <w:rPr>
          <w:color w:val="000000"/>
        </w:rPr>
        <w:t xml:space="preserve"> </w:t>
      </w:r>
      <w:r>
        <w:rPr>
          <w:rFonts w:ascii="sans-serif" w:hAnsi="sans-serif"/>
          <w:b w:val="false"/>
          <w:color w:val="000000"/>
          <w:sz w:val="22"/>
        </w:rPr>
        <w:t>companies</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other</w:t>
      </w:r>
      <w:r>
        <w:rPr>
          <w:color w:val="000000"/>
        </w:rPr>
        <w:t xml:space="preserve"> </w:t>
      </w:r>
      <w:r>
        <w:rPr>
          <w:rFonts w:ascii="sans-serif" w:hAnsi="sans-serif"/>
          <w:b w:val="false"/>
          <w:color w:val="000000"/>
          <w:sz w:val="22"/>
        </w:rPr>
        <w:t>institutions that are</w:t>
      </w:r>
      <w:r>
        <w:rPr>
          <w:color w:val="000000"/>
        </w:rPr>
        <w:t xml:space="preserve"> </w:t>
      </w:r>
      <w:r>
        <w:rPr>
          <w:rFonts w:ascii="sans-serif" w:hAnsi="sans-serif"/>
          <w:b w:val="false"/>
          <w:color w:val="000000"/>
          <w:sz w:val="22"/>
        </w:rPr>
        <w:t>related to</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business</w:t>
      </w:r>
      <w:r>
        <w:rPr>
          <w:color w:val="000000"/>
        </w:rPr>
        <w:t xml:space="preserve"> </w:t>
      </w:r>
      <w:r>
        <w:rPr>
          <w:rFonts w:ascii="sans-serif" w:hAnsi="sans-serif"/>
          <w:b w:val="false"/>
          <w:color w:val="000000"/>
          <w:sz w:val="22"/>
        </w:rPr>
        <w:t>purpose</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the Company</w:t>
      </w:r>
      <w:r>
        <w:rPr>
          <w:color w:val="000000"/>
        </w:rPr>
        <w:t xml:space="preserve"> </w:t>
      </w:r>
      <w:r>
        <w:rPr>
          <w:rFonts w:ascii="sans-serif" w:hAnsi="sans-serif"/>
          <w:b w:val="false"/>
          <w:color w:val="000000"/>
          <w:sz w:val="22"/>
        </w:rPr>
        <w:t>or a</w:t>
      </w:r>
      <w:r>
        <w:rPr>
          <w:color w:val="000000"/>
        </w:rPr>
        <w:t xml:space="preserve"> </w:t>
      </w:r>
      <w:r>
        <w:rPr>
          <w:rFonts w:ascii="sans-serif" w:hAnsi="sans-serif"/>
          <w:b w:val="false"/>
          <w:color w:val="000000"/>
          <w:sz w:val="22"/>
        </w:rPr>
        <w:t>Group Company or otherwise</w:t>
      </w:r>
      <w:r>
        <w:rPr>
          <w:color w:val="000000"/>
        </w:rPr>
        <w:t xml:space="preserve"> </w:t>
      </w:r>
      <w:r>
        <w:rPr>
          <w:rFonts w:ascii="sans-serif" w:hAnsi="sans-serif"/>
          <w:b w:val="false"/>
          <w:color w:val="000000"/>
          <w:sz w:val="22"/>
        </w:rPr>
        <w:t>affect</w:t>
      </w:r>
      <w:r>
        <w:rPr>
          <w:color w:val="000000"/>
        </w:rPr>
        <w:t xml:space="preserve"> </w:t>
      </w:r>
      <w:r>
        <w:rPr>
          <w:rFonts w:ascii="sans-serif" w:hAnsi="sans-serif"/>
          <w:b w:val="false"/>
          <w:color w:val="000000"/>
          <w:sz w:val="22"/>
        </w:rPr>
        <w:t>the interests</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Company or</w:t>
      </w:r>
      <w:r>
        <w:rPr>
          <w:color w:val="000000"/>
        </w:rPr>
        <w:t xml:space="preserve"> </w:t>
      </w:r>
      <w:r>
        <w:rPr>
          <w:rFonts w:ascii="sans-serif" w:hAnsi="sans-serif"/>
          <w:b w:val="false"/>
          <w:color w:val="000000"/>
          <w:sz w:val="22"/>
        </w:rPr>
        <w:t>a</w:t>
      </w:r>
      <w:r>
        <w:rPr>
          <w:color w:val="000000"/>
        </w:rPr>
        <w:t xml:space="preserve"> </w:t>
      </w:r>
      <w:r>
        <w:rPr>
          <w:rFonts w:ascii="sans-serif" w:hAnsi="sans-serif"/>
          <w:b w:val="false"/>
          <w:color w:val="000000"/>
          <w:sz w:val="22"/>
        </w:rPr>
        <w:t>Group Company</w:t>
      </w:r>
      <w:r>
        <w:rPr>
          <w:color w:val="000000"/>
        </w:rPr>
        <w:t xml:space="preserve"> </w:t>
      </w:r>
      <w:r>
        <w:rPr>
          <w:rFonts w:ascii="sans-serif" w:hAnsi="sans-serif"/>
          <w:b w:val="false"/>
          <w:color w:val="000000"/>
          <w:sz w:val="22"/>
        </w:rPr>
        <w:t>also requires the prior written consent of the Company.</w:t>
      </w:r>
    </w:p>
    <w:p>
      <w:pPr>
        <w:pStyle w:val="TextBody"/>
        <w:bidi w:val="0"/>
        <w:spacing w:before="0" w:after="0"/>
        <w:jc w:val="left"/>
        <w:rPr/>
      </w:pPr>
      <w:r>
        <w:rPr/>
      </w:r>
    </w:p>
    <w:p>
      <w:pPr>
        <w:pStyle w:val="TextBody"/>
        <w:bidi w:val="0"/>
        <w:spacing w:lineRule="auto" w:line="240" w:before="0" w:after="0"/>
        <w:ind w:left="0" w:right="0" w:hanging="851"/>
        <w:jc w:val="left"/>
        <w:rPr/>
      </w:pPr>
      <w:r>
        <w:rPr>
          <w:rFonts w:ascii="sans-serif" w:hAnsi="sans-serif"/>
          <w:b/>
          <w:color w:val="000000"/>
          <w:sz w:val="22"/>
        </w:rPr>
        <w:t>7.    Officer</w:t>
      </w:r>
      <w:r>
        <w:rPr>
          <w:color w:val="000000"/>
        </w:rPr>
        <w:t xml:space="preserve"> </w:t>
      </w:r>
      <w:r>
        <w:rPr>
          <w:rFonts w:ascii="sans-serif" w:hAnsi="sans-serif"/>
          <w:b/>
          <w:color w:val="000000"/>
          <w:sz w:val="22"/>
        </w:rPr>
        <w:t>Position</w:t>
      </w:r>
      <w:r>
        <w:rPr>
          <w:color w:val="000000"/>
        </w:rPr>
        <w:t xml:space="preserve"> </w:t>
      </w:r>
      <w:r>
        <w:rPr>
          <w:rFonts w:ascii="sans-serif" w:hAnsi="sans-serif"/>
          <w:b/>
          <w:color w:val="000000"/>
          <w:sz w:val="22"/>
        </w:rPr>
        <w:t>/</w:t>
      </w:r>
      <w:r>
        <w:rPr>
          <w:color w:val="000000"/>
        </w:rPr>
        <w:t xml:space="preserve"> </w:t>
      </w:r>
      <w:r>
        <w:rPr>
          <w:rFonts w:ascii="sans-serif" w:hAnsi="sans-serif"/>
          <w:b/>
          <w:color w:val="000000"/>
          <w:sz w:val="22"/>
        </w:rPr>
        <w:t>Conflict</w:t>
      </w:r>
      <w:r>
        <w:rPr>
          <w:color w:val="000000"/>
        </w:rPr>
        <w:t xml:space="preserve"> </w:t>
      </w:r>
      <w:r>
        <w:rPr>
          <w:rFonts w:ascii="sans-serif" w:hAnsi="sans-serif"/>
          <w:b/>
          <w:color w:val="000000"/>
          <w:sz w:val="22"/>
        </w:rPr>
        <w:t>of</w:t>
      </w:r>
      <w:r>
        <w:rPr>
          <w:color w:val="000000"/>
        </w:rPr>
        <w:t xml:space="preserve"> </w:t>
      </w:r>
      <w:r>
        <w:rPr>
          <w:rFonts w:ascii="sans-serif" w:hAnsi="sans-serif"/>
          <w:b/>
          <w:color w:val="000000"/>
          <w:sz w:val="22"/>
        </w:rPr>
        <w:t>Interest</w:t>
      </w:r>
    </w:p>
    <w:p>
      <w:pPr>
        <w:pStyle w:val="TextBody"/>
        <w:bidi w:val="0"/>
        <w:spacing w:lineRule="auto" w:line="288" w:before="196" w:after="283"/>
        <w:jc w:val="left"/>
        <w:rPr/>
      </w:pPr>
      <w:r>
        <w:rPr>
          <w:rFonts w:ascii="sans-serif" w:hAnsi="sans-serif"/>
          <w:b w:val="false"/>
          <w:color w:val="000000"/>
          <w:sz w:val="22"/>
        </w:rPr>
        <w:t>You may have to act as an officer, director or in any other corporate function within</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Company</w:t>
      </w:r>
      <w:r>
        <w:rPr>
          <w:color w:val="000000"/>
        </w:rPr>
        <w:t xml:space="preserve"> </w:t>
      </w:r>
      <w:r>
        <w:rPr>
          <w:rFonts w:ascii="sans-serif" w:hAnsi="sans-serif"/>
          <w:b w:val="false"/>
          <w:color w:val="000000"/>
          <w:sz w:val="22"/>
        </w:rPr>
        <w:t>or</w:t>
      </w:r>
      <w:r>
        <w:rPr>
          <w:color w:val="000000"/>
        </w:rPr>
        <w:t xml:space="preserve"> </w:t>
      </w:r>
      <w:r>
        <w:rPr>
          <w:rFonts w:ascii="sans-serif" w:hAnsi="sans-serif"/>
          <w:b w:val="false"/>
          <w:color w:val="000000"/>
          <w:sz w:val="22"/>
        </w:rPr>
        <w:t>any</w:t>
      </w:r>
      <w:r>
        <w:rPr>
          <w:color w:val="000000"/>
        </w:rPr>
        <w:t xml:space="preserve"> </w:t>
      </w:r>
      <w:r>
        <w:rPr>
          <w:rFonts w:ascii="sans-serif" w:hAnsi="sans-serif"/>
          <w:b w:val="false"/>
          <w:color w:val="000000"/>
          <w:sz w:val="22"/>
        </w:rPr>
        <w:t>Group</w:t>
      </w:r>
      <w:r>
        <w:rPr>
          <w:color w:val="000000"/>
        </w:rPr>
        <w:t xml:space="preserve"> </w:t>
      </w:r>
      <w:r>
        <w:rPr>
          <w:rFonts w:ascii="sans-serif" w:hAnsi="sans-serif"/>
          <w:b w:val="false"/>
          <w:color w:val="000000"/>
          <w:sz w:val="22"/>
        </w:rPr>
        <w:t>Company. In</w:t>
      </w:r>
      <w:r>
        <w:rPr>
          <w:color w:val="000000"/>
        </w:rPr>
        <w:t xml:space="preserve"> </w:t>
      </w:r>
      <w:r>
        <w:rPr>
          <w:rFonts w:ascii="sans-serif" w:hAnsi="sans-serif"/>
          <w:b w:val="false"/>
          <w:color w:val="000000"/>
          <w:sz w:val="22"/>
        </w:rPr>
        <w:t>particular,</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Board</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Directors of Lucid Group, Inc. (the “Board”) shall appoint you to the Board on April 15, 2026, and you agree to accept such appointment. You will be a member of the Executive Committee of the Board as well.</w:t>
      </w:r>
    </w:p>
    <w:p>
      <w:pPr>
        <w:pStyle w:val="TextBody"/>
        <w:bidi w:val="0"/>
        <w:spacing w:lineRule="auto" w:line="288" w:before="63" w:after="283"/>
        <w:jc w:val="left"/>
        <w:rPr/>
      </w:pPr>
      <w:r>
        <w:rPr>
          <w:rFonts w:ascii="sans-serif" w:hAnsi="sans-serif"/>
          <w:b w:val="false"/>
          <w:color w:val="000000"/>
          <w:sz w:val="22"/>
        </w:rPr>
        <w:t>Following your termination of employment with the Company and all Company Group members, you will retire from such functions within the Company or any Group</w:t>
      </w:r>
      <w:r>
        <w:rPr>
          <w:color w:val="000000"/>
        </w:rPr>
        <w:t xml:space="preserve"> </w:t>
      </w:r>
      <w:r>
        <w:rPr>
          <w:rFonts w:ascii="sans-serif" w:hAnsi="sans-serif"/>
          <w:b w:val="false"/>
          <w:color w:val="000000"/>
          <w:sz w:val="22"/>
        </w:rPr>
        <w:t>Company</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sign</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necessary</w:t>
      </w:r>
      <w:r>
        <w:rPr>
          <w:color w:val="000000"/>
        </w:rPr>
        <w:t xml:space="preserve"> </w:t>
      </w:r>
      <w:r>
        <w:rPr>
          <w:rFonts w:ascii="sans-serif" w:hAnsi="sans-serif"/>
          <w:b w:val="false"/>
          <w:color w:val="000000"/>
          <w:sz w:val="22"/>
        </w:rPr>
        <w:t>documentation</w:t>
      </w:r>
      <w:r>
        <w:rPr>
          <w:color w:val="000000"/>
        </w:rPr>
        <w:t xml:space="preserve"> </w:t>
      </w:r>
      <w:r>
        <w:rPr>
          <w:rFonts w:ascii="sans-serif" w:hAnsi="sans-serif"/>
          <w:b w:val="false"/>
          <w:color w:val="000000"/>
          <w:sz w:val="22"/>
        </w:rPr>
        <w:t>upon</w:t>
      </w:r>
      <w:r>
        <w:rPr>
          <w:color w:val="000000"/>
        </w:rPr>
        <w:t xml:space="preserve"> </w:t>
      </w:r>
      <w:r>
        <w:rPr>
          <w:rFonts w:ascii="sans-serif" w:hAnsi="sans-serif"/>
          <w:b w:val="false"/>
          <w:color w:val="000000"/>
          <w:sz w:val="22"/>
        </w:rPr>
        <w:t>first</w:t>
      </w:r>
      <w:r>
        <w:rPr>
          <w:color w:val="000000"/>
        </w:rPr>
        <w:t xml:space="preserve"> </w:t>
      </w:r>
      <w:r>
        <w:rPr>
          <w:rFonts w:ascii="sans-serif" w:hAnsi="sans-serif"/>
          <w:b w:val="false"/>
          <w:color w:val="000000"/>
          <w:sz w:val="22"/>
        </w:rPr>
        <w:t>request</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the Company.</w:t>
      </w:r>
    </w:p>
    <w:p>
      <w:pPr>
        <w:pStyle w:val="TextBody"/>
        <w:bidi w:val="0"/>
        <w:spacing w:lineRule="auto" w:line="288" w:before="0" w:after="0"/>
        <w:jc w:val="left"/>
        <w:rPr/>
      </w:pPr>
      <w:r>
        <w:rPr>
          <w:rFonts w:ascii="sans-serif" w:hAnsi="sans-serif"/>
          <w:b w:val="false"/>
          <w:color w:val="000000"/>
          <w:sz w:val="22"/>
        </w:rPr>
        <w:t xml:space="preserve">The Base Salary as defined in Section </w:t>
      </w:r>
      <w:hyperlink w:anchor="idd6fad8712694f0d879ae7d0ccda99a7_10">
        <w:r>
          <w:rPr>
            <w:rStyle w:val="InternetLink"/>
            <w:rFonts w:ascii="sans-serif" w:hAnsi="sans-serif"/>
            <w:b w:val="false"/>
            <w:strike w:val="false"/>
            <w:dstrike w:val="false"/>
            <w:color w:val="000000"/>
            <w:sz w:val="22"/>
            <w:u w:val="none"/>
            <w:effect w:val="none"/>
          </w:rPr>
          <w:t>9.1</w:t>
        </w:r>
      </w:hyperlink>
      <w:r>
        <w:rPr>
          <w:rFonts w:ascii="sans-serif" w:hAnsi="sans-serif"/>
          <w:b w:val="false"/>
          <w:color w:val="000000"/>
          <w:sz w:val="22"/>
        </w:rPr>
        <w:t xml:space="preserve"> includes any and all remuneration for such</w:t>
      </w:r>
      <w:r>
        <w:rPr>
          <w:color w:val="000000"/>
        </w:rPr>
        <w:t xml:space="preserve"> </w:t>
      </w:r>
      <w:r>
        <w:rPr>
          <w:rFonts w:ascii="sans-serif" w:hAnsi="sans-serif"/>
          <w:b w:val="false"/>
          <w:color w:val="000000"/>
          <w:sz w:val="22"/>
        </w:rPr>
        <w:t>functions</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positions.</w:t>
      </w:r>
      <w:r>
        <w:rPr>
          <w:color w:val="000000"/>
        </w:rPr>
        <w:t xml:space="preserve"> </w:t>
      </w:r>
      <w:r>
        <w:rPr>
          <w:rFonts w:ascii="sans-serif" w:hAnsi="sans-serif"/>
          <w:b w:val="false"/>
          <w:color w:val="000000"/>
          <w:sz w:val="22"/>
        </w:rPr>
        <w:t>In</w:t>
      </w:r>
      <w:r>
        <w:rPr>
          <w:color w:val="000000"/>
        </w:rPr>
        <w:t xml:space="preserve"> </w:t>
      </w:r>
      <w:r>
        <w:rPr>
          <w:rFonts w:ascii="sans-serif" w:hAnsi="sans-serif"/>
          <w:b w:val="false"/>
          <w:color w:val="000000"/>
          <w:sz w:val="22"/>
        </w:rPr>
        <w:t>case</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law</w:t>
      </w:r>
      <w:r>
        <w:rPr>
          <w:color w:val="000000"/>
        </w:rPr>
        <w:t xml:space="preserve"> </w:t>
      </w:r>
      <w:r>
        <w:rPr>
          <w:rFonts w:ascii="sans-serif" w:hAnsi="sans-serif"/>
          <w:b w:val="false"/>
          <w:color w:val="000000"/>
          <w:sz w:val="22"/>
        </w:rPr>
        <w:t>provides</w:t>
      </w:r>
      <w:r>
        <w:rPr>
          <w:color w:val="000000"/>
        </w:rPr>
        <w:t xml:space="preserve"> </w:t>
      </w:r>
      <w:r>
        <w:rPr>
          <w:rFonts w:ascii="sans-serif" w:hAnsi="sans-serif"/>
          <w:b w:val="false"/>
          <w:color w:val="000000"/>
          <w:sz w:val="22"/>
        </w:rPr>
        <w:t>for</w:t>
      </w:r>
      <w:r>
        <w:rPr>
          <w:color w:val="000000"/>
        </w:rPr>
        <w:t xml:space="preserve"> </w:t>
      </w:r>
      <w:r>
        <w:rPr>
          <w:rFonts w:ascii="sans-serif" w:hAnsi="sans-serif"/>
          <w:b w:val="false"/>
          <w:color w:val="000000"/>
          <w:sz w:val="22"/>
        </w:rPr>
        <w:t>a</w:t>
      </w:r>
      <w:r>
        <w:rPr>
          <w:color w:val="000000"/>
        </w:rPr>
        <w:t xml:space="preserve"> </w:t>
      </w:r>
      <w:r>
        <w:rPr>
          <w:rFonts w:ascii="sans-serif" w:hAnsi="sans-serif"/>
          <w:b w:val="false"/>
          <w:color w:val="000000"/>
          <w:sz w:val="22"/>
        </w:rPr>
        <w:t>mandatory</w:t>
      </w:r>
      <w:r>
        <w:rPr>
          <w:color w:val="000000"/>
        </w:rPr>
        <w:t xml:space="preserve"> </w:t>
      </w:r>
      <w:r>
        <w:rPr>
          <w:rFonts w:ascii="sans-serif" w:hAnsi="sans-serif"/>
          <w:b w:val="false"/>
          <w:color w:val="000000"/>
          <w:sz w:val="22"/>
        </w:rPr>
        <w:t>remuneration, the Company will decide in consultation with its professional tax advisors whether</w:t>
      </w:r>
      <w:r>
        <w:rPr>
          <w:color w:val="000000"/>
        </w:rPr>
        <w:t xml:space="preserve"> </w:t>
      </w:r>
      <w:r>
        <w:rPr>
          <w:rFonts w:ascii="sans-serif" w:hAnsi="sans-serif"/>
          <w:b w:val="false"/>
          <w:color w:val="000000"/>
          <w:sz w:val="22"/>
        </w:rPr>
        <w:t>such</w:t>
      </w:r>
      <w:r>
        <w:rPr>
          <w:color w:val="000000"/>
        </w:rPr>
        <w:t xml:space="preserve"> </w:t>
      </w:r>
      <w:r>
        <w:rPr>
          <w:rFonts w:ascii="sans-serif" w:hAnsi="sans-serif"/>
          <w:b w:val="false"/>
          <w:color w:val="000000"/>
          <w:sz w:val="22"/>
        </w:rPr>
        <w:t>compensation</w:t>
      </w:r>
      <w:r>
        <w:rPr>
          <w:color w:val="000000"/>
        </w:rPr>
        <w:t xml:space="preserve"> </w:t>
      </w:r>
      <w:r>
        <w:rPr>
          <w:rFonts w:ascii="sans-serif" w:hAnsi="sans-serif"/>
          <w:b w:val="false"/>
          <w:color w:val="000000"/>
          <w:sz w:val="22"/>
        </w:rPr>
        <w:t>shall</w:t>
      </w:r>
      <w:r>
        <w:rPr>
          <w:color w:val="000000"/>
        </w:rPr>
        <w:t xml:space="preserve"> </w:t>
      </w:r>
      <w:r>
        <w:rPr>
          <w:rFonts w:ascii="sans-serif" w:hAnsi="sans-serif"/>
          <w:b w:val="false"/>
          <w:color w:val="000000"/>
          <w:sz w:val="22"/>
        </w:rPr>
        <w:t>be</w:t>
      </w:r>
      <w:r>
        <w:rPr>
          <w:color w:val="000000"/>
        </w:rPr>
        <w:t xml:space="preserve"> </w:t>
      </w:r>
      <w:r>
        <w:rPr>
          <w:rFonts w:ascii="sans-serif" w:hAnsi="sans-serif"/>
          <w:b w:val="false"/>
          <w:color w:val="000000"/>
          <w:sz w:val="22"/>
        </w:rPr>
        <w:t>forwarded</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Company</w:t>
      </w:r>
      <w:r>
        <w:rPr>
          <w:color w:val="000000"/>
        </w:rPr>
        <w:t xml:space="preserve"> </w:t>
      </w:r>
      <w:r>
        <w:rPr>
          <w:rFonts w:ascii="sans-serif" w:hAnsi="sans-serif"/>
          <w:b w:val="false"/>
          <w:color w:val="000000"/>
          <w:sz w:val="22"/>
        </w:rPr>
        <w:t>or</w:t>
      </w:r>
      <w:r>
        <w:rPr>
          <w:color w:val="000000"/>
        </w:rPr>
        <w:t xml:space="preserve"> </w:t>
      </w:r>
      <w:r>
        <w:rPr>
          <w:rFonts w:ascii="sans-serif" w:hAnsi="sans-serif"/>
          <w:b w:val="false"/>
          <w:color w:val="000000"/>
          <w:sz w:val="22"/>
        </w:rPr>
        <w:t>be</w:t>
      </w:r>
      <w:r>
        <w:rPr>
          <w:color w:val="000000"/>
        </w:rPr>
        <w:t xml:space="preserve"> </w:t>
      </w:r>
      <w:r>
        <w:rPr>
          <w:rFonts w:ascii="sans-serif" w:hAnsi="sans-serif"/>
          <w:b w:val="false"/>
          <w:color w:val="000000"/>
          <w:sz w:val="22"/>
        </w:rPr>
        <w:t>set</w:t>
      </w:r>
      <w:r>
        <w:rPr>
          <w:color w:val="000000"/>
        </w:rPr>
        <w:t xml:space="preserve"> </w:t>
      </w:r>
      <w:r>
        <w:rPr>
          <w:rFonts w:ascii="sans-serif" w:hAnsi="sans-serif"/>
          <w:b w:val="false"/>
          <w:color w:val="000000"/>
          <w:sz w:val="22"/>
        </w:rPr>
        <w:t xml:space="preserve">off against the Base Salary as defined in Section </w:t>
      </w:r>
      <w:hyperlink w:anchor="idd6fad8712694f0d879ae7d0ccda99a7_10">
        <w:r>
          <w:rPr>
            <w:rStyle w:val="InternetLink"/>
            <w:rFonts w:ascii="sans-serif" w:hAnsi="sans-serif"/>
            <w:b w:val="false"/>
            <w:strike w:val="false"/>
            <w:dstrike w:val="false"/>
            <w:color w:val="000000"/>
            <w:sz w:val="22"/>
            <w:u w:val="none"/>
            <w:effect w:val="none"/>
          </w:rPr>
          <w:t>9.1</w:t>
        </w:r>
      </w:hyperlink>
      <w:r>
        <w:rPr>
          <w:rFonts w:ascii="sans-serif" w:hAnsi="sans-serif"/>
          <w:b w:val="false"/>
          <w:color w:val="000000"/>
          <w:sz w:val="22"/>
        </w:rPr>
        <w:t>.</w:t>
      </w:r>
    </w:p>
    <w:p>
      <w:pPr>
        <w:pStyle w:val="TextBody"/>
        <w:bidi w:val="0"/>
        <w:spacing w:lineRule="auto" w:line="288" w:before="60" w:after="283"/>
        <w:jc w:val="left"/>
        <w:rPr/>
      </w:pPr>
      <w:r>
        <w:rPr>
          <w:rFonts w:ascii="sans-serif" w:hAnsi="sans-serif"/>
          <w:b w:val="false"/>
          <w:color w:val="000000"/>
          <w:sz w:val="22"/>
        </w:rPr>
        <w:t>Within the</w:t>
      </w:r>
      <w:r>
        <w:rPr>
          <w:color w:val="000000"/>
        </w:rPr>
        <w:t xml:space="preserve"> </w:t>
      </w:r>
      <w:r>
        <w:rPr>
          <w:rFonts w:ascii="sans-serif" w:hAnsi="sans-serif"/>
          <w:b w:val="false"/>
          <w:color w:val="000000"/>
          <w:sz w:val="22"/>
        </w:rPr>
        <w:t>framework</w:t>
      </w:r>
      <w:r>
        <w:rPr>
          <w:color w:val="000000"/>
        </w:rPr>
        <w:t xml:space="preserve"> </w:t>
      </w:r>
      <w:r>
        <w:rPr>
          <w:rFonts w:ascii="sans-serif" w:hAnsi="sans-serif"/>
          <w:b w:val="false"/>
          <w:color w:val="000000"/>
          <w:sz w:val="22"/>
        </w:rPr>
        <w:t>of the performance</w:t>
      </w:r>
      <w:r>
        <w:rPr>
          <w:color w:val="000000"/>
        </w:rPr>
        <w:t xml:space="preserve"> </w:t>
      </w:r>
      <w:r>
        <w:rPr>
          <w:rFonts w:ascii="sans-serif" w:hAnsi="sans-serif"/>
          <w:b w:val="false"/>
          <w:color w:val="000000"/>
          <w:sz w:val="22"/>
        </w:rPr>
        <w:t>of your</w:t>
      </w:r>
      <w:r>
        <w:rPr>
          <w:color w:val="000000"/>
        </w:rPr>
        <w:t xml:space="preserve"> </w:t>
      </w:r>
      <w:r>
        <w:rPr>
          <w:rFonts w:ascii="sans-serif" w:hAnsi="sans-serif"/>
          <w:b w:val="false"/>
          <w:color w:val="000000"/>
          <w:sz w:val="22"/>
        </w:rPr>
        <w:t>duties</w:t>
      </w:r>
      <w:r>
        <w:rPr>
          <w:color w:val="000000"/>
        </w:rPr>
        <w:t xml:space="preserve"> </w:t>
      </w:r>
      <w:r>
        <w:rPr>
          <w:rFonts w:ascii="sans-serif" w:hAnsi="sans-serif"/>
          <w:b w:val="false"/>
          <w:color w:val="000000"/>
          <w:sz w:val="22"/>
        </w:rPr>
        <w:t>under the Employment Agreement and when carrying out any such functions, you shall avoid any conflict of interest and inform the Company immediately if any potential conflict of interest arises. A conflict of interest arises especially in case of a participation in or</w:t>
      </w:r>
      <w:r>
        <w:rPr>
          <w:color w:val="000000"/>
        </w:rPr>
        <w:t xml:space="preserve"> </w:t>
      </w:r>
      <w:r>
        <w:rPr>
          <w:rFonts w:ascii="sans-serif" w:hAnsi="sans-serif"/>
          <w:b w:val="false"/>
          <w:color w:val="000000"/>
          <w:sz w:val="22"/>
        </w:rPr>
        <w:t>in</w:t>
      </w:r>
      <w:r>
        <w:rPr>
          <w:color w:val="000000"/>
        </w:rPr>
        <w:t xml:space="preserve"> </w:t>
      </w:r>
      <w:r>
        <w:rPr>
          <w:rFonts w:ascii="sans-serif" w:hAnsi="sans-serif"/>
          <w:b w:val="false"/>
          <w:color w:val="000000"/>
          <w:sz w:val="22"/>
        </w:rPr>
        <w:t>case</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a</w:t>
      </w:r>
      <w:r>
        <w:rPr>
          <w:color w:val="000000"/>
        </w:rPr>
        <w:t xml:space="preserve"> </w:t>
      </w:r>
      <w:r>
        <w:rPr>
          <w:rFonts w:ascii="sans-serif" w:hAnsi="sans-serif"/>
          <w:b w:val="false"/>
          <w:color w:val="000000"/>
          <w:sz w:val="22"/>
        </w:rPr>
        <w:t>personal</w:t>
      </w:r>
      <w:r>
        <w:rPr>
          <w:color w:val="000000"/>
        </w:rPr>
        <w:t xml:space="preserve"> </w:t>
      </w:r>
      <w:r>
        <w:rPr>
          <w:rFonts w:ascii="sans-serif" w:hAnsi="sans-serif"/>
          <w:b w:val="false"/>
          <w:color w:val="000000"/>
          <w:sz w:val="22"/>
        </w:rPr>
        <w:t>relationship</w:t>
      </w:r>
      <w:r>
        <w:rPr>
          <w:color w:val="000000"/>
        </w:rPr>
        <w:t xml:space="preserve"> </w:t>
      </w:r>
      <w:r>
        <w:rPr>
          <w:rFonts w:ascii="sans-serif" w:hAnsi="sans-serif"/>
          <w:b w:val="false"/>
          <w:color w:val="000000"/>
          <w:sz w:val="22"/>
        </w:rPr>
        <w:t>with</w:t>
      </w:r>
      <w:r>
        <w:rPr>
          <w:color w:val="000000"/>
        </w:rPr>
        <w:t xml:space="preserve"> </w:t>
      </w:r>
      <w:r>
        <w:rPr>
          <w:rFonts w:ascii="sans-serif" w:hAnsi="sans-serif"/>
          <w:b w:val="false"/>
          <w:color w:val="000000"/>
          <w:sz w:val="22"/>
        </w:rPr>
        <w:t>suppliers</w:t>
      </w:r>
      <w:r>
        <w:rPr>
          <w:color w:val="000000"/>
        </w:rPr>
        <w:t xml:space="preserve"> </w:t>
      </w:r>
      <w:r>
        <w:rPr>
          <w:rFonts w:ascii="sans-serif" w:hAnsi="sans-serif"/>
          <w:b w:val="false"/>
          <w:color w:val="000000"/>
          <w:sz w:val="22"/>
        </w:rPr>
        <w:t>or</w:t>
      </w:r>
      <w:r>
        <w:rPr>
          <w:color w:val="000000"/>
        </w:rPr>
        <w:t xml:space="preserve"> </w:t>
      </w:r>
      <w:r>
        <w:rPr>
          <w:rFonts w:ascii="sans-serif" w:hAnsi="sans-serif"/>
          <w:b w:val="false"/>
          <w:color w:val="000000"/>
          <w:sz w:val="22"/>
        </w:rPr>
        <w:t>clients</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Company</w:t>
      </w:r>
      <w:r>
        <w:rPr>
          <w:color w:val="000000"/>
        </w:rPr>
        <w:t xml:space="preserve"> </w:t>
      </w:r>
      <w:r>
        <w:rPr>
          <w:rFonts w:ascii="sans-serif" w:hAnsi="sans-serif"/>
          <w:b w:val="false"/>
          <w:color w:val="000000"/>
          <w:sz w:val="22"/>
        </w:rPr>
        <w:t>or</w:t>
      </w:r>
      <w:r>
        <w:rPr>
          <w:color w:val="000000"/>
        </w:rPr>
        <w:t xml:space="preserve"> </w:t>
      </w:r>
      <w:r>
        <w:rPr>
          <w:rFonts w:ascii="sans-serif" w:hAnsi="sans-serif"/>
          <w:b w:val="false"/>
          <w:color w:val="000000"/>
          <w:sz w:val="22"/>
        </w:rPr>
        <w:t>a Group Company.</w:t>
      </w:r>
    </w:p>
    <w:p>
      <w:pPr>
        <w:pStyle w:val="TextBody"/>
        <w:bidi w:val="0"/>
        <w:spacing w:before="132" w:after="283"/>
        <w:jc w:val="left"/>
        <w:rPr/>
      </w:pPr>
      <w:r>
        <w:rPr/>
      </w:r>
    </w:p>
    <w:p>
      <w:pPr>
        <w:pStyle w:val="TextBody"/>
        <w:bidi w:val="0"/>
        <w:spacing w:before="0" w:after="0"/>
        <w:jc w:val="left"/>
        <w:rPr/>
      </w:pPr>
      <w:r>
        <w:rPr/>
      </w:r>
    </w:p>
    <w:p>
      <w:pPr>
        <w:pStyle w:val="TextBody"/>
        <w:bidi w:val="0"/>
        <w:jc w:val="left"/>
        <w:rPr/>
      </w:pPr>
      <w:r>
        <w:rPr/>
      </w:r>
    </w:p>
    <w:p>
      <w:pPr>
        <w:pStyle w:val="TextBody"/>
        <w:bidi w:val="0"/>
        <w:spacing w:lineRule="auto" w:line="211" w:before="0" w:after="0"/>
        <w:jc w:val="right"/>
        <w:rPr>
          <w:rFonts w:ascii="sans-serif" w:hAnsi="sans-serif"/>
          <w:b/>
          <w:color w:val="000000"/>
          <w:sz w:val="16"/>
        </w:rPr>
      </w:pPr>
      <w:r>
        <w:rPr>
          <w:rFonts w:ascii="sans-serif" w:hAnsi="sans-serif"/>
          <w:b/>
          <w:color w:val="000000"/>
          <w:sz w:val="16"/>
        </w:rPr>
        <w:t>Employment Agreement between Lucid Switzerland AG and Silvio Napoli</w:t>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582930"/>
                <wp:effectExtent l="0" t="0" r="0" b="0"/>
                <wp:wrapNone/>
                <wp:docPr id="135" name="Frame135"/>
                <a:graphic xmlns:a="http://schemas.openxmlformats.org/drawingml/2006/main">
                  <a:graphicData uri="http://schemas.microsoft.com/office/word/2010/wordprocessingShape">
                    <wps:wsp>
                      <wps:cNvSpPr txBox="1"/>
                      <wps:spPr>
                        <a:xfrm>
                          <a:off x="0" y="0"/>
                          <a:ext cx="6480175" cy="58293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sans-serif" w:hAnsi="sans-serif"/>
                                <w:b w:val="false"/>
                                <w:color w:val="000000"/>
                                <w:sz w:val="22"/>
                              </w:rPr>
                            </w:pPr>
                            <w:r>
                              <w:rPr>
                                <w:rFonts w:ascii="sans-serif" w:hAnsi="sans-serif"/>
                                <w:b w:val="false"/>
                                <w:color w:val="000000"/>
                                <w:sz w:val="22"/>
                              </w:rPr>
                              <w:t xml:space="preserve">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9pt;mso-wrap-distance-left:0pt;mso-wrap-distance-right:0pt;mso-wrap-distance-top:0pt;mso-wrap-distance-bottom:0pt;margin-top:0pt;mso-position-vertical:top;mso-position-vertical-relative:text;margin-left:-154.2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sans-serif" w:hAnsi="sans-serif"/>
                          <w:b w:val="false"/>
                          <w:color w:val="000000"/>
                          <w:sz w:val="22"/>
                        </w:rPr>
                      </w:pPr>
                      <w:r>
                        <w:rPr>
                          <w:rFonts w:ascii="sans-serif" w:hAnsi="sans-serif"/>
                          <w:b w:val="false"/>
                          <w:color w:val="000000"/>
                          <w:sz w:val="22"/>
                        </w:rPr>
                        <w:t xml:space="preserve">4 </w:t>
                      </w:r>
                    </w:p>
                  </w:txbxContent>
                </v:textbox>
                <w10:wrap type="none"/>
              </v:rect>
            </w:pict>
          </mc:Fallback>
        </mc:AlternateContent>
      </w:r>
    </w:p>
    <w:p>
      <w:pPr>
        <w:pStyle w:val="TextBody"/>
        <w:bidi w:val="0"/>
        <w:spacing w:lineRule="auto" w:line="288" w:before="21" w:after="283"/>
        <w:ind w:left="0" w:right="0" w:hanging="851"/>
        <w:jc w:val="left"/>
        <w:rPr/>
      </w:pPr>
      <w:r>
        <w:rPr>
          <w:rFonts w:ascii="sans-serif" w:hAnsi="sans-serif"/>
          <w:b/>
          <w:color w:val="000000"/>
          <w:sz w:val="22"/>
        </w:rPr>
        <w:t>8.    Place</w:t>
      </w:r>
      <w:r>
        <w:rPr>
          <w:color w:val="000000"/>
        </w:rPr>
        <w:t xml:space="preserve"> </w:t>
      </w:r>
      <w:r>
        <w:rPr>
          <w:rFonts w:ascii="sans-serif" w:hAnsi="sans-serif"/>
          <w:b/>
          <w:color w:val="000000"/>
          <w:sz w:val="22"/>
        </w:rPr>
        <w:t>of</w:t>
      </w:r>
      <w:r>
        <w:rPr>
          <w:color w:val="000000"/>
        </w:rPr>
        <w:t xml:space="preserve"> </w:t>
      </w:r>
      <w:r>
        <w:rPr>
          <w:rFonts w:ascii="sans-serif" w:hAnsi="sans-serif"/>
          <w:b/>
          <w:color w:val="000000"/>
          <w:sz w:val="22"/>
        </w:rPr>
        <w:t>Work</w:t>
      </w:r>
    </w:p>
    <w:p>
      <w:pPr>
        <w:pStyle w:val="TextBody"/>
        <w:bidi w:val="0"/>
        <w:spacing w:before="107" w:after="283"/>
        <w:jc w:val="left"/>
        <w:rPr/>
      </w:pPr>
      <w:r>
        <w:rPr/>
      </w:r>
    </w:p>
    <w:p>
      <w:pPr>
        <w:pStyle w:val="TextBody"/>
        <w:bidi w:val="0"/>
        <w:spacing w:lineRule="auto" w:line="288" w:before="0" w:after="0"/>
        <w:ind w:left="0" w:right="0" w:hanging="851"/>
        <w:jc w:val="left"/>
        <w:rPr/>
      </w:pPr>
      <w:r>
        <w:rPr>
          <w:rFonts w:ascii="sans-serif" w:hAnsi="sans-serif"/>
          <w:b/>
          <w:color w:val="000000"/>
          <w:sz w:val="22"/>
        </w:rPr>
        <w:t>8.1.    Place</w:t>
      </w:r>
      <w:r>
        <w:rPr>
          <w:color w:val="000000"/>
        </w:rPr>
        <w:t xml:space="preserve"> </w:t>
      </w:r>
      <w:r>
        <w:rPr>
          <w:rFonts w:ascii="sans-serif" w:hAnsi="sans-serif"/>
          <w:b/>
          <w:color w:val="000000"/>
          <w:sz w:val="22"/>
        </w:rPr>
        <w:t>of</w:t>
      </w:r>
      <w:r>
        <w:rPr>
          <w:color w:val="000000"/>
        </w:rPr>
        <w:t xml:space="preserve"> </w:t>
      </w:r>
      <w:r>
        <w:rPr>
          <w:rFonts w:ascii="sans-serif" w:hAnsi="sans-serif"/>
          <w:b/>
          <w:color w:val="000000"/>
          <w:sz w:val="22"/>
        </w:rPr>
        <w:t>Work</w:t>
      </w:r>
      <w:r>
        <w:rPr>
          <w:color w:val="000000"/>
        </w:rPr>
        <w:t xml:space="preserve"> </w:t>
      </w:r>
      <w:r>
        <w:rPr>
          <w:rFonts w:ascii="sans-serif" w:hAnsi="sans-serif"/>
          <w:b/>
          <w:color w:val="000000"/>
          <w:sz w:val="22"/>
        </w:rPr>
        <w:t>and</w:t>
      </w:r>
      <w:r>
        <w:rPr>
          <w:color w:val="000000"/>
        </w:rPr>
        <w:t xml:space="preserve"> </w:t>
      </w:r>
      <w:r>
        <w:rPr>
          <w:rFonts w:ascii="sans-serif" w:hAnsi="sans-serif"/>
          <w:b/>
          <w:color w:val="000000"/>
          <w:sz w:val="22"/>
        </w:rPr>
        <w:t>Business</w:t>
      </w:r>
      <w:r>
        <w:rPr>
          <w:color w:val="000000"/>
        </w:rPr>
        <w:t xml:space="preserve"> </w:t>
      </w:r>
      <w:r>
        <w:rPr>
          <w:rFonts w:ascii="sans-serif" w:hAnsi="sans-serif"/>
          <w:b/>
          <w:color w:val="000000"/>
          <w:sz w:val="22"/>
        </w:rPr>
        <w:t>Trips</w:t>
      </w:r>
    </w:p>
    <w:p>
      <w:pPr>
        <w:pStyle w:val="TextBody"/>
        <w:bidi w:val="0"/>
        <w:spacing w:lineRule="auto" w:line="288" w:before="200" w:after="283"/>
        <w:jc w:val="left"/>
        <w:rPr/>
      </w:pPr>
      <w:r>
        <w:rPr>
          <w:rFonts w:ascii="sans-serif" w:hAnsi="sans-serif"/>
          <w:b w:val="false"/>
          <w:color w:val="000000"/>
          <w:sz w:val="22"/>
        </w:rPr>
        <w:t>Your</w:t>
      </w:r>
      <w:r>
        <w:rPr>
          <w:color w:val="000000"/>
        </w:rPr>
        <w:t xml:space="preserve"> </w:t>
      </w:r>
      <w:r>
        <w:rPr>
          <w:rFonts w:ascii="sans-serif" w:hAnsi="sans-serif"/>
          <w:b w:val="false"/>
          <w:color w:val="000000"/>
          <w:sz w:val="22"/>
        </w:rPr>
        <w:t>principal</w:t>
      </w:r>
      <w:r>
        <w:rPr>
          <w:color w:val="000000"/>
        </w:rPr>
        <w:t xml:space="preserve"> </w:t>
      </w:r>
      <w:r>
        <w:rPr>
          <w:rFonts w:ascii="sans-serif" w:hAnsi="sans-serif"/>
          <w:b w:val="false"/>
          <w:color w:val="000000"/>
          <w:sz w:val="22"/>
        </w:rPr>
        <w:t>place</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work</w:t>
      </w:r>
      <w:r>
        <w:rPr>
          <w:color w:val="000000"/>
        </w:rPr>
        <w:t xml:space="preserve"> </w:t>
      </w:r>
      <w:r>
        <w:rPr>
          <w:rFonts w:ascii="sans-serif" w:hAnsi="sans-serif"/>
          <w:b w:val="false"/>
          <w:color w:val="000000"/>
          <w:sz w:val="22"/>
        </w:rPr>
        <w:t>shall</w:t>
      </w:r>
      <w:r>
        <w:rPr>
          <w:color w:val="000000"/>
        </w:rPr>
        <w:t xml:space="preserve"> </w:t>
      </w:r>
      <w:r>
        <w:rPr>
          <w:rFonts w:ascii="sans-serif" w:hAnsi="sans-serif"/>
          <w:b w:val="false"/>
          <w:color w:val="000000"/>
          <w:sz w:val="22"/>
        </w:rPr>
        <w:t>generally</w:t>
      </w:r>
      <w:r>
        <w:rPr>
          <w:color w:val="000000"/>
        </w:rPr>
        <w:t xml:space="preserve"> </w:t>
      </w:r>
      <w:r>
        <w:rPr>
          <w:rFonts w:ascii="sans-serif" w:hAnsi="sans-serif"/>
          <w:b w:val="false"/>
          <w:color w:val="000000"/>
          <w:sz w:val="22"/>
        </w:rPr>
        <w:t>be</w:t>
      </w:r>
      <w:r>
        <w:rPr>
          <w:color w:val="000000"/>
        </w:rPr>
        <w:t xml:space="preserve"> </w:t>
      </w:r>
      <w:r>
        <w:rPr>
          <w:rFonts w:ascii="sans-serif" w:hAnsi="sans-serif"/>
          <w:b w:val="false"/>
          <w:color w:val="000000"/>
          <w:sz w:val="22"/>
        </w:rPr>
        <w:t>at</w:t>
      </w:r>
      <w:r>
        <w:rPr>
          <w:color w:val="000000"/>
        </w:rPr>
        <w:t xml:space="preserve"> </w:t>
      </w:r>
      <w:r>
        <w:rPr>
          <w:rFonts w:ascii="sans-serif" w:hAnsi="sans-serif"/>
          <w:b w:val="false"/>
          <w:color w:val="000000"/>
          <w:sz w:val="22"/>
        </w:rPr>
        <w:t>your</w:t>
      </w:r>
      <w:r>
        <w:rPr>
          <w:color w:val="000000"/>
        </w:rPr>
        <w:t xml:space="preserve"> </w:t>
      </w:r>
      <w:r>
        <w:rPr>
          <w:rFonts w:ascii="sans-serif" w:hAnsi="sans-serif"/>
          <w:b w:val="false"/>
          <w:color w:val="000000"/>
          <w:sz w:val="22"/>
        </w:rPr>
        <w:t>place</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residence</w:t>
      </w:r>
      <w:r>
        <w:rPr>
          <w:color w:val="000000"/>
        </w:rPr>
        <w:t xml:space="preserve"> </w:t>
      </w:r>
      <w:r>
        <w:rPr>
          <w:rFonts w:ascii="sans-serif" w:hAnsi="sans-serif"/>
          <w:b w:val="false"/>
          <w:color w:val="000000"/>
          <w:sz w:val="22"/>
        </w:rPr>
        <w:t>in Switzerland.</w:t>
      </w:r>
    </w:p>
    <w:p>
      <w:pPr>
        <w:pStyle w:val="TextBody"/>
        <w:bidi w:val="0"/>
        <w:spacing w:lineRule="auto" w:line="288" w:before="60" w:after="283"/>
        <w:jc w:val="left"/>
        <w:rPr/>
      </w:pPr>
      <w:r>
        <w:rPr>
          <w:rFonts w:ascii="sans-serif" w:hAnsi="sans-serif"/>
          <w:b w:val="false"/>
          <w:color w:val="000000"/>
          <w:sz w:val="22"/>
        </w:rPr>
        <w:t>You understand and agree that you may be required to travel to and work in other</w:t>
      </w:r>
      <w:r>
        <w:rPr>
          <w:color w:val="000000"/>
        </w:rPr>
        <w:t xml:space="preserve"> </w:t>
      </w:r>
      <w:r>
        <w:rPr>
          <w:rFonts w:ascii="sans-serif" w:hAnsi="sans-serif"/>
          <w:b w:val="false"/>
          <w:color w:val="000000"/>
          <w:sz w:val="22"/>
        </w:rPr>
        <w:t>places</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countries</w:t>
      </w:r>
      <w:r>
        <w:rPr>
          <w:color w:val="000000"/>
        </w:rPr>
        <w:t xml:space="preserve"> </w:t>
      </w:r>
      <w:r>
        <w:rPr>
          <w:rFonts w:ascii="sans-serif" w:hAnsi="sans-serif"/>
          <w:b w:val="false"/>
          <w:color w:val="000000"/>
          <w:sz w:val="22"/>
        </w:rPr>
        <w:t>in</w:t>
      </w:r>
      <w:r>
        <w:rPr>
          <w:color w:val="000000"/>
        </w:rPr>
        <w:t xml:space="preserve"> </w:t>
      </w:r>
      <w:r>
        <w:rPr>
          <w:rFonts w:ascii="sans-serif" w:hAnsi="sans-serif"/>
          <w:b w:val="false"/>
          <w:color w:val="000000"/>
          <w:sz w:val="22"/>
        </w:rPr>
        <w:t>order</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perform your</w:t>
      </w:r>
      <w:r>
        <w:rPr>
          <w:color w:val="000000"/>
        </w:rPr>
        <w:t xml:space="preserve"> </w:t>
      </w:r>
      <w:r>
        <w:rPr>
          <w:rFonts w:ascii="sans-serif" w:hAnsi="sans-serif"/>
          <w:b w:val="false"/>
          <w:color w:val="000000"/>
          <w:sz w:val="22"/>
        </w:rPr>
        <w:t>obligations</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duties</w:t>
      </w:r>
      <w:r>
        <w:rPr>
          <w:color w:val="000000"/>
        </w:rPr>
        <w:t xml:space="preserve"> </w:t>
      </w:r>
      <w:r>
        <w:rPr>
          <w:rFonts w:ascii="sans-serif" w:hAnsi="sans-serif"/>
          <w:b w:val="false"/>
          <w:color w:val="000000"/>
          <w:sz w:val="22"/>
        </w:rPr>
        <w:t>under the</w:t>
      </w:r>
      <w:r>
        <w:rPr>
          <w:color w:val="000000"/>
        </w:rPr>
        <w:t xml:space="preserve"> </w:t>
      </w:r>
      <w:r>
        <w:rPr>
          <w:rFonts w:ascii="sans-serif" w:hAnsi="sans-serif"/>
          <w:b w:val="false"/>
          <w:color w:val="000000"/>
          <w:sz w:val="22"/>
        </w:rPr>
        <w:t>Employment</w:t>
      </w:r>
      <w:r>
        <w:rPr>
          <w:color w:val="000000"/>
        </w:rPr>
        <w:t xml:space="preserve"> </w:t>
      </w:r>
      <w:r>
        <w:rPr>
          <w:rFonts w:ascii="sans-serif" w:hAnsi="sans-serif"/>
          <w:b w:val="false"/>
          <w:color w:val="000000"/>
          <w:sz w:val="22"/>
        </w:rPr>
        <w:t>Agreement. In</w:t>
      </w:r>
      <w:r>
        <w:rPr>
          <w:color w:val="000000"/>
        </w:rPr>
        <w:t xml:space="preserve"> </w:t>
      </w:r>
      <w:r>
        <w:rPr>
          <w:rFonts w:ascii="sans-serif" w:hAnsi="sans-serif"/>
          <w:b w:val="false"/>
          <w:color w:val="000000"/>
          <w:sz w:val="22"/>
        </w:rPr>
        <w:t>particular,</w:t>
      </w:r>
      <w:r>
        <w:rPr>
          <w:color w:val="000000"/>
        </w:rPr>
        <w:t xml:space="preserve"> </w:t>
      </w:r>
      <w:r>
        <w:rPr>
          <w:rFonts w:ascii="sans-serif" w:hAnsi="sans-serif"/>
          <w:b w:val="false"/>
          <w:color w:val="000000"/>
          <w:sz w:val="22"/>
        </w:rPr>
        <w:t>you</w:t>
      </w:r>
      <w:r>
        <w:rPr>
          <w:color w:val="000000"/>
        </w:rPr>
        <w:t xml:space="preserve"> </w:t>
      </w:r>
      <w:r>
        <w:rPr>
          <w:rFonts w:ascii="sans-serif" w:hAnsi="sans-serif"/>
          <w:b w:val="false"/>
          <w:color w:val="000000"/>
          <w:sz w:val="22"/>
        </w:rPr>
        <w:t>shall</w:t>
      </w:r>
      <w:r>
        <w:rPr>
          <w:color w:val="000000"/>
        </w:rPr>
        <w:t xml:space="preserve"> </w:t>
      </w:r>
      <w:r>
        <w:rPr>
          <w:rFonts w:ascii="sans-serif" w:hAnsi="sans-serif"/>
          <w:b w:val="false"/>
          <w:color w:val="000000"/>
          <w:sz w:val="22"/>
        </w:rPr>
        <w:t>be</w:t>
      </w:r>
      <w:r>
        <w:rPr>
          <w:color w:val="000000"/>
        </w:rPr>
        <w:t xml:space="preserve"> </w:t>
      </w:r>
      <w:r>
        <w:rPr>
          <w:rFonts w:ascii="sans-serif" w:hAnsi="sans-serif"/>
          <w:b w:val="false"/>
          <w:color w:val="000000"/>
          <w:sz w:val="22"/>
        </w:rPr>
        <w:t>obliged</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go</w:t>
      </w:r>
      <w:r>
        <w:rPr>
          <w:color w:val="000000"/>
        </w:rPr>
        <w:t xml:space="preserve"> </w:t>
      </w:r>
      <w:r>
        <w:rPr>
          <w:rFonts w:ascii="sans-serif" w:hAnsi="sans-serif"/>
          <w:b w:val="false"/>
          <w:color w:val="000000"/>
          <w:sz w:val="22"/>
        </w:rPr>
        <w:t>on</w:t>
      </w:r>
      <w:r>
        <w:rPr>
          <w:color w:val="000000"/>
        </w:rPr>
        <w:t xml:space="preserve"> </w:t>
      </w:r>
      <w:r>
        <w:rPr>
          <w:rFonts w:ascii="sans-serif" w:hAnsi="sans-serif"/>
          <w:b w:val="false"/>
          <w:color w:val="000000"/>
          <w:sz w:val="22"/>
        </w:rPr>
        <w:t>business trips within and outside of Switzerland.</w:t>
      </w:r>
    </w:p>
    <w:p>
      <w:pPr>
        <w:pStyle w:val="TextBody"/>
        <w:bidi w:val="0"/>
        <w:spacing w:before="107" w:after="283"/>
        <w:jc w:val="left"/>
        <w:rPr/>
      </w:pPr>
      <w:r>
        <w:rPr/>
      </w:r>
    </w:p>
    <w:p>
      <w:pPr>
        <w:pStyle w:val="TextBody"/>
        <w:bidi w:val="0"/>
        <w:spacing w:lineRule="auto" w:line="288" w:before="0" w:after="0"/>
        <w:ind w:left="0" w:right="0" w:hanging="851"/>
        <w:jc w:val="left"/>
        <w:rPr/>
      </w:pPr>
      <w:r>
        <w:rPr>
          <w:rFonts w:ascii="sans-serif" w:hAnsi="sans-serif"/>
          <w:b/>
          <w:color w:val="000000"/>
          <w:sz w:val="22"/>
        </w:rPr>
        <w:t>8.2.    Data</w:t>
      </w:r>
      <w:r>
        <w:rPr>
          <w:color w:val="000000"/>
        </w:rPr>
        <w:t xml:space="preserve"> </w:t>
      </w:r>
      <w:r>
        <w:rPr>
          <w:rFonts w:ascii="sans-serif" w:hAnsi="sans-serif"/>
          <w:b/>
          <w:color w:val="000000"/>
          <w:sz w:val="22"/>
        </w:rPr>
        <w:t>Safety</w:t>
      </w:r>
      <w:r>
        <w:rPr>
          <w:color w:val="000000"/>
        </w:rPr>
        <w:t xml:space="preserve"> </w:t>
      </w:r>
      <w:r>
        <w:rPr>
          <w:rFonts w:ascii="sans-serif" w:hAnsi="sans-serif"/>
          <w:b/>
          <w:color w:val="000000"/>
          <w:sz w:val="22"/>
        </w:rPr>
        <w:t>regarding</w:t>
      </w:r>
      <w:r>
        <w:rPr>
          <w:color w:val="000000"/>
        </w:rPr>
        <w:t xml:space="preserve"> </w:t>
      </w:r>
      <w:r>
        <w:rPr>
          <w:rFonts w:ascii="sans-serif" w:hAnsi="sans-serif"/>
          <w:b/>
          <w:color w:val="000000"/>
          <w:sz w:val="22"/>
        </w:rPr>
        <w:t>Remote</w:t>
      </w:r>
      <w:r>
        <w:rPr>
          <w:color w:val="000000"/>
        </w:rPr>
        <w:t xml:space="preserve"> </w:t>
      </w:r>
      <w:r>
        <w:rPr>
          <w:rFonts w:ascii="sans-serif" w:hAnsi="sans-serif"/>
          <w:b/>
          <w:color w:val="000000"/>
          <w:sz w:val="22"/>
        </w:rPr>
        <w:t>Working</w:t>
      </w:r>
    </w:p>
    <w:p>
      <w:pPr>
        <w:pStyle w:val="TextBody"/>
        <w:bidi w:val="0"/>
        <w:spacing w:lineRule="auto" w:line="288" w:before="199" w:after="283"/>
        <w:jc w:val="both"/>
        <w:rPr/>
      </w:pPr>
      <w:r>
        <w:rPr>
          <w:rFonts w:ascii="sans-serif" w:hAnsi="sans-serif"/>
          <w:b w:val="false"/>
          <w:color w:val="000000"/>
          <w:sz w:val="22"/>
        </w:rPr>
        <w:t>You</w:t>
      </w:r>
      <w:r>
        <w:rPr>
          <w:color w:val="000000"/>
        </w:rPr>
        <w:t xml:space="preserve"> </w:t>
      </w:r>
      <w:r>
        <w:rPr>
          <w:rFonts w:ascii="sans-serif" w:hAnsi="sans-serif"/>
          <w:b w:val="false"/>
          <w:color w:val="000000"/>
          <w:sz w:val="22"/>
        </w:rPr>
        <w:t>are</w:t>
      </w:r>
      <w:r>
        <w:rPr>
          <w:color w:val="000000"/>
        </w:rPr>
        <w:t xml:space="preserve"> </w:t>
      </w:r>
      <w:r>
        <w:rPr>
          <w:rFonts w:ascii="sans-serif" w:hAnsi="sans-serif"/>
          <w:b w:val="false"/>
          <w:color w:val="000000"/>
          <w:sz w:val="22"/>
        </w:rPr>
        <w:t>obliged</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have</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necessary</w:t>
      </w:r>
      <w:r>
        <w:rPr>
          <w:color w:val="000000"/>
        </w:rPr>
        <w:t xml:space="preserve"> </w:t>
      </w:r>
      <w:r>
        <w:rPr>
          <w:rFonts w:ascii="sans-serif" w:hAnsi="sans-serif"/>
          <w:b w:val="false"/>
          <w:color w:val="000000"/>
          <w:sz w:val="22"/>
        </w:rPr>
        <w:t>technical</w:t>
      </w:r>
      <w:r>
        <w:rPr>
          <w:color w:val="000000"/>
        </w:rPr>
        <w:t xml:space="preserve"> </w:t>
      </w:r>
      <w:r>
        <w:rPr>
          <w:rFonts w:ascii="sans-serif" w:hAnsi="sans-serif"/>
          <w:b w:val="false"/>
          <w:color w:val="000000"/>
          <w:sz w:val="22"/>
        </w:rPr>
        <w:t>connection</w:t>
      </w:r>
      <w:r>
        <w:rPr>
          <w:color w:val="000000"/>
        </w:rPr>
        <w:t xml:space="preserve"> </w:t>
      </w:r>
      <w:r>
        <w:rPr>
          <w:rFonts w:ascii="sans-serif" w:hAnsi="sans-serif"/>
          <w:b w:val="false"/>
          <w:color w:val="000000"/>
          <w:sz w:val="22"/>
        </w:rPr>
        <w:t>devices</w:t>
      </w:r>
      <w:r>
        <w:rPr>
          <w:color w:val="000000"/>
        </w:rPr>
        <w:t xml:space="preserve"> </w:t>
      </w:r>
      <w:r>
        <w:rPr>
          <w:rFonts w:ascii="sans-serif" w:hAnsi="sans-serif"/>
          <w:b w:val="false"/>
          <w:color w:val="000000"/>
          <w:sz w:val="22"/>
        </w:rPr>
        <w:t>available</w:t>
      </w:r>
      <w:r>
        <w:rPr>
          <w:color w:val="000000"/>
        </w:rPr>
        <w:t xml:space="preserve"> </w:t>
      </w:r>
      <w:r>
        <w:rPr>
          <w:rFonts w:ascii="sans-serif" w:hAnsi="sans-serif"/>
          <w:b w:val="false"/>
          <w:color w:val="000000"/>
          <w:sz w:val="22"/>
        </w:rPr>
        <w:t>in your office at home.</w:t>
      </w:r>
    </w:p>
    <w:p>
      <w:pPr>
        <w:pStyle w:val="TextBody"/>
        <w:bidi w:val="0"/>
        <w:spacing w:lineRule="auto" w:line="288" w:before="60" w:after="283"/>
        <w:jc w:val="both"/>
        <w:rPr/>
      </w:pPr>
      <w:r>
        <w:rPr>
          <w:rFonts w:ascii="sans-serif" w:hAnsi="sans-serif"/>
          <w:b w:val="false"/>
          <w:color w:val="000000"/>
          <w:sz w:val="22"/>
        </w:rPr>
        <w:t>At</w:t>
      </w:r>
      <w:r>
        <w:rPr>
          <w:color w:val="000000"/>
        </w:rPr>
        <w:t xml:space="preserve"> </w:t>
      </w:r>
      <w:r>
        <w:rPr>
          <w:rFonts w:ascii="sans-serif" w:hAnsi="sans-serif"/>
          <w:b w:val="false"/>
          <w:color w:val="000000"/>
          <w:sz w:val="22"/>
        </w:rPr>
        <w:t>your</w:t>
      </w:r>
      <w:r>
        <w:rPr>
          <w:color w:val="000000"/>
        </w:rPr>
        <w:t xml:space="preserve"> </w:t>
      </w:r>
      <w:r>
        <w:rPr>
          <w:rFonts w:ascii="sans-serif" w:hAnsi="sans-serif"/>
          <w:b w:val="false"/>
          <w:color w:val="000000"/>
          <w:sz w:val="22"/>
        </w:rPr>
        <w:t>office</w:t>
      </w:r>
      <w:r>
        <w:rPr>
          <w:color w:val="000000"/>
        </w:rPr>
        <w:t xml:space="preserve"> </w:t>
      </w:r>
      <w:r>
        <w:rPr>
          <w:rFonts w:ascii="sans-serif" w:hAnsi="sans-serif"/>
          <w:b w:val="false"/>
          <w:color w:val="000000"/>
          <w:sz w:val="22"/>
        </w:rPr>
        <w:t>at</w:t>
      </w:r>
      <w:r>
        <w:rPr>
          <w:color w:val="000000"/>
        </w:rPr>
        <w:t xml:space="preserve"> </w:t>
      </w:r>
      <w:r>
        <w:rPr>
          <w:rFonts w:ascii="sans-serif" w:hAnsi="sans-serif"/>
          <w:b w:val="false"/>
          <w:color w:val="000000"/>
          <w:sz w:val="22"/>
        </w:rPr>
        <w:t>home, you</w:t>
      </w:r>
      <w:r>
        <w:rPr>
          <w:color w:val="000000"/>
        </w:rPr>
        <w:t xml:space="preserve"> </w:t>
      </w:r>
      <w:r>
        <w:rPr>
          <w:rFonts w:ascii="sans-serif" w:hAnsi="sans-serif"/>
          <w:b w:val="false"/>
          <w:color w:val="000000"/>
          <w:sz w:val="22"/>
        </w:rPr>
        <w:t>are</w:t>
      </w:r>
      <w:r>
        <w:rPr>
          <w:color w:val="000000"/>
        </w:rPr>
        <w:t xml:space="preserve"> </w:t>
      </w:r>
      <w:r>
        <w:rPr>
          <w:rFonts w:ascii="sans-serif" w:hAnsi="sans-serif"/>
          <w:b w:val="false"/>
          <w:color w:val="000000"/>
          <w:sz w:val="22"/>
        </w:rPr>
        <w:t>required</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pay</w:t>
      </w:r>
      <w:r>
        <w:rPr>
          <w:color w:val="000000"/>
        </w:rPr>
        <w:t xml:space="preserve"> </w:t>
      </w:r>
      <w:r>
        <w:rPr>
          <w:rFonts w:ascii="sans-serif" w:hAnsi="sans-serif"/>
          <w:b w:val="false"/>
          <w:color w:val="000000"/>
          <w:sz w:val="22"/>
        </w:rPr>
        <w:t>particular</w:t>
      </w:r>
      <w:r>
        <w:rPr>
          <w:color w:val="000000"/>
        </w:rPr>
        <w:t xml:space="preserve"> </w:t>
      </w:r>
      <w:r>
        <w:rPr>
          <w:rFonts w:ascii="sans-serif" w:hAnsi="sans-serif"/>
          <w:b w:val="false"/>
          <w:color w:val="000000"/>
          <w:sz w:val="22"/>
        </w:rPr>
        <w:t>attention</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protection</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data</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information</w:t>
      </w:r>
      <w:r>
        <w:rPr>
          <w:color w:val="000000"/>
        </w:rPr>
        <w:t xml:space="preserve"> </w:t>
      </w:r>
      <w:r>
        <w:rPr>
          <w:rFonts w:ascii="sans-serif" w:hAnsi="sans-serif"/>
          <w:b w:val="false"/>
          <w:color w:val="000000"/>
          <w:sz w:val="22"/>
        </w:rPr>
        <w:t>with</w:t>
      </w:r>
      <w:r>
        <w:rPr>
          <w:color w:val="000000"/>
        </w:rPr>
        <w:t xml:space="preserve"> </w:t>
      </w:r>
      <w:r>
        <w:rPr>
          <w:rFonts w:ascii="sans-serif" w:hAnsi="sans-serif"/>
          <w:b w:val="false"/>
          <w:color w:val="000000"/>
          <w:sz w:val="22"/>
        </w:rPr>
        <w:t>respect</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third</w:t>
      </w:r>
      <w:r>
        <w:rPr>
          <w:color w:val="000000"/>
        </w:rPr>
        <w:t xml:space="preserve"> </w:t>
      </w:r>
      <w:r>
        <w:rPr>
          <w:rFonts w:ascii="sans-serif" w:hAnsi="sans-serif"/>
          <w:b w:val="false"/>
          <w:color w:val="000000"/>
          <w:sz w:val="22"/>
        </w:rPr>
        <w:t>parties. You</w:t>
      </w:r>
      <w:r>
        <w:rPr>
          <w:color w:val="000000"/>
        </w:rPr>
        <w:t xml:space="preserve"> </w:t>
      </w:r>
      <w:r>
        <w:rPr>
          <w:rFonts w:ascii="sans-serif" w:hAnsi="sans-serif"/>
          <w:b w:val="false"/>
          <w:color w:val="000000"/>
          <w:sz w:val="22"/>
        </w:rPr>
        <w:t>undertake</w:t>
      </w:r>
      <w:r>
        <w:rPr>
          <w:color w:val="000000"/>
        </w:rPr>
        <w:t xml:space="preserve"> </w:t>
      </w:r>
      <w:r>
        <w:rPr>
          <w:rFonts w:ascii="sans-serif" w:hAnsi="sans-serif"/>
          <w:b w:val="false"/>
          <w:color w:val="000000"/>
          <w:sz w:val="22"/>
        </w:rPr>
        <w:t>to observe</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apply</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statutory</w:t>
      </w:r>
      <w:r>
        <w:rPr>
          <w:color w:val="000000"/>
        </w:rPr>
        <w:t xml:space="preserve"> </w:t>
      </w:r>
      <w:r>
        <w:rPr>
          <w:rFonts w:ascii="sans-serif" w:hAnsi="sans-serif"/>
          <w:b w:val="false"/>
          <w:color w:val="000000"/>
          <w:sz w:val="22"/>
        </w:rPr>
        <w:t>provisions</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Company’s</w:t>
      </w:r>
      <w:r>
        <w:rPr>
          <w:color w:val="000000"/>
        </w:rPr>
        <w:t xml:space="preserve"> </w:t>
      </w:r>
      <w:r>
        <w:rPr>
          <w:rFonts w:ascii="sans-serif" w:hAnsi="sans-serif"/>
          <w:b w:val="false"/>
          <w:color w:val="000000"/>
          <w:sz w:val="22"/>
        </w:rPr>
        <w:t>internal</w:t>
      </w:r>
      <w:r>
        <w:rPr>
          <w:color w:val="000000"/>
        </w:rPr>
        <w:t xml:space="preserve"> </w:t>
      </w:r>
      <w:r>
        <w:rPr>
          <w:rFonts w:ascii="sans-serif" w:hAnsi="sans-serif"/>
          <w:b w:val="false"/>
          <w:color w:val="000000"/>
          <w:sz w:val="22"/>
        </w:rPr>
        <w:t>regulations on data protection and data security. ln particular, you must ensure that third parties cannot gain access to confidential information and passwords.</w:t>
      </w:r>
    </w:p>
    <w:p>
      <w:pPr>
        <w:pStyle w:val="TextBody"/>
        <w:bidi w:val="0"/>
        <w:spacing w:lineRule="auto" w:line="288" w:before="62" w:after="283"/>
        <w:jc w:val="left"/>
        <w:rPr/>
      </w:pPr>
      <w:r>
        <w:rPr>
          <w:rFonts w:ascii="sans-serif" w:hAnsi="sans-serif"/>
          <w:b w:val="false"/>
          <w:color w:val="000000"/>
          <w:sz w:val="22"/>
        </w:rPr>
        <w:t>You</w:t>
      </w:r>
      <w:r>
        <w:rPr>
          <w:color w:val="000000"/>
        </w:rPr>
        <w:t xml:space="preserve"> </w:t>
      </w:r>
      <w:r>
        <w:rPr>
          <w:rFonts w:ascii="sans-serif" w:hAnsi="sans-serif"/>
          <w:b w:val="false"/>
          <w:color w:val="000000"/>
          <w:sz w:val="22"/>
        </w:rPr>
        <w:t>agree</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store</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safeguard</w:t>
      </w:r>
      <w:r>
        <w:rPr>
          <w:color w:val="000000"/>
        </w:rPr>
        <w:t xml:space="preserve"> </w:t>
      </w:r>
      <w:r>
        <w:rPr>
          <w:rFonts w:ascii="sans-serif" w:hAnsi="sans-serif"/>
          <w:b w:val="false"/>
          <w:color w:val="000000"/>
          <w:sz w:val="22"/>
        </w:rPr>
        <w:t>all</w:t>
      </w:r>
      <w:r>
        <w:rPr>
          <w:color w:val="000000"/>
        </w:rPr>
        <w:t xml:space="preserve"> </w:t>
      </w:r>
      <w:r>
        <w:rPr>
          <w:rFonts w:ascii="sans-serif" w:hAnsi="sans-serif"/>
          <w:b w:val="false"/>
          <w:color w:val="000000"/>
          <w:sz w:val="22"/>
        </w:rPr>
        <w:t>work</w:t>
      </w:r>
      <w:r>
        <w:rPr>
          <w:color w:val="000000"/>
        </w:rPr>
        <w:t xml:space="preserve"> </w:t>
      </w:r>
      <w:r>
        <w:rPr>
          <w:rFonts w:ascii="sans-serif" w:hAnsi="sans-serif"/>
          <w:b w:val="false"/>
          <w:color w:val="000000"/>
          <w:sz w:val="22"/>
        </w:rPr>
        <w:t>equipment</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documents</w:t>
      </w:r>
      <w:r>
        <w:rPr>
          <w:color w:val="000000"/>
        </w:rPr>
        <w:t xml:space="preserve"> </w:t>
      </w:r>
      <w:r>
        <w:rPr>
          <w:rFonts w:ascii="sans-serif" w:hAnsi="sans-serif"/>
          <w:b w:val="false"/>
          <w:color w:val="000000"/>
          <w:sz w:val="22"/>
        </w:rPr>
        <w:t>provided</w:t>
      </w:r>
      <w:r>
        <w:rPr>
          <w:color w:val="000000"/>
        </w:rPr>
        <w:t xml:space="preserve"> </w:t>
      </w:r>
      <w:r>
        <w:rPr>
          <w:rFonts w:ascii="sans-serif" w:hAnsi="sans-serif"/>
          <w:b w:val="false"/>
          <w:color w:val="000000"/>
          <w:sz w:val="22"/>
        </w:rPr>
        <w:t>in such a way that any access by third parties, including in particular by persons living in the common household with you, is excluded. Confidential documents must be kept locked up.</w:t>
      </w:r>
    </w:p>
    <w:p>
      <w:pPr>
        <w:pStyle w:val="TextBody"/>
        <w:bidi w:val="0"/>
        <w:spacing w:before="107" w:after="283"/>
        <w:jc w:val="left"/>
        <w:rPr/>
      </w:pPr>
      <w:r>
        <w:rPr/>
      </w:r>
    </w:p>
    <w:p>
      <w:pPr>
        <w:pStyle w:val="TextBody"/>
        <w:bidi w:val="0"/>
        <w:spacing w:lineRule="auto" w:line="288" w:before="0" w:after="0"/>
        <w:ind w:left="0" w:right="0" w:hanging="851"/>
        <w:jc w:val="left"/>
        <w:rPr/>
      </w:pPr>
      <w:r>
        <w:rPr>
          <w:rFonts w:ascii="sans-serif" w:hAnsi="sans-serif"/>
          <w:b/>
          <w:color w:val="000000"/>
          <w:sz w:val="22"/>
        </w:rPr>
        <w:t>8.3.    Remote</w:t>
      </w:r>
      <w:r>
        <w:rPr>
          <w:color w:val="000000"/>
        </w:rPr>
        <w:t xml:space="preserve"> </w:t>
      </w:r>
      <w:r>
        <w:rPr>
          <w:rFonts w:ascii="sans-serif" w:hAnsi="sans-serif"/>
          <w:b/>
          <w:color w:val="000000"/>
          <w:sz w:val="22"/>
        </w:rPr>
        <w:t>Working</w:t>
      </w:r>
      <w:r>
        <w:rPr>
          <w:color w:val="000000"/>
        </w:rPr>
        <w:t xml:space="preserve"> </w:t>
      </w:r>
      <w:r>
        <w:rPr>
          <w:rFonts w:ascii="sans-serif" w:hAnsi="sans-serif"/>
          <w:b/>
          <w:color w:val="000000"/>
          <w:sz w:val="22"/>
        </w:rPr>
        <w:t>Allowance</w:t>
      </w:r>
    </w:p>
    <w:p>
      <w:pPr>
        <w:pStyle w:val="TextBody"/>
        <w:bidi w:val="0"/>
        <w:spacing w:lineRule="auto" w:line="288" w:before="199" w:after="283"/>
        <w:jc w:val="left"/>
        <w:rPr/>
      </w:pPr>
      <w:r>
        <w:rPr>
          <w:rFonts w:ascii="sans-serif" w:hAnsi="sans-serif"/>
          <w:b w:val="false"/>
          <w:color w:val="000000"/>
          <w:sz w:val="22"/>
        </w:rPr>
        <w:t>You shall receive a flat allowance of USD $400 gross per month to cover all costs of</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office</w:t>
      </w:r>
      <w:r>
        <w:rPr>
          <w:color w:val="000000"/>
        </w:rPr>
        <w:t xml:space="preserve"> </w:t>
      </w:r>
      <w:r>
        <w:rPr>
          <w:rFonts w:ascii="sans-serif" w:hAnsi="sans-serif"/>
          <w:b w:val="false"/>
          <w:color w:val="000000"/>
          <w:sz w:val="22"/>
        </w:rPr>
        <w:t>at</w:t>
      </w:r>
      <w:r>
        <w:rPr>
          <w:color w:val="000000"/>
        </w:rPr>
        <w:t xml:space="preserve"> </w:t>
      </w:r>
      <w:r>
        <w:rPr>
          <w:rFonts w:ascii="sans-serif" w:hAnsi="sans-serif"/>
          <w:b w:val="false"/>
          <w:color w:val="000000"/>
          <w:sz w:val="22"/>
        </w:rPr>
        <w:t>home</w:t>
      </w:r>
      <w:r>
        <w:rPr>
          <w:color w:val="000000"/>
        </w:rPr>
        <w:t xml:space="preserve"> </w:t>
      </w:r>
      <w:r>
        <w:rPr>
          <w:rFonts w:ascii="sans-serif" w:hAnsi="sans-serif"/>
          <w:b w:val="false"/>
          <w:color w:val="000000"/>
          <w:sz w:val="22"/>
        </w:rPr>
        <w:t>(rent,</w:t>
      </w:r>
      <w:r>
        <w:rPr>
          <w:color w:val="000000"/>
        </w:rPr>
        <w:t xml:space="preserve"> </w:t>
      </w:r>
      <w:r>
        <w:rPr>
          <w:rFonts w:ascii="sans-serif" w:hAnsi="sans-serif"/>
          <w:b w:val="false"/>
          <w:color w:val="000000"/>
          <w:sz w:val="22"/>
        </w:rPr>
        <w:t>electricity,</w:t>
      </w:r>
      <w:r>
        <w:rPr>
          <w:color w:val="000000"/>
        </w:rPr>
        <w:t xml:space="preserve"> </w:t>
      </w:r>
      <w:r>
        <w:rPr>
          <w:rFonts w:ascii="sans-serif" w:hAnsi="sans-serif"/>
          <w:b w:val="false"/>
          <w:color w:val="000000"/>
          <w:sz w:val="22"/>
        </w:rPr>
        <w:t>phone,</w:t>
      </w:r>
      <w:r>
        <w:rPr>
          <w:color w:val="000000"/>
        </w:rPr>
        <w:t xml:space="preserve"> </w:t>
      </w:r>
      <w:r>
        <w:rPr>
          <w:rFonts w:ascii="sans-serif" w:hAnsi="sans-serif"/>
          <w:b w:val="false"/>
          <w:color w:val="000000"/>
          <w:sz w:val="22"/>
        </w:rPr>
        <w:t>internet,</w:t>
      </w:r>
      <w:r>
        <w:rPr>
          <w:color w:val="000000"/>
        </w:rPr>
        <w:t xml:space="preserve"> </w:t>
      </w:r>
      <w:r>
        <w:rPr>
          <w:rFonts w:ascii="sans-serif" w:hAnsi="sans-serif"/>
          <w:b w:val="false"/>
          <w:color w:val="000000"/>
          <w:sz w:val="22"/>
        </w:rPr>
        <w:t>use</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furniture</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work equipment not provided etc.) (</w:t>
      </w:r>
      <w:r>
        <w:rPr>
          <w:rFonts w:ascii="sans-serif" w:hAnsi="sans-serif"/>
          <w:b/>
          <w:color w:val="000000"/>
          <w:sz w:val="22"/>
        </w:rPr>
        <w:t>Remote Working Allowance</w:t>
      </w:r>
      <w:r>
        <w:rPr>
          <w:rFonts w:ascii="sans-serif" w:hAnsi="sans-serif"/>
          <w:b w:val="false"/>
          <w:color w:val="000000"/>
          <w:sz w:val="22"/>
        </w:rPr>
        <w:t>).</w:t>
      </w:r>
    </w:p>
    <w:p>
      <w:pPr>
        <w:pStyle w:val="TextBody"/>
        <w:bidi w:val="0"/>
        <w:spacing w:before="133" w:after="283"/>
        <w:jc w:val="left"/>
        <w:rPr/>
      </w:pPr>
      <w:r>
        <w:rPr/>
      </w:r>
    </w:p>
    <w:p>
      <w:pPr>
        <w:pStyle w:val="TextBody"/>
        <w:bidi w:val="0"/>
        <w:spacing w:lineRule="auto" w:line="288" w:before="21" w:after="283"/>
        <w:ind w:left="0" w:right="0" w:hanging="851"/>
        <w:jc w:val="left"/>
        <w:rPr>
          <w:rFonts w:ascii="sans-serif" w:hAnsi="sans-serif"/>
          <w:b/>
          <w:color w:val="000000"/>
          <w:sz w:val="22"/>
        </w:rPr>
      </w:pPr>
      <w:r>
        <w:rPr>
          <w:rFonts w:ascii="sans-serif" w:hAnsi="sans-serif"/>
          <w:b/>
          <w:color w:val="000000"/>
          <w:sz w:val="22"/>
        </w:rPr>
        <w:t>9.    Compensation</w:t>
      </w:r>
    </w:p>
    <w:p>
      <w:pPr>
        <w:pStyle w:val="TextBody"/>
        <w:bidi w:val="0"/>
        <w:spacing w:before="107" w:after="283"/>
        <w:jc w:val="left"/>
        <w:rPr/>
      </w:pPr>
      <w:r>
        <w:rPr/>
      </w:r>
    </w:p>
    <w:p>
      <w:pPr>
        <w:pStyle w:val="TextBody"/>
        <w:bidi w:val="0"/>
        <w:spacing w:lineRule="auto" w:line="288" w:before="0" w:after="0"/>
        <w:ind w:left="0" w:right="0" w:hanging="851"/>
        <w:jc w:val="left"/>
        <w:rPr/>
      </w:pPr>
      <w:r>
        <w:rPr>
          <w:rFonts w:ascii="sans-serif" w:hAnsi="sans-serif"/>
          <w:b/>
          <w:color w:val="000000"/>
          <w:sz w:val="22"/>
        </w:rPr>
        <w:t>9.1.    Base</w:t>
      </w:r>
      <w:r>
        <w:rPr>
          <w:color w:val="000000"/>
        </w:rPr>
        <w:t xml:space="preserve"> </w:t>
      </w:r>
      <w:r>
        <w:rPr>
          <w:rFonts w:ascii="sans-serif" w:hAnsi="sans-serif"/>
          <w:b/>
          <w:color w:val="000000"/>
          <w:sz w:val="22"/>
        </w:rPr>
        <w:t>Salary</w:t>
      </w:r>
    </w:p>
    <w:p>
      <w:pPr>
        <w:pStyle w:val="TextBody"/>
        <w:bidi w:val="0"/>
        <w:spacing w:lineRule="atLeast" w:line="293" w:before="199" w:after="283"/>
        <w:jc w:val="left"/>
        <w:rPr/>
      </w:pPr>
      <w:r>
        <w:rPr>
          <w:rFonts w:ascii="sans-serif" w:hAnsi="sans-serif"/>
          <w:b w:val="false"/>
          <w:color w:val="000000"/>
          <w:sz w:val="22"/>
        </w:rPr>
        <w:t>You</w:t>
      </w:r>
      <w:r>
        <w:rPr>
          <w:color w:val="000000"/>
        </w:rPr>
        <w:t xml:space="preserve"> </w:t>
      </w:r>
      <w:r>
        <w:rPr>
          <w:rFonts w:ascii="sans-serif" w:hAnsi="sans-serif"/>
          <w:b w:val="false"/>
          <w:color w:val="000000"/>
          <w:sz w:val="22"/>
        </w:rPr>
        <w:t>shall</w:t>
      </w:r>
      <w:r>
        <w:rPr>
          <w:color w:val="000000"/>
        </w:rPr>
        <w:t xml:space="preserve"> </w:t>
      </w:r>
      <w:r>
        <w:rPr>
          <w:rFonts w:ascii="sans-serif" w:hAnsi="sans-serif"/>
          <w:b w:val="false"/>
          <w:color w:val="000000"/>
          <w:sz w:val="22"/>
        </w:rPr>
        <w:t>receive</w:t>
      </w:r>
      <w:r>
        <w:rPr>
          <w:color w:val="000000"/>
        </w:rPr>
        <w:t xml:space="preserve"> </w:t>
      </w:r>
      <w:r>
        <w:rPr>
          <w:rFonts w:ascii="sans-serif" w:hAnsi="sans-serif"/>
          <w:b w:val="false"/>
          <w:color w:val="000000"/>
          <w:sz w:val="22"/>
        </w:rPr>
        <w:t>an</w:t>
      </w:r>
      <w:r>
        <w:rPr>
          <w:color w:val="000000"/>
        </w:rPr>
        <w:t xml:space="preserve"> </w:t>
      </w:r>
      <w:r>
        <w:rPr>
          <w:rFonts w:ascii="sans-serif" w:hAnsi="sans-serif"/>
          <w:b w:val="false"/>
          <w:color w:val="000000"/>
          <w:sz w:val="22"/>
        </w:rPr>
        <w:t>annual</w:t>
      </w:r>
      <w:r>
        <w:rPr>
          <w:color w:val="000000"/>
        </w:rPr>
        <w:t xml:space="preserve"> </w:t>
      </w:r>
      <w:r>
        <w:rPr>
          <w:rFonts w:ascii="sans-serif" w:hAnsi="sans-serif"/>
          <w:b w:val="false"/>
          <w:color w:val="000000"/>
          <w:sz w:val="22"/>
        </w:rPr>
        <w:t>base</w:t>
      </w:r>
      <w:r>
        <w:rPr>
          <w:color w:val="000000"/>
        </w:rPr>
        <w:t xml:space="preserve"> </w:t>
      </w:r>
      <w:r>
        <w:rPr>
          <w:rFonts w:ascii="sans-serif" w:hAnsi="sans-serif"/>
          <w:b w:val="false"/>
          <w:color w:val="000000"/>
          <w:sz w:val="22"/>
        </w:rPr>
        <w:t>salary (the</w:t>
      </w:r>
      <w:r>
        <w:rPr>
          <w:color w:val="000000"/>
        </w:rPr>
        <w:t xml:space="preserve"> </w:t>
      </w:r>
      <w:r>
        <w:rPr>
          <w:rFonts w:ascii="sans-serif" w:hAnsi="sans-serif"/>
          <w:b/>
          <w:color w:val="000000"/>
          <w:sz w:val="22"/>
        </w:rPr>
        <w:t>Base</w:t>
      </w:r>
      <w:r>
        <w:rPr>
          <w:color w:val="000000"/>
        </w:rPr>
        <w:t xml:space="preserve"> </w:t>
      </w:r>
      <w:r>
        <w:rPr>
          <w:rFonts w:ascii="sans-serif" w:hAnsi="sans-serif"/>
          <w:b/>
          <w:color w:val="000000"/>
          <w:sz w:val="22"/>
        </w:rPr>
        <w:t>Salary</w:t>
      </w:r>
      <w:r>
        <w:rPr>
          <w:rFonts w:ascii="sans-serif" w:hAnsi="sans-serif"/>
          <w:b w:val="false"/>
          <w:color w:val="000000"/>
          <w:sz w:val="22"/>
        </w:rPr>
        <w:t>)</w:t>
      </w:r>
      <w:r>
        <w:rPr>
          <w:color w:val="000000"/>
        </w:rPr>
        <w:t xml:space="preserve"> </w:t>
      </w:r>
      <w:r>
        <w:rPr>
          <w:rFonts w:ascii="sans-serif" w:hAnsi="sans-serif"/>
          <w:b w:val="false"/>
          <w:color w:val="000000"/>
          <w:sz w:val="22"/>
        </w:rPr>
        <w:t>equivalent</w:t>
      </w:r>
      <w:r>
        <w:rPr>
          <w:color w:val="000000"/>
        </w:rPr>
        <w:t xml:space="preserve"> </w:t>
      </w:r>
      <w:r>
        <w:rPr>
          <w:rFonts w:ascii="sans-serif" w:hAnsi="sans-serif"/>
          <w:b w:val="false"/>
          <w:color w:val="000000"/>
          <w:sz w:val="22"/>
        </w:rPr>
        <w:t>to USD</w:t>
      </w:r>
      <w:r>
        <w:rPr>
          <w:color w:val="000000"/>
        </w:rPr>
        <w:t xml:space="preserve"> </w:t>
      </w:r>
      <w:r>
        <w:rPr>
          <w:rFonts w:ascii="sans-serif" w:hAnsi="sans-serif"/>
          <w:b w:val="false"/>
          <w:color w:val="000000"/>
          <w:sz w:val="22"/>
        </w:rPr>
        <w:t>$1,500,000</w:t>
      </w:r>
      <w:r>
        <w:rPr>
          <w:color w:val="000000"/>
        </w:rPr>
        <w:t xml:space="preserve"> </w:t>
      </w:r>
      <w:r>
        <w:rPr>
          <w:rFonts w:ascii="sans-serif" w:hAnsi="sans-serif"/>
          <w:b w:val="false"/>
          <w:color w:val="000000"/>
          <w:sz w:val="22"/>
        </w:rPr>
        <w:t>gross,</w:t>
      </w:r>
      <w:r>
        <w:rPr>
          <w:color w:val="000000"/>
        </w:rPr>
        <w:t xml:space="preserve"> </w:t>
      </w:r>
      <w:r>
        <w:rPr>
          <w:rFonts w:ascii="sans-serif" w:hAnsi="sans-serif"/>
          <w:b w:val="false"/>
          <w:color w:val="000000"/>
          <w:sz w:val="22"/>
        </w:rPr>
        <w:t>earned</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payable</w:t>
      </w:r>
      <w:r>
        <w:rPr>
          <w:color w:val="000000"/>
        </w:rPr>
        <w:t xml:space="preserve"> </w:t>
      </w:r>
      <w:r>
        <w:rPr>
          <w:rFonts w:ascii="sans-serif" w:hAnsi="sans-serif"/>
          <w:b w:val="false"/>
          <w:color w:val="000000"/>
          <w:sz w:val="22"/>
        </w:rPr>
        <w:t>in</w:t>
      </w:r>
      <w:r>
        <w:rPr>
          <w:color w:val="000000"/>
        </w:rPr>
        <w:t xml:space="preserve"> </w:t>
      </w:r>
      <w:r>
        <w:rPr>
          <w:rFonts w:ascii="sans-serif" w:hAnsi="sans-serif"/>
          <w:b w:val="false"/>
          <w:color w:val="000000"/>
          <w:sz w:val="22"/>
        </w:rPr>
        <w:t>12</w:t>
      </w:r>
      <w:r>
        <w:rPr>
          <w:color w:val="000000"/>
        </w:rPr>
        <w:t xml:space="preserve"> </w:t>
      </w:r>
      <w:r>
        <w:rPr>
          <w:rFonts w:ascii="sans-serif" w:hAnsi="sans-serif"/>
          <w:b w:val="false"/>
          <w:color w:val="000000"/>
          <w:sz w:val="22"/>
        </w:rPr>
        <w:t>(twelve) monthly</w:t>
      </w:r>
      <w:r>
        <w:rPr>
          <w:color w:val="000000"/>
        </w:rPr>
        <w:t xml:space="preserve"> </w:t>
      </w:r>
      <w:r>
        <w:rPr>
          <w:rFonts w:ascii="sans-serif" w:hAnsi="sans-serif"/>
          <w:b w:val="false"/>
          <w:color w:val="000000"/>
          <w:sz w:val="22"/>
        </w:rPr>
        <w:t>instalments (adjusted pro-rata for any partial months).</w:t>
      </w:r>
    </w:p>
    <w:p>
      <w:pPr>
        <w:pStyle w:val="TextBody"/>
        <w:bidi w:val="0"/>
        <w:spacing w:lineRule="auto" w:line="240" w:before="0" w:after="0"/>
        <w:jc w:val="left"/>
        <w:rPr/>
      </w:pPr>
      <w:r>
        <w:rPr>
          <w:rFonts w:ascii="sans-serif" w:hAnsi="sans-serif"/>
          <w:b w:val="false"/>
          <w:color w:val="000000"/>
          <w:sz w:val="22"/>
        </w:rPr>
        <w:t>To</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extent</w:t>
      </w:r>
      <w:r>
        <w:rPr>
          <w:color w:val="000000"/>
        </w:rPr>
        <w:t xml:space="preserve"> </w:t>
      </w:r>
      <w:r>
        <w:rPr>
          <w:rFonts w:ascii="sans-serif" w:hAnsi="sans-serif"/>
          <w:b w:val="false"/>
          <w:color w:val="000000"/>
          <w:sz w:val="22"/>
        </w:rPr>
        <w:t>necessary</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comply</w:t>
      </w:r>
      <w:r>
        <w:rPr>
          <w:color w:val="000000"/>
        </w:rPr>
        <w:t xml:space="preserve"> </w:t>
      </w:r>
      <w:r>
        <w:rPr>
          <w:rFonts w:ascii="sans-serif" w:hAnsi="sans-serif"/>
          <w:b w:val="false"/>
          <w:color w:val="000000"/>
          <w:sz w:val="22"/>
        </w:rPr>
        <w:t>with</w:t>
      </w:r>
      <w:r>
        <w:rPr>
          <w:color w:val="000000"/>
        </w:rPr>
        <w:t xml:space="preserve"> </w:t>
      </w:r>
      <w:r>
        <w:rPr>
          <w:rFonts w:ascii="sans-serif" w:hAnsi="sans-serif"/>
          <w:b w:val="false"/>
          <w:color w:val="000000"/>
          <w:sz w:val="22"/>
        </w:rPr>
        <w:t>Swiss</w:t>
      </w:r>
      <w:r>
        <w:rPr>
          <w:color w:val="000000"/>
        </w:rPr>
        <w:t xml:space="preserve"> </w:t>
      </w:r>
      <w:r>
        <w:rPr>
          <w:rFonts w:ascii="sans-serif" w:hAnsi="sans-serif"/>
          <w:b w:val="false"/>
          <w:color w:val="000000"/>
          <w:sz w:val="22"/>
        </w:rPr>
        <w:t>Labor</w:t>
      </w:r>
      <w:r>
        <w:rPr>
          <w:color w:val="000000"/>
        </w:rPr>
        <w:t xml:space="preserve"> </w:t>
      </w:r>
      <w:r>
        <w:rPr>
          <w:rFonts w:ascii="sans-serif" w:hAnsi="sans-serif"/>
          <w:b w:val="false"/>
          <w:color w:val="000000"/>
          <w:sz w:val="22"/>
        </w:rPr>
        <w:t>Law,</w:t>
      </w:r>
      <w:r>
        <w:rPr>
          <w:color w:val="000000"/>
        </w:rPr>
        <w:t xml:space="preserve"> </w:t>
      </w:r>
      <w:r>
        <w:rPr>
          <w:rFonts w:ascii="sans-serif" w:hAnsi="sans-serif"/>
          <w:b w:val="false"/>
          <w:color w:val="000000"/>
          <w:sz w:val="22"/>
        </w:rPr>
        <w:t>any</w:t>
      </w:r>
      <w:r>
        <w:rPr>
          <w:color w:val="000000"/>
        </w:rPr>
        <w:t xml:space="preserve"> </w:t>
      </w:r>
      <w:r>
        <w:rPr>
          <w:rFonts w:ascii="sans-serif" w:hAnsi="sans-serif"/>
          <w:b w:val="false"/>
          <w:color w:val="000000"/>
          <w:sz w:val="22"/>
        </w:rPr>
        <w:t>compensation</w:t>
      </w:r>
      <w:r>
        <w:rPr>
          <w:color w:val="000000"/>
        </w:rPr>
        <w:t xml:space="preserve"> </w:t>
      </w:r>
      <w:r>
        <w:rPr>
          <w:rFonts w:ascii="sans-serif" w:hAnsi="sans-serif"/>
          <w:b w:val="false"/>
          <w:color w:val="000000"/>
          <w:sz w:val="22"/>
        </w:rPr>
        <w:t>details</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this</w:t>
      </w:r>
      <w:r>
        <w:rPr>
          <w:color w:val="000000"/>
        </w:rPr>
        <w:t xml:space="preserve"> </w:t>
      </w:r>
      <w:r>
        <w:rPr>
          <w:rFonts w:ascii="sans-serif" w:hAnsi="sans-serif"/>
          <w:b w:val="false"/>
          <w:color w:val="000000"/>
          <w:sz w:val="22"/>
        </w:rPr>
        <w:t>Agreement</w:t>
      </w:r>
      <w:r>
        <w:rPr>
          <w:color w:val="000000"/>
        </w:rPr>
        <w:t xml:space="preserve"> </w:t>
      </w:r>
      <w:r>
        <w:rPr>
          <w:rFonts w:ascii="sans-serif" w:hAnsi="sans-serif"/>
          <w:b w:val="false"/>
          <w:color w:val="000000"/>
          <w:sz w:val="22"/>
        </w:rPr>
        <w:t>will</w:t>
      </w:r>
      <w:r>
        <w:rPr>
          <w:color w:val="000000"/>
        </w:rPr>
        <w:t xml:space="preserve"> </w:t>
      </w:r>
      <w:r>
        <w:rPr>
          <w:rFonts w:ascii="sans-serif" w:hAnsi="sans-serif"/>
          <w:b w:val="false"/>
          <w:color w:val="000000"/>
          <w:sz w:val="22"/>
        </w:rPr>
        <w:t>be</w:t>
      </w:r>
      <w:r>
        <w:rPr>
          <w:color w:val="000000"/>
        </w:rPr>
        <w:t xml:space="preserve"> </w:t>
      </w:r>
      <w:r>
        <w:rPr>
          <w:rFonts w:ascii="sans-serif" w:hAnsi="sans-serif"/>
          <w:b w:val="false"/>
          <w:color w:val="000000"/>
          <w:sz w:val="22"/>
        </w:rPr>
        <w:t>finalized</w:t>
      </w:r>
      <w:r>
        <w:rPr>
          <w:color w:val="000000"/>
        </w:rPr>
        <w:t xml:space="preserve"> </w:t>
      </w:r>
      <w:r>
        <w:rPr>
          <w:rFonts w:ascii="sans-serif" w:hAnsi="sans-serif"/>
          <w:b w:val="false"/>
          <w:color w:val="000000"/>
          <w:sz w:val="22"/>
        </w:rPr>
        <w:t>before</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first</w:t>
      </w:r>
      <w:r>
        <w:rPr>
          <w:color w:val="000000"/>
        </w:rPr>
        <w:t xml:space="preserve"> </w:t>
      </w:r>
      <w:r>
        <w:rPr>
          <w:rFonts w:ascii="sans-serif" w:hAnsi="sans-serif"/>
          <w:b w:val="false"/>
          <w:color w:val="000000"/>
          <w:sz w:val="22"/>
        </w:rPr>
        <w:t>monthly</w:t>
      </w:r>
      <w:r>
        <w:rPr>
          <w:color w:val="000000"/>
        </w:rPr>
        <w:t xml:space="preserve"> </w:t>
      </w:r>
      <w:r>
        <w:rPr>
          <w:rFonts w:ascii="sans-serif" w:hAnsi="sans-serif"/>
          <w:b w:val="false"/>
          <w:color w:val="000000"/>
          <w:sz w:val="22"/>
        </w:rPr>
        <w:t>instalment</w:t>
      </w:r>
      <w:r>
        <w:rPr>
          <w:color w:val="000000"/>
        </w:rPr>
        <w:t xml:space="preserve"> </w:t>
      </w:r>
      <w:r>
        <w:rPr>
          <w:rFonts w:ascii="sans-serif" w:hAnsi="sans-serif"/>
          <w:b w:val="false"/>
          <w:color w:val="000000"/>
          <w:sz w:val="22"/>
        </w:rPr>
        <w:t>payment of your Base Salary.</w:t>
      </w:r>
    </w:p>
    <w:p>
      <w:pPr>
        <w:pStyle w:val="TextBody"/>
        <w:bidi w:val="0"/>
        <w:spacing w:before="108"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11" w:before="0" w:after="0"/>
        <w:jc w:val="right"/>
        <w:rPr>
          <w:rFonts w:ascii="sans-serif" w:hAnsi="sans-serif"/>
          <w:b/>
          <w:color w:val="000000"/>
          <w:sz w:val="16"/>
        </w:rPr>
      </w:pPr>
      <w:r>
        <w:rPr>
          <w:rFonts w:ascii="sans-serif" w:hAnsi="sans-serif"/>
          <w:b/>
          <w:color w:val="000000"/>
          <w:sz w:val="16"/>
        </w:rPr>
        <w:t>Employment Agreement between Lucid Switzerland AG and Silvio Napoli</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582930"/>
                <wp:effectExtent l="0" t="0" r="0" b="0"/>
                <wp:wrapNone/>
                <wp:docPr id="136" name="Frame136"/>
                <a:graphic xmlns:a="http://schemas.openxmlformats.org/drawingml/2006/main">
                  <a:graphicData uri="http://schemas.microsoft.com/office/word/2010/wordprocessingShape">
                    <wps:wsp>
                      <wps:cNvSpPr txBox="1"/>
                      <wps:spPr>
                        <a:xfrm>
                          <a:off x="0" y="0"/>
                          <a:ext cx="6480175" cy="58293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sans-serif" w:hAnsi="sans-serif"/>
                                <w:b w:val="false"/>
                                <w:color w:val="000000"/>
                                <w:sz w:val="22"/>
                              </w:rPr>
                            </w:pPr>
                            <w:r>
                              <w:rPr>
                                <w:rFonts w:ascii="sans-serif" w:hAnsi="sans-serif"/>
                                <w:b w:val="false"/>
                                <w:color w:val="000000"/>
                                <w:sz w:val="22"/>
                              </w:rPr>
                              <w:t xml:space="preserve">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9pt;mso-wrap-distance-left:0pt;mso-wrap-distance-right:0pt;mso-wrap-distance-top:0pt;mso-wrap-distance-bottom:0pt;margin-top:0pt;mso-position-vertical:top;mso-position-vertical-relative:text;margin-left:-154.2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sans-serif" w:hAnsi="sans-serif"/>
                          <w:b w:val="false"/>
                          <w:color w:val="000000"/>
                          <w:sz w:val="22"/>
                        </w:rPr>
                      </w:pPr>
                      <w:r>
                        <w:rPr>
                          <w:rFonts w:ascii="sans-serif" w:hAnsi="sans-serif"/>
                          <w:b w:val="false"/>
                          <w:color w:val="000000"/>
                          <w:sz w:val="22"/>
                        </w:rPr>
                        <w:t xml:space="preserve">5 </w:t>
                      </w:r>
                    </w:p>
                  </w:txbxContent>
                </v:textbox>
                <w10:wrap type="none"/>
              </v:rect>
            </w:pict>
          </mc:Fallback>
        </mc:AlternateContent>
      </w:r>
    </w:p>
    <w:p>
      <w:pPr>
        <w:pStyle w:val="TextBody"/>
        <w:bidi w:val="0"/>
        <w:spacing w:lineRule="auto" w:line="288" w:before="0" w:after="0"/>
        <w:ind w:left="0" w:right="0" w:hanging="851"/>
        <w:jc w:val="left"/>
        <w:rPr/>
      </w:pPr>
      <w:r>
        <w:rPr>
          <w:rFonts w:ascii="sans-serif" w:hAnsi="sans-serif"/>
          <w:b/>
          <w:color w:val="000000"/>
          <w:sz w:val="22"/>
        </w:rPr>
        <w:t>9.2.    Equity-based</w:t>
      </w:r>
      <w:r>
        <w:rPr>
          <w:color w:val="000000"/>
        </w:rPr>
        <w:t xml:space="preserve"> </w:t>
      </w:r>
      <w:r>
        <w:rPr>
          <w:rFonts w:ascii="sans-serif" w:hAnsi="sans-serif"/>
          <w:b/>
          <w:color w:val="000000"/>
          <w:sz w:val="22"/>
        </w:rPr>
        <w:t>Awards</w:t>
      </w:r>
    </w:p>
    <w:p>
      <w:pPr>
        <w:pStyle w:val="TextBody"/>
        <w:bidi w:val="0"/>
        <w:spacing w:lineRule="auto" w:line="288" w:before="240" w:after="283"/>
        <w:ind w:left="0" w:right="0" w:hanging="851"/>
        <w:jc w:val="left"/>
        <w:rPr>
          <w:rFonts w:ascii="sans-serif" w:hAnsi="sans-serif"/>
          <w:b/>
          <w:color w:val="000000"/>
          <w:sz w:val="22"/>
        </w:rPr>
      </w:pPr>
      <w:r>
        <w:rPr>
          <w:rFonts w:ascii="sans-serif" w:hAnsi="sans-serif"/>
          <w:b/>
          <w:color w:val="000000"/>
          <w:sz w:val="22"/>
        </w:rPr>
        <w:t>9.2.1.    New Hire Performance-Based Stock Options</w:t>
      </w:r>
    </w:p>
    <w:p>
      <w:pPr>
        <w:pStyle w:val="TextBody"/>
        <w:bidi w:val="0"/>
        <w:spacing w:lineRule="auto" w:line="288" w:before="199" w:after="283"/>
        <w:jc w:val="left"/>
        <w:rPr/>
      </w:pPr>
      <w:r>
        <w:rPr>
          <w:rFonts w:ascii="sans-serif" w:hAnsi="sans-serif"/>
          <w:b w:val="false"/>
          <w:color w:val="000000"/>
          <w:sz w:val="22"/>
        </w:rPr>
        <w:t xml:space="preserve">You are eligible to participate in the Lucid Group, Inc. Amended and Restated 2021 Stock Incentive Plan, as amended or restated from time to time (the </w:t>
      </w:r>
      <w:r>
        <w:rPr>
          <w:rFonts w:ascii="sans-serif" w:hAnsi="sans-serif"/>
          <w:b/>
          <w:color w:val="000000"/>
          <w:sz w:val="22"/>
        </w:rPr>
        <w:t>Plan</w:t>
      </w:r>
      <w:r>
        <w:rPr>
          <w:rFonts w:ascii="sans-serif" w:hAnsi="sans-serif"/>
          <w:b w:val="false"/>
          <w:color w:val="000000"/>
          <w:sz w:val="22"/>
        </w:rPr>
        <w:t>).</w:t>
      </w:r>
    </w:p>
    <w:p>
      <w:pPr>
        <w:pStyle w:val="TextBody"/>
        <w:bidi w:val="0"/>
        <w:spacing w:lineRule="auto" w:line="288" w:before="59" w:after="283"/>
        <w:jc w:val="left"/>
        <w:rPr>
          <w:rFonts w:ascii="sans-serif" w:hAnsi="sans-serif"/>
          <w:b w:val="false"/>
          <w:color w:val="000000"/>
          <w:sz w:val="22"/>
        </w:rPr>
      </w:pPr>
      <w:r>
        <w:rPr>
          <w:rFonts w:ascii="sans-serif" w:hAnsi="sans-serif"/>
          <w:b w:val="false"/>
          <w:color w:val="000000"/>
          <w:sz w:val="22"/>
        </w:rPr>
        <w:t>You expressly acknowledge that you do not have any right or claim under the Plan against the Company, but only against Lucid Group, Inc. Further, you expressly acknowledge that the Plan and any grants issued under the Plan are subject to the jurisdiction/arbitration and applicable law as per the Plan and do not form part of this Employment Agreement.</w:t>
      </w:r>
    </w:p>
    <w:p>
      <w:pPr>
        <w:pStyle w:val="TextBody"/>
        <w:bidi w:val="0"/>
        <w:spacing w:lineRule="auto" w:line="288" w:before="60" w:after="283"/>
        <w:jc w:val="left"/>
        <w:rPr/>
      </w:pPr>
      <w:r>
        <w:rPr>
          <w:rFonts w:ascii="sans-serif" w:hAnsi="sans-serif"/>
          <w:b w:val="false"/>
          <w:color w:val="000000"/>
          <w:sz w:val="22"/>
        </w:rPr>
        <w:t>You are eligible to receive a one-time grant of performance-based stock options with respect to 1,000,000 Class A shares of common stock (</w:t>
      </w:r>
      <w:r>
        <w:rPr>
          <w:rFonts w:ascii="sans-serif" w:hAnsi="sans-serif"/>
          <w:b/>
          <w:color w:val="000000"/>
          <w:sz w:val="22"/>
        </w:rPr>
        <w:t>Shares</w:t>
      </w:r>
      <w:r>
        <w:rPr>
          <w:rFonts w:ascii="sans-serif" w:hAnsi="sans-serif"/>
          <w:b w:val="false"/>
          <w:color w:val="000000"/>
          <w:sz w:val="22"/>
        </w:rPr>
        <w:t xml:space="preserve">) of Lucid Group, Inc. upon the Commencement Date (the </w:t>
      </w:r>
      <w:r>
        <w:rPr>
          <w:rFonts w:ascii="sans-serif" w:hAnsi="sans-serif"/>
          <w:b/>
          <w:color w:val="000000"/>
          <w:sz w:val="22"/>
        </w:rPr>
        <w:t>New Hire PSOs</w:t>
      </w:r>
      <w:r>
        <w:rPr>
          <w:rFonts w:ascii="sans-serif" w:hAnsi="sans-serif"/>
          <w:b w:val="false"/>
          <w:color w:val="000000"/>
          <w:sz w:val="22"/>
        </w:rPr>
        <w:t>). The New Hire PSOs may not be exercised following the 10th anniversary of their grant date, and they shall be granted with a per Share exercise price equal to the closing price of a Share on the Nasdaq Stock Market (</w:t>
      </w:r>
      <w:r>
        <w:rPr>
          <w:rFonts w:ascii="sans-serif" w:hAnsi="sans-serif"/>
          <w:b/>
          <w:color w:val="000000"/>
          <w:sz w:val="22"/>
        </w:rPr>
        <w:t>Nasdaq</w:t>
      </w:r>
      <w:r>
        <w:rPr>
          <w:rFonts w:ascii="sans-serif" w:hAnsi="sans-serif"/>
          <w:b w:val="false"/>
          <w:color w:val="000000"/>
          <w:sz w:val="22"/>
        </w:rPr>
        <w:t>) on their grant date. Only Lucid Group, Inc. is the issuer of such a grant.</w:t>
      </w:r>
    </w:p>
    <w:p>
      <w:pPr>
        <w:pStyle w:val="TextBody"/>
        <w:bidi w:val="0"/>
        <w:spacing w:lineRule="auto" w:line="288" w:before="0" w:after="0"/>
        <w:jc w:val="left"/>
        <w:rPr/>
      </w:pPr>
      <w:r>
        <w:rPr>
          <w:rFonts w:ascii="sans-serif" w:hAnsi="sans-serif"/>
          <w:b w:val="false"/>
          <w:color w:val="000000"/>
          <w:sz w:val="22"/>
        </w:rPr>
        <w:t xml:space="preserve">The New Hire PSOs will be subject to time-based vesting and performance-based vesting conditions and will only be exercisable to the extent they have satisfied both the time-based and performance-based vesting conditions. The performance period for the New Hire PSOs will commence on the Commencement Date and end on the fifth anniversary of the Commencement Date (the </w:t>
      </w:r>
      <w:r>
        <w:rPr>
          <w:rFonts w:ascii="sans-serif" w:hAnsi="sans-serif"/>
          <w:b/>
          <w:color w:val="000000"/>
          <w:sz w:val="22"/>
        </w:rPr>
        <w:t>Performance Period</w:t>
      </w:r>
      <w:r>
        <w:rPr>
          <w:rFonts w:ascii="sans-serif" w:hAnsi="sans-serif"/>
          <w:b w:val="false"/>
          <w:color w:val="000000"/>
          <w:sz w:val="22"/>
        </w:rPr>
        <w:t xml:space="preserve">, and such last day of the Performance Period, the </w:t>
      </w:r>
      <w:r>
        <w:rPr>
          <w:rFonts w:ascii="sans-serif" w:hAnsi="sans-serif"/>
          <w:b/>
          <w:color w:val="000000"/>
          <w:sz w:val="22"/>
        </w:rPr>
        <w:t>Fifth Anniversary</w:t>
      </w:r>
      <w:r>
        <w:rPr>
          <w:rFonts w:ascii="sans-serif" w:hAnsi="sans-serif"/>
          <w:b w:val="false"/>
          <w:color w:val="000000"/>
          <w:sz w:val="22"/>
        </w:rPr>
        <w:t xml:space="preserve">). The New Hire PSOs will be segmented into five tranches and the performance-based vesting condition for a tranche will be satisfied if such tranche’s Market Capitalization Performance Hurdle (as defined below) is achieved during the Performance Period, with performance-based vesting to occur upon the Board or the Compensation Committee’s certification of the achievement of the Market Capitalization Performance Hurdle (the date of such certification, the </w:t>
      </w:r>
      <w:r>
        <w:rPr>
          <w:rFonts w:ascii="sans-serif" w:hAnsi="sans-serif"/>
          <w:b/>
          <w:color w:val="000000"/>
          <w:sz w:val="22"/>
        </w:rPr>
        <w:t>Performance-Based Vesting Date</w:t>
      </w:r>
      <w:r>
        <w:rPr>
          <w:rFonts w:ascii="sans-serif" w:hAnsi="sans-serif"/>
          <w:b w:val="false"/>
          <w:color w:val="000000"/>
          <w:sz w:val="22"/>
        </w:rPr>
        <w:t>). To the extent the Performance-Based Vesting Date for a given tranche has occurred on or before the Applicable Anniversary (as defined below) for such tranche, such tranche will time vest on its Applicable Anniversary, subject to your continued employment with the Company or a Group Company through such time-vesting date. To the extent the Performance-Based Vesting Date for a given tranche occurs after its Applicable Anniversary but before the end of the Performance Period (or, to the extent the Market Capitalization Performance Hurdle was achieved prior to the end of the Performance Period but performance had not been certified by the Board or Compensation Committee prior to the end of the Performance Period, the Performance-Based Vesting Date shall be deemed to occur as soon as practicable following the end of the Performance Period), such tranche will vest on its Performance-Based Vesting Date, subject to your continued employment with the Company or a Group Company through the Performance-Based Vesting Date. If the time-based and performance-based vesting conditions for a tranche are met, the New Hire PSOs will be exercisable with respect to 200,000 Shares for such tranche.</w:t>
      </w:r>
    </w:p>
    <w:p>
      <w:pPr>
        <w:pStyle w:val="TextBody"/>
        <w:bidi w:val="0"/>
        <w:spacing w:lineRule="auto" w:line="288" w:before="59" w:after="283"/>
        <w:ind w:left="0" w:right="0" w:hanging="360"/>
        <w:jc w:val="both"/>
        <w:rPr/>
      </w:pPr>
      <w:r>
        <w:rPr>
          <w:color w:val="000000"/>
        </w:rPr>
        <w:t>•</w:t>
      </w:r>
      <w:r>
        <w:rPr>
          <w:rFonts w:ascii="sans-serif" w:hAnsi="sans-serif"/>
          <w:b w:val="false"/>
          <w:color w:val="000000"/>
          <w:sz w:val="22"/>
        </w:rPr>
        <w:t>The “Market Capitalization Performance Hurdle” for a given tranche of the New Hire PSOs means the following Average Market Capitalization (as defined below) is achieved during the Performance Period: (i) $5.0 billion for tranche 1; (ii) $7.5 billion for tranche 2; (iii) $10.0 billion for tranche 3;</w:t>
      </w:r>
    </w:p>
    <w:p>
      <w:pPr>
        <w:pStyle w:val="TextBody"/>
        <w:bidi w:val="0"/>
        <w:spacing w:lineRule="auto" w:line="288" w:before="2" w:after="283"/>
        <w:jc w:val="both"/>
        <w:rPr>
          <w:rFonts w:ascii="sans-serif" w:hAnsi="sans-serif"/>
          <w:b w:val="false"/>
          <w:color w:val="000000"/>
          <w:sz w:val="22"/>
        </w:rPr>
      </w:pPr>
      <w:r>
        <w:rPr>
          <w:rFonts w:ascii="sans-serif" w:hAnsi="sans-serif"/>
          <w:b w:val="false"/>
          <w:color w:val="000000"/>
          <w:sz w:val="22"/>
        </w:rPr>
        <w:t>(iv) $12.5 billion for tranche 4 and (v) $17.5 billion for tranche 5. The Market Capitalization Performance Hurdle will only be satisfied if Lucid Group, Inc.’s Average Market Capitalization during the Performance Period while the New Hire PSOs are outstanding meets or exceeds the Market Capitalization Performance Hurdle applicable to such tranche. There will be no interpolation between Market Capitalization Performance Hurdles.</w:t>
      </w:r>
    </w:p>
    <w:p>
      <w:pPr>
        <w:pStyle w:val="TextBody"/>
        <w:bidi w:val="0"/>
        <w:spacing w:lineRule="auto" w:line="211" w:before="0" w:after="0"/>
        <w:jc w:val="right"/>
        <w:rPr>
          <w:rFonts w:ascii="sans-serif" w:hAnsi="sans-serif"/>
          <w:b/>
          <w:color w:val="000000"/>
          <w:sz w:val="16"/>
        </w:rPr>
      </w:pPr>
      <w:r>
        <w:rPr>
          <w:rFonts w:ascii="sans-serif" w:hAnsi="sans-serif"/>
          <w:b/>
          <w:color w:val="000000"/>
          <w:sz w:val="16"/>
        </w:rPr>
        <w:t>Employment Agreement between Lucid Switzerland AG and Silvio Napoli</w:t>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582930"/>
                <wp:effectExtent l="0" t="0" r="0" b="0"/>
                <wp:wrapNone/>
                <wp:docPr id="137" name="Frame137"/>
                <a:graphic xmlns:a="http://schemas.openxmlformats.org/drawingml/2006/main">
                  <a:graphicData uri="http://schemas.microsoft.com/office/word/2010/wordprocessingShape">
                    <wps:wsp>
                      <wps:cNvSpPr txBox="1"/>
                      <wps:spPr>
                        <a:xfrm>
                          <a:off x="0" y="0"/>
                          <a:ext cx="6480175" cy="58293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sans-serif" w:hAnsi="sans-serif"/>
                                <w:b w:val="false"/>
                                <w:color w:val="000000"/>
                                <w:sz w:val="22"/>
                              </w:rPr>
                            </w:pPr>
                            <w:r>
                              <w:rPr>
                                <w:rFonts w:ascii="sans-serif" w:hAnsi="sans-serif"/>
                                <w:b w:val="false"/>
                                <w:color w:val="000000"/>
                                <w:sz w:val="22"/>
                              </w:rPr>
                              <w:t xml:space="preserve">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9pt;mso-wrap-distance-left:0pt;mso-wrap-distance-right:0pt;mso-wrap-distance-top:0pt;mso-wrap-distance-bottom:0pt;margin-top:0pt;mso-position-vertical:top;mso-position-vertical-relative:text;margin-left:-154.2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sans-serif" w:hAnsi="sans-serif"/>
                          <w:b w:val="false"/>
                          <w:color w:val="000000"/>
                          <w:sz w:val="22"/>
                        </w:rPr>
                      </w:pPr>
                      <w:r>
                        <w:rPr>
                          <w:rFonts w:ascii="sans-serif" w:hAnsi="sans-serif"/>
                          <w:b w:val="false"/>
                          <w:color w:val="000000"/>
                          <w:sz w:val="22"/>
                        </w:rPr>
                        <w:t xml:space="preserve">6 </w:t>
                      </w:r>
                    </w:p>
                  </w:txbxContent>
                </v:textbox>
                <w10:wrap type="none"/>
              </v:rect>
            </w:pict>
          </mc:Fallback>
        </mc:AlternateContent>
      </w:r>
    </w:p>
    <w:p>
      <w:pPr>
        <w:pStyle w:val="TextBody"/>
        <w:bidi w:val="0"/>
        <w:spacing w:lineRule="atLeast" w:line="297" w:before="59" w:after="283"/>
        <w:ind w:left="0" w:right="0" w:hanging="566"/>
        <w:jc w:val="both"/>
        <w:rPr/>
      </w:pPr>
      <w:r>
        <w:rPr>
          <w:rFonts w:ascii="Courier New;serif" w:hAnsi="Courier New;serif"/>
          <w:b w:val="false"/>
          <w:color w:val="000000"/>
          <w:sz w:val="22"/>
        </w:rPr>
        <w:t>o    </w:t>
      </w:r>
      <w:r>
        <w:rPr>
          <w:color w:val="000000"/>
        </w:rPr>
        <w:t>“</w:t>
      </w:r>
      <w:r>
        <w:rPr>
          <w:rFonts w:ascii="sans-serif" w:hAnsi="sans-serif"/>
          <w:b w:val="false"/>
          <w:color w:val="000000"/>
          <w:sz w:val="22"/>
        </w:rPr>
        <w:t>Average Market Capitalization” means the volume-weighted average of Lucid Group, Inc.’s Market Capitalization (as defined below) for the 45 consecutive trading days preceding a given date.</w:t>
      </w:r>
    </w:p>
    <w:p>
      <w:pPr>
        <w:pStyle w:val="TextBody"/>
        <w:bidi w:val="0"/>
        <w:spacing w:lineRule="auto" w:line="276" w:before="62" w:after="283"/>
        <w:ind w:left="0" w:right="0" w:hanging="567"/>
        <w:jc w:val="left"/>
        <w:rPr/>
      </w:pPr>
      <w:r>
        <w:rPr>
          <w:rFonts w:ascii="Courier New;serif" w:hAnsi="Courier New;serif"/>
          <w:b w:val="false"/>
          <w:color w:val="000000"/>
          <w:sz w:val="22"/>
        </w:rPr>
        <w:t>o    </w:t>
      </w:r>
      <w:r>
        <w:rPr>
          <w:color w:val="000000"/>
        </w:rPr>
        <w:t>“</w:t>
      </w:r>
      <w:r>
        <w:rPr>
          <w:rFonts w:ascii="sans-serif" w:hAnsi="sans-serif"/>
          <w:b w:val="false"/>
          <w:color w:val="000000"/>
          <w:sz w:val="22"/>
        </w:rPr>
        <w:t>Market Capitalization” shall mean the product of (x) the closing price of a Share on the Nasdaq on a given date and (y) the number of issued and outstanding Shares on such day.</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Applicable Anniversary” shall mean (i) the second anniversary of the Commencement Date for tranche 1; (ii) the third anniversary of the Commencement Date for tranches 2 and 3; and (iii) the fourth anniversary of the Commencement Date for tranches 4 and 5.</w:t>
      </w:r>
    </w:p>
    <w:p>
      <w:pPr>
        <w:pStyle w:val="TextBody"/>
        <w:bidi w:val="0"/>
        <w:spacing w:before="107" w:after="283"/>
        <w:jc w:val="left"/>
        <w:rPr/>
      </w:pPr>
      <w:r>
        <w:rPr/>
      </w:r>
    </w:p>
    <w:p>
      <w:pPr>
        <w:pStyle w:val="TextBody"/>
        <w:bidi w:val="0"/>
        <w:spacing w:lineRule="auto" w:line="288" w:before="0" w:after="0"/>
        <w:ind w:left="0" w:right="0" w:hanging="851"/>
        <w:jc w:val="left"/>
        <w:rPr/>
      </w:pPr>
      <w:r>
        <w:rPr>
          <w:rFonts w:ascii="sans-serif" w:hAnsi="sans-serif"/>
          <w:b/>
          <w:color w:val="000000"/>
          <w:sz w:val="22"/>
        </w:rPr>
        <w:t>9.2.2.    Annual</w:t>
      </w:r>
      <w:r>
        <w:rPr>
          <w:color w:val="000000"/>
        </w:rPr>
        <w:t xml:space="preserve"> </w:t>
      </w:r>
      <w:r>
        <w:rPr>
          <w:rFonts w:ascii="sans-serif" w:hAnsi="sans-serif"/>
          <w:b/>
          <w:color w:val="000000"/>
          <w:sz w:val="22"/>
        </w:rPr>
        <w:t>Long-Term</w:t>
      </w:r>
      <w:r>
        <w:rPr>
          <w:color w:val="000000"/>
        </w:rPr>
        <w:t xml:space="preserve"> </w:t>
      </w:r>
      <w:r>
        <w:rPr>
          <w:rFonts w:ascii="sans-serif" w:hAnsi="sans-serif"/>
          <w:b/>
          <w:color w:val="000000"/>
          <w:sz w:val="22"/>
        </w:rPr>
        <w:t>Incentive</w:t>
      </w:r>
      <w:r>
        <w:rPr>
          <w:color w:val="000000"/>
        </w:rPr>
        <w:t xml:space="preserve"> </w:t>
      </w:r>
      <w:r>
        <w:rPr>
          <w:rFonts w:ascii="sans-serif" w:hAnsi="sans-serif"/>
          <w:b/>
          <w:color w:val="000000"/>
          <w:sz w:val="22"/>
        </w:rPr>
        <w:t>(“LTI”)</w:t>
      </w:r>
      <w:r>
        <w:rPr>
          <w:color w:val="000000"/>
        </w:rPr>
        <w:t xml:space="preserve"> </w:t>
      </w:r>
      <w:r>
        <w:rPr>
          <w:rFonts w:ascii="sans-serif" w:hAnsi="sans-serif"/>
          <w:b/>
          <w:color w:val="000000"/>
          <w:sz w:val="22"/>
        </w:rPr>
        <w:t>Target</w:t>
      </w:r>
      <w:r>
        <w:rPr>
          <w:color w:val="000000"/>
        </w:rPr>
        <w:t xml:space="preserve"> </w:t>
      </w:r>
      <w:r>
        <w:rPr>
          <w:rFonts w:ascii="sans-serif" w:hAnsi="sans-serif"/>
          <w:b/>
          <w:color w:val="000000"/>
          <w:sz w:val="22"/>
        </w:rPr>
        <w:t>Compensation</w:t>
      </w:r>
    </w:p>
    <w:p>
      <w:pPr>
        <w:pStyle w:val="TextBody"/>
        <w:bidi w:val="0"/>
        <w:spacing w:lineRule="auto" w:line="288" w:before="200" w:after="283"/>
        <w:jc w:val="both"/>
        <w:rPr/>
      </w:pPr>
      <w:r>
        <w:rPr>
          <w:rFonts w:ascii="sans-serif" w:hAnsi="sans-serif"/>
          <w:b w:val="false"/>
          <w:color w:val="000000"/>
          <w:sz w:val="22"/>
        </w:rPr>
        <w:t>You</w:t>
      </w:r>
      <w:r>
        <w:rPr>
          <w:color w:val="000000"/>
        </w:rPr>
        <w:t xml:space="preserve"> </w:t>
      </w:r>
      <w:r>
        <w:rPr>
          <w:rFonts w:ascii="sans-serif" w:hAnsi="sans-serif"/>
          <w:b w:val="false"/>
          <w:color w:val="000000"/>
          <w:sz w:val="22"/>
        </w:rPr>
        <w:t>are</w:t>
      </w:r>
      <w:r>
        <w:rPr>
          <w:color w:val="000000"/>
        </w:rPr>
        <w:t xml:space="preserve"> </w:t>
      </w:r>
      <w:r>
        <w:rPr>
          <w:rFonts w:ascii="sans-serif" w:hAnsi="sans-serif"/>
          <w:b w:val="false"/>
          <w:color w:val="000000"/>
          <w:sz w:val="22"/>
        </w:rPr>
        <w:t>eligible</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participate</w:t>
      </w:r>
      <w:r>
        <w:rPr>
          <w:color w:val="000000"/>
        </w:rPr>
        <w:t xml:space="preserve"> </w:t>
      </w:r>
      <w:r>
        <w:rPr>
          <w:rFonts w:ascii="sans-serif" w:hAnsi="sans-serif"/>
          <w:b w:val="false"/>
          <w:color w:val="000000"/>
          <w:sz w:val="22"/>
        </w:rPr>
        <w:t>in</w:t>
      </w:r>
      <w:r>
        <w:rPr>
          <w:color w:val="000000"/>
        </w:rPr>
        <w:t xml:space="preserve"> </w:t>
      </w:r>
      <w:r>
        <w:rPr>
          <w:rFonts w:ascii="sans-serif" w:hAnsi="sans-serif"/>
          <w:b w:val="false"/>
          <w:color w:val="000000"/>
          <w:sz w:val="22"/>
        </w:rPr>
        <w:t>Lucid</w:t>
      </w:r>
      <w:r>
        <w:rPr>
          <w:color w:val="000000"/>
        </w:rPr>
        <w:t xml:space="preserve"> </w:t>
      </w:r>
      <w:r>
        <w:rPr>
          <w:rFonts w:ascii="sans-serif" w:hAnsi="sans-serif"/>
          <w:b w:val="false"/>
          <w:color w:val="000000"/>
          <w:sz w:val="22"/>
        </w:rPr>
        <w:t>Group,</w:t>
      </w:r>
      <w:r>
        <w:rPr>
          <w:color w:val="000000"/>
        </w:rPr>
        <w:t xml:space="preserve"> </w:t>
      </w:r>
      <w:r>
        <w:rPr>
          <w:rFonts w:ascii="sans-serif" w:hAnsi="sans-serif"/>
          <w:b w:val="false"/>
          <w:color w:val="000000"/>
          <w:sz w:val="22"/>
        </w:rPr>
        <w:t>Inc.’s</w:t>
      </w:r>
      <w:r>
        <w:rPr>
          <w:color w:val="000000"/>
        </w:rPr>
        <w:t xml:space="preserve"> </w:t>
      </w:r>
      <w:r>
        <w:rPr>
          <w:rFonts w:ascii="sans-serif" w:hAnsi="sans-serif"/>
          <w:b w:val="false"/>
          <w:color w:val="000000"/>
          <w:sz w:val="22"/>
        </w:rPr>
        <w:t>long</w:t>
      </w:r>
      <w:r>
        <w:rPr>
          <w:color w:val="000000"/>
        </w:rPr>
        <w:t xml:space="preserve"> </w:t>
      </w:r>
      <w:r>
        <w:rPr>
          <w:rFonts w:ascii="sans-serif" w:hAnsi="sans-serif"/>
          <w:b w:val="false"/>
          <w:color w:val="000000"/>
          <w:sz w:val="22"/>
        </w:rPr>
        <w:t>term</w:t>
      </w:r>
      <w:r>
        <w:rPr>
          <w:color w:val="000000"/>
        </w:rPr>
        <w:t xml:space="preserve"> </w:t>
      </w:r>
      <w:r>
        <w:rPr>
          <w:rFonts w:ascii="sans-serif" w:hAnsi="sans-serif"/>
          <w:b w:val="false"/>
          <w:color w:val="000000"/>
          <w:sz w:val="22"/>
        </w:rPr>
        <w:t>incentive</w:t>
      </w:r>
      <w:r>
        <w:rPr>
          <w:color w:val="000000"/>
        </w:rPr>
        <w:t xml:space="preserve"> </w:t>
      </w:r>
      <w:r>
        <w:rPr>
          <w:rFonts w:ascii="sans-serif" w:hAnsi="sans-serif"/>
          <w:b w:val="false"/>
          <w:color w:val="000000"/>
          <w:sz w:val="22"/>
        </w:rPr>
        <w:t>plan</w:t>
      </w:r>
      <w:r>
        <w:rPr>
          <w:color w:val="000000"/>
        </w:rPr>
        <w:t xml:space="preserve"> </w:t>
      </w:r>
      <w:r>
        <w:rPr>
          <w:rFonts w:ascii="sans-serif" w:hAnsi="sans-serif"/>
          <w:b w:val="false"/>
          <w:color w:val="000000"/>
          <w:sz w:val="22"/>
        </w:rPr>
        <w:t xml:space="preserve">(the </w:t>
      </w:r>
      <w:r>
        <w:rPr>
          <w:rFonts w:ascii="sans-serif" w:hAnsi="sans-serif"/>
          <w:b/>
          <w:color w:val="000000"/>
          <w:sz w:val="22"/>
        </w:rPr>
        <w:t>LTI Plan</w:t>
      </w:r>
      <w:r>
        <w:rPr>
          <w:rFonts w:ascii="sans-serif" w:hAnsi="sans-serif"/>
          <w:b w:val="false"/>
          <w:color w:val="000000"/>
          <w:sz w:val="22"/>
        </w:rPr>
        <w:t>)</w:t>
      </w:r>
    </w:p>
    <w:p>
      <w:pPr>
        <w:pStyle w:val="TextBody"/>
        <w:bidi w:val="0"/>
        <w:spacing w:lineRule="auto" w:line="288" w:before="59" w:after="283"/>
        <w:jc w:val="left"/>
        <w:rPr/>
      </w:pPr>
      <w:r>
        <w:rPr>
          <w:rFonts w:ascii="sans-serif" w:hAnsi="sans-serif"/>
          <w:b w:val="false"/>
          <w:color w:val="000000"/>
          <w:sz w:val="22"/>
        </w:rPr>
        <w:t>You</w:t>
      </w:r>
      <w:r>
        <w:rPr>
          <w:color w:val="000000"/>
        </w:rPr>
        <w:t xml:space="preserve"> </w:t>
      </w:r>
      <w:r>
        <w:rPr>
          <w:rFonts w:ascii="sans-serif" w:hAnsi="sans-serif"/>
          <w:b w:val="false"/>
          <w:color w:val="000000"/>
          <w:sz w:val="22"/>
        </w:rPr>
        <w:t>expressly</w:t>
      </w:r>
      <w:r>
        <w:rPr>
          <w:color w:val="000000"/>
        </w:rPr>
        <w:t xml:space="preserve"> </w:t>
      </w:r>
      <w:r>
        <w:rPr>
          <w:rFonts w:ascii="sans-serif" w:hAnsi="sans-serif"/>
          <w:b w:val="false"/>
          <w:color w:val="000000"/>
          <w:sz w:val="22"/>
        </w:rPr>
        <w:t>acknowledge</w:t>
      </w:r>
      <w:r>
        <w:rPr>
          <w:color w:val="000000"/>
        </w:rPr>
        <w:t xml:space="preserve"> </w:t>
      </w:r>
      <w:r>
        <w:rPr>
          <w:rFonts w:ascii="sans-serif" w:hAnsi="sans-serif"/>
          <w:b w:val="false"/>
          <w:color w:val="000000"/>
          <w:sz w:val="22"/>
        </w:rPr>
        <w:t>that</w:t>
      </w:r>
      <w:r>
        <w:rPr>
          <w:color w:val="000000"/>
        </w:rPr>
        <w:t xml:space="preserve"> </w:t>
      </w:r>
      <w:r>
        <w:rPr>
          <w:rFonts w:ascii="sans-serif" w:hAnsi="sans-serif"/>
          <w:b w:val="false"/>
          <w:color w:val="000000"/>
          <w:sz w:val="22"/>
        </w:rPr>
        <w:t>you</w:t>
      </w:r>
      <w:r>
        <w:rPr>
          <w:color w:val="000000"/>
        </w:rPr>
        <w:t xml:space="preserve"> </w:t>
      </w:r>
      <w:r>
        <w:rPr>
          <w:rFonts w:ascii="sans-serif" w:hAnsi="sans-serif"/>
          <w:b w:val="false"/>
          <w:color w:val="000000"/>
          <w:sz w:val="22"/>
        </w:rPr>
        <w:t>do</w:t>
      </w:r>
      <w:r>
        <w:rPr>
          <w:color w:val="000000"/>
        </w:rPr>
        <w:t xml:space="preserve"> </w:t>
      </w:r>
      <w:r>
        <w:rPr>
          <w:rFonts w:ascii="sans-serif" w:hAnsi="sans-serif"/>
          <w:b w:val="false"/>
          <w:color w:val="000000"/>
          <w:sz w:val="22"/>
        </w:rPr>
        <w:t>not</w:t>
      </w:r>
      <w:r>
        <w:rPr>
          <w:color w:val="000000"/>
        </w:rPr>
        <w:t xml:space="preserve"> </w:t>
      </w:r>
      <w:r>
        <w:rPr>
          <w:rFonts w:ascii="sans-serif" w:hAnsi="sans-serif"/>
          <w:b w:val="false"/>
          <w:color w:val="000000"/>
          <w:sz w:val="22"/>
        </w:rPr>
        <w:t>have</w:t>
      </w:r>
      <w:r>
        <w:rPr>
          <w:color w:val="000000"/>
        </w:rPr>
        <w:t xml:space="preserve"> </w:t>
      </w:r>
      <w:r>
        <w:rPr>
          <w:rFonts w:ascii="sans-serif" w:hAnsi="sans-serif"/>
          <w:b w:val="false"/>
          <w:color w:val="000000"/>
          <w:sz w:val="22"/>
        </w:rPr>
        <w:t>any</w:t>
      </w:r>
      <w:r>
        <w:rPr>
          <w:color w:val="000000"/>
        </w:rPr>
        <w:t xml:space="preserve"> </w:t>
      </w:r>
      <w:r>
        <w:rPr>
          <w:rFonts w:ascii="sans-serif" w:hAnsi="sans-serif"/>
          <w:b w:val="false"/>
          <w:color w:val="000000"/>
          <w:sz w:val="22"/>
        </w:rPr>
        <w:t>right</w:t>
      </w:r>
      <w:r>
        <w:rPr>
          <w:color w:val="000000"/>
        </w:rPr>
        <w:t xml:space="preserve"> </w:t>
      </w:r>
      <w:r>
        <w:rPr>
          <w:rFonts w:ascii="sans-serif" w:hAnsi="sans-serif"/>
          <w:b w:val="false"/>
          <w:color w:val="000000"/>
          <w:sz w:val="22"/>
        </w:rPr>
        <w:t>or</w:t>
      </w:r>
      <w:r>
        <w:rPr>
          <w:color w:val="000000"/>
        </w:rPr>
        <w:t xml:space="preserve"> </w:t>
      </w:r>
      <w:r>
        <w:rPr>
          <w:rFonts w:ascii="sans-serif" w:hAnsi="sans-serif"/>
          <w:b w:val="false"/>
          <w:color w:val="000000"/>
          <w:sz w:val="22"/>
        </w:rPr>
        <w:t>claim</w:t>
      </w:r>
      <w:r>
        <w:rPr>
          <w:color w:val="000000"/>
        </w:rPr>
        <w:t xml:space="preserve"> </w:t>
      </w:r>
      <w:r>
        <w:rPr>
          <w:rFonts w:ascii="sans-serif" w:hAnsi="sans-serif"/>
          <w:b w:val="false"/>
          <w:color w:val="000000"/>
          <w:sz w:val="22"/>
        </w:rPr>
        <w:t>under</w:t>
      </w:r>
      <w:r>
        <w:rPr>
          <w:color w:val="000000"/>
        </w:rPr>
        <w:t xml:space="preserve"> </w:t>
      </w:r>
      <w:r>
        <w:rPr>
          <w:rFonts w:ascii="sans-serif" w:hAnsi="sans-serif"/>
          <w:b w:val="false"/>
          <w:color w:val="000000"/>
          <w:sz w:val="22"/>
        </w:rPr>
        <w:t>the LTI Plan against the Company, but only against Lucid Group, Inc. Further, you expressly acknowledge that the LTI Plan and any grants issued under the LTI Plan are subject to the jurisdiction/arbitration and applicable law as per the LTI Plan and do not form part of this Employment Agreement.</w:t>
      </w:r>
    </w:p>
    <w:p>
      <w:pPr>
        <w:pStyle w:val="TextBody"/>
        <w:bidi w:val="0"/>
        <w:spacing w:lineRule="auto" w:line="288" w:before="62" w:after="283"/>
        <w:jc w:val="both"/>
        <w:rPr/>
      </w:pPr>
      <w:r>
        <w:rPr>
          <w:rFonts w:ascii="sans-serif" w:hAnsi="sans-serif"/>
          <w:b w:val="false"/>
          <w:color w:val="000000"/>
          <w:sz w:val="22"/>
        </w:rPr>
        <w:t>Subject</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issuance</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a</w:t>
      </w:r>
      <w:r>
        <w:rPr>
          <w:color w:val="000000"/>
        </w:rPr>
        <w:t xml:space="preserve"> </w:t>
      </w:r>
      <w:r>
        <w:rPr>
          <w:rFonts w:ascii="sans-serif" w:hAnsi="sans-serif"/>
          <w:b w:val="false"/>
          <w:color w:val="000000"/>
          <w:sz w:val="22"/>
        </w:rPr>
        <w:t>grant</w:t>
      </w:r>
      <w:r>
        <w:rPr>
          <w:color w:val="000000"/>
        </w:rPr>
        <w:t xml:space="preserve"> </w:t>
      </w:r>
      <w:r>
        <w:rPr>
          <w:rFonts w:ascii="sans-serif" w:hAnsi="sans-serif"/>
          <w:b w:val="false"/>
          <w:color w:val="000000"/>
          <w:sz w:val="22"/>
        </w:rPr>
        <w:t>by</w:t>
      </w:r>
      <w:r>
        <w:rPr>
          <w:color w:val="000000"/>
        </w:rPr>
        <w:t xml:space="preserve"> </w:t>
      </w:r>
      <w:r>
        <w:rPr>
          <w:rFonts w:ascii="sans-serif" w:hAnsi="sans-serif"/>
          <w:b w:val="false"/>
          <w:color w:val="000000"/>
          <w:sz w:val="22"/>
        </w:rPr>
        <w:t>Lucid</w:t>
      </w:r>
      <w:r>
        <w:rPr>
          <w:color w:val="000000"/>
        </w:rPr>
        <w:t xml:space="preserve"> </w:t>
      </w:r>
      <w:r>
        <w:rPr>
          <w:rFonts w:ascii="sans-serif" w:hAnsi="sans-serif"/>
          <w:b w:val="false"/>
          <w:color w:val="000000"/>
          <w:sz w:val="22"/>
        </w:rPr>
        <w:t>Group,</w:t>
      </w:r>
      <w:r>
        <w:rPr>
          <w:color w:val="000000"/>
        </w:rPr>
        <w:t xml:space="preserve"> </w:t>
      </w:r>
      <w:r>
        <w:rPr>
          <w:rFonts w:ascii="sans-serif" w:hAnsi="sans-serif"/>
          <w:b w:val="false"/>
          <w:color w:val="000000"/>
          <w:sz w:val="22"/>
        </w:rPr>
        <w:t>Inc.,</w:t>
      </w:r>
      <w:r>
        <w:rPr>
          <w:color w:val="000000"/>
        </w:rPr>
        <w:t xml:space="preserve"> </w:t>
      </w:r>
      <w:r>
        <w:rPr>
          <w:rFonts w:ascii="sans-serif" w:hAnsi="sans-serif"/>
          <w:b w:val="false"/>
          <w:color w:val="000000"/>
          <w:sz w:val="22"/>
        </w:rPr>
        <w:t>you may</w:t>
      </w:r>
      <w:r>
        <w:rPr>
          <w:color w:val="000000"/>
        </w:rPr>
        <w:t xml:space="preserve"> </w:t>
      </w:r>
      <w:r>
        <w:rPr>
          <w:rFonts w:ascii="sans-serif" w:hAnsi="sans-serif"/>
          <w:b w:val="false"/>
          <w:color w:val="000000"/>
          <w:sz w:val="22"/>
        </w:rPr>
        <w:t>be</w:t>
      </w:r>
      <w:r>
        <w:rPr>
          <w:color w:val="000000"/>
        </w:rPr>
        <w:t xml:space="preserve"> </w:t>
      </w:r>
      <w:r>
        <w:rPr>
          <w:rFonts w:ascii="sans-serif" w:hAnsi="sans-serif"/>
          <w:b w:val="false"/>
          <w:color w:val="000000"/>
          <w:sz w:val="22"/>
        </w:rPr>
        <w:t>eligible</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receive a 2026 Annual</w:t>
      </w:r>
      <w:r>
        <w:rPr>
          <w:color w:val="000000"/>
        </w:rPr>
        <w:t xml:space="preserve"> </w:t>
      </w:r>
      <w:r>
        <w:rPr>
          <w:rFonts w:ascii="sans-serif" w:hAnsi="sans-serif"/>
          <w:b w:val="false"/>
          <w:color w:val="000000"/>
          <w:sz w:val="22"/>
        </w:rPr>
        <w:t>LTI</w:t>
      </w:r>
      <w:r>
        <w:rPr>
          <w:color w:val="000000"/>
        </w:rPr>
        <w:t xml:space="preserve"> </w:t>
      </w:r>
      <w:r>
        <w:rPr>
          <w:rFonts w:ascii="sans-serif" w:hAnsi="sans-serif"/>
          <w:b w:val="false"/>
          <w:color w:val="000000"/>
          <w:sz w:val="22"/>
        </w:rPr>
        <w:t>Award with a</w:t>
      </w:r>
      <w:r>
        <w:rPr>
          <w:color w:val="000000"/>
        </w:rPr>
        <w:t xml:space="preserve"> </w:t>
      </w:r>
      <w:r>
        <w:rPr>
          <w:rFonts w:ascii="sans-serif" w:hAnsi="sans-serif"/>
          <w:b w:val="false"/>
          <w:color w:val="000000"/>
          <w:sz w:val="22"/>
        </w:rPr>
        <w:t xml:space="preserve">target grant value of USD $9,500,000 (the </w:t>
      </w:r>
      <w:r>
        <w:rPr>
          <w:rFonts w:ascii="sans-serif" w:hAnsi="sans-serif"/>
          <w:b/>
          <w:color w:val="000000"/>
          <w:sz w:val="22"/>
        </w:rPr>
        <w:t>2026 Annual LTI</w:t>
      </w:r>
      <w:r>
        <w:rPr>
          <w:rFonts w:ascii="sans-serif" w:hAnsi="sans-serif"/>
          <w:b w:val="false"/>
          <w:color w:val="000000"/>
          <w:sz w:val="22"/>
        </w:rPr>
        <w:t>), which will be structured as follows:</w:t>
      </w:r>
    </w:p>
    <w:p>
      <w:pPr>
        <w:pStyle w:val="TextBody"/>
        <w:bidi w:val="0"/>
        <w:spacing w:lineRule="auto" w:line="288" w:before="59" w:after="283"/>
        <w:ind w:left="0" w:right="0" w:hanging="360"/>
        <w:jc w:val="left"/>
        <w:rPr/>
      </w:pPr>
      <w:r>
        <w:rPr>
          <w:color w:val="000000"/>
        </w:rPr>
        <w:t>•</w:t>
      </w:r>
      <w:r>
        <w:rPr>
          <w:rFonts w:ascii="sans-serif" w:hAnsi="sans-serif"/>
          <w:b w:val="false"/>
          <w:color w:val="000000"/>
          <w:sz w:val="22"/>
        </w:rPr>
        <w:t>USD</w:t>
      </w:r>
      <w:r>
        <w:rPr>
          <w:color w:val="000000"/>
        </w:rPr>
        <w:t xml:space="preserve"> </w:t>
      </w:r>
      <w:r>
        <w:rPr>
          <w:rFonts w:ascii="sans-serif" w:hAnsi="sans-serif"/>
          <w:b w:val="false"/>
          <w:color w:val="000000"/>
          <w:sz w:val="22"/>
        </w:rPr>
        <w:t>$3,800,000</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target</w:t>
      </w:r>
      <w:r>
        <w:rPr>
          <w:color w:val="000000"/>
        </w:rPr>
        <w:t xml:space="preserve"> </w:t>
      </w:r>
      <w:r>
        <w:rPr>
          <w:rFonts w:ascii="sans-serif" w:hAnsi="sans-serif"/>
          <w:b w:val="false"/>
          <w:color w:val="000000"/>
          <w:sz w:val="22"/>
        </w:rPr>
        <w:t>grant</w:t>
      </w:r>
      <w:r>
        <w:rPr>
          <w:color w:val="000000"/>
        </w:rPr>
        <w:t xml:space="preserve"> </w:t>
      </w:r>
      <w:r>
        <w:rPr>
          <w:rFonts w:ascii="sans-serif" w:hAnsi="sans-serif"/>
          <w:b w:val="false"/>
          <w:color w:val="000000"/>
          <w:sz w:val="22"/>
        </w:rPr>
        <w:t>value</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2026</w:t>
      </w:r>
      <w:r>
        <w:rPr>
          <w:color w:val="000000"/>
        </w:rPr>
        <w:t xml:space="preserve"> </w:t>
      </w:r>
      <w:r>
        <w:rPr>
          <w:rFonts w:ascii="sans-serif" w:hAnsi="sans-serif"/>
          <w:b w:val="false"/>
          <w:color w:val="000000"/>
          <w:sz w:val="22"/>
        </w:rPr>
        <w:t>Annual</w:t>
      </w:r>
      <w:r>
        <w:rPr>
          <w:color w:val="000000"/>
        </w:rPr>
        <w:t xml:space="preserve"> </w:t>
      </w:r>
      <w:r>
        <w:rPr>
          <w:rFonts w:ascii="sans-serif" w:hAnsi="sans-serif"/>
          <w:b w:val="false"/>
          <w:color w:val="000000"/>
          <w:sz w:val="22"/>
        </w:rPr>
        <w:t>LTI</w:t>
      </w:r>
      <w:r>
        <w:rPr>
          <w:color w:val="000000"/>
        </w:rPr>
        <w:t xml:space="preserve"> </w:t>
      </w:r>
      <w:r>
        <w:rPr>
          <w:rFonts w:ascii="sans-serif" w:hAnsi="sans-serif"/>
          <w:b w:val="false"/>
          <w:color w:val="000000"/>
          <w:sz w:val="22"/>
        </w:rPr>
        <w:t>award</w:t>
      </w:r>
      <w:r>
        <w:rPr>
          <w:color w:val="000000"/>
        </w:rPr>
        <w:t xml:space="preserve"> </w:t>
      </w:r>
      <w:r>
        <w:rPr>
          <w:rFonts w:ascii="sans-serif" w:hAnsi="sans-serif"/>
          <w:b w:val="false"/>
          <w:color w:val="000000"/>
          <w:sz w:val="22"/>
        </w:rPr>
        <w:t xml:space="preserve">will be in the form of restricted stock units (the </w:t>
      </w:r>
      <w:r>
        <w:rPr>
          <w:rFonts w:ascii="sans-serif" w:hAnsi="sans-serif"/>
          <w:b/>
          <w:color w:val="000000"/>
          <w:sz w:val="22"/>
        </w:rPr>
        <w:t>2026 Annual LTI RSUs</w:t>
      </w:r>
      <w:r>
        <w:rPr>
          <w:rFonts w:ascii="sans-serif" w:hAnsi="sans-serif"/>
          <w:b w:val="false"/>
          <w:color w:val="000000"/>
          <w:sz w:val="22"/>
        </w:rPr>
        <w:t>) with a grant date of the Commencement Date, which will vest over four years, with 1/4 vesting on the first Company Vesting Date (as defined below) to occur</w:t>
      </w:r>
      <w:r>
        <w:rPr>
          <w:color w:val="000000"/>
        </w:rPr>
        <w:t xml:space="preserve"> </w:t>
      </w:r>
      <w:r>
        <w:rPr>
          <w:rFonts w:ascii="sans-serif" w:hAnsi="sans-serif"/>
          <w:b w:val="false"/>
          <w:color w:val="000000"/>
          <w:sz w:val="22"/>
        </w:rPr>
        <w:t>following</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first</w:t>
      </w:r>
      <w:r>
        <w:rPr>
          <w:color w:val="000000"/>
        </w:rPr>
        <w:t xml:space="preserve"> </w:t>
      </w:r>
      <w:r>
        <w:rPr>
          <w:rFonts w:ascii="sans-serif" w:hAnsi="sans-serif"/>
          <w:b w:val="false"/>
          <w:color w:val="000000"/>
          <w:sz w:val="22"/>
        </w:rPr>
        <w:t>anniversary</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grant</w:t>
      </w:r>
      <w:r>
        <w:rPr>
          <w:color w:val="000000"/>
        </w:rPr>
        <w:t xml:space="preserve"> </w:t>
      </w:r>
      <w:r>
        <w:rPr>
          <w:rFonts w:ascii="sans-serif" w:hAnsi="sans-serif"/>
          <w:b w:val="false"/>
          <w:color w:val="000000"/>
          <w:sz w:val="22"/>
        </w:rPr>
        <w:t>date</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1/16</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total 2026 Annual LTI RSUs vesting quarterly thereafter on the 12 Company Vesting Dates that occur following the first vesting date, subject to your continued employment with the Company or a Group Company through each vesting date. “</w:t>
      </w:r>
      <w:r>
        <w:rPr>
          <w:rFonts w:ascii="sans-serif" w:hAnsi="sans-serif"/>
          <w:b/>
          <w:color w:val="000000"/>
          <w:sz w:val="22"/>
        </w:rPr>
        <w:t>Company Vesting Date</w:t>
      </w:r>
      <w:r>
        <w:rPr>
          <w:color w:val="000000"/>
        </w:rPr>
        <w:t xml:space="preserve">” </w:t>
      </w:r>
      <w:r>
        <w:rPr>
          <w:rFonts w:ascii="sans-serif" w:hAnsi="sans-serif"/>
          <w:b w:val="false"/>
          <w:color w:val="000000"/>
          <w:sz w:val="22"/>
        </w:rPr>
        <w:t>means March 5, June 5, September 5, and December 5 of each calendar year.</w:t>
      </w:r>
    </w:p>
    <w:p>
      <w:pPr>
        <w:pStyle w:val="TextBody"/>
        <w:bidi w:val="0"/>
        <w:spacing w:lineRule="auto" w:line="288" w:before="59" w:after="283"/>
        <w:ind w:left="0" w:right="0" w:hanging="360"/>
        <w:jc w:val="left"/>
        <w:rPr/>
      </w:pPr>
      <w:r>
        <w:rPr>
          <w:color w:val="000000"/>
        </w:rPr>
        <w:t>•</w:t>
      </w:r>
      <w:r>
        <w:rPr>
          <w:rFonts w:ascii="sans-serif" w:hAnsi="sans-serif"/>
          <w:b w:val="false"/>
          <w:color w:val="000000"/>
          <w:sz w:val="22"/>
        </w:rPr>
        <w:t>USD</w:t>
      </w:r>
      <w:r>
        <w:rPr>
          <w:color w:val="000000"/>
        </w:rPr>
        <w:t xml:space="preserve"> </w:t>
      </w:r>
      <w:r>
        <w:rPr>
          <w:rFonts w:ascii="sans-serif" w:hAnsi="sans-serif"/>
          <w:b w:val="false"/>
          <w:color w:val="000000"/>
          <w:sz w:val="22"/>
        </w:rPr>
        <w:t>$5,700,000</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target</w:t>
      </w:r>
      <w:r>
        <w:rPr>
          <w:color w:val="000000"/>
        </w:rPr>
        <w:t xml:space="preserve"> </w:t>
      </w:r>
      <w:r>
        <w:rPr>
          <w:rFonts w:ascii="sans-serif" w:hAnsi="sans-serif"/>
          <w:b w:val="false"/>
          <w:color w:val="000000"/>
          <w:sz w:val="22"/>
        </w:rPr>
        <w:t>grant</w:t>
      </w:r>
      <w:r>
        <w:rPr>
          <w:color w:val="000000"/>
        </w:rPr>
        <w:t xml:space="preserve"> </w:t>
      </w:r>
      <w:r>
        <w:rPr>
          <w:rFonts w:ascii="sans-serif" w:hAnsi="sans-serif"/>
          <w:b w:val="false"/>
          <w:color w:val="000000"/>
          <w:sz w:val="22"/>
        </w:rPr>
        <w:t>value</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2026</w:t>
      </w:r>
      <w:r>
        <w:rPr>
          <w:color w:val="000000"/>
        </w:rPr>
        <w:t xml:space="preserve"> </w:t>
      </w:r>
      <w:r>
        <w:rPr>
          <w:rFonts w:ascii="sans-serif" w:hAnsi="sans-serif"/>
          <w:b w:val="false"/>
          <w:color w:val="000000"/>
          <w:sz w:val="22"/>
        </w:rPr>
        <w:t>Annual</w:t>
      </w:r>
      <w:r>
        <w:rPr>
          <w:color w:val="000000"/>
        </w:rPr>
        <w:t xml:space="preserve"> </w:t>
      </w:r>
      <w:r>
        <w:rPr>
          <w:rFonts w:ascii="sans-serif" w:hAnsi="sans-serif"/>
          <w:b w:val="false"/>
          <w:color w:val="000000"/>
          <w:sz w:val="22"/>
        </w:rPr>
        <w:t>LTI</w:t>
      </w:r>
      <w:r>
        <w:rPr>
          <w:color w:val="000000"/>
        </w:rPr>
        <w:t xml:space="preserve"> </w:t>
      </w:r>
      <w:r>
        <w:rPr>
          <w:rFonts w:ascii="sans-serif" w:hAnsi="sans-serif"/>
          <w:b w:val="false"/>
          <w:color w:val="000000"/>
          <w:sz w:val="22"/>
        </w:rPr>
        <w:t>award</w:t>
      </w:r>
      <w:r>
        <w:rPr>
          <w:color w:val="000000"/>
        </w:rPr>
        <w:t xml:space="preserve"> </w:t>
      </w:r>
      <w:r>
        <w:rPr>
          <w:rFonts w:ascii="sans-serif" w:hAnsi="sans-serif"/>
          <w:b w:val="false"/>
          <w:color w:val="000000"/>
          <w:sz w:val="22"/>
        </w:rPr>
        <w:t xml:space="preserve">will be in the form of performance-based restricted stock units (assuming target performance) (the </w:t>
      </w:r>
      <w:r>
        <w:rPr>
          <w:rFonts w:ascii="sans-serif" w:hAnsi="sans-serif"/>
          <w:b/>
          <w:color w:val="000000"/>
          <w:sz w:val="22"/>
        </w:rPr>
        <w:t>2026 Annual LTI PSUs</w:t>
      </w:r>
      <w:r>
        <w:rPr>
          <w:rFonts w:ascii="sans-serif" w:hAnsi="sans-serif"/>
          <w:b w:val="false"/>
          <w:color w:val="000000"/>
          <w:sz w:val="22"/>
        </w:rPr>
        <w:t>), which will be granted on the date other Lucid Group, Inc. executive officers are granted annual performance-based restricted stock unit grants in 2026. The 2026 Annual LTI PSUs will be on the same terms and conditions (including, without limitation, time-based and performance-based vesting conditions, performance goals, and other terms and conditions, as applicable) that apply to the annual performance-based restricted stock unit grants to other Lucid Group, Inc. executive officers. The number of shares subject to the 2026 Annual</w:t>
      </w:r>
      <w:r>
        <w:rPr>
          <w:color w:val="000000"/>
        </w:rPr>
        <w:t xml:space="preserve"> </w:t>
      </w:r>
      <w:r>
        <w:rPr>
          <w:rFonts w:ascii="sans-serif" w:hAnsi="sans-serif"/>
          <w:b w:val="false"/>
          <w:color w:val="000000"/>
          <w:sz w:val="22"/>
        </w:rPr>
        <w:t>LTI PSUs will be determined using Lucid Group, Inc’s. standard conversion methodology. For the avoidance of doubt, the per-share price used to determine the number of PSUs will be based on the 30-day VWAP on the Commencement</w:t>
      </w:r>
      <w:r>
        <w:rPr>
          <w:color w:val="000000"/>
        </w:rPr>
        <w:t xml:space="preserve"> </w:t>
      </w:r>
      <w:r>
        <w:rPr>
          <w:rFonts w:ascii="sans-serif" w:hAnsi="sans-serif"/>
          <w:b w:val="false"/>
          <w:color w:val="000000"/>
          <w:sz w:val="22"/>
        </w:rPr>
        <w:t>Date</w:t>
      </w:r>
      <w:r>
        <w:rPr>
          <w:color w:val="000000"/>
        </w:rPr>
        <w:t xml:space="preserve"> </w:t>
      </w:r>
      <w:r>
        <w:rPr>
          <w:rFonts w:ascii="sans-serif" w:hAnsi="sans-serif"/>
          <w:b w:val="false"/>
          <w:color w:val="000000"/>
          <w:sz w:val="22"/>
        </w:rPr>
        <w:t>(irrespective</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fact</w:t>
      </w:r>
      <w:r>
        <w:rPr>
          <w:color w:val="000000"/>
        </w:rPr>
        <w:t xml:space="preserve"> </w:t>
      </w:r>
      <w:r>
        <w:rPr>
          <w:rFonts w:ascii="sans-serif" w:hAnsi="sans-serif"/>
          <w:b w:val="false"/>
          <w:color w:val="000000"/>
          <w:sz w:val="22"/>
        </w:rPr>
        <w:t>that</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grant</w:t>
      </w:r>
      <w:r>
        <w:rPr>
          <w:color w:val="000000"/>
        </w:rPr>
        <w:t xml:space="preserve"> </w:t>
      </w:r>
      <w:r>
        <w:rPr>
          <w:rFonts w:ascii="sans-serif" w:hAnsi="sans-serif"/>
          <w:b w:val="false"/>
          <w:color w:val="000000"/>
          <w:sz w:val="22"/>
        </w:rPr>
        <w:t>date</w:t>
      </w:r>
      <w:r>
        <w:rPr>
          <w:color w:val="000000"/>
        </w:rPr>
        <w:t xml:space="preserve"> </w:t>
      </w:r>
      <w:r>
        <w:rPr>
          <w:rFonts w:ascii="sans-serif" w:hAnsi="sans-serif"/>
          <w:b w:val="false"/>
          <w:color w:val="000000"/>
          <w:sz w:val="22"/>
        </w:rPr>
        <w:t>will</w:t>
      </w:r>
      <w:r>
        <w:rPr>
          <w:color w:val="000000"/>
        </w:rPr>
        <w:t xml:space="preserve"> </w:t>
      </w:r>
      <w:r>
        <w:rPr>
          <w:rFonts w:ascii="sans-serif" w:hAnsi="sans-serif"/>
          <w:b w:val="false"/>
          <w:color w:val="000000"/>
          <w:sz w:val="22"/>
        </w:rPr>
        <w:t>occur at a later time).</w:t>
      </w:r>
    </w:p>
    <w:p>
      <w:pPr>
        <w:pStyle w:val="TextBody"/>
        <w:bidi w:val="0"/>
        <w:spacing w:before="109"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11" w:before="0" w:after="0"/>
        <w:jc w:val="right"/>
        <w:rPr>
          <w:rFonts w:ascii="sans-serif" w:hAnsi="sans-serif"/>
          <w:b/>
          <w:color w:val="000000"/>
          <w:sz w:val="16"/>
        </w:rPr>
      </w:pPr>
      <w:r>
        <w:rPr>
          <w:rFonts w:ascii="sans-serif" w:hAnsi="sans-serif"/>
          <w:b/>
          <w:color w:val="000000"/>
          <w:sz w:val="16"/>
        </w:rPr>
        <w:t>Employment Agreement between Lucid Switzerland AG and Silvio Napoli</w:t>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582930"/>
                <wp:effectExtent l="0" t="0" r="0" b="0"/>
                <wp:wrapNone/>
                <wp:docPr id="138" name="Frame138"/>
                <a:graphic xmlns:a="http://schemas.openxmlformats.org/drawingml/2006/main">
                  <a:graphicData uri="http://schemas.microsoft.com/office/word/2010/wordprocessingShape">
                    <wps:wsp>
                      <wps:cNvSpPr txBox="1"/>
                      <wps:spPr>
                        <a:xfrm>
                          <a:off x="0" y="0"/>
                          <a:ext cx="6480175" cy="58293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sans-serif" w:hAnsi="sans-serif"/>
                                <w:b w:val="false"/>
                                <w:color w:val="000000"/>
                                <w:sz w:val="22"/>
                              </w:rPr>
                            </w:pPr>
                            <w:r>
                              <w:rPr>
                                <w:rFonts w:ascii="sans-serif" w:hAnsi="sans-serif"/>
                                <w:b w:val="false"/>
                                <w:color w:val="000000"/>
                                <w:sz w:val="22"/>
                              </w:rPr>
                              <w:t xml:space="preserve">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9pt;mso-wrap-distance-left:0pt;mso-wrap-distance-right:0pt;mso-wrap-distance-top:0pt;mso-wrap-distance-bottom:0pt;margin-top:0pt;mso-position-vertical:top;mso-position-vertical-relative:text;margin-left:-154.2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sans-serif" w:hAnsi="sans-serif"/>
                          <w:b w:val="false"/>
                          <w:color w:val="000000"/>
                          <w:sz w:val="22"/>
                        </w:rPr>
                      </w:pPr>
                      <w:r>
                        <w:rPr>
                          <w:rFonts w:ascii="sans-serif" w:hAnsi="sans-serif"/>
                          <w:b w:val="false"/>
                          <w:color w:val="000000"/>
                          <w:sz w:val="22"/>
                        </w:rPr>
                        <w:t xml:space="preserve">7 </w:t>
                      </w:r>
                    </w:p>
                  </w:txbxContent>
                </v:textbox>
                <w10:wrap type="none"/>
              </v:rect>
            </w:pict>
          </mc:Fallback>
        </mc:AlternateContent>
      </w:r>
    </w:p>
    <w:p>
      <w:pPr>
        <w:pStyle w:val="TextBody"/>
        <w:bidi w:val="0"/>
        <w:spacing w:lineRule="auto" w:line="288" w:before="0" w:after="0"/>
        <w:ind w:left="0" w:right="0" w:hanging="851"/>
        <w:jc w:val="left"/>
        <w:rPr/>
      </w:pPr>
      <w:r>
        <w:rPr>
          <w:rFonts w:ascii="sans-serif" w:hAnsi="sans-serif"/>
          <w:b/>
          <w:color w:val="000000"/>
          <w:sz w:val="22"/>
        </w:rPr>
        <w:t>9.3.    Up-Front</w:t>
      </w:r>
      <w:r>
        <w:rPr>
          <w:color w:val="000000"/>
        </w:rPr>
        <w:t xml:space="preserve"> </w:t>
      </w:r>
      <w:r>
        <w:rPr>
          <w:rFonts w:ascii="sans-serif" w:hAnsi="sans-serif"/>
          <w:b/>
          <w:color w:val="000000"/>
          <w:sz w:val="22"/>
        </w:rPr>
        <w:t>Incentive</w:t>
      </w:r>
      <w:r>
        <w:rPr>
          <w:color w:val="000000"/>
        </w:rPr>
        <w:t xml:space="preserve"> </w:t>
      </w:r>
      <w:r>
        <w:rPr>
          <w:rFonts w:ascii="sans-serif" w:hAnsi="sans-serif"/>
          <w:b/>
          <w:color w:val="000000"/>
          <w:sz w:val="22"/>
        </w:rPr>
        <w:t>Payment</w:t>
      </w:r>
    </w:p>
    <w:p>
      <w:pPr>
        <w:pStyle w:val="TextBody"/>
        <w:bidi w:val="0"/>
        <w:spacing w:lineRule="auto" w:line="288" w:before="199" w:after="283"/>
        <w:jc w:val="left"/>
        <w:rPr/>
      </w:pPr>
      <w:r>
        <w:rPr>
          <w:rFonts w:ascii="sans-serif" w:hAnsi="sans-serif"/>
          <w:b w:val="false"/>
          <w:color w:val="000000"/>
          <w:sz w:val="22"/>
        </w:rPr>
        <w:t>The</w:t>
      </w:r>
      <w:r>
        <w:rPr>
          <w:color w:val="000000"/>
        </w:rPr>
        <w:t xml:space="preserve"> </w:t>
      </w:r>
      <w:r>
        <w:rPr>
          <w:rFonts w:ascii="sans-serif" w:hAnsi="sans-serif"/>
          <w:b w:val="false"/>
          <w:color w:val="000000"/>
          <w:sz w:val="22"/>
        </w:rPr>
        <w:t>Executive</w:t>
      </w:r>
      <w:r>
        <w:rPr>
          <w:color w:val="000000"/>
        </w:rPr>
        <w:t xml:space="preserve"> </w:t>
      </w:r>
      <w:r>
        <w:rPr>
          <w:rFonts w:ascii="sans-serif" w:hAnsi="sans-serif"/>
          <w:b w:val="false"/>
          <w:color w:val="000000"/>
          <w:sz w:val="22"/>
        </w:rPr>
        <w:t>shall</w:t>
      </w:r>
      <w:r>
        <w:rPr>
          <w:color w:val="000000"/>
        </w:rPr>
        <w:t xml:space="preserve"> </w:t>
      </w:r>
      <w:r>
        <w:rPr>
          <w:rFonts w:ascii="sans-serif" w:hAnsi="sans-serif"/>
          <w:b w:val="false"/>
          <w:color w:val="000000"/>
          <w:sz w:val="22"/>
        </w:rPr>
        <w:t>receive</w:t>
      </w:r>
      <w:r>
        <w:rPr>
          <w:color w:val="000000"/>
        </w:rPr>
        <w:t xml:space="preserve"> </w:t>
      </w:r>
      <w:r>
        <w:rPr>
          <w:rFonts w:ascii="sans-serif" w:hAnsi="sans-serif"/>
          <w:b w:val="false"/>
          <w:color w:val="000000"/>
          <w:sz w:val="22"/>
        </w:rPr>
        <w:t>an</w:t>
      </w:r>
      <w:r>
        <w:rPr>
          <w:color w:val="000000"/>
        </w:rPr>
        <w:t xml:space="preserve"> </w:t>
      </w:r>
      <w:r>
        <w:rPr>
          <w:rFonts w:ascii="sans-serif" w:hAnsi="sans-serif"/>
          <w:b w:val="false"/>
          <w:color w:val="000000"/>
          <w:sz w:val="22"/>
        </w:rPr>
        <w:t>up-front</w:t>
      </w:r>
      <w:r>
        <w:rPr>
          <w:color w:val="000000"/>
        </w:rPr>
        <w:t xml:space="preserve"> </w:t>
      </w:r>
      <w:r>
        <w:rPr>
          <w:rFonts w:ascii="sans-serif" w:hAnsi="sans-serif"/>
          <w:b w:val="false"/>
          <w:color w:val="000000"/>
          <w:sz w:val="22"/>
        </w:rPr>
        <w:t>payment</w:t>
      </w:r>
      <w:r>
        <w:rPr>
          <w:color w:val="000000"/>
        </w:rPr>
        <w:t xml:space="preserve"> </w:t>
      </w:r>
      <w:r>
        <w:rPr>
          <w:rFonts w:ascii="sans-serif" w:hAnsi="sans-serif"/>
          <w:b w:val="false"/>
          <w:color w:val="000000"/>
          <w:sz w:val="22"/>
        </w:rPr>
        <w:t>in</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gross</w:t>
      </w:r>
      <w:r>
        <w:rPr>
          <w:color w:val="000000"/>
        </w:rPr>
        <w:t xml:space="preserve"> </w:t>
      </w:r>
      <w:r>
        <w:rPr>
          <w:rFonts w:ascii="sans-serif" w:hAnsi="sans-serif"/>
          <w:b w:val="false"/>
          <w:color w:val="000000"/>
          <w:sz w:val="22"/>
        </w:rPr>
        <w:t>amount</w:t>
      </w:r>
      <w:r>
        <w:rPr>
          <w:color w:val="000000"/>
        </w:rPr>
        <w:t xml:space="preserve"> </w:t>
      </w:r>
      <w:r>
        <w:rPr>
          <w:rFonts w:ascii="sans-serif" w:hAnsi="sans-serif"/>
          <w:b w:val="false"/>
          <w:color w:val="000000"/>
          <w:sz w:val="22"/>
        </w:rPr>
        <w:t xml:space="preserve">of USD $1,000,000 (the </w:t>
      </w:r>
      <w:r>
        <w:rPr>
          <w:rFonts w:ascii="sans-serif" w:hAnsi="sans-serif"/>
          <w:b/>
          <w:color w:val="000000"/>
          <w:sz w:val="22"/>
        </w:rPr>
        <w:t>Up-Front Incentive Payment</w:t>
      </w:r>
      <w:r>
        <w:rPr>
          <w:rFonts w:ascii="sans-serif" w:hAnsi="sans-serif"/>
          <w:b w:val="false"/>
          <w:color w:val="000000"/>
          <w:sz w:val="22"/>
        </w:rPr>
        <w:t>), subject to any required deductions</w:t>
      </w:r>
      <w:r>
        <w:rPr>
          <w:color w:val="000000"/>
        </w:rPr>
        <w:t xml:space="preserve"> </w:t>
      </w:r>
      <w:r>
        <w:rPr>
          <w:rFonts w:ascii="sans-serif" w:hAnsi="sans-serif"/>
          <w:b w:val="false"/>
          <w:color w:val="000000"/>
          <w:sz w:val="22"/>
        </w:rPr>
        <w:t>or</w:t>
      </w:r>
      <w:r>
        <w:rPr>
          <w:color w:val="000000"/>
        </w:rPr>
        <w:t xml:space="preserve"> </w:t>
      </w:r>
      <w:r>
        <w:rPr>
          <w:rFonts w:ascii="sans-serif" w:hAnsi="sans-serif"/>
          <w:b w:val="false"/>
          <w:color w:val="000000"/>
          <w:sz w:val="22"/>
        </w:rPr>
        <w:t>withholdings, intended</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cover</w:t>
      </w:r>
      <w:r>
        <w:rPr>
          <w:color w:val="000000"/>
        </w:rPr>
        <w:t xml:space="preserve"> </w:t>
      </w:r>
      <w:r>
        <w:rPr>
          <w:rFonts w:ascii="sans-serif" w:hAnsi="sans-serif"/>
          <w:b w:val="false"/>
          <w:color w:val="000000"/>
          <w:sz w:val="22"/>
        </w:rPr>
        <w:t>the Executive’s</w:t>
      </w:r>
      <w:r>
        <w:rPr>
          <w:color w:val="000000"/>
        </w:rPr>
        <w:t xml:space="preserve"> </w:t>
      </w:r>
      <w:r>
        <w:rPr>
          <w:rFonts w:ascii="sans-serif" w:hAnsi="sans-serif"/>
          <w:b w:val="false"/>
          <w:color w:val="000000"/>
          <w:sz w:val="22"/>
        </w:rPr>
        <w:t>legal</w:t>
      </w:r>
      <w:r>
        <w:rPr>
          <w:color w:val="000000"/>
        </w:rPr>
        <w:t xml:space="preserve"> </w:t>
      </w:r>
      <w:r>
        <w:rPr>
          <w:rFonts w:ascii="sans-serif" w:hAnsi="sans-serif"/>
          <w:b w:val="false"/>
          <w:color w:val="000000"/>
          <w:sz w:val="22"/>
        </w:rPr>
        <w:t>fees,</w:t>
      </w:r>
      <w:r>
        <w:rPr>
          <w:color w:val="000000"/>
        </w:rPr>
        <w:t xml:space="preserve"> </w:t>
      </w:r>
      <w:r>
        <w:rPr>
          <w:rFonts w:ascii="sans-serif" w:hAnsi="sans-serif"/>
          <w:b w:val="false"/>
          <w:color w:val="000000"/>
          <w:sz w:val="22"/>
        </w:rPr>
        <w:t>expenses and all</w:t>
      </w:r>
      <w:r>
        <w:rPr>
          <w:color w:val="000000"/>
        </w:rPr>
        <w:t xml:space="preserve"> </w:t>
      </w:r>
      <w:r>
        <w:rPr>
          <w:rFonts w:ascii="sans-serif" w:hAnsi="sans-serif"/>
          <w:b w:val="false"/>
          <w:color w:val="000000"/>
          <w:sz w:val="22"/>
        </w:rPr>
        <w:t>other costs</w:t>
      </w:r>
      <w:r>
        <w:rPr>
          <w:color w:val="000000"/>
        </w:rPr>
        <w:t xml:space="preserve"> </w:t>
      </w:r>
      <w:r>
        <w:rPr>
          <w:rFonts w:ascii="sans-serif" w:hAnsi="sans-serif"/>
          <w:b w:val="false"/>
          <w:color w:val="000000"/>
          <w:sz w:val="22"/>
        </w:rPr>
        <w:t>associated</w:t>
      </w:r>
      <w:r>
        <w:rPr>
          <w:color w:val="000000"/>
        </w:rPr>
        <w:t xml:space="preserve"> </w:t>
      </w:r>
      <w:r>
        <w:rPr>
          <w:rFonts w:ascii="sans-serif" w:hAnsi="sans-serif"/>
          <w:b w:val="false"/>
          <w:color w:val="000000"/>
          <w:sz w:val="22"/>
        </w:rPr>
        <w:t>with</w:t>
      </w:r>
      <w:r>
        <w:rPr>
          <w:color w:val="000000"/>
        </w:rPr>
        <w:t xml:space="preserve"> </w:t>
      </w:r>
      <w:r>
        <w:rPr>
          <w:rFonts w:ascii="sans-serif" w:hAnsi="sans-serif"/>
          <w:b w:val="false"/>
          <w:color w:val="000000"/>
          <w:sz w:val="22"/>
        </w:rPr>
        <w:t>assuming</w:t>
      </w:r>
      <w:r>
        <w:rPr>
          <w:color w:val="000000"/>
        </w:rPr>
        <w:t xml:space="preserve"> </w:t>
      </w:r>
      <w:r>
        <w:rPr>
          <w:rFonts w:ascii="sans-serif" w:hAnsi="sans-serif"/>
          <w:b w:val="false"/>
          <w:color w:val="000000"/>
          <w:sz w:val="22"/>
        </w:rPr>
        <w:t>employment</w:t>
      </w:r>
      <w:r>
        <w:rPr>
          <w:color w:val="000000"/>
        </w:rPr>
        <w:t xml:space="preserve"> </w:t>
      </w:r>
      <w:r>
        <w:rPr>
          <w:rFonts w:ascii="sans-serif" w:hAnsi="sans-serif"/>
          <w:b w:val="false"/>
          <w:color w:val="000000"/>
          <w:sz w:val="22"/>
        </w:rPr>
        <w:t>with</w:t>
      </w:r>
      <w:r>
        <w:rPr>
          <w:color w:val="000000"/>
        </w:rPr>
        <w:t xml:space="preserve"> </w:t>
      </w:r>
      <w:r>
        <w:rPr>
          <w:rFonts w:ascii="sans-serif" w:hAnsi="sans-serif"/>
          <w:b w:val="false"/>
          <w:color w:val="000000"/>
          <w:sz w:val="22"/>
        </w:rPr>
        <w:t>the Company as well as establishing a residence in the U.S. in order to start employment under the U.S. Offer Letter with Lucid Group Inc.</w:t>
      </w:r>
    </w:p>
    <w:p>
      <w:pPr>
        <w:pStyle w:val="TextBody"/>
        <w:bidi w:val="0"/>
        <w:spacing w:lineRule="auto" w:line="288" w:before="59" w:after="283"/>
        <w:jc w:val="left"/>
        <w:rPr/>
      </w:pPr>
      <w:r>
        <w:rPr>
          <w:rFonts w:ascii="sans-serif" w:hAnsi="sans-serif"/>
          <w:b w:val="false"/>
          <w:color w:val="000000"/>
          <w:sz w:val="22"/>
        </w:rPr>
        <w:t>The Parties agree that the Up-Front Incentive</w:t>
      </w:r>
      <w:r>
        <w:rPr>
          <w:color w:val="000000"/>
        </w:rPr>
        <w:t xml:space="preserve"> </w:t>
      </w:r>
      <w:r>
        <w:rPr>
          <w:rFonts w:ascii="sans-serif" w:hAnsi="sans-serif"/>
          <w:b w:val="false"/>
          <w:color w:val="000000"/>
          <w:sz w:val="22"/>
        </w:rPr>
        <w:t>Payment is intended to fully</w:t>
      </w:r>
      <w:r>
        <w:rPr>
          <w:color w:val="000000"/>
        </w:rPr>
        <w:t xml:space="preserve"> </w:t>
      </w:r>
      <w:r>
        <w:rPr>
          <w:rFonts w:ascii="sans-serif" w:hAnsi="sans-serif"/>
          <w:b w:val="false"/>
          <w:color w:val="000000"/>
          <w:sz w:val="22"/>
        </w:rPr>
        <w:t>satisfy and</w:t>
      </w:r>
      <w:r>
        <w:rPr>
          <w:color w:val="000000"/>
        </w:rPr>
        <w:t xml:space="preserve"> </w:t>
      </w:r>
      <w:r>
        <w:rPr>
          <w:rFonts w:ascii="sans-serif" w:hAnsi="sans-serif"/>
          <w:b w:val="false"/>
          <w:color w:val="000000"/>
          <w:sz w:val="22"/>
        </w:rPr>
        <w:t>cover</w:t>
      </w:r>
      <w:r>
        <w:rPr>
          <w:color w:val="000000"/>
        </w:rPr>
        <w:t xml:space="preserve"> </w:t>
      </w:r>
      <w:r>
        <w:rPr>
          <w:rFonts w:ascii="sans-serif" w:hAnsi="sans-serif"/>
          <w:b w:val="false"/>
          <w:color w:val="000000"/>
          <w:sz w:val="22"/>
        </w:rPr>
        <w:t>all</w:t>
      </w:r>
      <w:r>
        <w:rPr>
          <w:color w:val="000000"/>
        </w:rPr>
        <w:t xml:space="preserve"> </w:t>
      </w:r>
      <w:r>
        <w:rPr>
          <w:rFonts w:ascii="sans-serif" w:hAnsi="sans-serif"/>
          <w:b w:val="false"/>
          <w:color w:val="000000"/>
          <w:sz w:val="22"/>
        </w:rPr>
        <w:t>such</w:t>
      </w:r>
      <w:r>
        <w:rPr>
          <w:color w:val="000000"/>
        </w:rPr>
        <w:t xml:space="preserve"> </w:t>
      </w:r>
      <w:r>
        <w:rPr>
          <w:rFonts w:ascii="sans-serif" w:hAnsi="sans-serif"/>
          <w:b w:val="false"/>
          <w:color w:val="000000"/>
          <w:sz w:val="22"/>
        </w:rPr>
        <w:t>costs,</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the Executive shall</w:t>
      </w:r>
      <w:r>
        <w:rPr>
          <w:color w:val="000000"/>
        </w:rPr>
        <w:t xml:space="preserve"> </w:t>
      </w:r>
      <w:r>
        <w:rPr>
          <w:rFonts w:ascii="sans-serif" w:hAnsi="sans-serif"/>
          <w:b w:val="false"/>
          <w:color w:val="000000"/>
          <w:sz w:val="22"/>
        </w:rPr>
        <w:t>have</w:t>
      </w:r>
      <w:r>
        <w:rPr>
          <w:color w:val="000000"/>
        </w:rPr>
        <w:t xml:space="preserve"> </w:t>
      </w:r>
      <w:r>
        <w:rPr>
          <w:rFonts w:ascii="sans-serif" w:hAnsi="sans-serif"/>
          <w:b w:val="false"/>
          <w:color w:val="000000"/>
          <w:sz w:val="22"/>
        </w:rPr>
        <w:t>no</w:t>
      </w:r>
      <w:r>
        <w:rPr>
          <w:color w:val="000000"/>
        </w:rPr>
        <w:t xml:space="preserve"> </w:t>
      </w:r>
      <w:r>
        <w:rPr>
          <w:rFonts w:ascii="sans-serif" w:hAnsi="sans-serif"/>
          <w:b w:val="false"/>
          <w:color w:val="000000"/>
          <w:sz w:val="22"/>
        </w:rPr>
        <w:t>further</w:t>
      </w:r>
      <w:r>
        <w:rPr>
          <w:color w:val="000000"/>
        </w:rPr>
        <w:t xml:space="preserve"> </w:t>
      </w:r>
      <w:r>
        <w:rPr>
          <w:rFonts w:ascii="sans-serif" w:hAnsi="sans-serif"/>
          <w:b w:val="false"/>
          <w:color w:val="000000"/>
          <w:sz w:val="22"/>
        </w:rPr>
        <w:t>claims</w:t>
      </w:r>
      <w:r>
        <w:rPr>
          <w:color w:val="000000"/>
        </w:rPr>
        <w:t xml:space="preserve"> </w:t>
      </w:r>
      <w:r>
        <w:rPr>
          <w:rFonts w:ascii="sans-serif" w:hAnsi="sans-serif"/>
          <w:b w:val="false"/>
          <w:color w:val="000000"/>
          <w:sz w:val="22"/>
        </w:rPr>
        <w:t>or</w:t>
      </w:r>
      <w:r>
        <w:rPr>
          <w:color w:val="000000"/>
        </w:rPr>
        <w:t xml:space="preserve"> </w:t>
      </w:r>
      <w:r>
        <w:rPr>
          <w:rFonts w:ascii="sans-serif" w:hAnsi="sans-serif"/>
          <w:b w:val="false"/>
          <w:color w:val="000000"/>
          <w:sz w:val="22"/>
        </w:rPr>
        <w:t>entitlement</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reimbursement</w:t>
      </w:r>
      <w:r>
        <w:rPr>
          <w:color w:val="000000"/>
        </w:rPr>
        <w:t xml:space="preserve"> </w:t>
      </w:r>
      <w:r>
        <w:rPr>
          <w:rFonts w:ascii="sans-serif" w:hAnsi="sans-serif"/>
          <w:b w:val="false"/>
          <w:color w:val="000000"/>
          <w:sz w:val="22"/>
        </w:rPr>
        <w:t>for</w:t>
      </w:r>
      <w:r>
        <w:rPr>
          <w:color w:val="000000"/>
        </w:rPr>
        <w:t xml:space="preserve"> </w:t>
      </w:r>
      <w:r>
        <w:rPr>
          <w:rFonts w:ascii="sans-serif" w:hAnsi="sans-serif"/>
          <w:b w:val="false"/>
          <w:color w:val="000000"/>
          <w:sz w:val="22"/>
        </w:rPr>
        <w:t>any</w:t>
      </w:r>
      <w:r>
        <w:rPr>
          <w:color w:val="000000"/>
        </w:rPr>
        <w:t xml:space="preserve"> </w:t>
      </w:r>
      <w:r>
        <w:rPr>
          <w:rFonts w:ascii="sans-serif" w:hAnsi="sans-serif"/>
          <w:b w:val="false"/>
          <w:color w:val="000000"/>
          <w:sz w:val="22"/>
        </w:rPr>
        <w:t>expenses</w:t>
      </w:r>
      <w:r>
        <w:rPr>
          <w:color w:val="000000"/>
        </w:rPr>
        <w:t xml:space="preserve"> </w:t>
      </w:r>
      <w:r>
        <w:rPr>
          <w:rFonts w:ascii="sans-serif" w:hAnsi="sans-serif"/>
          <w:b w:val="false"/>
          <w:color w:val="000000"/>
          <w:sz w:val="22"/>
        </w:rPr>
        <w:t>in</w:t>
      </w:r>
      <w:r>
        <w:rPr>
          <w:color w:val="000000"/>
        </w:rPr>
        <w:t xml:space="preserve"> </w:t>
      </w:r>
      <w:r>
        <w:rPr>
          <w:rFonts w:ascii="sans-serif" w:hAnsi="sans-serif"/>
          <w:b w:val="false"/>
          <w:color w:val="000000"/>
          <w:sz w:val="22"/>
        </w:rPr>
        <w:t>connection</w:t>
      </w:r>
      <w:r>
        <w:rPr>
          <w:color w:val="000000"/>
        </w:rPr>
        <w:t xml:space="preserve"> </w:t>
      </w:r>
      <w:r>
        <w:rPr>
          <w:rFonts w:ascii="sans-serif" w:hAnsi="sans-serif"/>
          <w:b w:val="false"/>
          <w:color w:val="000000"/>
          <w:sz w:val="22"/>
        </w:rPr>
        <w:t>with</w:t>
      </w:r>
      <w:r>
        <w:rPr>
          <w:color w:val="000000"/>
        </w:rPr>
        <w:t xml:space="preserve"> </w:t>
      </w:r>
      <w:r>
        <w:rPr>
          <w:rFonts w:ascii="sans-serif" w:hAnsi="sans-serif"/>
          <w:b w:val="false"/>
          <w:color w:val="000000"/>
          <w:sz w:val="22"/>
        </w:rPr>
        <w:t>these</w:t>
      </w:r>
      <w:r>
        <w:rPr>
          <w:color w:val="000000"/>
        </w:rPr>
        <w:t xml:space="preserve"> </w:t>
      </w:r>
      <w:r>
        <w:rPr>
          <w:rFonts w:ascii="sans-serif" w:hAnsi="sans-serif"/>
          <w:b w:val="false"/>
          <w:color w:val="000000"/>
          <w:sz w:val="22"/>
        </w:rPr>
        <w:t>matters other than expenses deemed reimbursable under the Group’s policies and protocols,</w:t>
      </w:r>
      <w:r>
        <w:rPr>
          <w:color w:val="000000"/>
        </w:rPr>
        <w:t xml:space="preserve"> </w:t>
      </w:r>
      <w:r>
        <w:rPr>
          <w:rFonts w:ascii="sans-serif" w:hAnsi="sans-serif"/>
          <w:b w:val="false"/>
          <w:color w:val="000000"/>
          <w:sz w:val="22"/>
        </w:rPr>
        <w:t>as they may be in effect or amended from time to time. This payment shall be paid</w:t>
      </w:r>
      <w:r>
        <w:rPr>
          <w:color w:val="000000"/>
        </w:rPr>
        <w:t xml:space="preserve"> </w:t>
      </w:r>
      <w:r>
        <w:rPr>
          <w:rFonts w:ascii="sans-serif" w:hAnsi="sans-serif"/>
          <w:b w:val="false"/>
          <w:color w:val="000000"/>
          <w:sz w:val="22"/>
        </w:rPr>
        <w:t>at</w:t>
      </w:r>
      <w:r>
        <w:rPr>
          <w:color w:val="000000"/>
        </w:rPr>
        <w:t xml:space="preserve"> </w:t>
      </w:r>
      <w:r>
        <w:rPr>
          <w:rFonts w:ascii="sans-serif" w:hAnsi="sans-serif"/>
          <w:b w:val="false"/>
          <w:color w:val="000000"/>
          <w:sz w:val="22"/>
        </w:rPr>
        <w:t>a</w:t>
      </w:r>
      <w:r>
        <w:rPr>
          <w:color w:val="000000"/>
        </w:rPr>
        <w:t xml:space="preserve"> </w:t>
      </w:r>
      <w:r>
        <w:rPr>
          <w:rFonts w:ascii="sans-serif" w:hAnsi="sans-serif"/>
          <w:b w:val="false"/>
          <w:color w:val="000000"/>
          <w:sz w:val="22"/>
        </w:rPr>
        <w:t>date</w:t>
      </w:r>
      <w:r>
        <w:rPr>
          <w:color w:val="000000"/>
        </w:rPr>
        <w:t xml:space="preserve"> </w:t>
      </w:r>
      <w:r>
        <w:rPr>
          <w:rFonts w:ascii="sans-serif" w:hAnsi="sans-serif"/>
          <w:b w:val="false"/>
          <w:color w:val="000000"/>
          <w:sz w:val="22"/>
        </w:rPr>
        <w:t>mutually</w:t>
      </w:r>
      <w:r>
        <w:rPr>
          <w:color w:val="000000"/>
        </w:rPr>
        <w:t xml:space="preserve"> </w:t>
      </w:r>
      <w:r>
        <w:rPr>
          <w:rFonts w:ascii="sans-serif" w:hAnsi="sans-serif"/>
          <w:b w:val="false"/>
          <w:color w:val="000000"/>
          <w:sz w:val="22"/>
        </w:rPr>
        <w:t>agreed</w:t>
      </w:r>
      <w:r>
        <w:rPr>
          <w:color w:val="000000"/>
        </w:rPr>
        <w:t xml:space="preserve"> </w:t>
      </w:r>
      <w:r>
        <w:rPr>
          <w:rFonts w:ascii="sans-serif" w:hAnsi="sans-serif"/>
          <w:b w:val="false"/>
          <w:color w:val="000000"/>
          <w:sz w:val="22"/>
        </w:rPr>
        <w:t>by</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parties</w:t>
      </w:r>
      <w:r>
        <w:rPr>
          <w:color w:val="000000"/>
        </w:rPr>
        <w:t xml:space="preserve"> </w:t>
      </w:r>
      <w:r>
        <w:rPr>
          <w:rFonts w:ascii="sans-serif" w:hAnsi="sans-serif"/>
          <w:b w:val="false"/>
          <w:color w:val="000000"/>
          <w:sz w:val="22"/>
        </w:rPr>
        <w:t>after the Commencement</w:t>
      </w:r>
      <w:r>
        <w:rPr>
          <w:color w:val="000000"/>
        </w:rPr>
        <w:t xml:space="preserve"> </w:t>
      </w:r>
      <w:r>
        <w:rPr>
          <w:rFonts w:ascii="sans-serif" w:hAnsi="sans-serif"/>
          <w:b w:val="false"/>
          <w:color w:val="000000"/>
          <w:sz w:val="22"/>
        </w:rPr>
        <w:t>Date and after consultation with tax advisors, but not later than 30 days after the date on which Executive’s O-1 work visa has been obtained.</w:t>
      </w:r>
    </w:p>
    <w:p>
      <w:pPr>
        <w:pStyle w:val="TextBody"/>
        <w:bidi w:val="0"/>
        <w:spacing w:before="135" w:after="283"/>
        <w:jc w:val="left"/>
        <w:rPr/>
      </w:pPr>
      <w:r>
        <w:rPr/>
      </w:r>
    </w:p>
    <w:p>
      <w:pPr>
        <w:pStyle w:val="TextBody"/>
        <w:bidi w:val="0"/>
        <w:spacing w:lineRule="auto" w:line="288" w:before="21" w:after="283"/>
        <w:ind w:left="0" w:right="0" w:hanging="851"/>
        <w:jc w:val="left"/>
        <w:rPr>
          <w:rFonts w:ascii="sans-serif" w:hAnsi="sans-serif"/>
          <w:b/>
          <w:color w:val="000000"/>
          <w:sz w:val="22"/>
        </w:rPr>
      </w:pPr>
      <w:r>
        <w:rPr>
          <w:rFonts w:ascii="sans-serif" w:hAnsi="sans-serif"/>
          <w:b/>
          <w:color w:val="000000"/>
          <w:sz w:val="22"/>
        </w:rPr>
        <w:t>10.    Benefits</w:t>
      </w:r>
    </w:p>
    <w:p>
      <w:pPr>
        <w:pStyle w:val="TextBody"/>
        <w:bidi w:val="0"/>
        <w:spacing w:before="105" w:after="283"/>
        <w:jc w:val="left"/>
        <w:rPr/>
      </w:pPr>
      <w:r>
        <w:rPr/>
      </w:r>
    </w:p>
    <w:p>
      <w:pPr>
        <w:pStyle w:val="TextBody"/>
        <w:bidi w:val="0"/>
        <w:spacing w:lineRule="auto" w:line="288" w:before="0" w:after="0"/>
        <w:ind w:left="0" w:right="0" w:hanging="851"/>
        <w:jc w:val="left"/>
        <w:rPr/>
      </w:pPr>
      <w:r>
        <w:rPr>
          <w:rFonts w:ascii="sans-serif" w:hAnsi="sans-serif"/>
          <w:b/>
          <w:color w:val="000000"/>
          <w:sz w:val="22"/>
        </w:rPr>
        <w:t>10.1.    Executive</w:t>
      </w:r>
      <w:r>
        <w:rPr>
          <w:color w:val="000000"/>
        </w:rPr>
        <w:t xml:space="preserve"> </w:t>
      </w:r>
      <w:r>
        <w:rPr>
          <w:rFonts w:ascii="sans-serif" w:hAnsi="sans-serif"/>
          <w:b/>
          <w:color w:val="000000"/>
          <w:sz w:val="22"/>
        </w:rPr>
        <w:t>Car</w:t>
      </w:r>
      <w:r>
        <w:rPr>
          <w:color w:val="000000"/>
        </w:rPr>
        <w:t xml:space="preserve"> </w:t>
      </w:r>
      <w:r>
        <w:rPr>
          <w:rFonts w:ascii="sans-serif" w:hAnsi="sans-serif"/>
          <w:b/>
          <w:color w:val="000000"/>
          <w:sz w:val="22"/>
        </w:rPr>
        <w:t>Program</w:t>
      </w:r>
    </w:p>
    <w:p>
      <w:pPr>
        <w:pStyle w:val="TextBody"/>
        <w:bidi w:val="0"/>
        <w:spacing w:lineRule="auto" w:line="288" w:before="199" w:after="283"/>
        <w:jc w:val="both"/>
        <w:rPr/>
      </w:pPr>
      <w:r>
        <w:rPr>
          <w:rFonts w:ascii="sans-serif" w:hAnsi="sans-serif"/>
          <w:b w:val="false"/>
          <w:color w:val="000000"/>
          <w:sz w:val="22"/>
        </w:rPr>
        <w:t>You shall be eligible to participate in the Group’s executive car program, as it may</w:t>
      </w:r>
      <w:r>
        <w:rPr>
          <w:color w:val="000000"/>
        </w:rPr>
        <w:t xml:space="preserve"> </w:t>
      </w:r>
      <w:r>
        <w:rPr>
          <w:rFonts w:ascii="sans-serif" w:hAnsi="sans-serif"/>
          <w:b w:val="false"/>
          <w:color w:val="000000"/>
          <w:sz w:val="22"/>
        </w:rPr>
        <w:t>be</w:t>
      </w:r>
      <w:r>
        <w:rPr>
          <w:color w:val="000000"/>
        </w:rPr>
        <w:t xml:space="preserve"> </w:t>
      </w:r>
      <w:r>
        <w:rPr>
          <w:rFonts w:ascii="sans-serif" w:hAnsi="sans-serif"/>
          <w:b w:val="false"/>
          <w:color w:val="000000"/>
          <w:sz w:val="22"/>
        </w:rPr>
        <w:t>in</w:t>
      </w:r>
      <w:r>
        <w:rPr>
          <w:color w:val="000000"/>
        </w:rPr>
        <w:t xml:space="preserve"> </w:t>
      </w:r>
      <w:r>
        <w:rPr>
          <w:rFonts w:ascii="sans-serif" w:hAnsi="sans-serif"/>
          <w:b w:val="false"/>
          <w:color w:val="000000"/>
          <w:sz w:val="22"/>
        </w:rPr>
        <w:t>effect</w:t>
      </w:r>
      <w:r>
        <w:rPr>
          <w:color w:val="000000"/>
        </w:rPr>
        <w:t xml:space="preserve"> </w:t>
      </w:r>
      <w:r>
        <w:rPr>
          <w:rFonts w:ascii="sans-serif" w:hAnsi="sans-serif"/>
          <w:b w:val="false"/>
          <w:color w:val="000000"/>
          <w:sz w:val="22"/>
        </w:rPr>
        <w:t>or</w:t>
      </w:r>
      <w:r>
        <w:rPr>
          <w:color w:val="000000"/>
        </w:rPr>
        <w:t xml:space="preserve"> </w:t>
      </w:r>
      <w:r>
        <w:rPr>
          <w:rFonts w:ascii="sans-serif" w:hAnsi="sans-serif"/>
          <w:b w:val="false"/>
          <w:color w:val="000000"/>
          <w:sz w:val="22"/>
        </w:rPr>
        <w:t>amended</w:t>
      </w:r>
      <w:r>
        <w:rPr>
          <w:color w:val="000000"/>
        </w:rPr>
        <w:t xml:space="preserve"> </w:t>
      </w:r>
      <w:r>
        <w:rPr>
          <w:rFonts w:ascii="sans-serif" w:hAnsi="sans-serif"/>
          <w:b w:val="false"/>
          <w:color w:val="000000"/>
          <w:sz w:val="22"/>
        </w:rPr>
        <w:t>from</w:t>
      </w:r>
      <w:r>
        <w:rPr>
          <w:color w:val="000000"/>
        </w:rPr>
        <w:t xml:space="preserve"> </w:t>
      </w:r>
      <w:r>
        <w:rPr>
          <w:rFonts w:ascii="sans-serif" w:hAnsi="sans-serif"/>
          <w:b w:val="false"/>
          <w:color w:val="000000"/>
          <w:sz w:val="22"/>
        </w:rPr>
        <w:t>time</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time,</w:t>
      </w:r>
      <w:r>
        <w:rPr>
          <w:color w:val="000000"/>
        </w:rPr>
        <w:t xml:space="preserve"> </w:t>
      </w:r>
      <w:r>
        <w:rPr>
          <w:rFonts w:ascii="sans-serif" w:hAnsi="sans-serif"/>
          <w:b w:val="false"/>
          <w:color w:val="000000"/>
          <w:sz w:val="22"/>
        </w:rPr>
        <w:t>pursuant</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which</w:t>
      </w:r>
      <w:r>
        <w:rPr>
          <w:color w:val="000000"/>
        </w:rPr>
        <w:t xml:space="preserve"> </w:t>
      </w:r>
      <w:r>
        <w:rPr>
          <w:rFonts w:ascii="sans-serif" w:hAnsi="sans-serif"/>
          <w:b w:val="false"/>
          <w:color w:val="000000"/>
          <w:sz w:val="22"/>
        </w:rPr>
        <w:t>the Group shall provide you with two Lucid vehicles for your</w:t>
      </w:r>
      <w:r>
        <w:rPr>
          <w:color w:val="000000"/>
        </w:rPr>
        <w:t xml:space="preserve"> </w:t>
      </w:r>
      <w:r>
        <w:rPr>
          <w:rFonts w:ascii="sans-serif" w:hAnsi="sans-serif"/>
          <w:b w:val="false"/>
          <w:color w:val="000000"/>
          <w:sz w:val="22"/>
        </w:rPr>
        <w:t>personal and business use.</w:t>
      </w:r>
    </w:p>
    <w:p>
      <w:pPr>
        <w:pStyle w:val="TextBody"/>
        <w:bidi w:val="0"/>
        <w:spacing w:before="108" w:after="283"/>
        <w:jc w:val="left"/>
        <w:rPr/>
      </w:pPr>
      <w:r>
        <w:rPr/>
      </w:r>
    </w:p>
    <w:p>
      <w:pPr>
        <w:pStyle w:val="TextBody"/>
        <w:bidi w:val="0"/>
        <w:spacing w:lineRule="auto" w:line="288" w:before="0" w:after="0"/>
        <w:ind w:left="0" w:right="0" w:hanging="851"/>
        <w:jc w:val="left"/>
        <w:rPr/>
      </w:pPr>
      <w:r>
        <w:rPr>
          <w:rFonts w:ascii="sans-serif" w:hAnsi="sans-serif"/>
          <w:b/>
          <w:color w:val="000000"/>
          <w:sz w:val="22"/>
        </w:rPr>
        <w:t>10.2.    Security</w:t>
      </w:r>
      <w:r>
        <w:rPr>
          <w:color w:val="000000"/>
        </w:rPr>
        <w:t xml:space="preserve"> </w:t>
      </w:r>
      <w:r>
        <w:rPr>
          <w:rFonts w:ascii="sans-serif" w:hAnsi="sans-serif"/>
          <w:b/>
          <w:color w:val="000000"/>
          <w:sz w:val="22"/>
        </w:rPr>
        <w:t>and</w:t>
      </w:r>
      <w:r>
        <w:rPr>
          <w:color w:val="000000"/>
        </w:rPr>
        <w:t xml:space="preserve"> </w:t>
      </w:r>
      <w:r>
        <w:rPr>
          <w:rFonts w:ascii="sans-serif" w:hAnsi="sans-serif"/>
          <w:b/>
          <w:color w:val="000000"/>
          <w:sz w:val="22"/>
        </w:rPr>
        <w:t>Driver</w:t>
      </w:r>
      <w:r>
        <w:rPr>
          <w:color w:val="000000"/>
        </w:rPr>
        <w:t xml:space="preserve"> </w:t>
      </w:r>
      <w:r>
        <w:rPr>
          <w:rFonts w:ascii="sans-serif" w:hAnsi="sans-serif"/>
          <w:b/>
          <w:color w:val="000000"/>
          <w:sz w:val="22"/>
        </w:rPr>
        <w:t>Benefits</w:t>
      </w:r>
    </w:p>
    <w:p>
      <w:pPr>
        <w:pStyle w:val="TextBody"/>
        <w:bidi w:val="0"/>
        <w:spacing w:lineRule="auto" w:line="288" w:before="240" w:after="283"/>
        <w:jc w:val="both"/>
        <w:rPr/>
      </w:pPr>
      <w:r>
        <w:rPr>
          <w:rFonts w:ascii="sans-serif" w:hAnsi="sans-serif"/>
          <w:b w:val="false"/>
          <w:color w:val="000000"/>
          <w:sz w:val="22"/>
        </w:rPr>
        <w:t>You</w:t>
      </w:r>
      <w:r>
        <w:rPr>
          <w:color w:val="000000"/>
        </w:rPr>
        <w:t xml:space="preserve"> </w:t>
      </w:r>
      <w:r>
        <w:rPr>
          <w:rFonts w:ascii="sans-serif" w:hAnsi="sans-serif"/>
          <w:b w:val="false"/>
          <w:color w:val="000000"/>
          <w:sz w:val="22"/>
        </w:rPr>
        <w:t>will</w:t>
      </w:r>
      <w:r>
        <w:rPr>
          <w:color w:val="000000"/>
        </w:rPr>
        <w:t xml:space="preserve"> </w:t>
      </w:r>
      <w:r>
        <w:rPr>
          <w:rFonts w:ascii="sans-serif" w:hAnsi="sans-serif"/>
          <w:b w:val="false"/>
          <w:color w:val="000000"/>
          <w:sz w:val="22"/>
        </w:rPr>
        <w:t>be</w:t>
      </w:r>
      <w:r>
        <w:rPr>
          <w:color w:val="000000"/>
        </w:rPr>
        <w:t xml:space="preserve"> </w:t>
      </w:r>
      <w:r>
        <w:rPr>
          <w:rFonts w:ascii="sans-serif" w:hAnsi="sans-serif"/>
          <w:b w:val="false"/>
          <w:color w:val="000000"/>
          <w:sz w:val="22"/>
        </w:rPr>
        <w:t>eligible</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receive</w:t>
      </w:r>
      <w:r>
        <w:rPr>
          <w:color w:val="000000"/>
        </w:rPr>
        <w:t xml:space="preserve"> </w:t>
      </w:r>
      <w:r>
        <w:rPr>
          <w:rFonts w:ascii="sans-serif" w:hAnsi="sans-serif"/>
          <w:b w:val="false"/>
          <w:color w:val="000000"/>
          <w:sz w:val="22"/>
        </w:rPr>
        <w:t>certain</w:t>
      </w:r>
      <w:r>
        <w:rPr>
          <w:color w:val="000000"/>
        </w:rPr>
        <w:t xml:space="preserve"> </w:t>
      </w:r>
      <w:r>
        <w:rPr>
          <w:rFonts w:ascii="sans-serif" w:hAnsi="sans-serif"/>
          <w:b w:val="false"/>
          <w:color w:val="000000"/>
          <w:sz w:val="22"/>
        </w:rPr>
        <w:t>security</w:t>
      </w:r>
      <w:r>
        <w:rPr>
          <w:color w:val="000000"/>
        </w:rPr>
        <w:t xml:space="preserve"> </w:t>
      </w:r>
      <w:r>
        <w:rPr>
          <w:rFonts w:ascii="sans-serif" w:hAnsi="sans-serif"/>
          <w:b w:val="false"/>
          <w:color w:val="000000"/>
          <w:sz w:val="22"/>
        </w:rPr>
        <w:t>protection</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driver</w:t>
      </w:r>
      <w:r>
        <w:rPr>
          <w:color w:val="000000"/>
        </w:rPr>
        <w:t xml:space="preserve"> </w:t>
      </w:r>
      <w:r>
        <w:rPr>
          <w:rFonts w:ascii="sans-serif" w:hAnsi="sans-serif"/>
          <w:b w:val="false"/>
          <w:color w:val="000000"/>
          <w:sz w:val="22"/>
        </w:rPr>
        <w:t>benefits</w:t>
      </w:r>
      <w:r>
        <w:rPr>
          <w:color w:val="000000"/>
        </w:rPr>
        <w:t xml:space="preserve"> </w:t>
      </w:r>
      <w:r>
        <w:rPr>
          <w:rFonts w:ascii="sans-serif" w:hAnsi="sans-serif"/>
          <w:b w:val="false"/>
          <w:color w:val="000000"/>
          <w:sz w:val="22"/>
        </w:rPr>
        <w:t>to the</w:t>
      </w:r>
      <w:r>
        <w:rPr>
          <w:color w:val="000000"/>
        </w:rPr>
        <w:t xml:space="preserve"> </w:t>
      </w:r>
      <w:r>
        <w:rPr>
          <w:rFonts w:ascii="sans-serif" w:hAnsi="sans-serif"/>
          <w:b w:val="false"/>
          <w:color w:val="000000"/>
          <w:sz w:val="22"/>
        </w:rPr>
        <w:t>extent consistent with the Group’s security</w:t>
      </w:r>
      <w:r>
        <w:rPr>
          <w:color w:val="000000"/>
        </w:rPr>
        <w:t xml:space="preserve"> </w:t>
      </w:r>
      <w:r>
        <w:rPr>
          <w:rFonts w:ascii="sans-serif" w:hAnsi="sans-serif"/>
          <w:b w:val="false"/>
          <w:color w:val="000000"/>
          <w:sz w:val="22"/>
        </w:rPr>
        <w:t>policies and protocols, as</w:t>
      </w:r>
      <w:r>
        <w:rPr>
          <w:color w:val="000000"/>
        </w:rPr>
        <w:t xml:space="preserve"> </w:t>
      </w:r>
      <w:r>
        <w:rPr>
          <w:rFonts w:ascii="sans-serif" w:hAnsi="sans-serif"/>
          <w:b w:val="false"/>
          <w:color w:val="000000"/>
          <w:sz w:val="22"/>
        </w:rPr>
        <w:t>they may be in effect or amended from time to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11" w:before="0" w:after="0"/>
        <w:jc w:val="right"/>
        <w:rPr>
          <w:rFonts w:ascii="sans-serif" w:hAnsi="sans-serif"/>
          <w:b/>
          <w:color w:val="000000"/>
          <w:sz w:val="16"/>
        </w:rPr>
      </w:pPr>
      <w:r>
        <w:rPr>
          <w:rFonts w:ascii="sans-serif" w:hAnsi="sans-serif"/>
          <w:b/>
          <w:color w:val="000000"/>
          <w:sz w:val="16"/>
        </w:rPr>
        <w:t>Employment Agreement between Lucid Switzerland AG and Silvio Napoli</w:t>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582930"/>
                <wp:effectExtent l="0" t="0" r="0" b="0"/>
                <wp:wrapNone/>
                <wp:docPr id="139" name="Frame139"/>
                <a:graphic xmlns:a="http://schemas.openxmlformats.org/drawingml/2006/main">
                  <a:graphicData uri="http://schemas.microsoft.com/office/word/2010/wordprocessingShape">
                    <wps:wsp>
                      <wps:cNvSpPr txBox="1"/>
                      <wps:spPr>
                        <a:xfrm>
                          <a:off x="0" y="0"/>
                          <a:ext cx="6480175" cy="58293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sans-serif" w:hAnsi="sans-serif"/>
                                <w:b w:val="false"/>
                                <w:color w:val="000000"/>
                                <w:sz w:val="22"/>
                              </w:rPr>
                            </w:pPr>
                            <w:r>
                              <w:rPr>
                                <w:rFonts w:ascii="sans-serif" w:hAnsi="sans-serif"/>
                                <w:b w:val="false"/>
                                <w:color w:val="000000"/>
                                <w:sz w:val="22"/>
                              </w:rPr>
                              <w:t xml:space="preserve">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9pt;mso-wrap-distance-left:0pt;mso-wrap-distance-right:0pt;mso-wrap-distance-top:0pt;mso-wrap-distance-bottom:0pt;margin-top:0pt;mso-position-vertical:top;mso-position-vertical-relative:text;margin-left:-154.2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sans-serif" w:hAnsi="sans-serif"/>
                          <w:b w:val="false"/>
                          <w:color w:val="000000"/>
                          <w:sz w:val="22"/>
                        </w:rPr>
                      </w:pPr>
                      <w:r>
                        <w:rPr>
                          <w:rFonts w:ascii="sans-serif" w:hAnsi="sans-serif"/>
                          <w:b w:val="false"/>
                          <w:color w:val="000000"/>
                          <w:sz w:val="22"/>
                        </w:rPr>
                        <w:t xml:space="preserve">8 </w:t>
                      </w:r>
                    </w:p>
                  </w:txbxContent>
                </v:textbox>
                <w10:wrap type="none"/>
              </v:rect>
            </w:pict>
          </mc:Fallback>
        </mc:AlternateContent>
      </w:r>
    </w:p>
    <w:p>
      <w:pPr>
        <w:pStyle w:val="TextBody"/>
        <w:bidi w:val="0"/>
        <w:spacing w:lineRule="auto" w:line="240" w:before="0" w:after="0"/>
        <w:ind w:left="0" w:right="0" w:hanging="851"/>
        <w:jc w:val="both"/>
        <w:rPr/>
      </w:pPr>
      <w:r>
        <w:rPr>
          <w:rFonts w:ascii="sans-serif" w:hAnsi="sans-serif"/>
          <w:b/>
          <w:color w:val="000000"/>
          <w:sz w:val="22"/>
        </w:rPr>
        <w:t>10.3.    Financial</w:t>
      </w:r>
      <w:r>
        <w:rPr>
          <w:color w:val="000000"/>
        </w:rPr>
        <w:t xml:space="preserve"> </w:t>
      </w:r>
      <w:r>
        <w:rPr>
          <w:rFonts w:ascii="sans-serif" w:hAnsi="sans-serif"/>
          <w:b/>
          <w:color w:val="000000"/>
          <w:sz w:val="22"/>
        </w:rPr>
        <w:t>and</w:t>
      </w:r>
      <w:r>
        <w:rPr>
          <w:color w:val="000000"/>
        </w:rPr>
        <w:t xml:space="preserve"> </w:t>
      </w:r>
      <w:r>
        <w:rPr>
          <w:rFonts w:ascii="sans-serif" w:hAnsi="sans-serif"/>
          <w:b/>
          <w:color w:val="000000"/>
          <w:sz w:val="22"/>
        </w:rPr>
        <w:t>Tax</w:t>
      </w:r>
      <w:r>
        <w:rPr>
          <w:color w:val="000000"/>
        </w:rPr>
        <w:t xml:space="preserve"> </w:t>
      </w:r>
      <w:r>
        <w:rPr>
          <w:rFonts w:ascii="sans-serif" w:hAnsi="sans-serif"/>
          <w:b/>
          <w:color w:val="000000"/>
          <w:sz w:val="22"/>
        </w:rPr>
        <w:t>Planning</w:t>
      </w:r>
      <w:r>
        <w:rPr>
          <w:color w:val="000000"/>
        </w:rPr>
        <w:t xml:space="preserve"> </w:t>
      </w:r>
      <w:r>
        <w:rPr>
          <w:rFonts w:ascii="sans-serif" w:hAnsi="sans-serif"/>
          <w:b/>
          <w:color w:val="000000"/>
          <w:sz w:val="22"/>
        </w:rPr>
        <w:t>Benefits</w:t>
      </w:r>
    </w:p>
    <w:p>
      <w:pPr>
        <w:pStyle w:val="TextBody"/>
        <w:bidi w:val="0"/>
        <w:spacing w:lineRule="auto" w:line="288" w:before="200" w:after="283"/>
        <w:jc w:val="left"/>
        <w:rPr/>
      </w:pPr>
      <w:r>
        <w:rPr>
          <w:rFonts w:ascii="sans-serif" w:hAnsi="sans-serif"/>
          <w:b w:val="false"/>
          <w:color w:val="000000"/>
          <w:sz w:val="22"/>
        </w:rPr>
        <w:t>The Group will pay, or reimburse (not on a grossed up basis) you for, up to USD</w:t>
      </w:r>
      <w:r>
        <w:rPr>
          <w:color w:val="000000"/>
        </w:rPr>
        <w:t xml:space="preserve"> </w:t>
      </w:r>
      <w:r>
        <w:rPr>
          <w:rFonts w:ascii="sans-serif" w:hAnsi="sans-serif"/>
          <w:b w:val="false"/>
          <w:color w:val="000000"/>
          <w:sz w:val="22"/>
        </w:rPr>
        <w:t>$25,000</w:t>
      </w:r>
      <w:r>
        <w:rPr>
          <w:color w:val="000000"/>
        </w:rPr>
        <w:t xml:space="preserve"> </w:t>
      </w:r>
      <w:r>
        <w:rPr>
          <w:rFonts w:ascii="sans-serif" w:hAnsi="sans-serif"/>
          <w:b w:val="false"/>
          <w:color w:val="000000"/>
          <w:sz w:val="22"/>
        </w:rPr>
        <w:t>per</w:t>
      </w:r>
      <w:r>
        <w:rPr>
          <w:color w:val="000000"/>
        </w:rPr>
        <w:t xml:space="preserve"> </w:t>
      </w:r>
      <w:r>
        <w:rPr>
          <w:rFonts w:ascii="sans-serif" w:hAnsi="sans-serif"/>
          <w:b w:val="false"/>
          <w:color w:val="000000"/>
          <w:sz w:val="22"/>
        </w:rPr>
        <w:t>year,</w:t>
      </w:r>
      <w:r>
        <w:rPr>
          <w:color w:val="000000"/>
        </w:rPr>
        <w:t xml:space="preserve"> </w:t>
      </w:r>
      <w:r>
        <w:rPr>
          <w:rFonts w:ascii="sans-serif" w:hAnsi="sans-serif"/>
          <w:b w:val="false"/>
          <w:color w:val="000000"/>
          <w:sz w:val="22"/>
        </w:rPr>
        <w:t>less</w:t>
      </w:r>
      <w:r>
        <w:rPr>
          <w:color w:val="000000"/>
        </w:rPr>
        <w:t xml:space="preserve"> </w:t>
      </w:r>
      <w:r>
        <w:rPr>
          <w:rFonts w:ascii="sans-serif" w:hAnsi="sans-serif"/>
          <w:b w:val="false"/>
          <w:color w:val="000000"/>
          <w:sz w:val="22"/>
        </w:rPr>
        <w:t>applicable</w:t>
      </w:r>
      <w:r>
        <w:rPr>
          <w:color w:val="000000"/>
        </w:rPr>
        <w:t xml:space="preserve"> </w:t>
      </w:r>
      <w:r>
        <w:rPr>
          <w:rFonts w:ascii="sans-serif" w:hAnsi="sans-serif"/>
          <w:b w:val="false"/>
          <w:color w:val="000000"/>
          <w:sz w:val="22"/>
        </w:rPr>
        <w:t>taxes</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withholdings,</w:t>
      </w:r>
      <w:r>
        <w:rPr>
          <w:color w:val="000000"/>
        </w:rPr>
        <w:t xml:space="preserve"> </w:t>
      </w:r>
      <w:r>
        <w:rPr>
          <w:rFonts w:ascii="sans-serif" w:hAnsi="sans-serif"/>
          <w:b w:val="false"/>
          <w:color w:val="000000"/>
          <w:sz w:val="22"/>
        </w:rPr>
        <w:t>for</w:t>
      </w:r>
      <w:r>
        <w:rPr>
          <w:color w:val="000000"/>
        </w:rPr>
        <w:t xml:space="preserve"> </w:t>
      </w:r>
      <w:r>
        <w:rPr>
          <w:rFonts w:ascii="sans-serif" w:hAnsi="sans-serif"/>
          <w:b w:val="false"/>
          <w:color w:val="000000"/>
          <w:sz w:val="22"/>
        </w:rPr>
        <w:t>documented expenses</w:t>
      </w:r>
      <w:r>
        <w:rPr>
          <w:color w:val="000000"/>
        </w:rPr>
        <w:t xml:space="preserve"> </w:t>
      </w:r>
      <w:r>
        <w:rPr>
          <w:rFonts w:ascii="sans-serif" w:hAnsi="sans-serif"/>
          <w:b w:val="false"/>
          <w:color w:val="000000"/>
          <w:sz w:val="22"/>
        </w:rPr>
        <w:t>you</w:t>
      </w:r>
      <w:r>
        <w:rPr>
          <w:color w:val="000000"/>
        </w:rPr>
        <w:t xml:space="preserve"> </w:t>
      </w:r>
      <w:r>
        <w:rPr>
          <w:rFonts w:ascii="sans-serif" w:hAnsi="sans-serif"/>
          <w:b w:val="false"/>
          <w:color w:val="000000"/>
          <w:sz w:val="22"/>
        </w:rPr>
        <w:t>incur</w:t>
      </w:r>
      <w:r>
        <w:rPr>
          <w:color w:val="000000"/>
        </w:rPr>
        <w:t xml:space="preserve"> </w:t>
      </w:r>
      <w:r>
        <w:rPr>
          <w:rFonts w:ascii="sans-serif" w:hAnsi="sans-serif"/>
          <w:b w:val="false"/>
          <w:color w:val="000000"/>
          <w:sz w:val="22"/>
        </w:rPr>
        <w:t>by</w:t>
      </w:r>
      <w:r>
        <w:rPr>
          <w:color w:val="000000"/>
        </w:rPr>
        <w:t xml:space="preserve"> </w:t>
      </w:r>
      <w:r>
        <w:rPr>
          <w:rFonts w:ascii="sans-serif" w:hAnsi="sans-serif"/>
          <w:b w:val="false"/>
          <w:color w:val="000000"/>
          <w:sz w:val="22"/>
        </w:rPr>
        <w:t>seeking</w:t>
      </w:r>
      <w:r>
        <w:rPr>
          <w:color w:val="000000"/>
        </w:rPr>
        <w:t xml:space="preserve"> </w:t>
      </w:r>
      <w:r>
        <w:rPr>
          <w:rFonts w:ascii="sans-serif" w:hAnsi="sans-serif"/>
          <w:b w:val="false"/>
          <w:color w:val="000000"/>
          <w:sz w:val="22"/>
        </w:rPr>
        <w:t>personal</w:t>
      </w:r>
      <w:r>
        <w:rPr>
          <w:color w:val="000000"/>
        </w:rPr>
        <w:t xml:space="preserve"> </w:t>
      </w:r>
      <w:r>
        <w:rPr>
          <w:rFonts w:ascii="sans-serif" w:hAnsi="sans-serif"/>
          <w:b w:val="false"/>
          <w:color w:val="000000"/>
          <w:sz w:val="22"/>
        </w:rPr>
        <w:t>tax</w:t>
      </w:r>
      <w:r>
        <w:rPr>
          <w:color w:val="000000"/>
        </w:rPr>
        <w:t xml:space="preserve"> </w:t>
      </w:r>
      <w:r>
        <w:rPr>
          <w:rFonts w:ascii="sans-serif" w:hAnsi="sans-serif"/>
          <w:b w:val="false"/>
          <w:color w:val="000000"/>
          <w:sz w:val="22"/>
        </w:rPr>
        <w:t>preparation</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planning,</w:t>
      </w:r>
      <w:r>
        <w:rPr>
          <w:color w:val="000000"/>
        </w:rPr>
        <w:t xml:space="preserve"> </w:t>
      </w:r>
      <w:r>
        <w:rPr>
          <w:rFonts w:ascii="sans-serif" w:hAnsi="sans-serif"/>
          <w:b w:val="false"/>
          <w:color w:val="000000"/>
          <w:sz w:val="22"/>
        </w:rPr>
        <w:t>or</w:t>
      </w:r>
      <w:r>
        <w:rPr>
          <w:color w:val="000000"/>
        </w:rPr>
        <w:t xml:space="preserve"> </w:t>
      </w:r>
      <w:r>
        <w:rPr>
          <w:rFonts w:ascii="sans-serif" w:hAnsi="sans-serif"/>
          <w:b w:val="false"/>
          <w:color w:val="000000"/>
          <w:sz w:val="22"/>
        </w:rPr>
        <w:t>financial planning services from a professional advisor or advisors during your service to the Company.</w:t>
      </w:r>
    </w:p>
    <w:p>
      <w:pPr>
        <w:pStyle w:val="TextBody"/>
        <w:bidi w:val="0"/>
        <w:spacing w:lineRule="auto" w:line="288" w:before="240" w:after="283"/>
        <w:ind w:left="0" w:right="0" w:hanging="851"/>
        <w:jc w:val="left"/>
        <w:rPr/>
      </w:pPr>
      <w:r>
        <w:rPr>
          <w:rFonts w:ascii="sans-serif" w:hAnsi="sans-serif"/>
          <w:b/>
          <w:color w:val="000000"/>
          <w:sz w:val="22"/>
        </w:rPr>
        <w:t>10.4.    Life</w:t>
      </w:r>
      <w:r>
        <w:rPr>
          <w:color w:val="000000"/>
        </w:rPr>
        <w:t xml:space="preserve"> </w:t>
      </w:r>
      <w:r>
        <w:rPr>
          <w:rFonts w:ascii="sans-serif" w:hAnsi="sans-serif"/>
          <w:b/>
          <w:color w:val="000000"/>
          <w:sz w:val="22"/>
        </w:rPr>
        <w:t>Insurance</w:t>
      </w:r>
    </w:p>
    <w:p>
      <w:pPr>
        <w:pStyle w:val="TextBody"/>
        <w:bidi w:val="0"/>
        <w:spacing w:lineRule="auto" w:line="288" w:before="199" w:after="283"/>
        <w:jc w:val="both"/>
        <w:rPr/>
      </w:pPr>
      <w:r>
        <w:rPr>
          <w:rFonts w:ascii="sans-serif" w:hAnsi="sans-serif"/>
          <w:b w:val="false"/>
          <w:color w:val="000000"/>
          <w:sz w:val="22"/>
        </w:rPr>
        <w:t>You</w:t>
      </w:r>
      <w:r>
        <w:rPr>
          <w:color w:val="000000"/>
        </w:rPr>
        <w:t xml:space="preserve"> </w:t>
      </w:r>
      <w:r>
        <w:rPr>
          <w:rFonts w:ascii="sans-serif" w:hAnsi="sans-serif"/>
          <w:b w:val="false"/>
          <w:color w:val="000000"/>
          <w:sz w:val="22"/>
        </w:rPr>
        <w:t>may</w:t>
      </w:r>
      <w:r>
        <w:rPr>
          <w:color w:val="000000"/>
        </w:rPr>
        <w:t xml:space="preserve"> </w:t>
      </w:r>
      <w:r>
        <w:rPr>
          <w:rFonts w:ascii="sans-serif" w:hAnsi="sans-serif"/>
          <w:b w:val="false"/>
          <w:color w:val="000000"/>
          <w:sz w:val="22"/>
        </w:rPr>
        <w:t>elect</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participate</w:t>
      </w:r>
      <w:r>
        <w:rPr>
          <w:color w:val="000000"/>
        </w:rPr>
        <w:t xml:space="preserve"> </w:t>
      </w:r>
      <w:r>
        <w:rPr>
          <w:rFonts w:ascii="sans-serif" w:hAnsi="sans-serif"/>
          <w:b w:val="false"/>
          <w:color w:val="000000"/>
          <w:sz w:val="22"/>
        </w:rPr>
        <w:t>in</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Group’s</w:t>
      </w:r>
      <w:r>
        <w:rPr>
          <w:color w:val="000000"/>
        </w:rPr>
        <w:t xml:space="preserve"> </w:t>
      </w:r>
      <w:r>
        <w:rPr>
          <w:rFonts w:ascii="sans-serif" w:hAnsi="sans-serif"/>
          <w:b w:val="false"/>
          <w:color w:val="000000"/>
          <w:sz w:val="22"/>
        </w:rPr>
        <w:t>life</w:t>
      </w:r>
      <w:r>
        <w:rPr>
          <w:color w:val="000000"/>
        </w:rPr>
        <w:t xml:space="preserve"> </w:t>
      </w:r>
      <w:r>
        <w:rPr>
          <w:rFonts w:ascii="sans-serif" w:hAnsi="sans-serif"/>
          <w:b w:val="false"/>
          <w:color w:val="000000"/>
          <w:sz w:val="22"/>
        </w:rPr>
        <w:t>insurance</w:t>
      </w:r>
      <w:r>
        <w:rPr>
          <w:color w:val="000000"/>
        </w:rPr>
        <w:t xml:space="preserve"> </w:t>
      </w:r>
      <w:r>
        <w:rPr>
          <w:rFonts w:ascii="sans-serif" w:hAnsi="sans-serif"/>
          <w:b w:val="false"/>
          <w:color w:val="000000"/>
          <w:sz w:val="22"/>
        </w:rPr>
        <w:t>plan,</w:t>
      </w:r>
      <w:r>
        <w:rPr>
          <w:color w:val="000000"/>
        </w:rPr>
        <w:t xml:space="preserve"> </w:t>
      </w:r>
      <w:r>
        <w:rPr>
          <w:rFonts w:ascii="sans-serif" w:hAnsi="sans-serif"/>
          <w:b w:val="false"/>
          <w:color w:val="000000"/>
          <w:sz w:val="22"/>
        </w:rPr>
        <w:t>in</w:t>
      </w:r>
      <w:r>
        <w:rPr>
          <w:color w:val="000000"/>
        </w:rPr>
        <w:t xml:space="preserve"> </w:t>
      </w:r>
      <w:r>
        <w:rPr>
          <w:rFonts w:ascii="sans-serif" w:hAnsi="sans-serif"/>
          <w:b w:val="false"/>
          <w:color w:val="000000"/>
          <w:sz w:val="22"/>
        </w:rPr>
        <w:t>accordance with the</w:t>
      </w:r>
      <w:r>
        <w:rPr>
          <w:color w:val="000000"/>
        </w:rPr>
        <w:t xml:space="preserve"> </w:t>
      </w:r>
      <w:r>
        <w:rPr>
          <w:rFonts w:ascii="sans-serif" w:hAnsi="sans-serif"/>
          <w:b w:val="false"/>
          <w:color w:val="000000"/>
          <w:sz w:val="22"/>
        </w:rPr>
        <w:t>terms</w:t>
      </w:r>
      <w:r>
        <w:rPr>
          <w:color w:val="000000"/>
        </w:rPr>
        <w:t xml:space="preserve"> </w:t>
      </w:r>
      <w:r>
        <w:rPr>
          <w:rFonts w:ascii="sans-serif" w:hAnsi="sans-serif"/>
          <w:b w:val="false"/>
          <w:color w:val="000000"/>
          <w:sz w:val="22"/>
        </w:rPr>
        <w:t>of the Company’s</w:t>
      </w:r>
      <w:r>
        <w:rPr>
          <w:color w:val="000000"/>
        </w:rPr>
        <w:t xml:space="preserve"> </w:t>
      </w:r>
      <w:r>
        <w:rPr>
          <w:rFonts w:ascii="sans-serif" w:hAnsi="sans-serif"/>
          <w:b w:val="false"/>
          <w:color w:val="000000"/>
          <w:sz w:val="22"/>
        </w:rPr>
        <w:t>life insurance</w:t>
      </w:r>
      <w:r>
        <w:rPr>
          <w:color w:val="000000"/>
        </w:rPr>
        <w:t xml:space="preserve"> </w:t>
      </w:r>
      <w:r>
        <w:rPr>
          <w:rFonts w:ascii="sans-serif" w:hAnsi="sans-serif"/>
          <w:b w:val="false"/>
          <w:color w:val="000000"/>
          <w:sz w:val="22"/>
        </w:rPr>
        <w:t>plan that</w:t>
      </w:r>
      <w:r>
        <w:rPr>
          <w:color w:val="000000"/>
        </w:rPr>
        <w:t xml:space="preserve"> </w:t>
      </w:r>
      <w:r>
        <w:rPr>
          <w:rFonts w:ascii="sans-serif" w:hAnsi="sans-serif"/>
          <w:b w:val="false"/>
          <w:color w:val="000000"/>
          <w:sz w:val="22"/>
        </w:rPr>
        <w:t>applies</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the Company’s executive officers, as it may be amended from time to time.</w:t>
      </w:r>
    </w:p>
    <w:p>
      <w:pPr>
        <w:pStyle w:val="TextBody"/>
        <w:bidi w:val="0"/>
        <w:spacing w:lineRule="auto" w:line="288" w:before="240" w:after="283"/>
        <w:ind w:left="0" w:right="0" w:hanging="851"/>
        <w:jc w:val="left"/>
        <w:rPr>
          <w:rFonts w:ascii="sans-serif" w:hAnsi="sans-serif"/>
          <w:b/>
          <w:color w:val="000000"/>
          <w:sz w:val="22"/>
        </w:rPr>
      </w:pPr>
      <w:r>
        <w:rPr>
          <w:rFonts w:ascii="sans-serif" w:hAnsi="sans-serif"/>
          <w:b/>
          <w:color w:val="000000"/>
          <w:sz w:val="22"/>
        </w:rPr>
        <w:t>11.    Severance</w:t>
      </w:r>
    </w:p>
    <w:p>
      <w:pPr>
        <w:pStyle w:val="TextBody"/>
        <w:bidi w:val="0"/>
        <w:spacing w:lineRule="auto" w:line="288" w:before="199" w:after="283"/>
        <w:jc w:val="left"/>
        <w:rPr/>
      </w:pPr>
      <w:r>
        <w:rPr>
          <w:rFonts w:ascii="sans-serif" w:hAnsi="sans-serif"/>
          <w:b w:val="false"/>
          <w:color w:val="000000"/>
          <w:sz w:val="22"/>
        </w:rPr>
        <w:t>You will be eligible to participate in the Severance Plan following your Commencement Date. Prior to or upon the Commencement Date, you will receive a Participation Agreement on the Group’s standard form for your review and sig-nature. Subject to your acceptance of this Participation Agreement under the Severance Plan, you will be eligible for the severance benefits described in the Severance</w:t>
      </w:r>
      <w:r>
        <w:rPr>
          <w:color w:val="000000"/>
        </w:rPr>
        <w:t xml:space="preserve"> </w:t>
      </w:r>
      <w:r>
        <w:rPr>
          <w:rFonts w:ascii="sans-serif" w:hAnsi="sans-serif"/>
          <w:b w:val="false"/>
          <w:color w:val="000000"/>
          <w:sz w:val="22"/>
        </w:rPr>
        <w:t>Plan</w:t>
      </w:r>
      <w:r>
        <w:rPr>
          <w:color w:val="000000"/>
        </w:rPr>
        <w:t xml:space="preserve"> </w:t>
      </w:r>
      <w:r>
        <w:rPr>
          <w:rFonts w:ascii="sans-serif" w:hAnsi="sans-serif"/>
          <w:b w:val="false"/>
          <w:color w:val="000000"/>
          <w:sz w:val="22"/>
        </w:rPr>
        <w:t>and your</w:t>
      </w:r>
      <w:r>
        <w:rPr>
          <w:color w:val="000000"/>
        </w:rPr>
        <w:t xml:space="preserve"> </w:t>
      </w:r>
      <w:r>
        <w:rPr>
          <w:rFonts w:ascii="sans-serif" w:hAnsi="sans-serif"/>
          <w:b w:val="false"/>
          <w:color w:val="000000"/>
          <w:sz w:val="22"/>
        </w:rPr>
        <w:t>Participation Agreement.</w:t>
      </w:r>
      <w:r>
        <w:rPr>
          <w:color w:val="000000"/>
        </w:rPr>
        <w:t xml:space="preserve"> </w:t>
      </w:r>
      <w:r>
        <w:rPr>
          <w:rFonts w:ascii="sans-serif" w:hAnsi="sans-serif"/>
          <w:b w:val="false"/>
          <w:color w:val="000000"/>
          <w:sz w:val="22"/>
        </w:rPr>
        <w:t>Your Participation Agreement shall reflect the following: (a) in the event of a Non-Change of Control Termination (as defined in the Severance Plan), (i) you shall be entitled to receive 12 months of your Monthly Base Salary (as defined in the Severance Plan), (ii) payment of any unpaid annual incentive for the prior year, and (iii) payment of a prorated target annual incentive for the year of termination with the proration equal</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fraction</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numerator</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which</w:t>
      </w:r>
      <w:r>
        <w:rPr>
          <w:color w:val="000000"/>
        </w:rPr>
        <w:t xml:space="preserve"> </w:t>
      </w:r>
      <w:r>
        <w:rPr>
          <w:rFonts w:ascii="sans-serif" w:hAnsi="sans-serif"/>
          <w:b w:val="false"/>
          <w:color w:val="000000"/>
          <w:sz w:val="22"/>
        </w:rPr>
        <w:t>is</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number</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days</w:t>
      </w:r>
      <w:r>
        <w:rPr>
          <w:color w:val="000000"/>
        </w:rPr>
        <w:t xml:space="preserve"> </w:t>
      </w:r>
      <w:r>
        <w:rPr>
          <w:rFonts w:ascii="sans-serif" w:hAnsi="sans-serif"/>
          <w:b w:val="false"/>
          <w:color w:val="000000"/>
          <w:sz w:val="22"/>
        </w:rPr>
        <w:t>elapsed</w:t>
      </w:r>
      <w:r>
        <w:rPr>
          <w:color w:val="000000"/>
        </w:rPr>
        <w:t xml:space="preserve"> </w:t>
      </w:r>
      <w:r>
        <w:rPr>
          <w:rFonts w:ascii="sans-serif" w:hAnsi="sans-serif"/>
          <w:b w:val="false"/>
          <w:color w:val="000000"/>
          <w:sz w:val="22"/>
        </w:rPr>
        <w:t>since the first day of the year and the date of termination and the denominator of which is 365, further adjusted by the financial performance of Lucid Group, Inc. for the year of termination (for this purpose assuming your personal performance is achieved at target); and (b) in the event of a Change of Control Termination (as defined in the Severance Plan), (i) you shall be entitled to receive 24 months of your Monthly Base Salary and Monthly Bonus Amount (in each case, as defined in the Severance Plan) and (ii) 100% of any outstanding, unvested equity awards in Lucid Group, Inc. will accelerate and are eligible for acceleration under</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Severance</w:t>
      </w:r>
      <w:r>
        <w:rPr>
          <w:color w:val="000000"/>
        </w:rPr>
        <w:t xml:space="preserve"> </w:t>
      </w:r>
      <w:r>
        <w:rPr>
          <w:rFonts w:ascii="sans-serif" w:hAnsi="sans-serif"/>
          <w:b w:val="false"/>
          <w:color w:val="000000"/>
          <w:sz w:val="22"/>
        </w:rPr>
        <w:t>Plan.</w:t>
      </w:r>
      <w:r>
        <w:rPr>
          <w:color w:val="000000"/>
        </w:rPr>
        <w:t xml:space="preserve"> </w:t>
      </w:r>
      <w:r>
        <w:rPr>
          <w:rFonts w:ascii="sans-serif" w:hAnsi="sans-serif"/>
          <w:b w:val="false"/>
          <w:color w:val="000000"/>
          <w:sz w:val="22"/>
        </w:rPr>
        <w:t>For</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avoidance</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doubt,</w:t>
      </w:r>
      <w:r>
        <w:rPr>
          <w:color w:val="000000"/>
        </w:rPr>
        <w:t xml:space="preserve"> </w:t>
      </w:r>
      <w:r>
        <w:rPr>
          <w:rFonts w:ascii="sans-serif" w:hAnsi="sans-serif"/>
          <w:b w:val="false"/>
          <w:color w:val="000000"/>
          <w:sz w:val="22"/>
        </w:rPr>
        <w:t>your</w:t>
      </w:r>
      <w:r>
        <w:rPr>
          <w:color w:val="000000"/>
        </w:rPr>
        <w:t xml:space="preserve"> </w:t>
      </w:r>
      <w:r>
        <w:rPr>
          <w:rFonts w:ascii="sans-serif" w:hAnsi="sans-serif"/>
          <w:b w:val="false"/>
          <w:color w:val="000000"/>
          <w:sz w:val="22"/>
        </w:rPr>
        <w:t>separation</w:t>
      </w:r>
      <w:r>
        <w:rPr>
          <w:color w:val="000000"/>
        </w:rPr>
        <w:t xml:space="preserve"> </w:t>
      </w:r>
      <w:r>
        <w:rPr>
          <w:rFonts w:ascii="sans-serif" w:hAnsi="sans-serif"/>
          <w:b w:val="false"/>
          <w:color w:val="000000"/>
          <w:sz w:val="22"/>
        </w:rPr>
        <w:t>from</w:t>
      </w:r>
      <w:r>
        <w:rPr>
          <w:color w:val="000000"/>
        </w:rPr>
        <w:t xml:space="preserve"> </w:t>
      </w:r>
      <w:r>
        <w:rPr>
          <w:rFonts w:ascii="sans-serif" w:hAnsi="sans-serif"/>
          <w:b w:val="false"/>
          <w:color w:val="000000"/>
          <w:sz w:val="22"/>
        </w:rPr>
        <w:t>employment under this Employment Agreement in order to commence employment under the U.S. Offer Letter shall not trigger any severance entitlement under the Severance Plan or Participation Agreement.</w:t>
      </w:r>
    </w:p>
    <w:p>
      <w:pPr>
        <w:pStyle w:val="TextBody"/>
        <w:bidi w:val="0"/>
        <w:spacing w:before="133" w:after="283"/>
        <w:jc w:val="left"/>
        <w:rPr/>
      </w:pPr>
      <w:r>
        <w:rPr/>
      </w:r>
    </w:p>
    <w:p>
      <w:pPr>
        <w:pStyle w:val="TextBody"/>
        <w:bidi w:val="0"/>
        <w:spacing w:lineRule="auto" w:line="288" w:before="21" w:after="283"/>
        <w:ind w:left="0" w:right="0" w:hanging="851"/>
        <w:jc w:val="left"/>
        <w:rPr>
          <w:rFonts w:ascii="sans-serif" w:hAnsi="sans-serif"/>
          <w:b/>
          <w:color w:val="000000"/>
          <w:sz w:val="22"/>
        </w:rPr>
      </w:pPr>
      <w:r>
        <w:rPr>
          <w:rFonts w:ascii="sans-serif" w:hAnsi="sans-serif"/>
          <w:b/>
          <w:color w:val="000000"/>
          <w:sz w:val="22"/>
        </w:rPr>
        <w:t>12.    Deductions</w:t>
      </w:r>
    </w:p>
    <w:p>
      <w:pPr>
        <w:pStyle w:val="TextBody"/>
        <w:bidi w:val="0"/>
        <w:spacing w:lineRule="auto" w:line="288" w:before="199" w:after="283"/>
        <w:jc w:val="left"/>
        <w:rPr/>
      </w:pPr>
      <w:r>
        <w:rPr>
          <w:rFonts w:ascii="sans-serif" w:hAnsi="sans-serif"/>
          <w:b w:val="false"/>
          <w:color w:val="000000"/>
          <w:sz w:val="22"/>
        </w:rPr>
        <w:t>From</w:t>
      </w:r>
      <w:r>
        <w:rPr>
          <w:color w:val="000000"/>
        </w:rPr>
        <w:t xml:space="preserve"> </w:t>
      </w:r>
      <w:r>
        <w:rPr>
          <w:rFonts w:ascii="sans-serif" w:hAnsi="sans-serif"/>
          <w:b w:val="false"/>
          <w:color w:val="000000"/>
          <w:sz w:val="22"/>
        </w:rPr>
        <w:t>any</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all</w:t>
      </w:r>
      <w:r>
        <w:rPr>
          <w:color w:val="000000"/>
        </w:rPr>
        <w:t xml:space="preserve"> </w:t>
      </w:r>
      <w:r>
        <w:rPr>
          <w:rFonts w:ascii="sans-serif" w:hAnsi="sans-serif"/>
          <w:b w:val="false"/>
          <w:color w:val="000000"/>
          <w:sz w:val="22"/>
        </w:rPr>
        <w:t>compensation</w:t>
      </w:r>
      <w:r>
        <w:rPr>
          <w:color w:val="000000"/>
        </w:rPr>
        <w:t xml:space="preserve"> </w:t>
      </w:r>
      <w:r>
        <w:rPr>
          <w:rFonts w:ascii="sans-serif" w:hAnsi="sans-serif"/>
          <w:b w:val="false"/>
          <w:color w:val="000000"/>
          <w:sz w:val="22"/>
        </w:rPr>
        <w:t>paid</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you</w:t>
      </w:r>
      <w:r>
        <w:rPr>
          <w:color w:val="000000"/>
        </w:rPr>
        <w:t xml:space="preserve"> </w:t>
      </w:r>
      <w:r>
        <w:rPr>
          <w:rFonts w:ascii="sans-serif" w:hAnsi="sans-serif"/>
          <w:b w:val="false"/>
          <w:color w:val="000000"/>
          <w:sz w:val="22"/>
        </w:rPr>
        <w:t>by</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Company,</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applicable Executive contributions as</w:t>
      </w:r>
      <w:r>
        <w:rPr>
          <w:color w:val="000000"/>
        </w:rPr>
        <w:t xml:space="preserve"> </w:t>
      </w:r>
      <w:r>
        <w:rPr>
          <w:rFonts w:ascii="sans-serif" w:hAnsi="sans-serif"/>
          <w:b w:val="false"/>
          <w:color w:val="000000"/>
          <w:sz w:val="22"/>
        </w:rPr>
        <w:t>per statutory laws, applicable regulations</w:t>
      </w:r>
      <w:r>
        <w:rPr>
          <w:color w:val="000000"/>
        </w:rPr>
        <w:t xml:space="preserve"> </w:t>
      </w:r>
      <w:r>
        <w:rPr>
          <w:rFonts w:ascii="sans-serif" w:hAnsi="sans-serif"/>
          <w:b w:val="false"/>
          <w:color w:val="000000"/>
          <w:sz w:val="22"/>
        </w:rPr>
        <w:t>and this Employment Agreement, as well as withholding taxes, if any, will be deducted and with-held by the Company from the payments made to you.</w:t>
      </w:r>
    </w:p>
    <w:p>
      <w:pPr>
        <w:pStyle w:val="TextBody"/>
        <w:bidi w:val="0"/>
        <w:spacing w:lineRule="auto" w:line="288" w:before="0" w:after="0"/>
        <w:jc w:val="left"/>
        <w:rPr/>
      </w:pPr>
      <w:r>
        <w:rPr>
          <w:rFonts w:ascii="sans-serif" w:hAnsi="sans-serif"/>
          <w:b w:val="false"/>
          <w:color w:val="000000"/>
          <w:sz w:val="22"/>
        </w:rPr>
        <w:t>The</w:t>
      </w:r>
      <w:r>
        <w:rPr>
          <w:color w:val="000000"/>
        </w:rPr>
        <w:t xml:space="preserve"> </w:t>
      </w:r>
      <w:r>
        <w:rPr>
          <w:rFonts w:ascii="sans-serif" w:hAnsi="sans-serif"/>
          <w:b w:val="false"/>
          <w:color w:val="000000"/>
          <w:sz w:val="22"/>
        </w:rPr>
        <w:t>reimbursement</w:t>
      </w:r>
      <w:r>
        <w:rPr>
          <w:color w:val="000000"/>
        </w:rPr>
        <w:t xml:space="preserve"> </w:t>
      </w:r>
      <w:r>
        <w:rPr>
          <w:rFonts w:ascii="sans-serif" w:hAnsi="sans-serif"/>
          <w:b w:val="false"/>
          <w:color w:val="000000"/>
          <w:sz w:val="22"/>
        </w:rPr>
        <w:t>is</w:t>
      </w:r>
      <w:r>
        <w:rPr>
          <w:color w:val="000000"/>
        </w:rPr>
        <w:t xml:space="preserve"> </w:t>
      </w:r>
      <w:r>
        <w:rPr>
          <w:rFonts w:ascii="sans-serif" w:hAnsi="sans-serif"/>
          <w:b w:val="false"/>
          <w:color w:val="000000"/>
          <w:sz w:val="22"/>
        </w:rPr>
        <w:t>subject</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terms</w:t>
      </w:r>
      <w:r>
        <w:rPr>
          <w:color w:val="000000"/>
        </w:rPr>
        <w:t xml:space="preserve"> </w:t>
      </w:r>
      <w:r>
        <w:rPr>
          <w:rFonts w:ascii="sans-serif" w:hAnsi="sans-serif"/>
          <w:b w:val="false"/>
          <w:color w:val="000000"/>
          <w:sz w:val="22"/>
        </w:rPr>
        <w:t>of the</w:t>
      </w:r>
      <w:r>
        <w:rPr>
          <w:color w:val="000000"/>
        </w:rPr>
        <w:t xml:space="preserve"> </w:t>
      </w:r>
      <w:r>
        <w:rPr>
          <w:rFonts w:ascii="sans-serif" w:hAnsi="sans-serif"/>
          <w:b w:val="false"/>
          <w:color w:val="000000"/>
          <w:sz w:val="22"/>
        </w:rPr>
        <w:t>reimbursement</w:t>
      </w:r>
      <w:r>
        <w:rPr>
          <w:color w:val="000000"/>
        </w:rPr>
        <w:t xml:space="preserve"> </w:t>
      </w:r>
      <w:r>
        <w:rPr>
          <w:rFonts w:ascii="sans-serif" w:hAnsi="sans-serif"/>
          <w:b w:val="false"/>
          <w:color w:val="000000"/>
          <w:sz w:val="22"/>
        </w:rPr>
        <w:t>policies</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the Company, issued and unilaterally amended from time to time.</w:t>
      </w:r>
    </w:p>
    <w:p>
      <w:pPr>
        <w:pStyle w:val="TextBody"/>
        <w:bidi w:val="0"/>
        <w:spacing w:lineRule="auto" w:line="240" w:before="0" w:after="0"/>
        <w:jc w:val="left"/>
        <w:rPr/>
      </w:pPr>
      <w:r>
        <w:rPr>
          <w:rFonts w:ascii="sans-serif" w:hAnsi="sans-serif"/>
          <w:b w:val="false"/>
          <w:color w:val="000000"/>
          <w:sz w:val="22"/>
        </w:rPr>
        <w:t>During</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term</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this</w:t>
      </w:r>
      <w:r>
        <w:rPr>
          <w:color w:val="000000"/>
        </w:rPr>
        <w:t xml:space="preserve"> </w:t>
      </w:r>
      <w:r>
        <w:rPr>
          <w:rFonts w:ascii="sans-serif" w:hAnsi="sans-serif"/>
          <w:b w:val="false"/>
          <w:color w:val="000000"/>
          <w:sz w:val="22"/>
        </w:rPr>
        <w:t>Agreement,</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Company</w:t>
      </w:r>
      <w:r>
        <w:rPr>
          <w:color w:val="000000"/>
        </w:rPr>
        <w:t xml:space="preserve"> </w:t>
      </w:r>
      <w:r>
        <w:rPr>
          <w:rFonts w:ascii="sans-serif" w:hAnsi="sans-serif"/>
          <w:b w:val="false"/>
          <w:color w:val="000000"/>
          <w:sz w:val="22"/>
        </w:rPr>
        <w:t>will</w:t>
      </w:r>
      <w:r>
        <w:rPr>
          <w:color w:val="000000"/>
        </w:rPr>
        <w:t xml:space="preserve"> </w:t>
      </w:r>
      <w:r>
        <w:rPr>
          <w:rFonts w:ascii="sans-serif" w:hAnsi="sans-serif"/>
          <w:b w:val="false"/>
          <w:color w:val="000000"/>
          <w:sz w:val="22"/>
        </w:rPr>
        <w:t>reimburse</w:t>
      </w:r>
      <w:r>
        <w:rPr>
          <w:color w:val="000000"/>
        </w:rPr>
        <w:t xml:space="preserve"> </w:t>
      </w:r>
      <w:r>
        <w:rPr>
          <w:rFonts w:ascii="sans-serif" w:hAnsi="sans-serif"/>
          <w:b w:val="false"/>
          <w:color w:val="000000"/>
          <w:sz w:val="22"/>
        </w:rPr>
        <w:t>you</w:t>
      </w:r>
      <w:r>
        <w:rPr>
          <w:color w:val="000000"/>
        </w:rPr>
        <w:t xml:space="preserve"> </w:t>
      </w:r>
      <w:r>
        <w:rPr>
          <w:rFonts w:ascii="sans-serif" w:hAnsi="sans-serif"/>
          <w:b w:val="false"/>
          <w:color w:val="000000"/>
          <w:sz w:val="22"/>
        </w:rPr>
        <w:t>for</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cost of your private health insurance for you and your spouse.</w:t>
      </w:r>
    </w:p>
    <w:p>
      <w:pPr>
        <w:pStyle w:val="TextBody"/>
        <w:bidi w:val="0"/>
        <w:spacing w:before="133"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11" w:before="0" w:after="0"/>
        <w:jc w:val="right"/>
        <w:rPr>
          <w:rFonts w:ascii="sans-serif" w:hAnsi="sans-serif"/>
          <w:b/>
          <w:color w:val="000000"/>
          <w:sz w:val="16"/>
        </w:rPr>
      </w:pPr>
      <w:r>
        <w:rPr>
          <w:rFonts w:ascii="sans-serif" w:hAnsi="sans-serif"/>
          <w:b/>
          <w:color w:val="000000"/>
          <w:sz w:val="16"/>
        </w:rPr>
        <w:t>Employment Agreement between Lucid Switzerland AG and Silvio Napoli</w:t>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582930"/>
                <wp:effectExtent l="0" t="0" r="0" b="0"/>
                <wp:wrapNone/>
                <wp:docPr id="140" name="Frame140"/>
                <a:graphic xmlns:a="http://schemas.openxmlformats.org/drawingml/2006/main">
                  <a:graphicData uri="http://schemas.microsoft.com/office/word/2010/wordprocessingShape">
                    <wps:wsp>
                      <wps:cNvSpPr txBox="1"/>
                      <wps:spPr>
                        <a:xfrm>
                          <a:off x="0" y="0"/>
                          <a:ext cx="6480175" cy="58293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sans-serif" w:hAnsi="sans-serif"/>
                                <w:b w:val="false"/>
                                <w:color w:val="000000"/>
                                <w:sz w:val="22"/>
                              </w:rPr>
                            </w:pPr>
                            <w:r>
                              <w:rPr>
                                <w:rFonts w:ascii="sans-serif" w:hAnsi="sans-serif"/>
                                <w:b w:val="false"/>
                                <w:color w:val="000000"/>
                                <w:sz w:val="22"/>
                              </w:rPr>
                              <w:t xml:space="preserve">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9pt;mso-wrap-distance-left:0pt;mso-wrap-distance-right:0pt;mso-wrap-distance-top:0pt;mso-wrap-distance-bottom:0pt;margin-top:0pt;mso-position-vertical:top;mso-position-vertical-relative:text;margin-left:-154.2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sans-serif" w:hAnsi="sans-serif"/>
                          <w:b w:val="false"/>
                          <w:color w:val="000000"/>
                          <w:sz w:val="22"/>
                        </w:rPr>
                      </w:pPr>
                      <w:r>
                        <w:rPr>
                          <w:rFonts w:ascii="sans-serif" w:hAnsi="sans-serif"/>
                          <w:b w:val="false"/>
                          <w:color w:val="000000"/>
                          <w:sz w:val="22"/>
                        </w:rPr>
                        <w:t xml:space="preserve">9 </w:t>
                      </w:r>
                    </w:p>
                  </w:txbxContent>
                </v:textbox>
                <w10:wrap type="none"/>
              </v:rect>
            </w:pict>
          </mc:Fallback>
        </mc:AlternateContent>
      </w:r>
    </w:p>
    <w:p>
      <w:pPr>
        <w:pStyle w:val="TextBody"/>
        <w:bidi w:val="0"/>
        <w:spacing w:lineRule="auto" w:line="288" w:before="21" w:after="283"/>
        <w:ind w:left="0" w:right="0" w:hanging="851"/>
        <w:jc w:val="left"/>
        <w:rPr/>
      </w:pPr>
      <w:r>
        <w:rPr>
          <w:rFonts w:ascii="sans-serif" w:hAnsi="sans-serif"/>
          <w:b/>
          <w:color w:val="000000"/>
          <w:sz w:val="24"/>
        </w:rPr>
        <w:t>13.    Release</w:t>
      </w:r>
      <w:r>
        <w:rPr>
          <w:color w:val="000000"/>
        </w:rPr>
        <w:t xml:space="preserve"> </w:t>
      </w:r>
      <w:r>
        <w:rPr>
          <w:rFonts w:ascii="sans-serif" w:hAnsi="sans-serif"/>
          <w:b/>
          <w:color w:val="000000"/>
          <w:sz w:val="24"/>
        </w:rPr>
        <w:t>from</w:t>
      </w:r>
      <w:r>
        <w:rPr>
          <w:color w:val="000000"/>
        </w:rPr>
        <w:t xml:space="preserve"> </w:t>
      </w:r>
      <w:r>
        <w:rPr>
          <w:rFonts w:ascii="sans-serif" w:hAnsi="sans-serif"/>
          <w:b/>
          <w:color w:val="000000"/>
          <w:sz w:val="24"/>
        </w:rPr>
        <w:t>Work</w:t>
      </w:r>
      <w:r>
        <w:rPr>
          <w:color w:val="000000"/>
        </w:rPr>
        <w:t xml:space="preserve"> </w:t>
      </w:r>
      <w:r>
        <w:rPr>
          <w:rFonts w:ascii="sans-serif" w:hAnsi="sans-serif"/>
          <w:b/>
          <w:color w:val="000000"/>
          <w:sz w:val="24"/>
        </w:rPr>
        <w:t>(Garden</w:t>
      </w:r>
      <w:r>
        <w:rPr>
          <w:color w:val="000000"/>
        </w:rPr>
        <w:t xml:space="preserve"> </w:t>
      </w:r>
      <w:r>
        <w:rPr>
          <w:rFonts w:ascii="sans-serif" w:hAnsi="sans-serif"/>
          <w:b/>
          <w:color w:val="000000"/>
          <w:sz w:val="24"/>
        </w:rPr>
        <w:t>Leave)</w:t>
      </w:r>
    </w:p>
    <w:p>
      <w:pPr>
        <w:pStyle w:val="TextBody"/>
        <w:bidi w:val="0"/>
        <w:spacing w:lineRule="auto" w:line="288" w:before="199" w:after="283"/>
        <w:jc w:val="left"/>
        <w:rPr/>
      </w:pPr>
      <w:r>
        <w:rPr>
          <w:rFonts w:ascii="sans-serif" w:hAnsi="sans-serif"/>
          <w:b w:val="false"/>
          <w:color w:val="000000"/>
          <w:sz w:val="24"/>
        </w:rPr>
        <w:t>The Company may at any time and with immediate effect release you from the duty</w:t>
      </w:r>
      <w:r>
        <w:rPr>
          <w:color w:val="000000"/>
        </w:rPr>
        <w:t xml:space="preserve"> </w:t>
      </w:r>
      <w:r>
        <w:rPr>
          <w:rFonts w:ascii="sans-serif" w:hAnsi="sans-serif"/>
          <w:b w:val="false"/>
          <w:color w:val="000000"/>
          <w:sz w:val="24"/>
        </w:rPr>
        <w:t>to</w:t>
      </w:r>
      <w:r>
        <w:rPr>
          <w:color w:val="000000"/>
        </w:rPr>
        <w:t xml:space="preserve"> </w:t>
      </w:r>
      <w:r>
        <w:rPr>
          <w:rFonts w:ascii="sans-serif" w:hAnsi="sans-serif"/>
          <w:b w:val="false"/>
          <w:color w:val="000000"/>
          <w:sz w:val="24"/>
        </w:rPr>
        <w:t>work.</w:t>
      </w:r>
      <w:r>
        <w:rPr>
          <w:color w:val="000000"/>
        </w:rPr>
        <w:t xml:space="preserve"> </w:t>
      </w:r>
      <w:r>
        <w:rPr>
          <w:rFonts w:ascii="sans-serif" w:hAnsi="sans-serif"/>
          <w:b w:val="false"/>
          <w:color w:val="000000"/>
          <w:sz w:val="24"/>
        </w:rPr>
        <w:t>In</w:t>
      </w:r>
      <w:r>
        <w:rPr>
          <w:color w:val="000000"/>
        </w:rPr>
        <w:t xml:space="preserve"> </w:t>
      </w:r>
      <w:r>
        <w:rPr>
          <w:rFonts w:ascii="sans-serif" w:hAnsi="sans-serif"/>
          <w:b w:val="false"/>
          <w:color w:val="000000"/>
          <w:sz w:val="24"/>
        </w:rPr>
        <w:t>such</w:t>
      </w:r>
      <w:r>
        <w:rPr>
          <w:color w:val="000000"/>
        </w:rPr>
        <w:t xml:space="preserve"> </w:t>
      </w:r>
      <w:r>
        <w:rPr>
          <w:rFonts w:ascii="sans-serif" w:hAnsi="sans-serif"/>
          <w:b w:val="false"/>
          <w:color w:val="000000"/>
          <w:sz w:val="24"/>
        </w:rPr>
        <w:t>case, you</w:t>
      </w:r>
      <w:r>
        <w:rPr>
          <w:color w:val="000000"/>
        </w:rPr>
        <w:t xml:space="preserve"> </w:t>
      </w:r>
      <w:r>
        <w:rPr>
          <w:rFonts w:ascii="sans-serif" w:hAnsi="sans-serif"/>
          <w:b w:val="false"/>
          <w:color w:val="000000"/>
          <w:sz w:val="24"/>
        </w:rPr>
        <w:t>continue</w:t>
      </w:r>
      <w:r>
        <w:rPr>
          <w:color w:val="000000"/>
        </w:rPr>
        <w:t xml:space="preserve"> </w:t>
      </w:r>
      <w:r>
        <w:rPr>
          <w:rFonts w:ascii="sans-serif" w:hAnsi="sans-serif"/>
          <w:b w:val="false"/>
          <w:color w:val="000000"/>
          <w:sz w:val="24"/>
        </w:rPr>
        <w:t>to</w:t>
      </w:r>
      <w:r>
        <w:rPr>
          <w:color w:val="000000"/>
        </w:rPr>
        <w:t xml:space="preserve"> </w:t>
      </w:r>
      <w:r>
        <w:rPr>
          <w:rFonts w:ascii="sans-serif" w:hAnsi="sans-serif"/>
          <w:b w:val="false"/>
          <w:color w:val="000000"/>
          <w:sz w:val="24"/>
        </w:rPr>
        <w:t>be</w:t>
      </w:r>
      <w:r>
        <w:rPr>
          <w:color w:val="000000"/>
        </w:rPr>
        <w:t xml:space="preserve"> </w:t>
      </w:r>
      <w:r>
        <w:rPr>
          <w:rFonts w:ascii="sans-serif" w:hAnsi="sans-serif"/>
          <w:b w:val="false"/>
          <w:color w:val="000000"/>
          <w:sz w:val="24"/>
        </w:rPr>
        <w:t>paid</w:t>
      </w:r>
      <w:r>
        <w:rPr>
          <w:color w:val="000000"/>
        </w:rPr>
        <w:t xml:space="preserve"> </w:t>
      </w:r>
      <w:r>
        <w:rPr>
          <w:rFonts w:ascii="sans-serif" w:hAnsi="sans-serif"/>
          <w:b w:val="false"/>
          <w:color w:val="000000"/>
          <w:sz w:val="24"/>
        </w:rPr>
        <w:t>the</w:t>
      </w:r>
      <w:r>
        <w:rPr>
          <w:color w:val="000000"/>
        </w:rPr>
        <w:t xml:space="preserve"> </w:t>
      </w:r>
      <w:r>
        <w:rPr>
          <w:rFonts w:ascii="sans-serif" w:hAnsi="sans-serif"/>
          <w:b w:val="false"/>
          <w:color w:val="000000"/>
          <w:sz w:val="24"/>
        </w:rPr>
        <w:t>Base</w:t>
      </w:r>
      <w:r>
        <w:rPr>
          <w:color w:val="000000"/>
        </w:rPr>
        <w:t xml:space="preserve"> </w:t>
      </w:r>
      <w:r>
        <w:rPr>
          <w:rFonts w:ascii="sans-serif" w:hAnsi="sans-serif"/>
          <w:b w:val="false"/>
          <w:color w:val="000000"/>
          <w:sz w:val="24"/>
        </w:rPr>
        <w:t>Salary. Any</w:t>
      </w:r>
      <w:r>
        <w:rPr>
          <w:color w:val="000000"/>
        </w:rPr>
        <w:t xml:space="preserve"> </w:t>
      </w:r>
      <w:r>
        <w:rPr>
          <w:rFonts w:ascii="sans-serif" w:hAnsi="sans-serif"/>
          <w:b w:val="false"/>
          <w:color w:val="000000"/>
          <w:sz w:val="24"/>
        </w:rPr>
        <w:t>overtime and time compensation entitlements, if any, and vacation shall (in the order in which they are listed, i.e. starting with any overtime entitlements) be offset against</w:t>
      </w:r>
      <w:r>
        <w:rPr>
          <w:color w:val="000000"/>
        </w:rPr>
        <w:t xml:space="preserve"> </w:t>
      </w:r>
      <w:r>
        <w:rPr>
          <w:rFonts w:ascii="sans-serif" w:hAnsi="sans-serif"/>
          <w:b w:val="false"/>
          <w:color w:val="000000"/>
          <w:sz w:val="24"/>
        </w:rPr>
        <w:t>the time</w:t>
      </w:r>
      <w:r>
        <w:rPr>
          <w:color w:val="000000"/>
        </w:rPr>
        <w:t xml:space="preserve"> </w:t>
      </w:r>
      <w:r>
        <w:rPr>
          <w:rFonts w:ascii="sans-serif" w:hAnsi="sans-serif"/>
          <w:b w:val="false"/>
          <w:color w:val="000000"/>
          <w:sz w:val="24"/>
        </w:rPr>
        <w:t>of</w:t>
      </w:r>
      <w:r>
        <w:rPr>
          <w:color w:val="000000"/>
        </w:rPr>
        <w:t xml:space="preserve"> </w:t>
      </w:r>
      <w:r>
        <w:rPr>
          <w:rFonts w:ascii="sans-serif" w:hAnsi="sans-serif"/>
          <w:b w:val="false"/>
          <w:color w:val="000000"/>
          <w:sz w:val="24"/>
        </w:rPr>
        <w:t>release from</w:t>
      </w:r>
      <w:r>
        <w:rPr>
          <w:color w:val="000000"/>
        </w:rPr>
        <w:t xml:space="preserve"> </w:t>
      </w:r>
      <w:r>
        <w:rPr>
          <w:rFonts w:ascii="sans-serif" w:hAnsi="sans-serif"/>
          <w:b w:val="false"/>
          <w:color w:val="000000"/>
          <w:sz w:val="24"/>
        </w:rPr>
        <w:t>work. The</w:t>
      </w:r>
      <w:r>
        <w:rPr>
          <w:color w:val="000000"/>
        </w:rPr>
        <w:t xml:space="preserve"> </w:t>
      </w:r>
      <w:r>
        <w:rPr>
          <w:rFonts w:ascii="sans-serif" w:hAnsi="sans-serif"/>
          <w:b w:val="false"/>
          <w:color w:val="000000"/>
          <w:sz w:val="24"/>
        </w:rPr>
        <w:t>Company</w:t>
      </w:r>
      <w:r>
        <w:rPr>
          <w:color w:val="000000"/>
        </w:rPr>
        <w:t xml:space="preserve"> </w:t>
      </w:r>
      <w:r>
        <w:rPr>
          <w:rFonts w:ascii="sans-serif" w:hAnsi="sans-serif"/>
          <w:b w:val="false"/>
          <w:color w:val="000000"/>
          <w:sz w:val="24"/>
        </w:rPr>
        <w:t>may</w:t>
      </w:r>
      <w:r>
        <w:rPr>
          <w:color w:val="000000"/>
        </w:rPr>
        <w:t xml:space="preserve"> </w:t>
      </w:r>
      <w:r>
        <w:rPr>
          <w:rFonts w:ascii="sans-serif" w:hAnsi="sans-serif"/>
          <w:b w:val="false"/>
          <w:color w:val="000000"/>
          <w:sz w:val="24"/>
        </w:rPr>
        <w:t>set</w:t>
      </w:r>
      <w:r>
        <w:rPr>
          <w:color w:val="000000"/>
        </w:rPr>
        <w:t xml:space="preserve"> </w:t>
      </w:r>
      <w:r>
        <w:rPr>
          <w:rFonts w:ascii="sans-serif" w:hAnsi="sans-serif"/>
          <w:b w:val="false"/>
          <w:color w:val="000000"/>
          <w:sz w:val="24"/>
        </w:rPr>
        <w:t>forth</w:t>
      </w:r>
      <w:r>
        <w:rPr>
          <w:color w:val="000000"/>
        </w:rPr>
        <w:t xml:space="preserve"> </w:t>
      </w:r>
      <w:r>
        <w:rPr>
          <w:rFonts w:ascii="sans-serif" w:hAnsi="sans-serif"/>
          <w:b w:val="false"/>
          <w:color w:val="000000"/>
          <w:sz w:val="24"/>
        </w:rPr>
        <w:t>further conditions applying to the release from duties.</w:t>
      </w:r>
    </w:p>
    <w:p>
      <w:pPr>
        <w:pStyle w:val="TextBody"/>
        <w:bidi w:val="0"/>
        <w:spacing w:before="132" w:after="283"/>
        <w:jc w:val="left"/>
        <w:rPr/>
      </w:pPr>
      <w:r>
        <w:rPr/>
      </w:r>
    </w:p>
    <w:p>
      <w:pPr>
        <w:pStyle w:val="TextBody"/>
        <w:bidi w:val="0"/>
        <w:spacing w:lineRule="auto" w:line="288" w:before="21" w:after="283"/>
        <w:ind w:left="0" w:right="0" w:hanging="851"/>
        <w:jc w:val="left"/>
        <w:rPr/>
      </w:pPr>
      <w:r>
        <w:rPr>
          <w:rFonts w:ascii="sans-serif" w:hAnsi="sans-serif"/>
          <w:b/>
          <w:color w:val="000000"/>
          <w:sz w:val="24"/>
        </w:rPr>
        <w:t>14.    Obligation</w:t>
      </w:r>
      <w:r>
        <w:rPr>
          <w:color w:val="000000"/>
        </w:rPr>
        <w:t xml:space="preserve"> </w:t>
      </w:r>
      <w:r>
        <w:rPr>
          <w:rFonts w:ascii="sans-serif" w:hAnsi="sans-serif"/>
          <w:b/>
          <w:color w:val="000000"/>
          <w:sz w:val="24"/>
        </w:rPr>
        <w:t>to</w:t>
      </w:r>
      <w:r>
        <w:rPr>
          <w:color w:val="000000"/>
        </w:rPr>
        <w:t xml:space="preserve"> </w:t>
      </w:r>
      <w:r>
        <w:rPr>
          <w:rFonts w:ascii="sans-serif" w:hAnsi="sans-serif"/>
          <w:b/>
          <w:color w:val="000000"/>
          <w:sz w:val="24"/>
        </w:rPr>
        <w:t>Return</w:t>
      </w:r>
      <w:r>
        <w:rPr>
          <w:color w:val="000000"/>
        </w:rPr>
        <w:t xml:space="preserve"> </w:t>
      </w:r>
      <w:r>
        <w:rPr>
          <w:rFonts w:ascii="sans-serif" w:hAnsi="sans-serif"/>
          <w:b/>
          <w:color w:val="000000"/>
          <w:sz w:val="24"/>
        </w:rPr>
        <w:t>Work</w:t>
      </w:r>
      <w:r>
        <w:rPr>
          <w:color w:val="000000"/>
        </w:rPr>
        <w:t xml:space="preserve"> </w:t>
      </w:r>
      <w:r>
        <w:rPr>
          <w:rFonts w:ascii="sans-serif" w:hAnsi="sans-serif"/>
          <w:b/>
          <w:color w:val="000000"/>
          <w:sz w:val="24"/>
        </w:rPr>
        <w:t>Equipment</w:t>
      </w:r>
    </w:p>
    <w:p>
      <w:pPr>
        <w:pStyle w:val="TextBody"/>
        <w:bidi w:val="0"/>
        <w:spacing w:lineRule="auto" w:line="288" w:before="199" w:after="283"/>
        <w:jc w:val="left"/>
        <w:rPr/>
      </w:pPr>
      <w:r>
        <w:rPr>
          <w:rFonts w:ascii="sans-serif" w:hAnsi="sans-serif"/>
          <w:b w:val="false"/>
          <w:color w:val="000000"/>
          <w:sz w:val="24"/>
        </w:rPr>
        <w:t>At the Company’s first request, but in any case at the latest at your last working day, you shall return to the Company everything you produced in the course of your work for the Company, everything which was given to you throughout the course of the Employment Agreement and everything which otherwise fell into your possession. The obligation to return work equipment includes in particular but</w:t>
      </w:r>
      <w:r>
        <w:rPr>
          <w:color w:val="000000"/>
        </w:rPr>
        <w:t xml:space="preserve"> </w:t>
      </w:r>
      <w:r>
        <w:rPr>
          <w:rFonts w:ascii="sans-serif" w:hAnsi="sans-serif"/>
          <w:b w:val="false"/>
          <w:color w:val="000000"/>
          <w:sz w:val="24"/>
        </w:rPr>
        <w:t>is</w:t>
      </w:r>
      <w:r>
        <w:rPr>
          <w:color w:val="000000"/>
        </w:rPr>
        <w:t xml:space="preserve"> </w:t>
      </w:r>
      <w:r>
        <w:rPr>
          <w:rFonts w:ascii="sans-serif" w:hAnsi="sans-serif"/>
          <w:b w:val="false"/>
          <w:color w:val="000000"/>
          <w:sz w:val="24"/>
        </w:rPr>
        <w:t>not</w:t>
      </w:r>
      <w:r>
        <w:rPr>
          <w:color w:val="000000"/>
        </w:rPr>
        <w:t xml:space="preserve"> </w:t>
      </w:r>
      <w:r>
        <w:rPr>
          <w:rFonts w:ascii="sans-serif" w:hAnsi="sans-serif"/>
          <w:b w:val="false"/>
          <w:color w:val="000000"/>
          <w:sz w:val="24"/>
        </w:rPr>
        <w:t>limited</w:t>
      </w:r>
      <w:r>
        <w:rPr>
          <w:color w:val="000000"/>
        </w:rPr>
        <w:t xml:space="preserve"> </w:t>
      </w:r>
      <w:r>
        <w:rPr>
          <w:rFonts w:ascii="sans-serif" w:hAnsi="sans-serif"/>
          <w:b w:val="false"/>
          <w:color w:val="000000"/>
          <w:sz w:val="24"/>
        </w:rPr>
        <w:t>to</w:t>
      </w:r>
      <w:r>
        <w:rPr>
          <w:color w:val="000000"/>
        </w:rPr>
        <w:t xml:space="preserve"> </w:t>
      </w:r>
      <w:r>
        <w:rPr>
          <w:rFonts w:ascii="sans-serif" w:hAnsi="sans-serif"/>
          <w:b w:val="false"/>
          <w:color w:val="000000"/>
          <w:sz w:val="24"/>
        </w:rPr>
        <w:t>keys,</w:t>
      </w:r>
      <w:r>
        <w:rPr>
          <w:color w:val="000000"/>
        </w:rPr>
        <w:t xml:space="preserve"> </w:t>
      </w:r>
      <w:r>
        <w:rPr>
          <w:rFonts w:ascii="sans-serif" w:hAnsi="sans-serif"/>
          <w:b w:val="false"/>
          <w:color w:val="000000"/>
          <w:sz w:val="24"/>
        </w:rPr>
        <w:t>mobile</w:t>
      </w:r>
      <w:r>
        <w:rPr>
          <w:color w:val="000000"/>
        </w:rPr>
        <w:t xml:space="preserve"> </w:t>
      </w:r>
      <w:r>
        <w:rPr>
          <w:rFonts w:ascii="sans-serif" w:hAnsi="sans-serif"/>
          <w:b w:val="false"/>
          <w:color w:val="000000"/>
          <w:sz w:val="24"/>
        </w:rPr>
        <w:t>phones,</w:t>
      </w:r>
      <w:r>
        <w:rPr>
          <w:color w:val="000000"/>
        </w:rPr>
        <w:t xml:space="preserve"> </w:t>
      </w:r>
      <w:r>
        <w:rPr>
          <w:rFonts w:ascii="sans-serif" w:hAnsi="sans-serif"/>
          <w:b w:val="false"/>
          <w:color w:val="000000"/>
          <w:sz w:val="24"/>
        </w:rPr>
        <w:t>laptops,</w:t>
      </w:r>
      <w:r>
        <w:rPr>
          <w:color w:val="000000"/>
        </w:rPr>
        <w:t xml:space="preserve"> </w:t>
      </w:r>
      <w:r>
        <w:rPr>
          <w:rFonts w:ascii="sans-serif" w:hAnsi="sans-serif"/>
          <w:b w:val="false"/>
          <w:color w:val="000000"/>
          <w:sz w:val="24"/>
        </w:rPr>
        <w:t>badges</w:t>
      </w:r>
      <w:r>
        <w:rPr>
          <w:color w:val="000000"/>
        </w:rPr>
        <w:t xml:space="preserve"> </w:t>
      </w:r>
      <w:r>
        <w:rPr>
          <w:rFonts w:ascii="sans-serif" w:hAnsi="sans-serif"/>
          <w:b w:val="false"/>
          <w:color w:val="000000"/>
          <w:sz w:val="24"/>
        </w:rPr>
        <w:t>as</w:t>
      </w:r>
      <w:r>
        <w:rPr>
          <w:color w:val="000000"/>
        </w:rPr>
        <w:t xml:space="preserve"> </w:t>
      </w:r>
      <w:r>
        <w:rPr>
          <w:rFonts w:ascii="sans-serif" w:hAnsi="sans-serif"/>
          <w:b w:val="false"/>
          <w:color w:val="000000"/>
          <w:sz w:val="24"/>
        </w:rPr>
        <w:t>well</w:t>
      </w:r>
      <w:r>
        <w:rPr>
          <w:color w:val="000000"/>
        </w:rPr>
        <w:t xml:space="preserve"> </w:t>
      </w:r>
      <w:r>
        <w:rPr>
          <w:rFonts w:ascii="sans-serif" w:hAnsi="sans-serif"/>
          <w:b w:val="false"/>
          <w:color w:val="000000"/>
          <w:sz w:val="24"/>
        </w:rPr>
        <w:t>as</w:t>
      </w:r>
      <w:r>
        <w:rPr>
          <w:color w:val="000000"/>
        </w:rPr>
        <w:t xml:space="preserve"> </w:t>
      </w:r>
      <w:r>
        <w:rPr>
          <w:rFonts w:ascii="sans-serif" w:hAnsi="sans-serif"/>
          <w:b w:val="false"/>
          <w:color w:val="000000"/>
          <w:sz w:val="24"/>
        </w:rPr>
        <w:t>data</w:t>
      </w:r>
      <w:r>
        <w:rPr>
          <w:color w:val="000000"/>
        </w:rPr>
        <w:t xml:space="preserve"> </w:t>
      </w:r>
      <w:r>
        <w:rPr>
          <w:rFonts w:ascii="sans-serif" w:hAnsi="sans-serif"/>
          <w:b w:val="false"/>
          <w:color w:val="000000"/>
          <w:sz w:val="24"/>
        </w:rPr>
        <w:t>carriers and records</w:t>
      </w:r>
      <w:r>
        <w:rPr>
          <w:color w:val="000000"/>
        </w:rPr>
        <w:t xml:space="preserve"> </w:t>
      </w:r>
      <w:r>
        <w:rPr>
          <w:rFonts w:ascii="sans-serif" w:hAnsi="sans-serif"/>
          <w:b w:val="false"/>
          <w:color w:val="000000"/>
          <w:sz w:val="24"/>
        </w:rPr>
        <w:t>of any kind, including any copies.</w:t>
      </w:r>
      <w:r>
        <w:rPr>
          <w:color w:val="000000"/>
        </w:rPr>
        <w:t xml:space="preserve"> </w:t>
      </w:r>
      <w:r>
        <w:rPr>
          <w:rFonts w:ascii="sans-serif" w:hAnsi="sans-serif"/>
          <w:b w:val="false"/>
          <w:color w:val="000000"/>
          <w:sz w:val="24"/>
        </w:rPr>
        <w:t>Any</w:t>
      </w:r>
      <w:r>
        <w:rPr>
          <w:color w:val="000000"/>
        </w:rPr>
        <w:t xml:space="preserve"> </w:t>
      </w:r>
      <w:r>
        <w:rPr>
          <w:rFonts w:ascii="sans-serif" w:hAnsi="sans-serif"/>
          <w:b w:val="false"/>
          <w:color w:val="000000"/>
          <w:sz w:val="24"/>
        </w:rPr>
        <w:t>possible</w:t>
      </w:r>
      <w:r>
        <w:rPr>
          <w:color w:val="000000"/>
        </w:rPr>
        <w:t xml:space="preserve"> </w:t>
      </w:r>
      <w:r>
        <w:rPr>
          <w:rFonts w:ascii="sans-serif" w:hAnsi="sans-serif"/>
          <w:b w:val="false"/>
          <w:color w:val="000000"/>
          <w:sz w:val="24"/>
        </w:rPr>
        <w:t>retention right of the Executive is explicitly waived.</w:t>
      </w:r>
    </w:p>
    <w:p>
      <w:pPr>
        <w:pStyle w:val="TextBody"/>
        <w:bidi w:val="0"/>
        <w:spacing w:lineRule="auto" w:line="288" w:before="59" w:after="283"/>
        <w:jc w:val="left"/>
        <w:rPr/>
      </w:pPr>
      <w:r>
        <w:rPr>
          <w:rFonts w:ascii="sans-serif" w:hAnsi="sans-serif"/>
          <w:b w:val="false"/>
          <w:color w:val="000000"/>
          <w:sz w:val="24"/>
        </w:rPr>
        <w:t>Likewise,</w:t>
      </w:r>
      <w:r>
        <w:rPr>
          <w:color w:val="000000"/>
        </w:rPr>
        <w:t xml:space="preserve"> </w:t>
      </w:r>
      <w:r>
        <w:rPr>
          <w:rFonts w:ascii="sans-serif" w:hAnsi="sans-serif"/>
          <w:b w:val="false"/>
          <w:color w:val="000000"/>
          <w:sz w:val="24"/>
        </w:rPr>
        <w:t>you</w:t>
      </w:r>
      <w:r>
        <w:rPr>
          <w:color w:val="000000"/>
        </w:rPr>
        <w:t xml:space="preserve"> </w:t>
      </w:r>
      <w:r>
        <w:rPr>
          <w:rFonts w:ascii="sans-serif" w:hAnsi="sans-serif"/>
          <w:b w:val="false"/>
          <w:color w:val="000000"/>
          <w:sz w:val="24"/>
        </w:rPr>
        <w:t>are</w:t>
      </w:r>
      <w:r>
        <w:rPr>
          <w:color w:val="000000"/>
        </w:rPr>
        <w:t xml:space="preserve"> </w:t>
      </w:r>
      <w:r>
        <w:rPr>
          <w:rFonts w:ascii="sans-serif" w:hAnsi="sans-serif"/>
          <w:b w:val="false"/>
          <w:color w:val="000000"/>
          <w:sz w:val="24"/>
        </w:rPr>
        <w:t>obligated</w:t>
      </w:r>
      <w:r>
        <w:rPr>
          <w:color w:val="000000"/>
        </w:rPr>
        <w:t xml:space="preserve"> </w:t>
      </w:r>
      <w:r>
        <w:rPr>
          <w:rFonts w:ascii="sans-serif" w:hAnsi="sans-serif"/>
          <w:b w:val="false"/>
          <w:color w:val="000000"/>
          <w:sz w:val="24"/>
        </w:rPr>
        <w:t>to</w:t>
      </w:r>
      <w:r>
        <w:rPr>
          <w:color w:val="000000"/>
        </w:rPr>
        <w:t xml:space="preserve"> </w:t>
      </w:r>
      <w:r>
        <w:rPr>
          <w:rFonts w:ascii="sans-serif" w:hAnsi="sans-serif"/>
          <w:b w:val="false"/>
          <w:color w:val="000000"/>
          <w:sz w:val="24"/>
        </w:rPr>
        <w:t>irrevocably</w:t>
      </w:r>
      <w:r>
        <w:rPr>
          <w:color w:val="000000"/>
        </w:rPr>
        <w:t xml:space="preserve"> </w:t>
      </w:r>
      <w:r>
        <w:rPr>
          <w:rFonts w:ascii="sans-serif" w:hAnsi="sans-serif"/>
          <w:b w:val="false"/>
          <w:color w:val="000000"/>
          <w:sz w:val="24"/>
        </w:rPr>
        <w:t>delete</w:t>
      </w:r>
      <w:r>
        <w:rPr>
          <w:color w:val="000000"/>
        </w:rPr>
        <w:t xml:space="preserve"> </w:t>
      </w:r>
      <w:r>
        <w:rPr>
          <w:rFonts w:ascii="sans-serif" w:hAnsi="sans-serif"/>
          <w:b w:val="false"/>
          <w:color w:val="000000"/>
          <w:sz w:val="24"/>
        </w:rPr>
        <w:t>all confidential</w:t>
      </w:r>
      <w:r>
        <w:rPr>
          <w:color w:val="000000"/>
        </w:rPr>
        <w:t xml:space="preserve"> </w:t>
      </w:r>
      <w:r>
        <w:rPr>
          <w:rFonts w:ascii="sans-serif" w:hAnsi="sans-serif"/>
          <w:b w:val="false"/>
          <w:color w:val="000000"/>
          <w:sz w:val="24"/>
        </w:rPr>
        <w:t>and</w:t>
      </w:r>
      <w:r>
        <w:rPr>
          <w:color w:val="000000"/>
        </w:rPr>
        <w:t xml:space="preserve"> </w:t>
      </w:r>
      <w:r>
        <w:rPr>
          <w:rFonts w:ascii="sans-serif" w:hAnsi="sans-serif"/>
          <w:b w:val="false"/>
          <w:color w:val="000000"/>
          <w:sz w:val="24"/>
        </w:rPr>
        <w:t xml:space="preserve">proprietary information within the meaning of Section </w:t>
      </w:r>
      <w:hyperlink w:anchor="idd6fad8712694f0d879ae7d0ccda99a7_10">
        <w:r>
          <w:rPr>
            <w:rStyle w:val="InternetLink"/>
            <w:rFonts w:ascii="sans-serif" w:hAnsi="sans-serif"/>
            <w:b w:val="false"/>
            <w:strike w:val="false"/>
            <w:dstrike w:val="false"/>
            <w:color w:val="000000"/>
            <w:sz w:val="24"/>
            <w:u w:val="none"/>
            <w:effect w:val="none"/>
          </w:rPr>
          <w:t>20</w:t>
        </w:r>
      </w:hyperlink>
      <w:r>
        <w:rPr>
          <w:rFonts w:ascii="sans-serif" w:hAnsi="sans-serif"/>
          <w:b w:val="false"/>
          <w:color w:val="000000"/>
          <w:sz w:val="24"/>
        </w:rPr>
        <w:t xml:space="preserve"> stored on private data carriers at the Company's first request, but no later than upon termination of the Employment Relationship.</w:t>
      </w:r>
    </w:p>
    <w:p>
      <w:pPr>
        <w:pStyle w:val="TextBody"/>
        <w:bidi w:val="0"/>
        <w:spacing w:before="133" w:after="283"/>
        <w:jc w:val="left"/>
        <w:rPr/>
      </w:pPr>
      <w:r>
        <w:rPr/>
      </w:r>
    </w:p>
    <w:p>
      <w:pPr>
        <w:pStyle w:val="TextBody"/>
        <w:bidi w:val="0"/>
        <w:spacing w:lineRule="auto" w:line="288" w:before="21" w:after="283"/>
        <w:ind w:left="0" w:right="0" w:hanging="851"/>
        <w:jc w:val="left"/>
        <w:rPr/>
      </w:pPr>
      <w:r>
        <w:rPr>
          <w:rFonts w:ascii="sans-serif" w:hAnsi="sans-serif"/>
          <w:b/>
          <w:color w:val="000000"/>
          <w:sz w:val="24"/>
        </w:rPr>
        <w:t>15.    Working</w:t>
      </w:r>
      <w:r>
        <w:rPr>
          <w:color w:val="000000"/>
        </w:rPr>
        <w:t xml:space="preserve"> </w:t>
      </w:r>
      <w:r>
        <w:rPr>
          <w:rFonts w:ascii="sans-serif" w:hAnsi="sans-serif"/>
          <w:b/>
          <w:color w:val="000000"/>
          <w:sz w:val="24"/>
        </w:rPr>
        <w:t>Time</w:t>
      </w:r>
    </w:p>
    <w:p>
      <w:pPr>
        <w:pStyle w:val="TextBody"/>
        <w:bidi w:val="0"/>
        <w:spacing w:lineRule="auto" w:line="288" w:before="240" w:after="283"/>
        <w:ind w:left="0" w:right="0" w:hanging="851"/>
        <w:jc w:val="left"/>
        <w:rPr>
          <w:rFonts w:ascii="sans-serif" w:hAnsi="sans-serif"/>
          <w:b/>
          <w:color w:val="000000"/>
          <w:sz w:val="24"/>
        </w:rPr>
      </w:pPr>
      <w:r>
        <w:rPr>
          <w:rFonts w:ascii="sans-serif" w:hAnsi="sans-serif"/>
          <w:b/>
          <w:color w:val="000000"/>
          <w:sz w:val="24"/>
        </w:rPr>
        <w:t>15.1.    General</w:t>
      </w:r>
    </w:p>
    <w:p>
      <w:pPr>
        <w:pStyle w:val="TextBody"/>
        <w:bidi w:val="0"/>
        <w:spacing w:lineRule="auto" w:line="288" w:before="240" w:after="283"/>
        <w:jc w:val="left"/>
        <w:rPr/>
      </w:pPr>
      <w:r>
        <w:rPr>
          <w:rFonts w:ascii="sans-serif" w:hAnsi="sans-serif"/>
          <w:b w:val="false"/>
          <w:color w:val="000000"/>
          <w:sz w:val="24"/>
        </w:rPr>
        <w:t>You</w:t>
      </w:r>
      <w:r>
        <w:rPr>
          <w:color w:val="000000"/>
        </w:rPr>
        <w:t xml:space="preserve"> </w:t>
      </w:r>
      <w:r>
        <w:rPr>
          <w:rFonts w:ascii="sans-serif" w:hAnsi="sans-serif"/>
          <w:b w:val="false"/>
          <w:color w:val="000000"/>
          <w:sz w:val="24"/>
        </w:rPr>
        <w:t>shall</w:t>
      </w:r>
      <w:r>
        <w:rPr>
          <w:color w:val="000000"/>
        </w:rPr>
        <w:t xml:space="preserve"> </w:t>
      </w:r>
      <w:r>
        <w:rPr>
          <w:rFonts w:ascii="sans-serif" w:hAnsi="sans-serif"/>
          <w:b w:val="false"/>
          <w:color w:val="000000"/>
          <w:sz w:val="24"/>
        </w:rPr>
        <w:t>be</w:t>
      </w:r>
      <w:r>
        <w:rPr>
          <w:color w:val="000000"/>
        </w:rPr>
        <w:t xml:space="preserve"> </w:t>
      </w:r>
      <w:r>
        <w:rPr>
          <w:rFonts w:ascii="sans-serif" w:hAnsi="sans-serif"/>
          <w:b w:val="false"/>
          <w:color w:val="000000"/>
          <w:sz w:val="24"/>
        </w:rPr>
        <w:t>working</w:t>
      </w:r>
      <w:r>
        <w:rPr>
          <w:color w:val="000000"/>
        </w:rPr>
        <w:t xml:space="preserve"> </w:t>
      </w:r>
      <w:r>
        <w:rPr>
          <w:rFonts w:ascii="sans-serif" w:hAnsi="sans-serif"/>
          <w:b w:val="false"/>
          <w:color w:val="000000"/>
          <w:sz w:val="24"/>
        </w:rPr>
        <w:t>full-time</w:t>
      </w:r>
      <w:r>
        <w:rPr>
          <w:color w:val="000000"/>
        </w:rPr>
        <w:t xml:space="preserve"> </w:t>
      </w:r>
      <w:r>
        <w:rPr>
          <w:rFonts w:ascii="sans-serif" w:hAnsi="sans-serif"/>
          <w:b w:val="false"/>
          <w:color w:val="000000"/>
          <w:sz w:val="24"/>
        </w:rPr>
        <w:t>(100%).</w:t>
      </w:r>
      <w:r>
        <w:rPr>
          <w:color w:val="000000"/>
        </w:rPr>
        <w:t xml:space="preserve"> </w:t>
      </w:r>
      <w:r>
        <w:rPr>
          <w:rFonts w:ascii="sans-serif" w:hAnsi="sans-serif"/>
          <w:b w:val="false"/>
          <w:color w:val="000000"/>
          <w:sz w:val="24"/>
        </w:rPr>
        <w:t>The</w:t>
      </w:r>
      <w:r>
        <w:rPr>
          <w:color w:val="000000"/>
        </w:rPr>
        <w:t xml:space="preserve"> </w:t>
      </w:r>
      <w:r>
        <w:rPr>
          <w:rFonts w:ascii="sans-serif" w:hAnsi="sans-serif"/>
          <w:b w:val="false"/>
          <w:color w:val="000000"/>
          <w:sz w:val="24"/>
        </w:rPr>
        <w:t>weekly</w:t>
      </w:r>
      <w:r>
        <w:rPr>
          <w:color w:val="000000"/>
        </w:rPr>
        <w:t xml:space="preserve"> </w:t>
      </w:r>
      <w:r>
        <w:rPr>
          <w:rFonts w:ascii="sans-serif" w:hAnsi="sans-serif"/>
          <w:b w:val="false"/>
          <w:color w:val="000000"/>
          <w:sz w:val="24"/>
        </w:rPr>
        <w:t>working</w:t>
      </w:r>
      <w:r>
        <w:rPr>
          <w:color w:val="000000"/>
        </w:rPr>
        <w:t xml:space="preserve"> </w:t>
      </w:r>
      <w:r>
        <w:rPr>
          <w:rFonts w:ascii="sans-serif" w:hAnsi="sans-serif"/>
          <w:b w:val="false"/>
          <w:color w:val="000000"/>
          <w:sz w:val="24"/>
        </w:rPr>
        <w:t>time</w:t>
      </w:r>
      <w:r>
        <w:rPr>
          <w:color w:val="000000"/>
        </w:rPr>
        <w:t xml:space="preserve"> </w:t>
      </w:r>
      <w:r>
        <w:rPr>
          <w:rFonts w:ascii="sans-serif" w:hAnsi="sans-serif"/>
          <w:b w:val="false"/>
          <w:color w:val="000000"/>
          <w:sz w:val="24"/>
        </w:rPr>
        <w:t>depends</w:t>
      </w:r>
      <w:r>
        <w:rPr>
          <w:color w:val="000000"/>
        </w:rPr>
        <w:t xml:space="preserve"> </w:t>
      </w:r>
      <w:r>
        <w:rPr>
          <w:rFonts w:ascii="sans-serif" w:hAnsi="sans-serif"/>
          <w:b w:val="false"/>
          <w:color w:val="000000"/>
          <w:sz w:val="24"/>
        </w:rPr>
        <w:t>on</w:t>
      </w:r>
      <w:r>
        <w:rPr>
          <w:color w:val="000000"/>
        </w:rPr>
        <w:t xml:space="preserve"> </w:t>
      </w:r>
      <w:r>
        <w:rPr>
          <w:rFonts w:ascii="sans-serif" w:hAnsi="sans-serif"/>
          <w:b w:val="false"/>
          <w:color w:val="000000"/>
          <w:sz w:val="24"/>
        </w:rPr>
        <w:t>the needs to perform the position successfully but is</w:t>
      </w:r>
      <w:r>
        <w:rPr>
          <w:color w:val="000000"/>
        </w:rPr>
        <w:t xml:space="preserve"> </w:t>
      </w:r>
      <w:r>
        <w:rPr>
          <w:rFonts w:ascii="sans-serif" w:hAnsi="sans-serif"/>
          <w:b w:val="false"/>
          <w:color w:val="000000"/>
          <w:sz w:val="24"/>
        </w:rPr>
        <w:t>at least 42 hours per week on an average basis.</w:t>
      </w:r>
    </w:p>
    <w:p>
      <w:pPr>
        <w:pStyle w:val="TextBody"/>
        <w:bidi w:val="0"/>
        <w:spacing w:lineRule="auto" w:line="288" w:before="60" w:after="283"/>
        <w:jc w:val="left"/>
        <w:rPr/>
      </w:pPr>
      <w:r>
        <w:rPr>
          <w:rFonts w:ascii="sans-serif" w:hAnsi="sans-serif"/>
          <w:b w:val="false"/>
          <w:color w:val="000000"/>
          <w:sz w:val="24"/>
        </w:rPr>
        <w:t>The</w:t>
      </w:r>
      <w:r>
        <w:rPr>
          <w:color w:val="000000"/>
        </w:rPr>
        <w:t xml:space="preserve"> </w:t>
      </w:r>
      <w:r>
        <w:rPr>
          <w:rFonts w:ascii="sans-serif" w:hAnsi="sans-serif"/>
          <w:b w:val="false"/>
          <w:color w:val="000000"/>
          <w:sz w:val="24"/>
        </w:rPr>
        <w:t>working</w:t>
      </w:r>
      <w:r>
        <w:rPr>
          <w:color w:val="000000"/>
        </w:rPr>
        <w:t xml:space="preserve"> </w:t>
      </w:r>
      <w:r>
        <w:rPr>
          <w:rFonts w:ascii="sans-serif" w:hAnsi="sans-serif"/>
          <w:b w:val="false"/>
          <w:color w:val="000000"/>
          <w:sz w:val="24"/>
        </w:rPr>
        <w:t>hour</w:t>
      </w:r>
      <w:r>
        <w:rPr>
          <w:color w:val="000000"/>
        </w:rPr>
        <w:t xml:space="preserve"> </w:t>
      </w:r>
      <w:r>
        <w:rPr>
          <w:rFonts w:ascii="sans-serif" w:hAnsi="sans-serif"/>
          <w:b w:val="false"/>
          <w:color w:val="000000"/>
          <w:sz w:val="24"/>
        </w:rPr>
        <w:t>details</w:t>
      </w:r>
      <w:r>
        <w:rPr>
          <w:color w:val="000000"/>
        </w:rPr>
        <w:t xml:space="preserve"> </w:t>
      </w:r>
      <w:r>
        <w:rPr>
          <w:rFonts w:ascii="sans-serif" w:hAnsi="sans-serif"/>
          <w:b w:val="false"/>
          <w:color w:val="000000"/>
          <w:sz w:val="24"/>
        </w:rPr>
        <w:t>may</w:t>
      </w:r>
      <w:r>
        <w:rPr>
          <w:color w:val="000000"/>
        </w:rPr>
        <w:t xml:space="preserve"> </w:t>
      </w:r>
      <w:r>
        <w:rPr>
          <w:rFonts w:ascii="sans-serif" w:hAnsi="sans-serif"/>
          <w:b w:val="false"/>
          <w:color w:val="000000"/>
          <w:sz w:val="24"/>
        </w:rPr>
        <w:t>be</w:t>
      </w:r>
      <w:r>
        <w:rPr>
          <w:color w:val="000000"/>
        </w:rPr>
        <w:t xml:space="preserve"> </w:t>
      </w:r>
      <w:r>
        <w:rPr>
          <w:rFonts w:ascii="sans-serif" w:hAnsi="sans-serif"/>
          <w:b w:val="false"/>
          <w:color w:val="000000"/>
          <w:sz w:val="24"/>
        </w:rPr>
        <w:t>set</w:t>
      </w:r>
      <w:r>
        <w:rPr>
          <w:color w:val="000000"/>
        </w:rPr>
        <w:t xml:space="preserve"> </w:t>
      </w:r>
      <w:r>
        <w:rPr>
          <w:rFonts w:ascii="sans-serif" w:hAnsi="sans-serif"/>
          <w:b w:val="false"/>
          <w:color w:val="000000"/>
          <w:sz w:val="24"/>
        </w:rPr>
        <w:t>forth</w:t>
      </w:r>
      <w:r>
        <w:rPr>
          <w:color w:val="000000"/>
        </w:rPr>
        <w:t xml:space="preserve"> </w:t>
      </w:r>
      <w:r>
        <w:rPr>
          <w:rFonts w:ascii="sans-serif" w:hAnsi="sans-serif"/>
          <w:b w:val="false"/>
          <w:color w:val="000000"/>
          <w:sz w:val="24"/>
        </w:rPr>
        <w:t>in</w:t>
      </w:r>
      <w:r>
        <w:rPr>
          <w:color w:val="000000"/>
        </w:rPr>
        <w:t xml:space="preserve"> </w:t>
      </w:r>
      <w:r>
        <w:rPr>
          <w:rFonts w:ascii="sans-serif" w:hAnsi="sans-serif"/>
          <w:b w:val="false"/>
          <w:color w:val="000000"/>
          <w:sz w:val="24"/>
        </w:rPr>
        <w:t>working</w:t>
      </w:r>
      <w:r>
        <w:rPr>
          <w:color w:val="000000"/>
        </w:rPr>
        <w:t xml:space="preserve"> </w:t>
      </w:r>
      <w:r>
        <w:rPr>
          <w:rFonts w:ascii="sans-serif" w:hAnsi="sans-serif"/>
          <w:b w:val="false"/>
          <w:color w:val="000000"/>
          <w:sz w:val="24"/>
        </w:rPr>
        <w:t>time</w:t>
      </w:r>
      <w:r>
        <w:rPr>
          <w:color w:val="000000"/>
        </w:rPr>
        <w:t xml:space="preserve"> </w:t>
      </w:r>
      <w:r>
        <w:rPr>
          <w:rFonts w:ascii="sans-serif" w:hAnsi="sans-serif"/>
          <w:b w:val="false"/>
          <w:color w:val="000000"/>
          <w:sz w:val="24"/>
        </w:rPr>
        <w:t>regulations,</w:t>
      </w:r>
      <w:r>
        <w:rPr>
          <w:color w:val="000000"/>
        </w:rPr>
        <w:t xml:space="preserve"> </w:t>
      </w:r>
      <w:r>
        <w:rPr>
          <w:rFonts w:ascii="sans-serif" w:hAnsi="sans-serif"/>
          <w:b w:val="false"/>
          <w:color w:val="000000"/>
          <w:sz w:val="24"/>
        </w:rPr>
        <w:t>as</w:t>
      </w:r>
      <w:r>
        <w:rPr>
          <w:color w:val="000000"/>
        </w:rPr>
        <w:t xml:space="preserve"> </w:t>
      </w:r>
      <w:r>
        <w:rPr>
          <w:rFonts w:ascii="sans-serif" w:hAnsi="sans-serif"/>
          <w:b w:val="false"/>
          <w:color w:val="000000"/>
          <w:sz w:val="24"/>
        </w:rPr>
        <w:t>implemented and/or amended by the Company from time to time.</w:t>
      </w:r>
    </w:p>
    <w:p>
      <w:pPr>
        <w:pStyle w:val="TextBody"/>
        <w:bidi w:val="0"/>
        <w:spacing w:lineRule="auto" w:line="288" w:before="240" w:after="283"/>
        <w:ind w:left="0" w:right="0" w:hanging="851"/>
        <w:jc w:val="left"/>
        <w:rPr/>
      </w:pPr>
      <w:r>
        <w:rPr>
          <w:rFonts w:ascii="sans-serif" w:hAnsi="sans-serif"/>
          <w:b/>
          <w:color w:val="000000"/>
          <w:sz w:val="24"/>
        </w:rPr>
        <w:t>15.2.    Additional</w:t>
      </w:r>
      <w:r>
        <w:rPr>
          <w:color w:val="000000"/>
        </w:rPr>
        <w:t xml:space="preserve"> </w:t>
      </w:r>
      <w:r>
        <w:rPr>
          <w:rFonts w:ascii="sans-serif" w:hAnsi="sans-serif"/>
          <w:b/>
          <w:color w:val="000000"/>
          <w:sz w:val="24"/>
        </w:rPr>
        <w:t>Work</w:t>
      </w:r>
    </w:p>
    <w:p>
      <w:pPr>
        <w:pStyle w:val="TextBody"/>
        <w:bidi w:val="0"/>
        <w:spacing w:lineRule="auto" w:line="288" w:before="199" w:after="283"/>
        <w:jc w:val="left"/>
        <w:rPr/>
      </w:pPr>
      <w:r>
        <w:rPr>
          <w:rFonts w:ascii="sans-serif" w:hAnsi="sans-serif"/>
          <w:b w:val="false"/>
          <w:color w:val="000000"/>
          <w:sz w:val="24"/>
        </w:rPr>
        <w:t>You</w:t>
      </w:r>
      <w:r>
        <w:rPr>
          <w:color w:val="000000"/>
        </w:rPr>
        <w:t xml:space="preserve"> </w:t>
      </w:r>
      <w:r>
        <w:rPr>
          <w:rFonts w:ascii="sans-serif" w:hAnsi="sans-serif"/>
          <w:b w:val="false"/>
          <w:color w:val="000000"/>
          <w:sz w:val="24"/>
        </w:rPr>
        <w:t>shall</w:t>
      </w:r>
      <w:r>
        <w:rPr>
          <w:color w:val="000000"/>
        </w:rPr>
        <w:t xml:space="preserve"> </w:t>
      </w:r>
      <w:r>
        <w:rPr>
          <w:rFonts w:ascii="sans-serif" w:hAnsi="sans-serif"/>
          <w:b w:val="false"/>
          <w:color w:val="000000"/>
          <w:sz w:val="24"/>
        </w:rPr>
        <w:t>work</w:t>
      </w:r>
      <w:r>
        <w:rPr>
          <w:color w:val="000000"/>
        </w:rPr>
        <w:t xml:space="preserve"> </w:t>
      </w:r>
      <w:r>
        <w:rPr>
          <w:rFonts w:ascii="sans-serif" w:hAnsi="sans-serif"/>
          <w:b w:val="false"/>
          <w:color w:val="000000"/>
          <w:sz w:val="24"/>
        </w:rPr>
        <w:t>additional</w:t>
      </w:r>
      <w:r>
        <w:rPr>
          <w:color w:val="000000"/>
        </w:rPr>
        <w:t xml:space="preserve"> </w:t>
      </w:r>
      <w:r>
        <w:rPr>
          <w:rFonts w:ascii="sans-serif" w:hAnsi="sans-serif"/>
          <w:b w:val="false"/>
          <w:color w:val="000000"/>
          <w:sz w:val="24"/>
        </w:rPr>
        <w:t>hours,</w:t>
      </w:r>
      <w:r>
        <w:rPr>
          <w:color w:val="000000"/>
        </w:rPr>
        <w:t xml:space="preserve"> </w:t>
      </w:r>
      <w:r>
        <w:rPr>
          <w:rFonts w:ascii="sans-serif" w:hAnsi="sans-serif"/>
          <w:b w:val="false"/>
          <w:color w:val="000000"/>
          <w:sz w:val="24"/>
        </w:rPr>
        <w:t>if</w:t>
      </w:r>
      <w:r>
        <w:rPr>
          <w:color w:val="000000"/>
        </w:rPr>
        <w:t xml:space="preserve"> </w:t>
      </w:r>
      <w:r>
        <w:rPr>
          <w:rFonts w:ascii="sans-serif" w:hAnsi="sans-serif"/>
          <w:b w:val="false"/>
          <w:color w:val="000000"/>
          <w:sz w:val="24"/>
        </w:rPr>
        <w:t>this</w:t>
      </w:r>
      <w:r>
        <w:rPr>
          <w:color w:val="000000"/>
        </w:rPr>
        <w:t xml:space="preserve"> </w:t>
      </w:r>
      <w:r>
        <w:rPr>
          <w:rFonts w:ascii="sans-serif" w:hAnsi="sans-serif"/>
          <w:b w:val="false"/>
          <w:color w:val="000000"/>
          <w:sz w:val="24"/>
        </w:rPr>
        <w:t>is</w:t>
      </w:r>
      <w:r>
        <w:rPr>
          <w:color w:val="000000"/>
        </w:rPr>
        <w:t xml:space="preserve"> </w:t>
      </w:r>
      <w:r>
        <w:rPr>
          <w:rFonts w:ascii="sans-serif" w:hAnsi="sans-serif"/>
          <w:b w:val="false"/>
          <w:color w:val="000000"/>
          <w:sz w:val="24"/>
        </w:rPr>
        <w:t>necessary</w:t>
      </w:r>
      <w:r>
        <w:rPr>
          <w:color w:val="000000"/>
        </w:rPr>
        <w:t xml:space="preserve"> </w:t>
      </w:r>
      <w:r>
        <w:rPr>
          <w:rFonts w:ascii="sans-serif" w:hAnsi="sans-serif"/>
          <w:b w:val="false"/>
          <w:color w:val="000000"/>
          <w:sz w:val="24"/>
        </w:rPr>
        <w:t>to</w:t>
      </w:r>
      <w:r>
        <w:rPr>
          <w:color w:val="000000"/>
        </w:rPr>
        <w:t xml:space="preserve"> </w:t>
      </w:r>
      <w:r>
        <w:rPr>
          <w:rFonts w:ascii="sans-serif" w:hAnsi="sans-serif"/>
          <w:b w:val="false"/>
          <w:color w:val="000000"/>
          <w:sz w:val="24"/>
        </w:rPr>
        <w:t>fulfil</w:t>
      </w:r>
      <w:r>
        <w:rPr>
          <w:color w:val="000000"/>
        </w:rPr>
        <w:t xml:space="preserve"> </w:t>
      </w:r>
      <w:r>
        <w:rPr>
          <w:rFonts w:ascii="sans-serif" w:hAnsi="sans-serif"/>
          <w:b w:val="false"/>
          <w:color w:val="000000"/>
          <w:sz w:val="24"/>
        </w:rPr>
        <w:t>your</w:t>
      </w:r>
      <w:r>
        <w:rPr>
          <w:color w:val="000000"/>
        </w:rPr>
        <w:t xml:space="preserve"> </w:t>
      </w:r>
      <w:r>
        <w:rPr>
          <w:rFonts w:ascii="sans-serif" w:hAnsi="sans-serif"/>
          <w:b w:val="false"/>
          <w:color w:val="000000"/>
          <w:sz w:val="24"/>
        </w:rPr>
        <w:t>duties</w:t>
      </w:r>
      <w:r>
        <w:rPr>
          <w:color w:val="000000"/>
        </w:rPr>
        <w:t xml:space="preserve"> </w:t>
      </w:r>
      <w:r>
        <w:rPr>
          <w:rFonts w:ascii="sans-serif" w:hAnsi="sans-serif"/>
          <w:b w:val="false"/>
          <w:color w:val="000000"/>
          <w:sz w:val="24"/>
        </w:rPr>
        <w:t>under</w:t>
      </w:r>
      <w:r>
        <w:rPr>
          <w:color w:val="000000"/>
        </w:rPr>
        <w:t xml:space="preserve"> </w:t>
      </w:r>
      <w:r>
        <w:rPr>
          <w:rFonts w:ascii="sans-serif" w:hAnsi="sans-serif"/>
          <w:b w:val="false"/>
          <w:color w:val="000000"/>
          <w:sz w:val="24"/>
        </w:rPr>
        <w:t>this Employment Agreement.</w:t>
      </w:r>
    </w:p>
    <w:p>
      <w:pPr>
        <w:pStyle w:val="TextBody"/>
        <w:bidi w:val="0"/>
        <w:spacing w:lineRule="auto" w:line="288" w:before="0" w:after="0"/>
        <w:jc w:val="left"/>
        <w:rPr/>
      </w:pPr>
      <w:r>
        <w:rPr>
          <w:rFonts w:ascii="sans-serif" w:hAnsi="sans-serif"/>
          <w:b w:val="false"/>
          <w:color w:val="000000"/>
          <w:sz w:val="24"/>
        </w:rPr>
        <w:t xml:space="preserve">The Base Salary as defined in Section </w:t>
      </w:r>
      <w:hyperlink w:anchor="idd6fad8712694f0d879ae7d0ccda99a7_10">
        <w:r>
          <w:rPr>
            <w:rStyle w:val="InternetLink"/>
            <w:rFonts w:ascii="sans-serif" w:hAnsi="sans-serif"/>
            <w:b w:val="false"/>
            <w:strike w:val="false"/>
            <w:dstrike w:val="false"/>
            <w:color w:val="000000"/>
            <w:sz w:val="24"/>
            <w:u w:val="none"/>
            <w:effect w:val="none"/>
          </w:rPr>
          <w:t>9.1</w:t>
        </w:r>
      </w:hyperlink>
      <w:r>
        <w:rPr>
          <w:rFonts w:ascii="sans-serif" w:hAnsi="sans-serif"/>
          <w:b w:val="false"/>
          <w:color w:val="000000"/>
          <w:sz w:val="24"/>
        </w:rPr>
        <w:t xml:space="preserve"> includes any and all remuneration for overtime and the first 60 extra hours per calendar year, and you shall have no entitlement to additional compensation for overtime and/or the first 60 extra hours,</w:t>
      </w:r>
      <w:r>
        <w:rPr>
          <w:color w:val="000000"/>
        </w:rPr>
        <w:t xml:space="preserve"> </w:t>
      </w:r>
      <w:r>
        <w:rPr>
          <w:rFonts w:ascii="sans-serif" w:hAnsi="sans-serif"/>
          <w:b w:val="false"/>
          <w:color w:val="000000"/>
          <w:sz w:val="24"/>
        </w:rPr>
        <w:t>whether</w:t>
      </w:r>
      <w:r>
        <w:rPr>
          <w:color w:val="000000"/>
        </w:rPr>
        <w:t xml:space="preserve"> </w:t>
      </w:r>
      <w:r>
        <w:rPr>
          <w:rFonts w:ascii="sans-serif" w:hAnsi="sans-serif"/>
          <w:b w:val="false"/>
          <w:color w:val="000000"/>
          <w:sz w:val="24"/>
        </w:rPr>
        <w:t>in</w:t>
      </w:r>
      <w:r>
        <w:rPr>
          <w:color w:val="000000"/>
        </w:rPr>
        <w:t xml:space="preserve"> </w:t>
      </w:r>
      <w:r>
        <w:rPr>
          <w:rFonts w:ascii="sans-serif" w:hAnsi="sans-serif"/>
          <w:b w:val="false"/>
          <w:color w:val="000000"/>
          <w:sz w:val="24"/>
        </w:rPr>
        <w:t>cash</w:t>
      </w:r>
      <w:r>
        <w:rPr>
          <w:color w:val="000000"/>
        </w:rPr>
        <w:t xml:space="preserve"> </w:t>
      </w:r>
      <w:r>
        <w:rPr>
          <w:rFonts w:ascii="sans-serif" w:hAnsi="sans-serif"/>
          <w:b w:val="false"/>
          <w:color w:val="000000"/>
          <w:sz w:val="24"/>
        </w:rPr>
        <w:t>or</w:t>
      </w:r>
      <w:r>
        <w:rPr>
          <w:color w:val="000000"/>
        </w:rPr>
        <w:t xml:space="preserve"> </w:t>
      </w:r>
      <w:r>
        <w:rPr>
          <w:rFonts w:ascii="sans-serif" w:hAnsi="sans-serif"/>
          <w:b w:val="false"/>
          <w:color w:val="000000"/>
          <w:sz w:val="24"/>
        </w:rPr>
        <w:t>in</w:t>
      </w:r>
      <w:r>
        <w:rPr>
          <w:color w:val="000000"/>
        </w:rPr>
        <w:t xml:space="preserve"> </w:t>
      </w:r>
      <w:r>
        <w:rPr>
          <w:rFonts w:ascii="sans-serif" w:hAnsi="sans-serif"/>
          <w:b w:val="false"/>
          <w:color w:val="000000"/>
          <w:sz w:val="24"/>
        </w:rPr>
        <w:t>kind. From</w:t>
      </w:r>
      <w:r>
        <w:rPr>
          <w:color w:val="000000"/>
        </w:rPr>
        <w:t xml:space="preserve"> </w:t>
      </w:r>
      <w:r>
        <w:rPr>
          <w:rFonts w:ascii="sans-serif" w:hAnsi="sans-serif"/>
          <w:b w:val="false"/>
          <w:color w:val="000000"/>
          <w:sz w:val="24"/>
        </w:rPr>
        <w:t>the</w:t>
      </w:r>
      <w:r>
        <w:rPr>
          <w:color w:val="000000"/>
        </w:rPr>
        <w:t xml:space="preserve"> </w:t>
      </w:r>
      <w:r>
        <w:rPr>
          <w:rFonts w:ascii="sans-serif" w:hAnsi="sans-serif"/>
          <w:b w:val="false"/>
          <w:color w:val="000000"/>
          <w:sz w:val="24"/>
        </w:rPr>
        <w:t>61</w:t>
      </w:r>
      <w:r>
        <w:rPr>
          <w:rFonts w:ascii="sans-serif" w:hAnsi="sans-serif"/>
          <w:b w:val="false"/>
          <w:color w:val="000000"/>
          <w:sz w:val="16"/>
        </w:rPr>
        <w:t>st</w:t>
      </w:r>
      <w:r>
        <w:rPr>
          <w:color w:val="000000"/>
        </w:rPr>
        <w:t xml:space="preserve"> </w:t>
      </w:r>
      <w:r>
        <w:rPr>
          <w:rFonts w:ascii="sans-serif" w:hAnsi="sans-serif"/>
          <w:b w:val="false"/>
          <w:color w:val="000000"/>
          <w:sz w:val="24"/>
        </w:rPr>
        <w:t>extra</w:t>
      </w:r>
      <w:r>
        <w:rPr>
          <w:color w:val="000000"/>
        </w:rPr>
        <w:t xml:space="preserve"> </w:t>
      </w:r>
      <w:r>
        <w:rPr>
          <w:rFonts w:ascii="sans-serif" w:hAnsi="sans-serif"/>
          <w:b w:val="false"/>
          <w:color w:val="000000"/>
          <w:sz w:val="24"/>
        </w:rPr>
        <w:t>hour</w:t>
      </w:r>
      <w:r>
        <w:rPr>
          <w:color w:val="000000"/>
        </w:rPr>
        <w:t xml:space="preserve"> </w:t>
      </w:r>
      <w:r>
        <w:rPr>
          <w:rFonts w:ascii="sans-serif" w:hAnsi="sans-serif"/>
          <w:b w:val="false"/>
          <w:color w:val="000000"/>
          <w:sz w:val="24"/>
        </w:rPr>
        <w:t>per</w:t>
      </w:r>
      <w:r>
        <w:rPr>
          <w:color w:val="000000"/>
        </w:rPr>
        <w:t xml:space="preserve"> </w:t>
      </w:r>
      <w:r>
        <w:rPr>
          <w:rFonts w:ascii="sans-serif" w:hAnsi="sans-serif"/>
          <w:b w:val="false"/>
          <w:color w:val="000000"/>
          <w:sz w:val="24"/>
        </w:rPr>
        <w:t>calendar</w:t>
      </w:r>
      <w:r>
        <w:rPr>
          <w:color w:val="000000"/>
        </w:rPr>
        <w:t xml:space="preserve"> </w:t>
      </w:r>
      <w:r>
        <w:rPr>
          <w:rFonts w:ascii="sans-serif" w:hAnsi="sans-serif"/>
          <w:b w:val="false"/>
          <w:color w:val="000000"/>
          <w:sz w:val="24"/>
        </w:rPr>
        <w:t>year, you shall be obliged to compensate extra hours with time off of the same duration within one calendar year. You shall not be entitled to payment of extra hours from the 61</w:t>
      </w:r>
      <w:r>
        <w:rPr>
          <w:rFonts w:ascii="sans-serif" w:hAnsi="sans-serif"/>
          <w:b w:val="false"/>
          <w:color w:val="000000"/>
          <w:sz w:val="16"/>
        </w:rPr>
        <w:t>st</w:t>
      </w:r>
      <w:r>
        <w:rPr>
          <w:color w:val="000000"/>
        </w:rPr>
        <w:t xml:space="preserve"> </w:t>
      </w:r>
      <w:r>
        <w:rPr>
          <w:rFonts w:ascii="sans-serif" w:hAnsi="sans-serif"/>
          <w:b w:val="false"/>
          <w:color w:val="000000"/>
          <w:sz w:val="24"/>
        </w:rPr>
        <w:t>extra hour.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11" w:before="0" w:after="0"/>
        <w:jc w:val="right"/>
        <w:rPr>
          <w:rFonts w:ascii="sans-serif" w:hAnsi="sans-serif"/>
          <w:b/>
          <w:color w:val="000000"/>
          <w:sz w:val="16"/>
        </w:rPr>
      </w:pPr>
      <w:r>
        <w:rPr>
          <w:rFonts w:ascii="sans-serif" w:hAnsi="sans-serif"/>
          <w:b/>
          <w:color w:val="000000"/>
          <w:sz w:val="16"/>
        </w:rPr>
        <w:t>Employment Agreement between Lucid Switzerland AG and Silvio Napoli</w:t>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582930"/>
                <wp:effectExtent l="0" t="0" r="0" b="0"/>
                <wp:wrapNone/>
                <wp:docPr id="141" name="Frame141"/>
                <a:graphic xmlns:a="http://schemas.openxmlformats.org/drawingml/2006/main">
                  <a:graphicData uri="http://schemas.microsoft.com/office/word/2010/wordprocessingShape">
                    <wps:wsp>
                      <wps:cNvSpPr txBox="1"/>
                      <wps:spPr>
                        <a:xfrm>
                          <a:off x="0" y="0"/>
                          <a:ext cx="6480175" cy="58293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sans-serif" w:hAnsi="sans-serif"/>
                                <w:b w:val="false"/>
                                <w:color w:val="000000"/>
                                <w:sz w:val="22"/>
                              </w:rPr>
                            </w:pPr>
                            <w:r>
                              <w:rPr>
                                <w:rFonts w:ascii="sans-serif" w:hAnsi="sans-serif"/>
                                <w:b w:val="false"/>
                                <w:color w:val="000000"/>
                                <w:sz w:val="22"/>
                              </w:rPr>
                              <w:t xml:space="preserve">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9pt;mso-wrap-distance-left:0pt;mso-wrap-distance-right:0pt;mso-wrap-distance-top:0pt;mso-wrap-distance-bottom:0pt;margin-top:0pt;mso-position-vertical:top;mso-position-vertical-relative:text;margin-left:-154.2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sans-serif" w:hAnsi="sans-serif"/>
                          <w:b w:val="false"/>
                          <w:color w:val="000000"/>
                          <w:sz w:val="22"/>
                        </w:rPr>
                      </w:pPr>
                      <w:r>
                        <w:rPr>
                          <w:rFonts w:ascii="sans-serif" w:hAnsi="sans-serif"/>
                          <w:b w:val="false"/>
                          <w:color w:val="000000"/>
                          <w:sz w:val="22"/>
                        </w:rPr>
                        <w:t xml:space="preserve">10 </w:t>
                      </w:r>
                    </w:p>
                  </w:txbxContent>
                </v:textbox>
                <w10:wrap type="none"/>
              </v:rect>
            </w:pict>
          </mc:Fallback>
        </mc:AlternateContent>
      </w:r>
    </w:p>
    <w:p>
      <w:pPr>
        <w:pStyle w:val="TextBody"/>
        <w:bidi w:val="0"/>
        <w:spacing w:lineRule="auto" w:line="288" w:before="240" w:after="283"/>
        <w:ind w:left="0" w:right="0" w:hanging="851"/>
        <w:jc w:val="left"/>
        <w:rPr>
          <w:rFonts w:ascii="sans-serif" w:hAnsi="sans-serif"/>
          <w:b/>
          <w:color w:val="000000"/>
          <w:sz w:val="24"/>
        </w:rPr>
      </w:pPr>
      <w:r>
        <w:rPr>
          <w:rFonts w:ascii="sans-serif" w:hAnsi="sans-serif"/>
          <w:b/>
          <w:color w:val="000000"/>
          <w:sz w:val="24"/>
        </w:rPr>
        <w:t>16.    Vacation</w:t>
      </w:r>
    </w:p>
    <w:p>
      <w:pPr>
        <w:pStyle w:val="TextBody"/>
        <w:bidi w:val="0"/>
        <w:spacing w:lineRule="auto" w:line="288" w:before="199" w:after="283"/>
        <w:jc w:val="left"/>
        <w:rPr/>
      </w:pPr>
      <w:r>
        <w:rPr>
          <w:rFonts w:ascii="sans-serif" w:hAnsi="sans-serif"/>
          <w:b w:val="false"/>
          <w:color w:val="000000"/>
          <w:sz w:val="24"/>
        </w:rPr>
        <w:t>You</w:t>
      </w:r>
      <w:r>
        <w:rPr>
          <w:color w:val="000000"/>
        </w:rPr>
        <w:t xml:space="preserve"> </w:t>
      </w:r>
      <w:r>
        <w:rPr>
          <w:rFonts w:ascii="sans-serif" w:hAnsi="sans-serif"/>
          <w:b w:val="false"/>
          <w:color w:val="000000"/>
          <w:sz w:val="24"/>
        </w:rPr>
        <w:t>are</w:t>
      </w:r>
      <w:r>
        <w:rPr>
          <w:color w:val="000000"/>
        </w:rPr>
        <w:t xml:space="preserve"> </w:t>
      </w:r>
      <w:r>
        <w:rPr>
          <w:rFonts w:ascii="sans-serif" w:hAnsi="sans-serif"/>
          <w:b w:val="false"/>
          <w:color w:val="000000"/>
          <w:sz w:val="24"/>
        </w:rPr>
        <w:t>entitled</w:t>
      </w:r>
      <w:r>
        <w:rPr>
          <w:color w:val="000000"/>
        </w:rPr>
        <w:t xml:space="preserve"> </w:t>
      </w:r>
      <w:r>
        <w:rPr>
          <w:rFonts w:ascii="sans-serif" w:hAnsi="sans-serif"/>
          <w:b w:val="false"/>
          <w:color w:val="000000"/>
          <w:sz w:val="24"/>
        </w:rPr>
        <w:t>to</w:t>
      </w:r>
      <w:r>
        <w:rPr>
          <w:color w:val="000000"/>
        </w:rPr>
        <w:t xml:space="preserve"> </w:t>
      </w:r>
      <w:r>
        <w:rPr>
          <w:rFonts w:ascii="sans-serif" w:hAnsi="sans-serif"/>
          <w:b w:val="false"/>
          <w:color w:val="000000"/>
          <w:sz w:val="24"/>
        </w:rPr>
        <w:t>25</w:t>
      </w:r>
      <w:r>
        <w:rPr>
          <w:color w:val="000000"/>
        </w:rPr>
        <w:t xml:space="preserve"> </w:t>
      </w:r>
      <w:r>
        <w:rPr>
          <w:rFonts w:ascii="sans-serif" w:hAnsi="sans-serif"/>
          <w:b w:val="false"/>
          <w:color w:val="000000"/>
          <w:sz w:val="24"/>
        </w:rPr>
        <w:t>(</w:t>
      </w:r>
      <w:r>
        <w:rPr>
          <w:rFonts w:ascii="sans-serif" w:hAnsi="sans-serif"/>
          <w:b w:val="false"/>
          <w:i/>
          <w:color w:val="000000"/>
          <w:sz w:val="24"/>
        </w:rPr>
        <w:t>twenty-five</w:t>
      </w:r>
      <w:r>
        <w:rPr>
          <w:rFonts w:ascii="sans-serif" w:hAnsi="sans-serif"/>
          <w:b w:val="false"/>
          <w:color w:val="000000"/>
          <w:sz w:val="24"/>
        </w:rPr>
        <w:t>)</w:t>
      </w:r>
      <w:r>
        <w:rPr>
          <w:color w:val="000000"/>
        </w:rPr>
        <w:t xml:space="preserve"> </w:t>
      </w:r>
      <w:r>
        <w:rPr>
          <w:rFonts w:ascii="sans-serif" w:hAnsi="sans-serif"/>
          <w:b w:val="false"/>
          <w:color w:val="000000"/>
          <w:sz w:val="24"/>
        </w:rPr>
        <w:t>business</w:t>
      </w:r>
      <w:r>
        <w:rPr>
          <w:color w:val="000000"/>
        </w:rPr>
        <w:t xml:space="preserve"> </w:t>
      </w:r>
      <w:r>
        <w:rPr>
          <w:rFonts w:ascii="sans-serif" w:hAnsi="sans-serif"/>
          <w:b w:val="false"/>
          <w:color w:val="000000"/>
          <w:sz w:val="24"/>
        </w:rPr>
        <w:t>days</w:t>
      </w:r>
      <w:r>
        <w:rPr>
          <w:color w:val="000000"/>
        </w:rPr>
        <w:t xml:space="preserve"> </w:t>
      </w:r>
      <w:r>
        <w:rPr>
          <w:rFonts w:ascii="sans-serif" w:hAnsi="sans-serif"/>
          <w:b w:val="false"/>
          <w:color w:val="000000"/>
          <w:sz w:val="24"/>
        </w:rPr>
        <w:t>of</w:t>
      </w:r>
      <w:r>
        <w:rPr>
          <w:color w:val="000000"/>
        </w:rPr>
        <w:t xml:space="preserve"> </w:t>
      </w:r>
      <w:r>
        <w:rPr>
          <w:rFonts w:ascii="sans-serif" w:hAnsi="sans-serif"/>
          <w:b w:val="false"/>
          <w:color w:val="000000"/>
          <w:sz w:val="24"/>
        </w:rPr>
        <w:t>vacation</w:t>
      </w:r>
      <w:r>
        <w:rPr>
          <w:color w:val="000000"/>
        </w:rPr>
        <w:t xml:space="preserve"> </w:t>
      </w:r>
      <w:r>
        <w:rPr>
          <w:rFonts w:ascii="sans-serif" w:hAnsi="sans-serif"/>
          <w:b w:val="false"/>
          <w:color w:val="000000"/>
          <w:sz w:val="24"/>
        </w:rPr>
        <w:t>per</w:t>
      </w:r>
      <w:r>
        <w:rPr>
          <w:color w:val="000000"/>
        </w:rPr>
        <w:t xml:space="preserve"> </w:t>
      </w:r>
      <w:r>
        <w:rPr>
          <w:rFonts w:ascii="sans-serif" w:hAnsi="sans-serif"/>
          <w:b w:val="false"/>
          <w:color w:val="000000"/>
          <w:sz w:val="24"/>
        </w:rPr>
        <w:t>calendar</w:t>
      </w:r>
      <w:r>
        <w:rPr>
          <w:color w:val="000000"/>
        </w:rPr>
        <w:t xml:space="preserve"> </w:t>
      </w:r>
      <w:r>
        <w:rPr>
          <w:rFonts w:ascii="sans-serif" w:hAnsi="sans-serif"/>
          <w:b w:val="false"/>
          <w:color w:val="000000"/>
          <w:sz w:val="24"/>
        </w:rPr>
        <w:t>year during the term of this Employment Agreement.</w:t>
      </w:r>
    </w:p>
    <w:p>
      <w:pPr>
        <w:pStyle w:val="TextBody"/>
        <w:bidi w:val="0"/>
        <w:spacing w:lineRule="auto" w:line="288" w:before="60" w:after="283"/>
        <w:jc w:val="left"/>
        <w:rPr/>
      </w:pPr>
      <w:r>
        <w:rPr>
          <w:rFonts w:ascii="sans-serif" w:hAnsi="sans-serif"/>
          <w:b w:val="false"/>
          <w:color w:val="000000"/>
          <w:sz w:val="24"/>
        </w:rPr>
        <w:t>For</w:t>
      </w:r>
      <w:r>
        <w:rPr>
          <w:color w:val="000000"/>
        </w:rPr>
        <w:t xml:space="preserve"> </w:t>
      </w:r>
      <w:r>
        <w:rPr>
          <w:rFonts w:ascii="sans-serif" w:hAnsi="sans-serif"/>
          <w:b w:val="false"/>
          <w:color w:val="000000"/>
          <w:sz w:val="24"/>
        </w:rPr>
        <w:t>the</w:t>
      </w:r>
      <w:r>
        <w:rPr>
          <w:color w:val="000000"/>
        </w:rPr>
        <w:t xml:space="preserve"> </w:t>
      </w:r>
      <w:r>
        <w:rPr>
          <w:rFonts w:ascii="sans-serif" w:hAnsi="sans-serif"/>
          <w:b w:val="false"/>
          <w:color w:val="000000"/>
          <w:sz w:val="24"/>
        </w:rPr>
        <w:t>year</w:t>
      </w:r>
      <w:r>
        <w:rPr>
          <w:color w:val="000000"/>
        </w:rPr>
        <w:t xml:space="preserve"> </w:t>
      </w:r>
      <w:r>
        <w:rPr>
          <w:rFonts w:ascii="sans-serif" w:hAnsi="sans-serif"/>
          <w:b w:val="false"/>
          <w:color w:val="000000"/>
          <w:sz w:val="24"/>
        </w:rPr>
        <w:t>in</w:t>
      </w:r>
      <w:r>
        <w:rPr>
          <w:color w:val="000000"/>
        </w:rPr>
        <w:t xml:space="preserve"> </w:t>
      </w:r>
      <w:r>
        <w:rPr>
          <w:rFonts w:ascii="sans-serif" w:hAnsi="sans-serif"/>
          <w:b w:val="false"/>
          <w:color w:val="000000"/>
          <w:sz w:val="24"/>
        </w:rPr>
        <w:t>which</w:t>
      </w:r>
      <w:r>
        <w:rPr>
          <w:color w:val="000000"/>
        </w:rPr>
        <w:t xml:space="preserve"> </w:t>
      </w:r>
      <w:r>
        <w:rPr>
          <w:rFonts w:ascii="sans-serif" w:hAnsi="sans-serif"/>
          <w:b w:val="false"/>
          <w:color w:val="000000"/>
          <w:sz w:val="24"/>
        </w:rPr>
        <w:t>the</w:t>
      </w:r>
      <w:r>
        <w:rPr>
          <w:color w:val="000000"/>
        </w:rPr>
        <w:t xml:space="preserve"> </w:t>
      </w:r>
      <w:r>
        <w:rPr>
          <w:rFonts w:ascii="sans-serif" w:hAnsi="sans-serif"/>
          <w:b w:val="false"/>
          <w:color w:val="000000"/>
          <w:sz w:val="24"/>
        </w:rPr>
        <w:t>Employment</w:t>
      </w:r>
      <w:r>
        <w:rPr>
          <w:color w:val="000000"/>
        </w:rPr>
        <w:t xml:space="preserve"> </w:t>
      </w:r>
      <w:r>
        <w:rPr>
          <w:rFonts w:ascii="sans-serif" w:hAnsi="sans-serif"/>
          <w:b w:val="false"/>
          <w:color w:val="000000"/>
          <w:sz w:val="24"/>
        </w:rPr>
        <w:t>Agreement</w:t>
      </w:r>
      <w:r>
        <w:rPr>
          <w:color w:val="000000"/>
        </w:rPr>
        <w:t xml:space="preserve"> </w:t>
      </w:r>
      <w:r>
        <w:rPr>
          <w:rFonts w:ascii="sans-serif" w:hAnsi="sans-serif"/>
          <w:b w:val="false"/>
          <w:color w:val="000000"/>
          <w:sz w:val="24"/>
        </w:rPr>
        <w:t>begins</w:t>
      </w:r>
      <w:r>
        <w:rPr>
          <w:color w:val="000000"/>
        </w:rPr>
        <w:t xml:space="preserve"> </w:t>
      </w:r>
      <w:r>
        <w:rPr>
          <w:rFonts w:ascii="sans-serif" w:hAnsi="sans-serif"/>
          <w:b w:val="false"/>
          <w:color w:val="000000"/>
          <w:sz w:val="24"/>
        </w:rPr>
        <w:t>or</w:t>
      </w:r>
      <w:r>
        <w:rPr>
          <w:color w:val="000000"/>
        </w:rPr>
        <w:t xml:space="preserve"> </w:t>
      </w:r>
      <w:r>
        <w:rPr>
          <w:rFonts w:ascii="sans-serif" w:hAnsi="sans-serif"/>
          <w:b w:val="false"/>
          <w:color w:val="000000"/>
          <w:sz w:val="24"/>
        </w:rPr>
        <w:t>ends,</w:t>
      </w:r>
      <w:r>
        <w:rPr>
          <w:color w:val="000000"/>
        </w:rPr>
        <w:t xml:space="preserve"> </w:t>
      </w:r>
      <w:r>
        <w:rPr>
          <w:rFonts w:ascii="sans-serif" w:hAnsi="sans-serif"/>
          <w:b w:val="false"/>
          <w:color w:val="000000"/>
          <w:sz w:val="24"/>
        </w:rPr>
        <w:t>the</w:t>
      </w:r>
      <w:r>
        <w:rPr>
          <w:color w:val="000000"/>
        </w:rPr>
        <w:t xml:space="preserve"> </w:t>
      </w:r>
      <w:r>
        <w:rPr>
          <w:rFonts w:ascii="sans-serif" w:hAnsi="sans-serif"/>
          <w:b w:val="false"/>
          <w:color w:val="000000"/>
          <w:sz w:val="24"/>
        </w:rPr>
        <w:t xml:space="preserve">vacation entitlement is calculated </w:t>
      </w:r>
      <w:r>
        <w:rPr>
          <w:rFonts w:ascii="sans-serif" w:hAnsi="sans-serif"/>
          <w:b w:val="false"/>
          <w:i/>
          <w:color w:val="000000"/>
          <w:sz w:val="24"/>
        </w:rPr>
        <w:t>pro rata temporis</w:t>
      </w:r>
      <w:r>
        <w:rPr>
          <w:rFonts w:ascii="sans-serif" w:hAnsi="sans-serif"/>
          <w:b w:val="false"/>
          <w:color w:val="000000"/>
          <w:sz w:val="24"/>
        </w:rPr>
        <w:t>.</w:t>
      </w:r>
    </w:p>
    <w:p>
      <w:pPr>
        <w:pStyle w:val="TextBody"/>
        <w:bidi w:val="0"/>
        <w:spacing w:lineRule="auto" w:line="288" w:before="60" w:after="283"/>
        <w:jc w:val="left"/>
        <w:rPr/>
      </w:pPr>
      <w:r>
        <w:rPr>
          <w:rFonts w:ascii="sans-serif" w:hAnsi="sans-serif"/>
          <w:b w:val="false"/>
          <w:color w:val="000000"/>
          <w:sz w:val="24"/>
        </w:rPr>
        <w:t>The U.S. Offer Letter terms will control any vacation entitlement for future years in</w:t>
      </w:r>
      <w:r>
        <w:rPr>
          <w:color w:val="000000"/>
        </w:rPr>
        <w:t xml:space="preserve"> </w:t>
      </w:r>
      <w:r>
        <w:rPr>
          <w:rFonts w:ascii="sans-serif" w:hAnsi="sans-serif"/>
          <w:b w:val="false"/>
          <w:color w:val="000000"/>
          <w:sz w:val="24"/>
        </w:rPr>
        <w:t>accordance</w:t>
      </w:r>
      <w:r>
        <w:rPr>
          <w:color w:val="000000"/>
        </w:rPr>
        <w:t xml:space="preserve"> </w:t>
      </w:r>
      <w:r>
        <w:rPr>
          <w:rFonts w:ascii="sans-serif" w:hAnsi="sans-serif"/>
          <w:b w:val="false"/>
          <w:color w:val="000000"/>
          <w:sz w:val="24"/>
        </w:rPr>
        <w:t>with</w:t>
      </w:r>
      <w:r>
        <w:rPr>
          <w:color w:val="000000"/>
        </w:rPr>
        <w:t xml:space="preserve"> </w:t>
      </w:r>
      <w:r>
        <w:rPr>
          <w:rFonts w:ascii="sans-serif" w:hAnsi="sans-serif"/>
          <w:b w:val="false"/>
          <w:color w:val="000000"/>
          <w:sz w:val="24"/>
        </w:rPr>
        <w:t>the</w:t>
      </w:r>
      <w:r>
        <w:rPr>
          <w:color w:val="000000"/>
        </w:rPr>
        <w:t xml:space="preserve"> </w:t>
      </w:r>
      <w:r>
        <w:rPr>
          <w:rFonts w:ascii="sans-serif" w:hAnsi="sans-serif"/>
          <w:b w:val="false"/>
          <w:color w:val="000000"/>
          <w:sz w:val="24"/>
        </w:rPr>
        <w:t>Group’s</w:t>
      </w:r>
      <w:r>
        <w:rPr>
          <w:color w:val="000000"/>
        </w:rPr>
        <w:t xml:space="preserve"> </w:t>
      </w:r>
      <w:r>
        <w:rPr>
          <w:rFonts w:ascii="sans-serif" w:hAnsi="sans-serif"/>
          <w:b w:val="false"/>
          <w:color w:val="000000"/>
          <w:sz w:val="24"/>
        </w:rPr>
        <w:t>policies</w:t>
      </w:r>
      <w:r>
        <w:rPr>
          <w:color w:val="000000"/>
        </w:rPr>
        <w:t xml:space="preserve"> </w:t>
      </w:r>
      <w:r>
        <w:rPr>
          <w:rFonts w:ascii="sans-serif" w:hAnsi="sans-serif"/>
          <w:b w:val="false"/>
          <w:color w:val="000000"/>
          <w:sz w:val="24"/>
        </w:rPr>
        <w:t>and</w:t>
      </w:r>
      <w:r>
        <w:rPr>
          <w:color w:val="000000"/>
        </w:rPr>
        <w:t xml:space="preserve"> </w:t>
      </w:r>
      <w:r>
        <w:rPr>
          <w:rFonts w:ascii="sans-serif" w:hAnsi="sans-serif"/>
          <w:b w:val="false"/>
          <w:color w:val="000000"/>
          <w:sz w:val="24"/>
        </w:rPr>
        <w:t>protocols,</w:t>
      </w:r>
      <w:r>
        <w:rPr>
          <w:color w:val="000000"/>
        </w:rPr>
        <w:t xml:space="preserve"> </w:t>
      </w:r>
      <w:r>
        <w:rPr>
          <w:rFonts w:ascii="sans-serif" w:hAnsi="sans-serif"/>
          <w:b w:val="false"/>
          <w:color w:val="000000"/>
          <w:sz w:val="24"/>
        </w:rPr>
        <w:t>as</w:t>
      </w:r>
      <w:r>
        <w:rPr>
          <w:color w:val="000000"/>
        </w:rPr>
        <w:t xml:space="preserve"> </w:t>
      </w:r>
      <w:r>
        <w:rPr>
          <w:rFonts w:ascii="sans-serif" w:hAnsi="sans-serif"/>
          <w:b w:val="false"/>
          <w:color w:val="000000"/>
          <w:sz w:val="24"/>
        </w:rPr>
        <w:t>they</w:t>
      </w:r>
      <w:r>
        <w:rPr>
          <w:color w:val="000000"/>
        </w:rPr>
        <w:t xml:space="preserve"> </w:t>
      </w:r>
      <w:r>
        <w:rPr>
          <w:rFonts w:ascii="sans-serif" w:hAnsi="sans-serif"/>
          <w:b w:val="false"/>
          <w:color w:val="000000"/>
          <w:sz w:val="24"/>
        </w:rPr>
        <w:t>may</w:t>
      </w:r>
      <w:r>
        <w:rPr>
          <w:color w:val="000000"/>
        </w:rPr>
        <w:t xml:space="preserve"> </w:t>
      </w:r>
      <w:r>
        <w:rPr>
          <w:rFonts w:ascii="sans-serif" w:hAnsi="sans-serif"/>
          <w:b w:val="false"/>
          <w:color w:val="000000"/>
          <w:sz w:val="24"/>
        </w:rPr>
        <w:t>be</w:t>
      </w:r>
      <w:r>
        <w:rPr>
          <w:color w:val="000000"/>
        </w:rPr>
        <w:t xml:space="preserve"> </w:t>
      </w:r>
      <w:r>
        <w:rPr>
          <w:rFonts w:ascii="sans-serif" w:hAnsi="sans-serif"/>
          <w:b w:val="false"/>
          <w:color w:val="000000"/>
          <w:sz w:val="24"/>
        </w:rPr>
        <w:t>in</w:t>
      </w:r>
      <w:r>
        <w:rPr>
          <w:color w:val="000000"/>
        </w:rPr>
        <w:t xml:space="preserve"> </w:t>
      </w:r>
      <w:r>
        <w:rPr>
          <w:rFonts w:ascii="sans-serif" w:hAnsi="sans-serif"/>
          <w:b w:val="false"/>
          <w:color w:val="000000"/>
          <w:sz w:val="24"/>
        </w:rPr>
        <w:t>effect</w:t>
      </w:r>
      <w:r>
        <w:rPr>
          <w:color w:val="000000"/>
        </w:rPr>
        <w:t xml:space="preserve"> </w:t>
      </w:r>
      <w:r>
        <w:rPr>
          <w:rFonts w:ascii="sans-serif" w:hAnsi="sans-serif"/>
          <w:b w:val="false"/>
          <w:color w:val="000000"/>
          <w:sz w:val="24"/>
        </w:rPr>
        <w:t>or amended from time to time.</w:t>
      </w:r>
    </w:p>
    <w:p>
      <w:pPr>
        <w:pStyle w:val="TextBody"/>
        <w:bidi w:val="0"/>
        <w:spacing w:lineRule="auto" w:line="288" w:before="59" w:after="283"/>
        <w:jc w:val="left"/>
        <w:rPr/>
      </w:pPr>
      <w:r>
        <w:rPr>
          <w:rFonts w:ascii="sans-serif" w:hAnsi="sans-serif"/>
          <w:b w:val="false"/>
          <w:color w:val="000000"/>
          <w:sz w:val="24"/>
        </w:rPr>
        <w:t>It</w:t>
      </w:r>
      <w:r>
        <w:rPr>
          <w:color w:val="000000"/>
        </w:rPr>
        <w:t xml:space="preserve"> </w:t>
      </w:r>
      <w:r>
        <w:rPr>
          <w:rFonts w:ascii="sans-serif" w:hAnsi="sans-serif"/>
          <w:b w:val="false"/>
          <w:color w:val="000000"/>
          <w:sz w:val="24"/>
        </w:rPr>
        <w:t>is</w:t>
      </w:r>
      <w:r>
        <w:rPr>
          <w:color w:val="000000"/>
        </w:rPr>
        <w:t xml:space="preserve"> </w:t>
      </w:r>
      <w:r>
        <w:rPr>
          <w:rFonts w:ascii="sans-serif" w:hAnsi="sans-serif"/>
          <w:b w:val="false"/>
          <w:color w:val="000000"/>
          <w:sz w:val="24"/>
        </w:rPr>
        <w:t>your</w:t>
      </w:r>
      <w:r>
        <w:rPr>
          <w:color w:val="000000"/>
        </w:rPr>
        <w:t xml:space="preserve"> </w:t>
      </w:r>
      <w:r>
        <w:rPr>
          <w:rFonts w:ascii="sans-serif" w:hAnsi="sans-serif"/>
          <w:b w:val="false"/>
          <w:color w:val="000000"/>
          <w:sz w:val="24"/>
        </w:rPr>
        <w:t>duty</w:t>
      </w:r>
      <w:r>
        <w:rPr>
          <w:color w:val="000000"/>
        </w:rPr>
        <w:t xml:space="preserve"> </w:t>
      </w:r>
      <w:r>
        <w:rPr>
          <w:rFonts w:ascii="sans-serif" w:hAnsi="sans-serif"/>
          <w:b w:val="false"/>
          <w:color w:val="000000"/>
          <w:sz w:val="24"/>
        </w:rPr>
        <w:t>to</w:t>
      </w:r>
      <w:r>
        <w:rPr>
          <w:color w:val="000000"/>
        </w:rPr>
        <w:t xml:space="preserve"> </w:t>
      </w:r>
      <w:r>
        <w:rPr>
          <w:rFonts w:ascii="sans-serif" w:hAnsi="sans-serif"/>
          <w:b w:val="false"/>
          <w:color w:val="000000"/>
          <w:sz w:val="24"/>
        </w:rPr>
        <w:t>refund</w:t>
      </w:r>
      <w:r>
        <w:rPr>
          <w:color w:val="000000"/>
        </w:rPr>
        <w:t xml:space="preserve"> </w:t>
      </w:r>
      <w:r>
        <w:rPr>
          <w:rFonts w:ascii="sans-serif" w:hAnsi="sans-serif"/>
          <w:b w:val="false"/>
          <w:color w:val="000000"/>
          <w:sz w:val="24"/>
        </w:rPr>
        <w:t>to</w:t>
      </w:r>
      <w:r>
        <w:rPr>
          <w:color w:val="000000"/>
        </w:rPr>
        <w:t xml:space="preserve"> </w:t>
      </w:r>
      <w:r>
        <w:rPr>
          <w:rFonts w:ascii="sans-serif" w:hAnsi="sans-serif"/>
          <w:b w:val="false"/>
          <w:color w:val="000000"/>
          <w:sz w:val="24"/>
        </w:rPr>
        <w:t>the</w:t>
      </w:r>
      <w:r>
        <w:rPr>
          <w:color w:val="000000"/>
        </w:rPr>
        <w:t xml:space="preserve"> </w:t>
      </w:r>
      <w:r>
        <w:rPr>
          <w:rFonts w:ascii="sans-serif" w:hAnsi="sans-serif"/>
          <w:b w:val="false"/>
          <w:color w:val="000000"/>
          <w:sz w:val="24"/>
        </w:rPr>
        <w:t>Company</w:t>
      </w:r>
      <w:r>
        <w:rPr>
          <w:color w:val="000000"/>
        </w:rPr>
        <w:t xml:space="preserve"> </w:t>
      </w:r>
      <w:r>
        <w:rPr>
          <w:rFonts w:ascii="sans-serif" w:hAnsi="sans-serif"/>
          <w:b w:val="false"/>
          <w:color w:val="000000"/>
          <w:sz w:val="24"/>
        </w:rPr>
        <w:t>any</w:t>
      </w:r>
      <w:r>
        <w:rPr>
          <w:color w:val="000000"/>
        </w:rPr>
        <w:t xml:space="preserve"> </w:t>
      </w:r>
      <w:r>
        <w:rPr>
          <w:rFonts w:ascii="sans-serif" w:hAnsi="sans-serif"/>
          <w:b w:val="false"/>
          <w:color w:val="000000"/>
          <w:sz w:val="24"/>
        </w:rPr>
        <w:t>vacation</w:t>
      </w:r>
      <w:r>
        <w:rPr>
          <w:color w:val="000000"/>
        </w:rPr>
        <w:t xml:space="preserve"> </w:t>
      </w:r>
      <w:r>
        <w:rPr>
          <w:rFonts w:ascii="sans-serif" w:hAnsi="sans-serif"/>
          <w:b w:val="false"/>
          <w:color w:val="000000"/>
          <w:sz w:val="24"/>
        </w:rPr>
        <w:t>salary</w:t>
      </w:r>
      <w:r>
        <w:rPr>
          <w:color w:val="000000"/>
        </w:rPr>
        <w:t xml:space="preserve"> </w:t>
      </w:r>
      <w:r>
        <w:rPr>
          <w:rFonts w:ascii="sans-serif" w:hAnsi="sans-serif"/>
          <w:b w:val="false"/>
          <w:color w:val="000000"/>
          <w:sz w:val="24"/>
        </w:rPr>
        <w:t>received</w:t>
      </w:r>
      <w:r>
        <w:rPr>
          <w:color w:val="000000"/>
        </w:rPr>
        <w:t xml:space="preserve"> </w:t>
      </w:r>
      <w:r>
        <w:rPr>
          <w:rFonts w:ascii="sans-serif" w:hAnsi="sans-serif"/>
          <w:b w:val="false"/>
          <w:color w:val="000000"/>
          <w:sz w:val="24"/>
        </w:rPr>
        <w:t>for</w:t>
      </w:r>
      <w:r>
        <w:rPr>
          <w:color w:val="000000"/>
        </w:rPr>
        <w:t xml:space="preserve"> </w:t>
      </w:r>
      <w:r>
        <w:rPr>
          <w:rFonts w:ascii="sans-serif" w:hAnsi="sans-serif"/>
          <w:b w:val="false"/>
          <w:color w:val="000000"/>
          <w:sz w:val="24"/>
        </w:rPr>
        <w:t>vacation days in excess of your vacation entitlement.</w:t>
      </w:r>
    </w:p>
    <w:p>
      <w:pPr>
        <w:pStyle w:val="TextBody"/>
        <w:bidi w:val="0"/>
        <w:spacing w:before="133" w:after="283"/>
        <w:jc w:val="left"/>
        <w:rPr/>
      </w:pPr>
      <w:r>
        <w:rPr/>
      </w:r>
    </w:p>
    <w:p>
      <w:pPr>
        <w:pStyle w:val="TextBody"/>
        <w:bidi w:val="0"/>
        <w:spacing w:lineRule="auto" w:line="288" w:before="21" w:after="283"/>
        <w:ind w:left="0" w:right="0" w:hanging="851"/>
        <w:jc w:val="left"/>
        <w:rPr/>
      </w:pPr>
      <w:r>
        <w:rPr>
          <w:rFonts w:ascii="sans-serif" w:hAnsi="sans-serif"/>
          <w:b/>
          <w:color w:val="000000"/>
          <w:sz w:val="24"/>
        </w:rPr>
        <w:t>17.    Incapacity</w:t>
      </w:r>
      <w:r>
        <w:rPr>
          <w:color w:val="000000"/>
        </w:rPr>
        <w:t xml:space="preserve"> </w:t>
      </w:r>
      <w:r>
        <w:rPr>
          <w:rFonts w:ascii="sans-serif" w:hAnsi="sans-serif"/>
          <w:b/>
          <w:color w:val="000000"/>
          <w:sz w:val="24"/>
        </w:rPr>
        <w:t>to</w:t>
      </w:r>
      <w:r>
        <w:rPr>
          <w:color w:val="000000"/>
        </w:rPr>
        <w:t xml:space="preserve"> </w:t>
      </w:r>
      <w:r>
        <w:rPr>
          <w:rFonts w:ascii="sans-serif" w:hAnsi="sans-serif"/>
          <w:b/>
          <w:color w:val="000000"/>
          <w:sz w:val="24"/>
        </w:rPr>
        <w:t>Work</w:t>
      </w:r>
      <w:r>
        <w:rPr>
          <w:color w:val="000000"/>
        </w:rPr>
        <w:t xml:space="preserve"> </w:t>
      </w:r>
      <w:r>
        <w:rPr>
          <w:rFonts w:ascii="sans-serif" w:hAnsi="sans-serif"/>
          <w:b/>
          <w:color w:val="000000"/>
          <w:sz w:val="24"/>
        </w:rPr>
        <w:t>and</w:t>
      </w:r>
      <w:r>
        <w:rPr>
          <w:color w:val="000000"/>
        </w:rPr>
        <w:t xml:space="preserve"> </w:t>
      </w:r>
      <w:r>
        <w:rPr>
          <w:rFonts w:ascii="sans-serif" w:hAnsi="sans-serif"/>
          <w:b/>
          <w:color w:val="000000"/>
          <w:sz w:val="24"/>
        </w:rPr>
        <w:t>Insurances</w:t>
      </w:r>
    </w:p>
    <w:p>
      <w:pPr>
        <w:pStyle w:val="TextBody"/>
        <w:bidi w:val="0"/>
        <w:spacing w:lineRule="auto" w:line="288" w:before="240" w:after="283"/>
        <w:ind w:left="0" w:right="0" w:hanging="851"/>
        <w:jc w:val="left"/>
        <w:rPr/>
      </w:pPr>
      <w:r>
        <w:rPr>
          <w:rFonts w:ascii="sans-serif" w:hAnsi="sans-serif"/>
          <w:b/>
          <w:color w:val="000000"/>
          <w:sz w:val="24"/>
        </w:rPr>
        <w:t>17.1.    Obligation</w:t>
      </w:r>
      <w:r>
        <w:rPr>
          <w:color w:val="000000"/>
        </w:rPr>
        <w:t xml:space="preserve"> </w:t>
      </w:r>
      <w:r>
        <w:rPr>
          <w:rFonts w:ascii="sans-serif" w:hAnsi="sans-serif"/>
          <w:b/>
          <w:color w:val="000000"/>
          <w:sz w:val="24"/>
        </w:rPr>
        <w:t>to Notify</w:t>
      </w:r>
    </w:p>
    <w:p>
      <w:pPr>
        <w:pStyle w:val="TextBody"/>
        <w:bidi w:val="0"/>
        <w:spacing w:lineRule="auto" w:line="288" w:before="199" w:after="283"/>
        <w:jc w:val="left"/>
        <w:rPr/>
      </w:pPr>
      <w:r>
        <w:rPr>
          <w:rFonts w:ascii="sans-serif" w:hAnsi="sans-serif"/>
          <w:b w:val="false"/>
          <w:color w:val="000000"/>
          <w:sz w:val="24"/>
        </w:rPr>
        <w:t>You shall notify the Company immediately about any incapacity to work and its probable duration, stating the respective personal circumstances (including, but not</w:t>
      </w:r>
      <w:r>
        <w:rPr>
          <w:color w:val="000000"/>
        </w:rPr>
        <w:t xml:space="preserve"> </w:t>
      </w:r>
      <w:r>
        <w:rPr>
          <w:rFonts w:ascii="sans-serif" w:hAnsi="sans-serif"/>
          <w:b w:val="false"/>
          <w:color w:val="000000"/>
          <w:sz w:val="24"/>
        </w:rPr>
        <w:t>limited</w:t>
      </w:r>
      <w:r>
        <w:rPr>
          <w:color w:val="000000"/>
        </w:rPr>
        <w:t xml:space="preserve"> </w:t>
      </w:r>
      <w:r>
        <w:rPr>
          <w:rFonts w:ascii="sans-serif" w:hAnsi="sans-serif"/>
          <w:b w:val="false"/>
          <w:color w:val="000000"/>
          <w:sz w:val="24"/>
        </w:rPr>
        <w:t>to,</w:t>
      </w:r>
      <w:r>
        <w:rPr>
          <w:color w:val="000000"/>
        </w:rPr>
        <w:t xml:space="preserve"> </w:t>
      </w:r>
      <w:r>
        <w:rPr>
          <w:rFonts w:ascii="sans-serif" w:hAnsi="sans-serif"/>
          <w:b w:val="false"/>
          <w:color w:val="000000"/>
          <w:sz w:val="24"/>
        </w:rPr>
        <w:t>expected</w:t>
      </w:r>
      <w:r>
        <w:rPr>
          <w:color w:val="000000"/>
        </w:rPr>
        <w:t xml:space="preserve"> </w:t>
      </w:r>
      <w:r>
        <w:rPr>
          <w:rFonts w:ascii="sans-serif" w:hAnsi="sans-serif"/>
          <w:b w:val="false"/>
          <w:color w:val="000000"/>
          <w:sz w:val="24"/>
        </w:rPr>
        <w:t>duration</w:t>
      </w:r>
      <w:r>
        <w:rPr>
          <w:color w:val="000000"/>
        </w:rPr>
        <w:t xml:space="preserve"> </w:t>
      </w:r>
      <w:r>
        <w:rPr>
          <w:rFonts w:ascii="sans-serif" w:hAnsi="sans-serif"/>
          <w:b w:val="false"/>
          <w:color w:val="000000"/>
          <w:sz w:val="24"/>
        </w:rPr>
        <w:t>of</w:t>
      </w:r>
      <w:r>
        <w:rPr>
          <w:color w:val="000000"/>
        </w:rPr>
        <w:t xml:space="preserve"> </w:t>
      </w:r>
      <w:r>
        <w:rPr>
          <w:rFonts w:ascii="sans-serif" w:hAnsi="sans-serif"/>
          <w:b w:val="false"/>
          <w:color w:val="000000"/>
          <w:sz w:val="24"/>
        </w:rPr>
        <w:t>incapacity</w:t>
      </w:r>
      <w:r>
        <w:rPr>
          <w:color w:val="000000"/>
        </w:rPr>
        <w:t xml:space="preserve"> </w:t>
      </w:r>
      <w:r>
        <w:rPr>
          <w:rFonts w:ascii="sans-serif" w:hAnsi="sans-serif"/>
          <w:b w:val="false"/>
          <w:color w:val="000000"/>
          <w:sz w:val="24"/>
        </w:rPr>
        <w:t>to</w:t>
      </w:r>
      <w:r>
        <w:rPr>
          <w:color w:val="000000"/>
        </w:rPr>
        <w:t xml:space="preserve"> </w:t>
      </w:r>
      <w:r>
        <w:rPr>
          <w:rFonts w:ascii="sans-serif" w:hAnsi="sans-serif"/>
          <w:b w:val="false"/>
          <w:color w:val="000000"/>
          <w:sz w:val="24"/>
        </w:rPr>
        <w:t>work, inability</w:t>
      </w:r>
      <w:r>
        <w:rPr>
          <w:color w:val="000000"/>
        </w:rPr>
        <w:t xml:space="preserve"> </w:t>
      </w:r>
      <w:r>
        <w:rPr>
          <w:rFonts w:ascii="sans-serif" w:hAnsi="sans-serif"/>
          <w:b w:val="false"/>
          <w:color w:val="000000"/>
          <w:sz w:val="24"/>
        </w:rPr>
        <w:t>to</w:t>
      </w:r>
      <w:r>
        <w:rPr>
          <w:color w:val="000000"/>
        </w:rPr>
        <w:t xml:space="preserve"> </w:t>
      </w:r>
      <w:r>
        <w:rPr>
          <w:rFonts w:ascii="sans-serif" w:hAnsi="sans-serif"/>
          <w:b w:val="false"/>
          <w:color w:val="000000"/>
          <w:sz w:val="24"/>
        </w:rPr>
        <w:t>take</w:t>
      </w:r>
      <w:r>
        <w:rPr>
          <w:color w:val="000000"/>
        </w:rPr>
        <w:t xml:space="preserve"> </w:t>
      </w:r>
      <w:r>
        <w:rPr>
          <w:rFonts w:ascii="sans-serif" w:hAnsi="sans-serif"/>
          <w:b w:val="false"/>
          <w:color w:val="000000"/>
          <w:sz w:val="24"/>
        </w:rPr>
        <w:t>vacation, information on workplace-related incapacity to work).</w:t>
      </w:r>
    </w:p>
    <w:p>
      <w:pPr>
        <w:pStyle w:val="TextBody"/>
        <w:bidi w:val="0"/>
        <w:spacing w:lineRule="auto" w:line="288" w:before="240" w:after="283"/>
        <w:ind w:left="0" w:right="0" w:hanging="851"/>
        <w:jc w:val="left"/>
        <w:rPr/>
      </w:pPr>
      <w:r>
        <w:rPr>
          <w:rFonts w:ascii="sans-serif" w:hAnsi="sans-serif"/>
          <w:b/>
          <w:color w:val="000000"/>
          <w:sz w:val="24"/>
        </w:rPr>
        <w:t>17.2.    Medical</w:t>
      </w:r>
      <w:r>
        <w:rPr>
          <w:color w:val="000000"/>
        </w:rPr>
        <w:t xml:space="preserve"> </w:t>
      </w:r>
      <w:r>
        <w:rPr>
          <w:rFonts w:ascii="sans-serif" w:hAnsi="sans-serif"/>
          <w:b/>
          <w:color w:val="000000"/>
          <w:sz w:val="24"/>
        </w:rPr>
        <w:t>Certificate</w:t>
      </w:r>
    </w:p>
    <w:p>
      <w:pPr>
        <w:pStyle w:val="TextBody"/>
        <w:bidi w:val="0"/>
        <w:spacing w:lineRule="auto" w:line="288" w:before="199" w:after="283"/>
        <w:jc w:val="left"/>
        <w:rPr/>
      </w:pPr>
      <w:r>
        <w:rPr>
          <w:rFonts w:ascii="sans-serif" w:hAnsi="sans-serif"/>
          <w:b w:val="false"/>
          <w:color w:val="000000"/>
          <w:sz w:val="24"/>
        </w:rPr>
        <w:t>If your incapacity to work due to illness or accident exceeds 3 (three) business days, you shall without request immediately inform the Company of the medically</w:t>
      </w:r>
      <w:r>
        <w:rPr>
          <w:color w:val="000000"/>
        </w:rPr>
        <w:t xml:space="preserve"> </w:t>
      </w:r>
      <w:r>
        <w:rPr>
          <w:rFonts w:ascii="sans-serif" w:hAnsi="sans-serif"/>
          <w:b w:val="false"/>
          <w:color w:val="000000"/>
          <w:sz w:val="24"/>
        </w:rPr>
        <w:t>certified</w:t>
      </w:r>
      <w:r>
        <w:rPr>
          <w:color w:val="000000"/>
        </w:rPr>
        <w:t xml:space="preserve"> </w:t>
      </w:r>
      <w:r>
        <w:rPr>
          <w:rFonts w:ascii="sans-serif" w:hAnsi="sans-serif"/>
          <w:b w:val="false"/>
          <w:color w:val="000000"/>
          <w:sz w:val="24"/>
        </w:rPr>
        <w:t>duration</w:t>
      </w:r>
      <w:r>
        <w:rPr>
          <w:color w:val="000000"/>
        </w:rPr>
        <w:t xml:space="preserve"> </w:t>
      </w:r>
      <w:r>
        <w:rPr>
          <w:rFonts w:ascii="sans-serif" w:hAnsi="sans-serif"/>
          <w:b w:val="false"/>
          <w:color w:val="000000"/>
          <w:sz w:val="24"/>
        </w:rPr>
        <w:t>of</w:t>
      </w:r>
      <w:r>
        <w:rPr>
          <w:color w:val="000000"/>
        </w:rPr>
        <w:t xml:space="preserve"> </w:t>
      </w:r>
      <w:r>
        <w:rPr>
          <w:rFonts w:ascii="sans-serif" w:hAnsi="sans-serif"/>
          <w:b w:val="false"/>
          <w:color w:val="000000"/>
          <w:sz w:val="24"/>
        </w:rPr>
        <w:t>your absence</w:t>
      </w:r>
      <w:r>
        <w:rPr>
          <w:color w:val="000000"/>
        </w:rPr>
        <w:t xml:space="preserve"> </w:t>
      </w:r>
      <w:r>
        <w:rPr>
          <w:rFonts w:ascii="sans-serif" w:hAnsi="sans-serif"/>
          <w:b w:val="false"/>
          <w:color w:val="000000"/>
          <w:sz w:val="24"/>
        </w:rPr>
        <w:t>and</w:t>
      </w:r>
      <w:r>
        <w:rPr>
          <w:color w:val="000000"/>
        </w:rPr>
        <w:t xml:space="preserve"> </w:t>
      </w:r>
      <w:r>
        <w:rPr>
          <w:rFonts w:ascii="sans-serif" w:hAnsi="sans-serif"/>
          <w:b w:val="false"/>
          <w:color w:val="000000"/>
          <w:sz w:val="24"/>
        </w:rPr>
        <w:t>provide</w:t>
      </w:r>
      <w:r>
        <w:rPr>
          <w:color w:val="000000"/>
        </w:rPr>
        <w:t xml:space="preserve"> </w:t>
      </w:r>
      <w:r>
        <w:rPr>
          <w:rFonts w:ascii="sans-serif" w:hAnsi="sans-serif"/>
          <w:b w:val="false"/>
          <w:color w:val="000000"/>
          <w:sz w:val="24"/>
        </w:rPr>
        <w:t>a</w:t>
      </w:r>
      <w:r>
        <w:rPr>
          <w:color w:val="000000"/>
        </w:rPr>
        <w:t xml:space="preserve"> </w:t>
      </w:r>
      <w:r>
        <w:rPr>
          <w:rFonts w:ascii="sans-serif" w:hAnsi="sans-serif"/>
          <w:b w:val="false"/>
          <w:color w:val="000000"/>
          <w:sz w:val="24"/>
        </w:rPr>
        <w:t>medical</w:t>
      </w:r>
      <w:r>
        <w:rPr>
          <w:color w:val="000000"/>
        </w:rPr>
        <w:t xml:space="preserve"> </w:t>
      </w:r>
      <w:r>
        <w:rPr>
          <w:rFonts w:ascii="sans-serif" w:hAnsi="sans-serif"/>
          <w:b w:val="false"/>
          <w:color w:val="000000"/>
          <w:sz w:val="24"/>
        </w:rPr>
        <w:t>certificate</w:t>
      </w:r>
      <w:r>
        <w:rPr>
          <w:color w:val="000000"/>
        </w:rPr>
        <w:t xml:space="preserve"> </w:t>
      </w:r>
      <w:r>
        <w:rPr>
          <w:rFonts w:ascii="sans-serif" w:hAnsi="sans-serif"/>
          <w:b w:val="false"/>
          <w:color w:val="000000"/>
          <w:sz w:val="24"/>
        </w:rPr>
        <w:t>no</w:t>
      </w:r>
      <w:r>
        <w:rPr>
          <w:color w:val="000000"/>
        </w:rPr>
        <w:t xml:space="preserve"> </w:t>
      </w:r>
      <w:r>
        <w:rPr>
          <w:rFonts w:ascii="sans-serif" w:hAnsi="sans-serif"/>
          <w:b w:val="false"/>
          <w:color w:val="000000"/>
          <w:sz w:val="24"/>
        </w:rPr>
        <w:t>later than 24 hours after your medical consultation.</w:t>
      </w:r>
    </w:p>
    <w:p>
      <w:pPr>
        <w:pStyle w:val="TextBody"/>
        <w:bidi w:val="0"/>
        <w:spacing w:lineRule="auto" w:line="288" w:before="60" w:after="283"/>
        <w:jc w:val="left"/>
        <w:rPr/>
      </w:pPr>
      <w:r>
        <w:rPr>
          <w:rFonts w:ascii="sans-serif" w:hAnsi="sans-serif"/>
          <w:b w:val="false"/>
          <w:color w:val="000000"/>
          <w:sz w:val="24"/>
        </w:rPr>
        <w:t>The Company reserves the right to request a medical certificate even in the event of a shorter duration of incapacity to work. Once notice has been given, you shall in any case be obliged to furnish a medical certificate to the Company from</w:t>
      </w:r>
      <w:r>
        <w:rPr>
          <w:color w:val="000000"/>
        </w:rPr>
        <w:t xml:space="preserve"> </w:t>
      </w:r>
      <w:r>
        <w:rPr>
          <w:rFonts w:ascii="sans-serif" w:hAnsi="sans-serif"/>
          <w:b w:val="false"/>
          <w:color w:val="000000"/>
          <w:sz w:val="24"/>
        </w:rPr>
        <w:t>the</w:t>
      </w:r>
      <w:r>
        <w:rPr>
          <w:color w:val="000000"/>
        </w:rPr>
        <w:t xml:space="preserve"> </w:t>
      </w:r>
      <w:r>
        <w:rPr>
          <w:rFonts w:ascii="sans-serif" w:hAnsi="sans-serif"/>
          <w:b w:val="false"/>
          <w:color w:val="000000"/>
          <w:sz w:val="24"/>
        </w:rPr>
        <w:t>first</w:t>
      </w:r>
      <w:r>
        <w:rPr>
          <w:color w:val="000000"/>
        </w:rPr>
        <w:t xml:space="preserve"> </w:t>
      </w:r>
      <w:r>
        <w:rPr>
          <w:rFonts w:ascii="sans-serif" w:hAnsi="sans-serif"/>
          <w:b w:val="false"/>
          <w:color w:val="000000"/>
          <w:sz w:val="24"/>
        </w:rPr>
        <w:t>day</w:t>
      </w:r>
      <w:r>
        <w:rPr>
          <w:color w:val="000000"/>
        </w:rPr>
        <w:t xml:space="preserve"> </w:t>
      </w:r>
      <w:r>
        <w:rPr>
          <w:rFonts w:ascii="sans-serif" w:hAnsi="sans-serif"/>
          <w:b w:val="false"/>
          <w:color w:val="000000"/>
          <w:sz w:val="24"/>
        </w:rPr>
        <w:t>of</w:t>
      </w:r>
      <w:r>
        <w:rPr>
          <w:color w:val="000000"/>
        </w:rPr>
        <w:t xml:space="preserve"> </w:t>
      </w:r>
      <w:r>
        <w:rPr>
          <w:rFonts w:ascii="sans-serif" w:hAnsi="sans-serif"/>
          <w:b w:val="false"/>
          <w:color w:val="000000"/>
          <w:sz w:val="24"/>
        </w:rPr>
        <w:t>incapacity</w:t>
      </w:r>
      <w:r>
        <w:rPr>
          <w:color w:val="000000"/>
        </w:rPr>
        <w:t xml:space="preserve"> </w:t>
      </w:r>
      <w:r>
        <w:rPr>
          <w:rFonts w:ascii="sans-serif" w:hAnsi="sans-serif"/>
          <w:b w:val="false"/>
          <w:color w:val="000000"/>
          <w:sz w:val="24"/>
        </w:rPr>
        <w:t>to</w:t>
      </w:r>
      <w:r>
        <w:rPr>
          <w:color w:val="000000"/>
        </w:rPr>
        <w:t xml:space="preserve"> </w:t>
      </w:r>
      <w:r>
        <w:rPr>
          <w:rFonts w:ascii="sans-serif" w:hAnsi="sans-serif"/>
          <w:b w:val="false"/>
          <w:color w:val="000000"/>
          <w:sz w:val="24"/>
        </w:rPr>
        <w:t>work. You</w:t>
      </w:r>
      <w:r>
        <w:rPr>
          <w:color w:val="000000"/>
        </w:rPr>
        <w:t xml:space="preserve"> </w:t>
      </w:r>
      <w:r>
        <w:rPr>
          <w:rFonts w:ascii="sans-serif" w:hAnsi="sans-serif"/>
          <w:b w:val="false"/>
          <w:color w:val="000000"/>
          <w:sz w:val="24"/>
        </w:rPr>
        <w:t>must</w:t>
      </w:r>
      <w:r>
        <w:rPr>
          <w:color w:val="000000"/>
        </w:rPr>
        <w:t xml:space="preserve"> </w:t>
      </w:r>
      <w:r>
        <w:rPr>
          <w:rFonts w:ascii="sans-serif" w:hAnsi="sans-serif"/>
          <w:b w:val="false"/>
          <w:color w:val="000000"/>
          <w:sz w:val="24"/>
        </w:rPr>
        <w:t>submit</w:t>
      </w:r>
      <w:r>
        <w:rPr>
          <w:color w:val="000000"/>
        </w:rPr>
        <w:t xml:space="preserve"> </w:t>
      </w:r>
      <w:r>
        <w:rPr>
          <w:rFonts w:ascii="sans-serif" w:hAnsi="sans-serif"/>
          <w:b w:val="false"/>
          <w:color w:val="000000"/>
          <w:sz w:val="24"/>
        </w:rPr>
        <w:t>this</w:t>
      </w:r>
      <w:r>
        <w:rPr>
          <w:color w:val="000000"/>
        </w:rPr>
        <w:t xml:space="preserve"> </w:t>
      </w:r>
      <w:r>
        <w:rPr>
          <w:rFonts w:ascii="sans-serif" w:hAnsi="sans-serif"/>
          <w:b w:val="false"/>
          <w:color w:val="000000"/>
          <w:sz w:val="24"/>
        </w:rPr>
        <w:t>medical</w:t>
      </w:r>
      <w:r>
        <w:rPr>
          <w:color w:val="000000"/>
        </w:rPr>
        <w:t xml:space="preserve"> </w:t>
      </w:r>
      <w:r>
        <w:rPr>
          <w:rFonts w:ascii="sans-serif" w:hAnsi="sans-serif"/>
          <w:b w:val="false"/>
          <w:color w:val="000000"/>
          <w:sz w:val="24"/>
        </w:rPr>
        <w:t>certificate to the Company no later than 24 hours after the medical consultation.</w:t>
      </w:r>
    </w:p>
    <w:p>
      <w:pPr>
        <w:pStyle w:val="TextBody"/>
        <w:bidi w:val="0"/>
        <w:spacing w:lineRule="auto" w:line="288" w:before="62" w:after="283"/>
        <w:jc w:val="left"/>
        <w:rPr/>
      </w:pPr>
      <w:r>
        <w:rPr>
          <w:rFonts w:ascii="sans-serif" w:hAnsi="sans-serif"/>
          <w:b w:val="false"/>
          <w:color w:val="000000"/>
          <w:sz w:val="24"/>
        </w:rPr>
        <w:t>Failure</w:t>
      </w:r>
      <w:r>
        <w:rPr>
          <w:color w:val="000000"/>
        </w:rPr>
        <w:t xml:space="preserve"> </w:t>
      </w:r>
      <w:r>
        <w:rPr>
          <w:rFonts w:ascii="sans-serif" w:hAnsi="sans-serif"/>
          <w:b w:val="false"/>
          <w:color w:val="000000"/>
          <w:sz w:val="24"/>
        </w:rPr>
        <w:t>to</w:t>
      </w:r>
      <w:r>
        <w:rPr>
          <w:color w:val="000000"/>
        </w:rPr>
        <w:t xml:space="preserve"> </w:t>
      </w:r>
      <w:r>
        <w:rPr>
          <w:rFonts w:ascii="sans-serif" w:hAnsi="sans-serif"/>
          <w:b w:val="false"/>
          <w:color w:val="000000"/>
          <w:sz w:val="24"/>
        </w:rPr>
        <w:t>provide</w:t>
      </w:r>
      <w:r>
        <w:rPr>
          <w:color w:val="000000"/>
        </w:rPr>
        <w:t xml:space="preserve"> </w:t>
      </w:r>
      <w:r>
        <w:rPr>
          <w:rFonts w:ascii="sans-serif" w:hAnsi="sans-serif"/>
          <w:b w:val="false"/>
          <w:color w:val="000000"/>
          <w:sz w:val="24"/>
        </w:rPr>
        <w:t>the medical</w:t>
      </w:r>
      <w:r>
        <w:rPr>
          <w:color w:val="000000"/>
        </w:rPr>
        <w:t xml:space="preserve"> </w:t>
      </w:r>
      <w:r>
        <w:rPr>
          <w:rFonts w:ascii="sans-serif" w:hAnsi="sans-serif"/>
          <w:b w:val="false"/>
          <w:color w:val="000000"/>
          <w:sz w:val="24"/>
        </w:rPr>
        <w:t>certificate</w:t>
      </w:r>
      <w:r>
        <w:rPr>
          <w:color w:val="000000"/>
        </w:rPr>
        <w:t xml:space="preserve"> </w:t>
      </w:r>
      <w:r>
        <w:rPr>
          <w:rFonts w:ascii="sans-serif" w:hAnsi="sans-serif"/>
          <w:b w:val="false"/>
          <w:color w:val="000000"/>
          <w:sz w:val="24"/>
        </w:rPr>
        <w:t>within</w:t>
      </w:r>
      <w:r>
        <w:rPr>
          <w:color w:val="000000"/>
        </w:rPr>
        <w:t xml:space="preserve"> </w:t>
      </w:r>
      <w:r>
        <w:rPr>
          <w:rFonts w:ascii="sans-serif" w:hAnsi="sans-serif"/>
          <w:b w:val="false"/>
          <w:color w:val="000000"/>
          <w:sz w:val="24"/>
        </w:rPr>
        <w:t>the</w:t>
      </w:r>
      <w:r>
        <w:rPr>
          <w:color w:val="000000"/>
        </w:rPr>
        <w:t xml:space="preserve"> </w:t>
      </w:r>
      <w:r>
        <w:rPr>
          <w:rFonts w:ascii="sans-serif" w:hAnsi="sans-serif"/>
          <w:b w:val="false"/>
          <w:color w:val="000000"/>
          <w:sz w:val="24"/>
        </w:rPr>
        <w:t>above</w:t>
      </w:r>
      <w:r>
        <w:rPr>
          <w:color w:val="000000"/>
        </w:rPr>
        <w:t xml:space="preserve"> </w:t>
      </w:r>
      <w:r>
        <w:rPr>
          <w:rFonts w:ascii="sans-serif" w:hAnsi="sans-serif"/>
          <w:b w:val="false"/>
          <w:color w:val="000000"/>
          <w:sz w:val="24"/>
        </w:rPr>
        <w:t>timeframes</w:t>
      </w:r>
      <w:r>
        <w:rPr>
          <w:color w:val="000000"/>
        </w:rPr>
        <w:t xml:space="preserve"> </w:t>
      </w:r>
      <w:r>
        <w:rPr>
          <w:rFonts w:ascii="sans-serif" w:hAnsi="sans-serif"/>
          <w:b w:val="false"/>
          <w:color w:val="000000"/>
          <w:sz w:val="24"/>
        </w:rPr>
        <w:t>may</w:t>
      </w:r>
      <w:r>
        <w:rPr>
          <w:color w:val="000000"/>
        </w:rPr>
        <w:t xml:space="preserve"> </w:t>
      </w:r>
      <w:r>
        <w:rPr>
          <w:rFonts w:ascii="sans-serif" w:hAnsi="sans-serif"/>
          <w:b w:val="false"/>
          <w:color w:val="000000"/>
          <w:sz w:val="24"/>
        </w:rPr>
        <w:t>result in disciplinary measures, up to and including immediate termination.</w:t>
      </w:r>
    </w:p>
    <w:p>
      <w:pPr>
        <w:pStyle w:val="TextBody"/>
        <w:bidi w:val="0"/>
        <w:spacing w:lineRule="auto" w:line="288" w:before="59" w:after="283"/>
        <w:jc w:val="left"/>
        <w:rPr/>
      </w:pPr>
      <w:r>
        <w:rPr>
          <w:rFonts w:ascii="sans-serif" w:hAnsi="sans-serif"/>
          <w:b w:val="false"/>
          <w:color w:val="000000"/>
          <w:sz w:val="24"/>
        </w:rPr>
        <w:t>In</w:t>
      </w:r>
      <w:r>
        <w:rPr>
          <w:color w:val="000000"/>
        </w:rPr>
        <w:t xml:space="preserve"> </w:t>
      </w:r>
      <w:r>
        <w:rPr>
          <w:rFonts w:ascii="sans-serif" w:hAnsi="sans-serif"/>
          <w:b w:val="false"/>
          <w:color w:val="000000"/>
          <w:sz w:val="24"/>
        </w:rPr>
        <w:t>all</w:t>
      </w:r>
      <w:r>
        <w:rPr>
          <w:color w:val="000000"/>
        </w:rPr>
        <w:t xml:space="preserve"> </w:t>
      </w:r>
      <w:r>
        <w:rPr>
          <w:rFonts w:ascii="sans-serif" w:hAnsi="sans-serif"/>
          <w:b w:val="false"/>
          <w:color w:val="000000"/>
          <w:sz w:val="24"/>
        </w:rPr>
        <w:t>cases</w:t>
      </w:r>
      <w:r>
        <w:rPr>
          <w:color w:val="000000"/>
        </w:rPr>
        <w:t xml:space="preserve"> </w:t>
      </w:r>
      <w:r>
        <w:rPr>
          <w:rFonts w:ascii="sans-serif" w:hAnsi="sans-serif"/>
          <w:b w:val="false"/>
          <w:color w:val="000000"/>
          <w:sz w:val="24"/>
        </w:rPr>
        <w:t>of</w:t>
      </w:r>
      <w:r>
        <w:rPr>
          <w:color w:val="000000"/>
        </w:rPr>
        <w:t xml:space="preserve"> </w:t>
      </w:r>
      <w:r>
        <w:rPr>
          <w:rFonts w:ascii="sans-serif" w:hAnsi="sans-serif"/>
          <w:b w:val="false"/>
          <w:color w:val="000000"/>
          <w:sz w:val="24"/>
        </w:rPr>
        <w:t>illness</w:t>
      </w:r>
      <w:r>
        <w:rPr>
          <w:color w:val="000000"/>
        </w:rPr>
        <w:t xml:space="preserve"> </w:t>
      </w:r>
      <w:r>
        <w:rPr>
          <w:rFonts w:ascii="sans-serif" w:hAnsi="sans-serif"/>
          <w:b w:val="false"/>
          <w:color w:val="000000"/>
          <w:sz w:val="24"/>
        </w:rPr>
        <w:t>and</w:t>
      </w:r>
      <w:r>
        <w:rPr>
          <w:color w:val="000000"/>
        </w:rPr>
        <w:t xml:space="preserve"> </w:t>
      </w:r>
      <w:r>
        <w:rPr>
          <w:rFonts w:ascii="sans-serif" w:hAnsi="sans-serif"/>
          <w:b w:val="false"/>
          <w:color w:val="000000"/>
          <w:sz w:val="24"/>
        </w:rPr>
        <w:t>accident,</w:t>
      </w:r>
      <w:r>
        <w:rPr>
          <w:color w:val="000000"/>
        </w:rPr>
        <w:t xml:space="preserve"> </w:t>
      </w:r>
      <w:r>
        <w:rPr>
          <w:rFonts w:ascii="sans-serif" w:hAnsi="sans-serif"/>
          <w:b w:val="false"/>
          <w:color w:val="000000"/>
          <w:sz w:val="24"/>
        </w:rPr>
        <w:t>the</w:t>
      </w:r>
      <w:r>
        <w:rPr>
          <w:color w:val="000000"/>
        </w:rPr>
        <w:t xml:space="preserve"> </w:t>
      </w:r>
      <w:r>
        <w:rPr>
          <w:rFonts w:ascii="sans-serif" w:hAnsi="sans-serif"/>
          <w:b w:val="false"/>
          <w:color w:val="000000"/>
          <w:sz w:val="24"/>
        </w:rPr>
        <w:t>Company</w:t>
      </w:r>
      <w:r>
        <w:rPr>
          <w:color w:val="000000"/>
        </w:rPr>
        <w:t xml:space="preserve"> </w:t>
      </w:r>
      <w:r>
        <w:rPr>
          <w:rFonts w:ascii="sans-serif" w:hAnsi="sans-serif"/>
          <w:b w:val="false"/>
          <w:color w:val="000000"/>
          <w:sz w:val="24"/>
        </w:rPr>
        <w:t>is</w:t>
      </w:r>
      <w:r>
        <w:rPr>
          <w:color w:val="000000"/>
        </w:rPr>
        <w:t xml:space="preserve"> </w:t>
      </w:r>
      <w:r>
        <w:rPr>
          <w:rFonts w:ascii="sans-serif" w:hAnsi="sans-serif"/>
          <w:b w:val="false"/>
          <w:color w:val="000000"/>
          <w:sz w:val="24"/>
        </w:rPr>
        <w:t>entitled</w:t>
      </w:r>
      <w:r>
        <w:rPr>
          <w:color w:val="000000"/>
        </w:rPr>
        <w:t xml:space="preserve"> </w:t>
      </w:r>
      <w:r>
        <w:rPr>
          <w:rFonts w:ascii="sans-serif" w:hAnsi="sans-serif"/>
          <w:b w:val="false"/>
          <w:color w:val="000000"/>
          <w:sz w:val="24"/>
        </w:rPr>
        <w:t>to</w:t>
      </w:r>
      <w:r>
        <w:rPr>
          <w:color w:val="000000"/>
        </w:rPr>
        <w:t xml:space="preserve"> </w:t>
      </w:r>
      <w:r>
        <w:rPr>
          <w:rFonts w:ascii="sans-serif" w:hAnsi="sans-serif"/>
          <w:b w:val="false"/>
          <w:color w:val="000000"/>
          <w:sz w:val="24"/>
        </w:rPr>
        <w:t>ask you</w:t>
      </w:r>
      <w:r>
        <w:rPr>
          <w:color w:val="000000"/>
        </w:rPr>
        <w:t xml:space="preserve"> </w:t>
      </w:r>
      <w:r>
        <w:rPr>
          <w:rFonts w:ascii="sans-serif" w:hAnsi="sans-serif"/>
          <w:b w:val="false"/>
          <w:color w:val="000000"/>
          <w:sz w:val="24"/>
        </w:rPr>
        <w:t>to</w:t>
      </w:r>
      <w:r>
        <w:rPr>
          <w:color w:val="000000"/>
        </w:rPr>
        <w:t xml:space="preserve"> </w:t>
      </w:r>
      <w:r>
        <w:rPr>
          <w:rFonts w:ascii="sans-serif" w:hAnsi="sans-serif"/>
          <w:b w:val="false"/>
          <w:color w:val="000000"/>
          <w:sz w:val="24"/>
        </w:rPr>
        <w:t>be</w:t>
      </w:r>
      <w:r>
        <w:rPr>
          <w:color w:val="000000"/>
        </w:rPr>
        <w:t xml:space="preserve"> </w:t>
      </w:r>
      <w:r>
        <w:rPr>
          <w:rFonts w:ascii="sans-serif" w:hAnsi="sans-serif"/>
          <w:b w:val="false"/>
          <w:color w:val="000000"/>
          <w:sz w:val="24"/>
        </w:rPr>
        <w:t>examined by an independent medical examiner of the Company’s choice at the Company’s expense.</w:t>
      </w:r>
    </w:p>
    <w:p>
      <w:pPr>
        <w:pStyle w:val="TextBody"/>
        <w:bidi w:val="0"/>
        <w:spacing w:lineRule="auto" w:line="288" w:before="240" w:after="283"/>
        <w:ind w:left="0" w:right="0" w:hanging="851"/>
        <w:jc w:val="left"/>
        <w:rPr/>
      </w:pPr>
      <w:r>
        <w:rPr>
          <w:rFonts w:ascii="sans-serif" w:hAnsi="sans-serif"/>
          <w:b/>
          <w:color w:val="000000"/>
          <w:sz w:val="24"/>
        </w:rPr>
        <w:t>17.3.    Salary</w:t>
      </w:r>
      <w:r>
        <w:rPr>
          <w:color w:val="000000"/>
        </w:rPr>
        <w:t xml:space="preserve"> </w:t>
      </w:r>
      <w:r>
        <w:rPr>
          <w:rFonts w:ascii="sans-serif" w:hAnsi="sans-serif"/>
          <w:b/>
          <w:color w:val="000000"/>
          <w:sz w:val="24"/>
        </w:rPr>
        <w:t>in</w:t>
      </w:r>
      <w:r>
        <w:rPr>
          <w:color w:val="000000"/>
        </w:rPr>
        <w:t xml:space="preserve"> </w:t>
      </w:r>
      <w:r>
        <w:rPr>
          <w:rFonts w:ascii="sans-serif" w:hAnsi="sans-serif"/>
          <w:b/>
          <w:color w:val="000000"/>
          <w:sz w:val="24"/>
        </w:rPr>
        <w:t>case</w:t>
      </w:r>
      <w:r>
        <w:rPr>
          <w:color w:val="000000"/>
        </w:rPr>
        <w:t xml:space="preserve"> </w:t>
      </w:r>
      <w:r>
        <w:rPr>
          <w:rFonts w:ascii="sans-serif" w:hAnsi="sans-serif"/>
          <w:b/>
          <w:color w:val="000000"/>
          <w:sz w:val="24"/>
        </w:rPr>
        <w:t>of</w:t>
      </w:r>
      <w:r>
        <w:rPr>
          <w:color w:val="000000"/>
        </w:rPr>
        <w:t xml:space="preserve"> </w:t>
      </w:r>
      <w:r>
        <w:rPr>
          <w:rFonts w:ascii="sans-serif" w:hAnsi="sans-serif"/>
          <w:b/>
          <w:color w:val="000000"/>
          <w:sz w:val="24"/>
        </w:rPr>
        <w:t>Executive’s Incapacity</w:t>
      </w:r>
      <w:r>
        <w:rPr>
          <w:color w:val="000000"/>
        </w:rPr>
        <w:t xml:space="preserve"> </w:t>
      </w:r>
      <w:r>
        <w:rPr>
          <w:rFonts w:ascii="sans-serif" w:hAnsi="sans-serif"/>
          <w:b/>
          <w:color w:val="000000"/>
          <w:sz w:val="24"/>
        </w:rPr>
        <w:t>to</w:t>
      </w:r>
      <w:r>
        <w:rPr>
          <w:color w:val="000000"/>
        </w:rPr>
        <w:t xml:space="preserve"> </w:t>
      </w:r>
      <w:r>
        <w:rPr>
          <w:rFonts w:ascii="sans-serif" w:hAnsi="sans-serif"/>
          <w:b/>
          <w:color w:val="000000"/>
          <w:sz w:val="24"/>
        </w:rPr>
        <w:t>Work</w:t>
      </w:r>
      <w:r>
        <w:rPr>
          <w:color w:val="000000"/>
        </w:rPr>
        <w:t xml:space="preserve"> </w:t>
      </w:r>
      <w:r>
        <w:rPr>
          <w:rFonts w:ascii="sans-serif" w:hAnsi="sans-serif"/>
          <w:b/>
          <w:color w:val="000000"/>
          <w:sz w:val="24"/>
        </w:rPr>
        <w:t>due</w:t>
      </w:r>
      <w:r>
        <w:rPr>
          <w:color w:val="000000"/>
        </w:rPr>
        <w:t xml:space="preserve"> </w:t>
      </w:r>
      <w:r>
        <w:rPr>
          <w:rFonts w:ascii="sans-serif" w:hAnsi="sans-serif"/>
          <w:b/>
          <w:color w:val="000000"/>
          <w:sz w:val="24"/>
        </w:rPr>
        <w:t>to</w:t>
      </w:r>
      <w:r>
        <w:rPr>
          <w:color w:val="000000"/>
        </w:rPr>
        <w:t xml:space="preserve"> </w:t>
      </w:r>
      <w:r>
        <w:rPr>
          <w:rFonts w:ascii="sans-serif" w:hAnsi="sans-serif"/>
          <w:b/>
          <w:color w:val="000000"/>
          <w:sz w:val="24"/>
        </w:rPr>
        <w:t>Illness</w:t>
      </w:r>
    </w:p>
    <w:p>
      <w:pPr>
        <w:pStyle w:val="TextBody"/>
        <w:bidi w:val="0"/>
        <w:spacing w:lineRule="auto" w:line="288" w:before="199" w:after="283"/>
        <w:jc w:val="left"/>
        <w:rPr/>
      </w:pPr>
      <w:r>
        <w:rPr>
          <w:rFonts w:ascii="sans-serif" w:hAnsi="sans-serif"/>
          <w:b w:val="false"/>
          <w:color w:val="000000"/>
          <w:sz w:val="24"/>
        </w:rPr>
        <w:t>The Company has taken out daily sickness benefits insurance (</w:t>
      </w:r>
      <w:r>
        <w:rPr>
          <w:rFonts w:ascii="sans-serif" w:hAnsi="sans-serif"/>
          <w:b w:val="false"/>
          <w:i/>
          <w:color w:val="000000"/>
          <w:sz w:val="24"/>
        </w:rPr>
        <w:t>Krankentaggeldversicherung</w:t>
      </w:r>
      <w:r>
        <w:rPr>
          <w:rFonts w:ascii="sans-serif" w:hAnsi="sans-serif"/>
          <w:b w:val="false"/>
          <w:color w:val="000000"/>
          <w:sz w:val="24"/>
        </w:rPr>
        <w:t>)</w:t>
      </w:r>
      <w:r>
        <w:rPr>
          <w:color w:val="000000"/>
        </w:rPr>
        <w:t xml:space="preserve"> </w:t>
      </w:r>
      <w:r>
        <w:rPr>
          <w:rFonts w:ascii="sans-serif" w:hAnsi="sans-serif"/>
          <w:b w:val="false"/>
          <w:color w:val="000000"/>
          <w:sz w:val="24"/>
        </w:rPr>
        <w:t>for</w:t>
      </w:r>
      <w:r>
        <w:rPr>
          <w:color w:val="000000"/>
        </w:rPr>
        <w:t xml:space="preserve"> </w:t>
      </w:r>
      <w:r>
        <w:rPr>
          <w:rFonts w:ascii="sans-serif" w:hAnsi="sans-serif"/>
          <w:b w:val="false"/>
          <w:color w:val="000000"/>
          <w:sz w:val="24"/>
        </w:rPr>
        <w:t>the</w:t>
      </w:r>
      <w:r>
        <w:rPr>
          <w:color w:val="000000"/>
        </w:rPr>
        <w:t xml:space="preserve"> </w:t>
      </w:r>
      <w:r>
        <w:rPr>
          <w:rFonts w:ascii="sans-serif" w:hAnsi="sans-serif"/>
          <w:b w:val="false"/>
          <w:color w:val="000000"/>
          <w:sz w:val="24"/>
        </w:rPr>
        <w:t>benefit</w:t>
      </w:r>
      <w:r>
        <w:rPr>
          <w:color w:val="000000"/>
        </w:rPr>
        <w:t xml:space="preserve"> </w:t>
      </w:r>
      <w:r>
        <w:rPr>
          <w:rFonts w:ascii="sans-serif" w:hAnsi="sans-serif"/>
          <w:b w:val="false"/>
          <w:color w:val="000000"/>
          <w:sz w:val="24"/>
        </w:rPr>
        <w:t>of</w:t>
      </w:r>
      <w:r>
        <w:rPr>
          <w:color w:val="000000"/>
        </w:rPr>
        <w:t xml:space="preserve"> </w:t>
      </w:r>
      <w:r>
        <w:rPr>
          <w:rFonts w:ascii="sans-serif" w:hAnsi="sans-serif"/>
          <w:b w:val="false"/>
          <w:color w:val="000000"/>
          <w:sz w:val="24"/>
        </w:rPr>
        <w:t>its</w:t>
      </w:r>
      <w:r>
        <w:rPr>
          <w:color w:val="000000"/>
        </w:rPr>
        <w:t xml:space="preserve"> </w:t>
      </w:r>
      <w:r>
        <w:rPr>
          <w:rFonts w:ascii="sans-serif" w:hAnsi="sans-serif"/>
          <w:b w:val="false"/>
          <w:color w:val="000000"/>
          <w:sz w:val="24"/>
        </w:rPr>
        <w:t>employees.</w:t>
      </w:r>
      <w:r>
        <w:rPr>
          <w:color w:val="000000"/>
        </w:rPr>
        <w:t xml:space="preserve"> </w:t>
      </w:r>
      <w:r>
        <w:rPr>
          <w:rFonts w:ascii="sans-serif" w:hAnsi="sans-serif"/>
          <w:b w:val="false"/>
          <w:color w:val="000000"/>
          <w:sz w:val="24"/>
        </w:rPr>
        <w:t>This</w:t>
      </w:r>
      <w:r>
        <w:rPr>
          <w:color w:val="000000"/>
        </w:rPr>
        <w:t xml:space="preserve"> </w:t>
      </w:r>
      <w:r>
        <w:rPr>
          <w:rFonts w:ascii="sans-serif" w:hAnsi="sans-serif"/>
          <w:b w:val="false"/>
          <w:color w:val="000000"/>
          <w:sz w:val="24"/>
        </w:rPr>
        <w:t>arrangement</w:t>
      </w:r>
      <w:r>
        <w:rPr>
          <w:color w:val="000000"/>
        </w:rPr>
        <w:t xml:space="preserve"> </w:t>
      </w:r>
      <w:r>
        <w:rPr>
          <w:rFonts w:ascii="sans-serif" w:hAnsi="sans-serif"/>
          <w:b w:val="false"/>
          <w:color w:val="000000"/>
          <w:sz w:val="24"/>
        </w:rPr>
        <w:t>replaces the Company’s statutory obligation to continue paying your salary.</w:t>
      </w:r>
    </w:p>
    <w:p>
      <w:pPr>
        <w:pStyle w:val="TextBody"/>
        <w:bidi w:val="0"/>
        <w:spacing w:lineRule="auto" w:line="288" w:before="0" w:after="0"/>
        <w:jc w:val="left"/>
        <w:rPr/>
      </w:pPr>
      <w:r>
        <w:rPr>
          <w:rFonts w:ascii="sans-serif" w:hAnsi="sans-serif"/>
          <w:b w:val="false"/>
          <w:color w:val="000000"/>
          <w:sz w:val="24"/>
        </w:rPr>
        <w:t>In principle, the daily sickness benefits insurance provides for the following coverage:</w:t>
      </w:r>
      <w:r>
        <w:rPr>
          <w:color w:val="000000"/>
        </w:rPr>
        <w:t xml:space="preserve"> </w:t>
      </w:r>
      <w:r>
        <w:rPr>
          <w:rFonts w:ascii="sans-serif" w:hAnsi="sans-serif"/>
          <w:b w:val="false"/>
          <w:color w:val="000000"/>
          <w:sz w:val="24"/>
        </w:rPr>
        <w:t>after</w:t>
      </w:r>
      <w:r>
        <w:rPr>
          <w:color w:val="000000"/>
        </w:rPr>
        <w:t xml:space="preserve"> </w:t>
      </w:r>
      <w:r>
        <w:rPr>
          <w:rFonts w:ascii="sans-serif" w:hAnsi="sans-serif"/>
          <w:b w:val="false"/>
          <w:color w:val="000000"/>
          <w:sz w:val="24"/>
        </w:rPr>
        <w:t>a</w:t>
      </w:r>
      <w:r>
        <w:rPr>
          <w:color w:val="000000"/>
        </w:rPr>
        <w:t xml:space="preserve"> </w:t>
      </w:r>
      <w:r>
        <w:rPr>
          <w:rFonts w:ascii="sans-serif" w:hAnsi="sans-serif"/>
          <w:b w:val="false"/>
          <w:color w:val="000000"/>
          <w:sz w:val="24"/>
        </w:rPr>
        <w:t>waiting</w:t>
      </w:r>
      <w:r>
        <w:rPr>
          <w:color w:val="000000"/>
        </w:rPr>
        <w:t xml:space="preserve"> </w:t>
      </w:r>
      <w:r>
        <w:rPr>
          <w:rFonts w:ascii="sans-serif" w:hAnsi="sans-serif"/>
          <w:b w:val="false"/>
          <w:color w:val="000000"/>
          <w:sz w:val="24"/>
        </w:rPr>
        <w:t>period</w:t>
      </w:r>
      <w:r>
        <w:rPr>
          <w:color w:val="000000"/>
        </w:rPr>
        <w:t xml:space="preserve"> </w:t>
      </w:r>
      <w:r>
        <w:rPr>
          <w:rFonts w:ascii="sans-serif" w:hAnsi="sans-serif"/>
          <w:b w:val="false"/>
          <w:color w:val="000000"/>
          <w:sz w:val="24"/>
        </w:rPr>
        <w:t>of 30</w:t>
      </w:r>
      <w:r>
        <w:rPr>
          <w:color w:val="000000"/>
        </w:rPr>
        <w:t xml:space="preserve"> </w:t>
      </w:r>
      <w:r>
        <w:rPr>
          <w:rFonts w:ascii="sans-serif" w:hAnsi="sans-serif"/>
          <w:b w:val="false"/>
          <w:color w:val="000000"/>
          <w:sz w:val="24"/>
        </w:rPr>
        <w:t>days</w:t>
      </w:r>
      <w:r>
        <w:rPr>
          <w:color w:val="000000"/>
        </w:rPr>
        <w:t xml:space="preserve"> </w:t>
      </w:r>
      <w:r>
        <w:rPr>
          <w:rFonts w:ascii="sans-serif" w:hAnsi="sans-serif"/>
          <w:b w:val="false"/>
          <w:color w:val="000000"/>
          <w:sz w:val="24"/>
        </w:rPr>
        <w:t>(the</w:t>
      </w:r>
      <w:r>
        <w:rPr>
          <w:color w:val="000000"/>
        </w:rPr>
        <w:t xml:space="preserve"> </w:t>
      </w:r>
      <w:r>
        <w:rPr>
          <w:rFonts w:ascii="sans-serif" w:hAnsi="sans-serif"/>
          <w:b/>
          <w:color w:val="000000"/>
          <w:sz w:val="24"/>
        </w:rPr>
        <w:t>Waiting</w:t>
      </w:r>
      <w:r>
        <w:rPr>
          <w:color w:val="000000"/>
        </w:rPr>
        <w:t xml:space="preserve"> </w:t>
      </w:r>
      <w:r>
        <w:rPr>
          <w:rFonts w:ascii="sans-serif" w:hAnsi="sans-serif"/>
          <w:b/>
          <w:color w:val="000000"/>
          <w:sz w:val="24"/>
        </w:rPr>
        <w:t>Period</w:t>
      </w:r>
      <w:r>
        <w:rPr>
          <w:rFonts w:ascii="sans-serif" w:hAnsi="sans-serif"/>
          <w:b w:val="false"/>
          <w:color w:val="000000"/>
          <w:sz w:val="24"/>
        </w:rPr>
        <w:t>),</w:t>
      </w:r>
      <w:r>
        <w:rPr>
          <w:color w:val="000000"/>
        </w:rPr>
        <w:t xml:space="preserve"> </w:t>
      </w:r>
      <w:r>
        <w:rPr>
          <w:rFonts w:ascii="sans-serif" w:hAnsi="sans-serif"/>
          <w:b w:val="false"/>
          <w:color w:val="000000"/>
          <w:sz w:val="24"/>
        </w:rPr>
        <w:t>80%</w:t>
      </w:r>
      <w:r>
        <w:rPr>
          <w:color w:val="000000"/>
        </w:rPr>
        <w:t xml:space="preserve"> </w:t>
      </w:r>
      <w:r>
        <w:rPr>
          <w:rFonts w:ascii="sans-serif" w:hAnsi="sans-serif"/>
          <w:b w:val="false"/>
          <w:color w:val="000000"/>
          <w:sz w:val="24"/>
        </w:rPr>
        <w:t>of</w:t>
      </w:r>
      <w:r>
        <w:rPr>
          <w:color w:val="000000"/>
        </w:rPr>
        <w:t xml:space="preserve"> </w:t>
      </w:r>
      <w:r>
        <w:rPr>
          <w:rFonts w:ascii="sans-serif" w:hAnsi="sans-serif"/>
          <w:b w:val="false"/>
          <w:color w:val="000000"/>
          <w:sz w:val="24"/>
        </w:rPr>
        <w:t>the</w:t>
      </w:r>
      <w:r>
        <w:rPr>
          <w:color w:val="000000"/>
        </w:rPr>
        <w:t xml:space="preserve"> </w:t>
      </w:r>
      <w:r>
        <w:rPr>
          <w:rFonts w:ascii="sans-serif" w:hAnsi="sans-serif"/>
          <w:b w:val="false"/>
          <w:color w:val="000000"/>
          <w:sz w:val="24"/>
        </w:rPr>
        <w:t>insured salary during up to 720 days from the start of the incapacity to work within a time frame of 900 days. The current maximum insured salary is CHF 860,400.</w:t>
      </w:r>
    </w:p>
    <w:p>
      <w:pPr>
        <w:pStyle w:val="TextBody"/>
        <w:bidi w:val="0"/>
        <w:spacing w:lineRule="auto" w:line="240"/>
        <w:jc w:val="left"/>
        <w:rPr/>
      </w:pPr>
      <w:r>
        <w:rPr>
          <w:rFonts w:ascii="sans-serif" w:hAnsi="sans-serif"/>
          <w:b w:val="false"/>
          <w:color w:val="000000"/>
          <w:sz w:val="24"/>
        </w:rPr>
        <w:t>If you</w:t>
      </w:r>
      <w:r>
        <w:rPr>
          <w:color w:val="000000"/>
        </w:rPr>
        <w:t xml:space="preserve"> </w:t>
      </w:r>
      <w:r>
        <w:rPr>
          <w:rFonts w:ascii="sans-serif" w:hAnsi="sans-serif"/>
          <w:b w:val="false"/>
          <w:color w:val="000000"/>
          <w:sz w:val="24"/>
        </w:rPr>
        <w:t>are</w:t>
      </w:r>
      <w:r>
        <w:rPr>
          <w:color w:val="000000"/>
        </w:rPr>
        <w:t xml:space="preserve"> </w:t>
      </w:r>
      <w:r>
        <w:rPr>
          <w:rFonts w:ascii="sans-serif" w:hAnsi="sans-serif"/>
          <w:b w:val="false"/>
          <w:color w:val="000000"/>
          <w:sz w:val="24"/>
        </w:rPr>
        <w:t>prevented</w:t>
      </w:r>
      <w:r>
        <w:rPr>
          <w:color w:val="000000"/>
        </w:rPr>
        <w:t xml:space="preserve"> </w:t>
      </w:r>
      <w:r>
        <w:rPr>
          <w:rFonts w:ascii="sans-serif" w:hAnsi="sans-serif"/>
          <w:b w:val="false"/>
          <w:color w:val="000000"/>
          <w:sz w:val="24"/>
        </w:rPr>
        <w:t>from</w:t>
      </w:r>
      <w:r>
        <w:rPr>
          <w:color w:val="000000"/>
        </w:rPr>
        <w:t xml:space="preserve"> </w:t>
      </w:r>
      <w:r>
        <w:rPr>
          <w:rFonts w:ascii="sans-serif" w:hAnsi="sans-serif"/>
          <w:b w:val="false"/>
          <w:color w:val="000000"/>
          <w:sz w:val="24"/>
        </w:rPr>
        <w:t>working</w:t>
      </w:r>
      <w:r>
        <w:rPr>
          <w:color w:val="000000"/>
        </w:rPr>
        <w:t xml:space="preserve"> </w:t>
      </w:r>
      <w:r>
        <w:rPr>
          <w:rFonts w:ascii="sans-serif" w:hAnsi="sans-serif"/>
          <w:b w:val="false"/>
          <w:color w:val="000000"/>
          <w:sz w:val="24"/>
        </w:rPr>
        <w:t>due</w:t>
      </w:r>
      <w:r>
        <w:rPr>
          <w:color w:val="000000"/>
        </w:rPr>
        <w:t xml:space="preserve"> </w:t>
      </w:r>
      <w:r>
        <w:rPr>
          <w:rFonts w:ascii="sans-serif" w:hAnsi="sans-serif"/>
          <w:b w:val="false"/>
          <w:color w:val="000000"/>
          <w:sz w:val="24"/>
        </w:rPr>
        <w:t>to sickness</w:t>
      </w:r>
      <w:r>
        <w:rPr>
          <w:color w:val="000000"/>
        </w:rPr>
        <w:t xml:space="preserve"> </w:t>
      </w:r>
      <w:r>
        <w:rPr>
          <w:rFonts w:ascii="sans-serif" w:hAnsi="sans-serif"/>
          <w:b w:val="false"/>
          <w:color w:val="000000"/>
          <w:sz w:val="24"/>
        </w:rPr>
        <w:t>for</w:t>
      </w:r>
      <w:r>
        <w:rPr>
          <w:color w:val="000000"/>
        </w:rPr>
        <w:t xml:space="preserve"> </w:t>
      </w:r>
      <w:r>
        <w:rPr>
          <w:rFonts w:ascii="sans-serif" w:hAnsi="sans-serif"/>
          <w:b w:val="false"/>
          <w:color w:val="000000"/>
          <w:sz w:val="24"/>
        </w:rPr>
        <w:t>which you</w:t>
      </w:r>
      <w:r>
        <w:rPr>
          <w:color w:val="000000"/>
        </w:rPr>
        <w:t xml:space="preserve"> </w:t>
      </w:r>
      <w:r>
        <w:rPr>
          <w:rFonts w:ascii="sans-serif" w:hAnsi="sans-serif"/>
          <w:b w:val="false"/>
          <w:color w:val="000000"/>
          <w:sz w:val="24"/>
        </w:rPr>
        <w:t>are</w:t>
      </w:r>
      <w:r>
        <w:rPr>
          <w:color w:val="000000"/>
        </w:rPr>
        <w:t xml:space="preserve"> </w:t>
      </w:r>
      <w:r>
        <w:rPr>
          <w:rFonts w:ascii="sans-serif" w:hAnsi="sans-serif"/>
          <w:b w:val="false"/>
          <w:color w:val="000000"/>
          <w:sz w:val="24"/>
        </w:rPr>
        <w:t>not</w:t>
      </w:r>
      <w:r>
        <w:rPr>
          <w:color w:val="000000"/>
        </w:rPr>
        <w:t xml:space="preserve"> </w:t>
      </w:r>
      <w:r>
        <w:rPr>
          <w:rFonts w:ascii="sans-serif" w:hAnsi="sans-serif"/>
          <w:b w:val="false"/>
          <w:color w:val="000000"/>
          <w:sz w:val="24"/>
        </w:rPr>
        <w:t>at fault, the Company undertakes to pay 80% of your Base Salary during the Waiting Period,</w:t>
      </w:r>
      <w:r>
        <w:rPr>
          <w:color w:val="000000"/>
        </w:rPr>
        <w:t xml:space="preserve"> </w:t>
      </w:r>
      <w:r>
        <w:rPr>
          <w:rFonts w:ascii="sans-serif" w:hAnsi="sans-serif"/>
          <w:b w:val="false"/>
          <w:color w:val="000000"/>
          <w:sz w:val="24"/>
        </w:rPr>
        <w:t>provided</w:t>
      </w:r>
      <w:r>
        <w:rPr>
          <w:color w:val="000000"/>
        </w:rPr>
        <w:t xml:space="preserve"> </w:t>
      </w:r>
      <w:r>
        <w:rPr>
          <w:rFonts w:ascii="sans-serif" w:hAnsi="sans-serif"/>
          <w:b w:val="false"/>
          <w:color w:val="000000"/>
          <w:sz w:val="24"/>
        </w:rPr>
        <w:t>that</w:t>
      </w:r>
      <w:r>
        <w:rPr>
          <w:color w:val="000000"/>
        </w:rPr>
        <w:t xml:space="preserve"> </w:t>
      </w:r>
      <w:r>
        <w:rPr>
          <w:rFonts w:ascii="sans-serif" w:hAnsi="sans-serif"/>
          <w:b w:val="false"/>
          <w:color w:val="000000"/>
          <w:sz w:val="24"/>
        </w:rPr>
        <w:t>you</w:t>
      </w:r>
      <w:r>
        <w:rPr>
          <w:color w:val="000000"/>
        </w:rPr>
        <w:t xml:space="preserve"> </w:t>
      </w:r>
      <w:r>
        <w:rPr>
          <w:rFonts w:ascii="sans-serif" w:hAnsi="sans-serif"/>
          <w:b w:val="false"/>
          <w:color w:val="000000"/>
          <w:sz w:val="24"/>
        </w:rPr>
        <w:t>are</w:t>
      </w:r>
      <w:r>
        <w:rPr>
          <w:color w:val="000000"/>
        </w:rPr>
        <w:t xml:space="preserve"> </w:t>
      </w:r>
      <w:r>
        <w:rPr>
          <w:rFonts w:ascii="sans-serif" w:hAnsi="sans-serif"/>
          <w:b w:val="false"/>
          <w:color w:val="000000"/>
          <w:sz w:val="24"/>
        </w:rPr>
        <w:t>entitled</w:t>
      </w:r>
      <w:r>
        <w:rPr>
          <w:color w:val="000000"/>
        </w:rPr>
        <w:t xml:space="preserve"> </w:t>
      </w:r>
      <w:r>
        <w:rPr>
          <w:rFonts w:ascii="sans-serif" w:hAnsi="sans-serif"/>
          <w:b w:val="false"/>
          <w:color w:val="000000"/>
          <w:sz w:val="24"/>
        </w:rPr>
        <w:t>to</w:t>
      </w:r>
      <w:r>
        <w:rPr>
          <w:color w:val="000000"/>
        </w:rPr>
        <w:t xml:space="preserve"> </w:t>
      </w:r>
      <w:r>
        <w:rPr>
          <w:rFonts w:ascii="sans-serif" w:hAnsi="sans-serif"/>
          <w:b w:val="false"/>
          <w:color w:val="000000"/>
          <w:sz w:val="24"/>
        </w:rPr>
        <w:t>continued</w:t>
      </w:r>
      <w:r>
        <w:rPr>
          <w:color w:val="000000"/>
        </w:rPr>
        <w:t xml:space="preserve"> </w:t>
      </w:r>
      <w:r>
        <w:rPr>
          <w:rFonts w:ascii="sans-serif" w:hAnsi="sans-serif"/>
          <w:b w:val="false"/>
          <w:color w:val="000000"/>
          <w:sz w:val="24"/>
        </w:rPr>
        <w:t>payment</w:t>
      </w:r>
      <w:r>
        <w:rPr>
          <w:color w:val="000000"/>
        </w:rPr>
        <w:t xml:space="preserve"> </w:t>
      </w:r>
      <w:r>
        <w:rPr>
          <w:rFonts w:ascii="sans-serif" w:hAnsi="sans-serif"/>
          <w:b w:val="false"/>
          <w:color w:val="000000"/>
          <w:sz w:val="24"/>
        </w:rPr>
        <w:t>of</w:t>
      </w:r>
      <w:r>
        <w:rPr>
          <w:color w:val="000000"/>
        </w:rPr>
        <w:t xml:space="preserve"> </w:t>
      </w:r>
      <w:r>
        <w:rPr>
          <w:rFonts w:ascii="sans-serif" w:hAnsi="sans-serif"/>
          <w:b w:val="false"/>
          <w:color w:val="000000"/>
          <w:sz w:val="24"/>
        </w:rPr>
        <w:t>salary</w:t>
      </w:r>
      <w:r>
        <w:rPr>
          <w:color w:val="000000"/>
        </w:rPr>
        <w:t xml:space="preserve"> </w:t>
      </w:r>
      <w:r>
        <w:rPr>
          <w:rFonts w:ascii="sans-serif" w:hAnsi="sans-serif"/>
          <w:b w:val="false"/>
          <w:color w:val="000000"/>
          <w:sz w:val="24"/>
        </w:rPr>
        <w:t>under Article 324a para 1-3 CO and the Zurich scale.</w:t>
      </w:r>
    </w:p>
    <w:p>
      <w:pPr>
        <w:pStyle w:val="TextBody"/>
        <w:bidi w:val="0"/>
        <w:spacing w:lineRule="auto" w:line="211" w:before="0" w:after="0"/>
        <w:jc w:val="right"/>
        <w:rPr>
          <w:rFonts w:ascii="sans-serif" w:hAnsi="sans-serif"/>
          <w:b/>
          <w:color w:val="000000"/>
          <w:sz w:val="16"/>
        </w:rPr>
      </w:pPr>
      <w:r>
        <w:rPr>
          <w:rFonts w:ascii="sans-serif" w:hAnsi="sans-serif"/>
          <w:b/>
          <w:color w:val="000000"/>
          <w:sz w:val="16"/>
        </w:rPr>
        <w:t>Employment Agreement between Lucid Switzerland AG and Silvio Napoli</w:t>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582930"/>
                <wp:effectExtent l="0" t="0" r="0" b="0"/>
                <wp:wrapNone/>
                <wp:docPr id="142" name="Frame142"/>
                <a:graphic xmlns:a="http://schemas.openxmlformats.org/drawingml/2006/main">
                  <a:graphicData uri="http://schemas.microsoft.com/office/word/2010/wordprocessingShape">
                    <wps:wsp>
                      <wps:cNvSpPr txBox="1"/>
                      <wps:spPr>
                        <a:xfrm>
                          <a:off x="0" y="0"/>
                          <a:ext cx="6480175" cy="58293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sans-serif" w:hAnsi="sans-serif"/>
                                <w:b w:val="false"/>
                                <w:color w:val="000000"/>
                                <w:sz w:val="22"/>
                              </w:rPr>
                            </w:pPr>
                            <w:r>
                              <w:rPr>
                                <w:rFonts w:ascii="sans-serif" w:hAnsi="sans-serif"/>
                                <w:b w:val="false"/>
                                <w:color w:val="000000"/>
                                <w:sz w:val="22"/>
                              </w:rPr>
                              <w:t xml:space="preserve">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9pt;mso-wrap-distance-left:0pt;mso-wrap-distance-right:0pt;mso-wrap-distance-top:0pt;mso-wrap-distance-bottom:0pt;margin-top:0pt;mso-position-vertical:top;mso-position-vertical-relative:text;margin-left:-154.2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sans-serif" w:hAnsi="sans-serif"/>
                          <w:b w:val="false"/>
                          <w:color w:val="000000"/>
                          <w:sz w:val="22"/>
                        </w:rPr>
                      </w:pPr>
                      <w:r>
                        <w:rPr>
                          <w:rFonts w:ascii="sans-serif" w:hAnsi="sans-serif"/>
                          <w:b w:val="false"/>
                          <w:color w:val="000000"/>
                          <w:sz w:val="22"/>
                        </w:rPr>
                        <w:t xml:space="preserve">11 </w:t>
                      </w:r>
                    </w:p>
                  </w:txbxContent>
                </v:textbox>
                <w10:wrap type="none"/>
              </v:rect>
            </w:pict>
          </mc:Fallback>
        </mc:AlternateContent>
      </w:r>
    </w:p>
    <w:p>
      <w:pPr>
        <w:pStyle w:val="TextBody"/>
        <w:bidi w:val="0"/>
        <w:spacing w:lineRule="auto" w:line="288" w:before="60" w:after="283"/>
        <w:jc w:val="left"/>
        <w:rPr/>
      </w:pPr>
      <w:r>
        <w:rPr>
          <w:rFonts w:ascii="sans-serif" w:hAnsi="sans-serif"/>
          <w:b w:val="false"/>
          <w:color w:val="000000"/>
          <w:sz w:val="24"/>
        </w:rPr>
        <w:t>You</w:t>
      </w:r>
      <w:r>
        <w:rPr>
          <w:color w:val="000000"/>
        </w:rPr>
        <w:t xml:space="preserve"> </w:t>
      </w:r>
      <w:r>
        <w:rPr>
          <w:rFonts w:ascii="sans-serif" w:hAnsi="sans-serif"/>
          <w:b w:val="false"/>
          <w:color w:val="000000"/>
          <w:sz w:val="24"/>
        </w:rPr>
        <w:t>acknowledge</w:t>
      </w:r>
      <w:r>
        <w:rPr>
          <w:color w:val="000000"/>
        </w:rPr>
        <w:t xml:space="preserve"> </w:t>
      </w:r>
      <w:r>
        <w:rPr>
          <w:rFonts w:ascii="sans-serif" w:hAnsi="sans-serif"/>
          <w:b w:val="false"/>
          <w:color w:val="000000"/>
          <w:sz w:val="24"/>
        </w:rPr>
        <w:t>that</w:t>
      </w:r>
      <w:r>
        <w:rPr>
          <w:color w:val="000000"/>
        </w:rPr>
        <w:t xml:space="preserve"> </w:t>
      </w:r>
      <w:r>
        <w:rPr>
          <w:rFonts w:ascii="sans-serif" w:hAnsi="sans-serif"/>
          <w:b w:val="false"/>
          <w:color w:val="000000"/>
          <w:sz w:val="24"/>
        </w:rPr>
        <w:t>the</w:t>
      </w:r>
      <w:r>
        <w:rPr>
          <w:color w:val="000000"/>
        </w:rPr>
        <w:t xml:space="preserve"> </w:t>
      </w:r>
      <w:r>
        <w:rPr>
          <w:rFonts w:ascii="sans-serif" w:hAnsi="sans-serif"/>
          <w:b w:val="false"/>
          <w:color w:val="000000"/>
          <w:sz w:val="24"/>
        </w:rPr>
        <w:t>insurance</w:t>
      </w:r>
      <w:r>
        <w:rPr>
          <w:color w:val="000000"/>
        </w:rPr>
        <w:t xml:space="preserve"> </w:t>
      </w:r>
      <w:r>
        <w:rPr>
          <w:rFonts w:ascii="sans-serif" w:hAnsi="sans-serif"/>
          <w:b w:val="false"/>
          <w:color w:val="000000"/>
          <w:sz w:val="24"/>
        </w:rPr>
        <w:t>benefits</w:t>
      </w:r>
      <w:r>
        <w:rPr>
          <w:color w:val="000000"/>
        </w:rPr>
        <w:t xml:space="preserve"> </w:t>
      </w:r>
      <w:r>
        <w:rPr>
          <w:rFonts w:ascii="sans-serif" w:hAnsi="sans-serif"/>
          <w:b w:val="false"/>
          <w:color w:val="000000"/>
          <w:sz w:val="24"/>
        </w:rPr>
        <w:t>may</w:t>
      </w:r>
      <w:r>
        <w:rPr>
          <w:color w:val="000000"/>
        </w:rPr>
        <w:t xml:space="preserve"> </w:t>
      </w:r>
      <w:r>
        <w:rPr>
          <w:rFonts w:ascii="sans-serif" w:hAnsi="sans-serif"/>
          <w:b w:val="false"/>
          <w:color w:val="000000"/>
          <w:sz w:val="24"/>
        </w:rPr>
        <w:t>be</w:t>
      </w:r>
      <w:r>
        <w:rPr>
          <w:color w:val="000000"/>
        </w:rPr>
        <w:t xml:space="preserve"> </w:t>
      </w:r>
      <w:r>
        <w:rPr>
          <w:rFonts w:ascii="sans-serif" w:hAnsi="sans-serif"/>
          <w:b w:val="false"/>
          <w:color w:val="000000"/>
          <w:sz w:val="24"/>
        </w:rPr>
        <w:t>reduced</w:t>
      </w:r>
      <w:r>
        <w:rPr>
          <w:color w:val="000000"/>
        </w:rPr>
        <w:t xml:space="preserve"> </w:t>
      </w:r>
      <w:r>
        <w:rPr>
          <w:rFonts w:ascii="sans-serif" w:hAnsi="sans-serif"/>
          <w:b w:val="false"/>
          <w:color w:val="000000"/>
          <w:sz w:val="24"/>
        </w:rPr>
        <w:t>after</w:t>
      </w:r>
      <w:r>
        <w:rPr>
          <w:color w:val="000000"/>
        </w:rPr>
        <w:t xml:space="preserve"> </w:t>
      </w:r>
      <w:r>
        <w:rPr>
          <w:rFonts w:ascii="sans-serif" w:hAnsi="sans-serif"/>
          <w:b w:val="false"/>
          <w:color w:val="000000"/>
          <w:sz w:val="24"/>
        </w:rPr>
        <w:t>retirement age and/or if you reside abroad.</w:t>
      </w:r>
    </w:p>
    <w:p>
      <w:pPr>
        <w:pStyle w:val="TextBody"/>
        <w:bidi w:val="0"/>
        <w:spacing w:lineRule="auto" w:line="288" w:before="60" w:after="283"/>
        <w:jc w:val="left"/>
        <w:rPr/>
      </w:pPr>
      <w:r>
        <w:rPr>
          <w:rFonts w:ascii="sans-serif" w:hAnsi="sans-serif"/>
          <w:b w:val="false"/>
          <w:color w:val="000000"/>
          <w:sz w:val="24"/>
        </w:rPr>
        <w:t>The</w:t>
      </w:r>
      <w:r>
        <w:rPr>
          <w:color w:val="000000"/>
        </w:rPr>
        <w:t xml:space="preserve"> </w:t>
      </w:r>
      <w:r>
        <w:rPr>
          <w:rFonts w:ascii="sans-serif" w:hAnsi="sans-serif"/>
          <w:b w:val="false"/>
          <w:color w:val="000000"/>
          <w:sz w:val="24"/>
        </w:rPr>
        <w:t>insurance</w:t>
      </w:r>
      <w:r>
        <w:rPr>
          <w:color w:val="000000"/>
        </w:rPr>
        <w:t xml:space="preserve"> </w:t>
      </w:r>
      <w:r>
        <w:rPr>
          <w:rFonts w:ascii="sans-serif" w:hAnsi="sans-serif"/>
          <w:b w:val="false"/>
          <w:color w:val="000000"/>
          <w:sz w:val="24"/>
        </w:rPr>
        <w:t>premium</w:t>
      </w:r>
      <w:r>
        <w:rPr>
          <w:color w:val="000000"/>
        </w:rPr>
        <w:t xml:space="preserve"> </w:t>
      </w:r>
      <w:r>
        <w:rPr>
          <w:rFonts w:ascii="sans-serif" w:hAnsi="sans-serif"/>
          <w:b w:val="false"/>
          <w:color w:val="000000"/>
          <w:sz w:val="24"/>
        </w:rPr>
        <w:t>for</w:t>
      </w:r>
      <w:r>
        <w:rPr>
          <w:color w:val="000000"/>
        </w:rPr>
        <w:t xml:space="preserve"> </w:t>
      </w:r>
      <w:r>
        <w:rPr>
          <w:rFonts w:ascii="sans-serif" w:hAnsi="sans-serif"/>
          <w:b w:val="false"/>
          <w:color w:val="000000"/>
          <w:sz w:val="24"/>
        </w:rPr>
        <w:t>the</w:t>
      </w:r>
      <w:r>
        <w:rPr>
          <w:color w:val="000000"/>
        </w:rPr>
        <w:t xml:space="preserve"> </w:t>
      </w:r>
      <w:r>
        <w:rPr>
          <w:rFonts w:ascii="sans-serif" w:hAnsi="sans-serif"/>
          <w:b w:val="false"/>
          <w:color w:val="000000"/>
          <w:sz w:val="24"/>
        </w:rPr>
        <w:t>daily</w:t>
      </w:r>
      <w:r>
        <w:rPr>
          <w:color w:val="000000"/>
        </w:rPr>
        <w:t xml:space="preserve"> </w:t>
      </w:r>
      <w:r>
        <w:rPr>
          <w:rFonts w:ascii="sans-serif" w:hAnsi="sans-serif"/>
          <w:b w:val="false"/>
          <w:color w:val="000000"/>
          <w:sz w:val="24"/>
        </w:rPr>
        <w:t>sickness</w:t>
      </w:r>
      <w:r>
        <w:rPr>
          <w:color w:val="000000"/>
        </w:rPr>
        <w:t xml:space="preserve"> </w:t>
      </w:r>
      <w:r>
        <w:rPr>
          <w:rFonts w:ascii="sans-serif" w:hAnsi="sans-serif"/>
          <w:b w:val="false"/>
          <w:color w:val="000000"/>
          <w:sz w:val="24"/>
        </w:rPr>
        <w:t>benefits</w:t>
      </w:r>
      <w:r>
        <w:rPr>
          <w:color w:val="000000"/>
        </w:rPr>
        <w:t xml:space="preserve"> </w:t>
      </w:r>
      <w:r>
        <w:rPr>
          <w:rFonts w:ascii="sans-serif" w:hAnsi="sans-serif"/>
          <w:b w:val="false"/>
          <w:color w:val="000000"/>
          <w:sz w:val="24"/>
        </w:rPr>
        <w:t>insurance is</w:t>
      </w:r>
      <w:r>
        <w:rPr>
          <w:color w:val="000000"/>
        </w:rPr>
        <w:t xml:space="preserve"> </w:t>
      </w:r>
      <w:r>
        <w:rPr>
          <w:rFonts w:ascii="sans-serif" w:hAnsi="sans-serif"/>
          <w:b w:val="false"/>
          <w:color w:val="000000"/>
          <w:sz w:val="24"/>
        </w:rPr>
        <w:t>paid</w:t>
      </w:r>
      <w:r>
        <w:rPr>
          <w:color w:val="000000"/>
        </w:rPr>
        <w:t xml:space="preserve"> </w:t>
      </w:r>
      <w:r>
        <w:rPr>
          <w:rFonts w:ascii="sans-serif" w:hAnsi="sans-serif"/>
          <w:b w:val="false"/>
          <w:color w:val="000000"/>
          <w:sz w:val="24"/>
        </w:rPr>
        <w:t>one</w:t>
      </w:r>
      <w:r>
        <w:rPr>
          <w:color w:val="000000"/>
        </w:rPr>
        <w:t xml:space="preserve"> </w:t>
      </w:r>
      <w:r>
        <w:rPr>
          <w:rFonts w:ascii="sans-serif" w:hAnsi="sans-serif"/>
          <w:b w:val="false"/>
          <w:color w:val="000000"/>
          <w:sz w:val="24"/>
        </w:rPr>
        <w:t>half each by the Company and yourself.</w:t>
      </w:r>
    </w:p>
    <w:p>
      <w:pPr>
        <w:pStyle w:val="TextBody"/>
        <w:bidi w:val="0"/>
        <w:spacing w:lineRule="auto" w:line="288" w:before="59" w:after="283"/>
        <w:jc w:val="left"/>
        <w:rPr/>
      </w:pPr>
      <w:r>
        <w:rPr>
          <w:rFonts w:ascii="sans-serif" w:hAnsi="sans-serif"/>
          <w:b w:val="false"/>
          <w:color w:val="000000"/>
          <w:sz w:val="24"/>
        </w:rPr>
        <w:t>In any event, the Company's continued payment of salary is limited to a maxi-mum entitlement, together with any insurance benefits, at the same net salary as would have been payable had you not been incapacitated for work. Other-wise,</w:t>
      </w:r>
      <w:r>
        <w:rPr>
          <w:color w:val="000000"/>
        </w:rPr>
        <w:t xml:space="preserve"> </w:t>
      </w:r>
      <w:r>
        <w:rPr>
          <w:rFonts w:ascii="sans-serif" w:hAnsi="sans-serif"/>
          <w:b w:val="false"/>
          <w:color w:val="000000"/>
          <w:sz w:val="24"/>
        </w:rPr>
        <w:t>the</w:t>
      </w:r>
      <w:r>
        <w:rPr>
          <w:color w:val="000000"/>
        </w:rPr>
        <w:t xml:space="preserve"> </w:t>
      </w:r>
      <w:r>
        <w:rPr>
          <w:rFonts w:ascii="sans-serif" w:hAnsi="sans-serif"/>
          <w:b w:val="false"/>
          <w:color w:val="000000"/>
          <w:sz w:val="24"/>
        </w:rPr>
        <w:t>Company</w:t>
      </w:r>
      <w:r>
        <w:rPr>
          <w:color w:val="000000"/>
        </w:rPr>
        <w:t xml:space="preserve"> </w:t>
      </w:r>
      <w:r>
        <w:rPr>
          <w:rFonts w:ascii="sans-serif" w:hAnsi="sans-serif"/>
          <w:b w:val="false"/>
          <w:color w:val="000000"/>
          <w:sz w:val="24"/>
        </w:rPr>
        <w:t>is</w:t>
      </w:r>
      <w:r>
        <w:rPr>
          <w:color w:val="000000"/>
        </w:rPr>
        <w:t xml:space="preserve"> </w:t>
      </w:r>
      <w:r>
        <w:rPr>
          <w:rFonts w:ascii="sans-serif" w:hAnsi="sans-serif"/>
          <w:b w:val="false"/>
          <w:color w:val="000000"/>
          <w:sz w:val="24"/>
        </w:rPr>
        <w:t>entitled</w:t>
      </w:r>
      <w:r>
        <w:rPr>
          <w:color w:val="000000"/>
        </w:rPr>
        <w:t xml:space="preserve"> </w:t>
      </w:r>
      <w:r>
        <w:rPr>
          <w:rFonts w:ascii="sans-serif" w:hAnsi="sans-serif"/>
          <w:b w:val="false"/>
          <w:color w:val="000000"/>
          <w:sz w:val="24"/>
        </w:rPr>
        <w:t>to</w:t>
      </w:r>
      <w:r>
        <w:rPr>
          <w:color w:val="000000"/>
        </w:rPr>
        <w:t xml:space="preserve"> </w:t>
      </w:r>
      <w:r>
        <w:rPr>
          <w:rFonts w:ascii="sans-serif" w:hAnsi="sans-serif"/>
          <w:b w:val="false"/>
          <w:color w:val="000000"/>
          <w:sz w:val="24"/>
        </w:rPr>
        <w:t>reduce</w:t>
      </w:r>
      <w:r>
        <w:rPr>
          <w:color w:val="000000"/>
        </w:rPr>
        <w:t xml:space="preserve"> </w:t>
      </w:r>
      <w:r>
        <w:rPr>
          <w:rFonts w:ascii="sans-serif" w:hAnsi="sans-serif"/>
          <w:b w:val="false"/>
          <w:color w:val="000000"/>
          <w:sz w:val="24"/>
        </w:rPr>
        <w:t>the</w:t>
      </w:r>
      <w:r>
        <w:rPr>
          <w:color w:val="000000"/>
        </w:rPr>
        <w:t xml:space="preserve"> </w:t>
      </w:r>
      <w:r>
        <w:rPr>
          <w:rFonts w:ascii="sans-serif" w:hAnsi="sans-serif"/>
          <w:b w:val="false"/>
          <w:color w:val="000000"/>
          <w:sz w:val="24"/>
        </w:rPr>
        <w:t>salary</w:t>
      </w:r>
      <w:r>
        <w:rPr>
          <w:color w:val="000000"/>
        </w:rPr>
        <w:t xml:space="preserve"> </w:t>
      </w:r>
      <w:r>
        <w:rPr>
          <w:rFonts w:ascii="sans-serif" w:hAnsi="sans-serif"/>
          <w:b w:val="false"/>
          <w:color w:val="000000"/>
          <w:sz w:val="24"/>
        </w:rPr>
        <w:t>by</w:t>
      </w:r>
      <w:r>
        <w:rPr>
          <w:color w:val="000000"/>
        </w:rPr>
        <w:t xml:space="preserve"> </w:t>
      </w:r>
      <w:r>
        <w:rPr>
          <w:rFonts w:ascii="sans-serif" w:hAnsi="sans-serif"/>
          <w:b w:val="false"/>
          <w:color w:val="000000"/>
          <w:sz w:val="24"/>
        </w:rPr>
        <w:t>either</w:t>
      </w:r>
      <w:r>
        <w:rPr>
          <w:color w:val="000000"/>
        </w:rPr>
        <w:t xml:space="preserve"> </w:t>
      </w:r>
      <w:r>
        <w:rPr>
          <w:rFonts w:ascii="sans-serif" w:hAnsi="sans-serif"/>
          <w:b w:val="false"/>
          <w:color w:val="000000"/>
          <w:sz w:val="24"/>
        </w:rPr>
        <w:t>a</w:t>
      </w:r>
      <w:r>
        <w:rPr>
          <w:color w:val="000000"/>
        </w:rPr>
        <w:t xml:space="preserve"> </w:t>
      </w:r>
      <w:r>
        <w:rPr>
          <w:rFonts w:ascii="sans-serif" w:hAnsi="sans-serif"/>
          <w:b w:val="false"/>
          <w:color w:val="000000"/>
          <w:sz w:val="24"/>
        </w:rPr>
        <w:t>so-called</w:t>
      </w:r>
      <w:r>
        <w:rPr>
          <w:color w:val="000000"/>
        </w:rPr>
        <w:t xml:space="preserve"> </w:t>
      </w:r>
      <w:r>
        <w:rPr>
          <w:rFonts w:ascii="sans-serif" w:hAnsi="sans-serif"/>
          <w:b w:val="false"/>
          <w:color w:val="000000"/>
          <w:sz w:val="24"/>
        </w:rPr>
        <w:t>net</w:t>
      </w:r>
      <w:r>
        <w:rPr>
          <w:color w:val="000000"/>
        </w:rPr>
        <w:t xml:space="preserve"> </w:t>
      </w:r>
      <w:r>
        <w:rPr>
          <w:rFonts w:ascii="sans-serif" w:hAnsi="sans-serif"/>
          <w:b w:val="false"/>
          <w:color w:val="000000"/>
          <w:sz w:val="24"/>
        </w:rPr>
        <w:t>salary adjustment (</w:t>
      </w:r>
      <w:r>
        <w:rPr>
          <w:rFonts w:ascii="sans-serif" w:hAnsi="sans-serif"/>
          <w:b w:val="false"/>
          <w:i/>
          <w:color w:val="000000"/>
          <w:sz w:val="24"/>
        </w:rPr>
        <w:t>Nettolohnausgleich</w:t>
      </w:r>
      <w:r>
        <w:rPr>
          <w:rFonts w:ascii="sans-serif" w:hAnsi="sans-serif"/>
          <w:b w:val="false"/>
          <w:color w:val="000000"/>
          <w:sz w:val="24"/>
        </w:rPr>
        <w:t>) or a gross wage cap (</w:t>
      </w:r>
      <w:r>
        <w:rPr>
          <w:rFonts w:ascii="sans-serif" w:hAnsi="sans-serif"/>
          <w:b w:val="false"/>
          <w:i/>
          <w:color w:val="000000"/>
          <w:sz w:val="24"/>
        </w:rPr>
        <w:t>Bruttolohnkappung</w:t>
      </w:r>
      <w:r>
        <w:rPr>
          <w:rFonts w:ascii="sans-serif" w:hAnsi="sans-serif"/>
          <w:b w:val="false"/>
          <w:color w:val="000000"/>
          <w:sz w:val="24"/>
        </w:rPr>
        <w:t>).</w:t>
      </w:r>
    </w:p>
    <w:p>
      <w:pPr>
        <w:pStyle w:val="TextBody"/>
        <w:bidi w:val="0"/>
        <w:spacing w:before="110" w:after="283"/>
        <w:jc w:val="left"/>
        <w:rPr/>
      </w:pPr>
      <w:r>
        <w:rPr/>
      </w:r>
    </w:p>
    <w:p>
      <w:pPr>
        <w:pStyle w:val="TextBody"/>
        <w:bidi w:val="0"/>
        <w:spacing w:lineRule="auto" w:line="288" w:before="0" w:after="0"/>
        <w:ind w:left="0" w:right="0" w:hanging="851"/>
        <w:jc w:val="left"/>
        <w:rPr/>
      </w:pPr>
      <w:r>
        <w:rPr>
          <w:rFonts w:ascii="sans-serif" w:hAnsi="sans-serif"/>
          <w:b/>
          <w:color w:val="000000"/>
          <w:sz w:val="24"/>
        </w:rPr>
        <w:t>17.4.    Salary</w:t>
      </w:r>
      <w:r>
        <w:rPr>
          <w:color w:val="000000"/>
        </w:rPr>
        <w:t xml:space="preserve"> </w:t>
      </w:r>
      <w:r>
        <w:rPr>
          <w:rFonts w:ascii="sans-serif" w:hAnsi="sans-serif"/>
          <w:b/>
          <w:color w:val="000000"/>
          <w:sz w:val="24"/>
        </w:rPr>
        <w:t>in</w:t>
      </w:r>
      <w:r>
        <w:rPr>
          <w:color w:val="000000"/>
        </w:rPr>
        <w:t xml:space="preserve"> </w:t>
      </w:r>
      <w:r>
        <w:rPr>
          <w:rFonts w:ascii="sans-serif" w:hAnsi="sans-serif"/>
          <w:b/>
          <w:color w:val="000000"/>
          <w:sz w:val="24"/>
        </w:rPr>
        <w:t>case</w:t>
      </w:r>
      <w:r>
        <w:rPr>
          <w:color w:val="000000"/>
        </w:rPr>
        <w:t xml:space="preserve"> </w:t>
      </w:r>
      <w:r>
        <w:rPr>
          <w:rFonts w:ascii="sans-serif" w:hAnsi="sans-serif"/>
          <w:b/>
          <w:color w:val="000000"/>
          <w:sz w:val="24"/>
        </w:rPr>
        <w:t>of</w:t>
      </w:r>
      <w:r>
        <w:rPr>
          <w:color w:val="000000"/>
        </w:rPr>
        <w:t xml:space="preserve"> </w:t>
      </w:r>
      <w:r>
        <w:rPr>
          <w:rFonts w:ascii="sans-serif" w:hAnsi="sans-serif"/>
          <w:b/>
          <w:color w:val="000000"/>
          <w:sz w:val="24"/>
        </w:rPr>
        <w:t>Executive’s Incapacity</w:t>
      </w:r>
      <w:r>
        <w:rPr>
          <w:color w:val="000000"/>
        </w:rPr>
        <w:t xml:space="preserve"> </w:t>
      </w:r>
      <w:r>
        <w:rPr>
          <w:rFonts w:ascii="sans-serif" w:hAnsi="sans-serif"/>
          <w:b/>
          <w:color w:val="000000"/>
          <w:sz w:val="24"/>
        </w:rPr>
        <w:t>to</w:t>
      </w:r>
      <w:r>
        <w:rPr>
          <w:color w:val="000000"/>
        </w:rPr>
        <w:t xml:space="preserve"> </w:t>
      </w:r>
      <w:r>
        <w:rPr>
          <w:rFonts w:ascii="sans-serif" w:hAnsi="sans-serif"/>
          <w:b/>
          <w:color w:val="000000"/>
          <w:sz w:val="24"/>
        </w:rPr>
        <w:t>Work</w:t>
      </w:r>
      <w:r>
        <w:rPr>
          <w:color w:val="000000"/>
        </w:rPr>
        <w:t xml:space="preserve"> </w:t>
      </w:r>
      <w:r>
        <w:rPr>
          <w:rFonts w:ascii="sans-serif" w:hAnsi="sans-serif"/>
          <w:b/>
          <w:color w:val="000000"/>
          <w:sz w:val="24"/>
        </w:rPr>
        <w:t>due</w:t>
      </w:r>
      <w:r>
        <w:rPr>
          <w:color w:val="000000"/>
        </w:rPr>
        <w:t xml:space="preserve"> </w:t>
      </w:r>
      <w:r>
        <w:rPr>
          <w:rFonts w:ascii="sans-serif" w:hAnsi="sans-serif"/>
          <w:b/>
          <w:color w:val="000000"/>
          <w:sz w:val="24"/>
        </w:rPr>
        <w:t>to</w:t>
      </w:r>
      <w:r>
        <w:rPr>
          <w:color w:val="000000"/>
        </w:rPr>
        <w:t xml:space="preserve"> </w:t>
      </w:r>
      <w:r>
        <w:rPr>
          <w:rFonts w:ascii="sans-serif" w:hAnsi="sans-serif"/>
          <w:b/>
          <w:color w:val="000000"/>
          <w:sz w:val="24"/>
        </w:rPr>
        <w:t>Accident</w:t>
      </w:r>
    </w:p>
    <w:p>
      <w:pPr>
        <w:pStyle w:val="TextBody"/>
        <w:bidi w:val="0"/>
        <w:spacing w:lineRule="auto" w:line="288" w:before="199" w:after="283"/>
        <w:jc w:val="left"/>
        <w:rPr/>
      </w:pPr>
      <w:r>
        <w:rPr>
          <w:rFonts w:ascii="sans-serif" w:hAnsi="sans-serif"/>
          <w:b w:val="false"/>
          <w:color w:val="000000"/>
          <w:sz w:val="24"/>
        </w:rPr>
        <w:t>You are insured for occupational and non-occupational accidents in accordance with</w:t>
      </w:r>
      <w:r>
        <w:rPr>
          <w:color w:val="000000"/>
        </w:rPr>
        <w:t xml:space="preserve"> </w:t>
      </w:r>
      <w:r>
        <w:rPr>
          <w:rFonts w:ascii="sans-serif" w:hAnsi="sans-serif"/>
          <w:b w:val="false"/>
          <w:color w:val="000000"/>
          <w:sz w:val="24"/>
        </w:rPr>
        <w:t>statutory</w:t>
      </w:r>
      <w:r>
        <w:rPr>
          <w:color w:val="000000"/>
        </w:rPr>
        <w:t xml:space="preserve"> </w:t>
      </w:r>
      <w:r>
        <w:rPr>
          <w:rFonts w:ascii="sans-serif" w:hAnsi="sans-serif"/>
          <w:b w:val="false"/>
          <w:color w:val="000000"/>
          <w:sz w:val="24"/>
        </w:rPr>
        <w:t>law.</w:t>
      </w:r>
      <w:r>
        <w:rPr>
          <w:color w:val="000000"/>
        </w:rPr>
        <w:t xml:space="preserve"> </w:t>
      </w:r>
      <w:r>
        <w:rPr>
          <w:rFonts w:ascii="sans-serif" w:hAnsi="sans-serif"/>
          <w:b w:val="false"/>
          <w:color w:val="000000"/>
          <w:sz w:val="24"/>
        </w:rPr>
        <w:t>The</w:t>
      </w:r>
      <w:r>
        <w:rPr>
          <w:color w:val="000000"/>
        </w:rPr>
        <w:t xml:space="preserve"> </w:t>
      </w:r>
      <w:r>
        <w:rPr>
          <w:rFonts w:ascii="sans-serif" w:hAnsi="sans-serif"/>
          <w:b w:val="false"/>
          <w:color w:val="000000"/>
          <w:sz w:val="24"/>
        </w:rPr>
        <w:t>Company</w:t>
      </w:r>
      <w:r>
        <w:rPr>
          <w:color w:val="000000"/>
        </w:rPr>
        <w:t xml:space="preserve"> </w:t>
      </w:r>
      <w:r>
        <w:rPr>
          <w:rFonts w:ascii="sans-serif" w:hAnsi="sans-serif"/>
          <w:b w:val="false"/>
          <w:color w:val="000000"/>
          <w:sz w:val="24"/>
        </w:rPr>
        <w:t>undertakes</w:t>
      </w:r>
      <w:r>
        <w:rPr>
          <w:color w:val="000000"/>
        </w:rPr>
        <w:t xml:space="preserve"> </w:t>
      </w:r>
      <w:r>
        <w:rPr>
          <w:rFonts w:ascii="sans-serif" w:hAnsi="sans-serif"/>
          <w:b w:val="false"/>
          <w:color w:val="000000"/>
          <w:sz w:val="24"/>
        </w:rPr>
        <w:t>to</w:t>
      </w:r>
      <w:r>
        <w:rPr>
          <w:color w:val="000000"/>
        </w:rPr>
        <w:t xml:space="preserve"> </w:t>
      </w:r>
      <w:r>
        <w:rPr>
          <w:rFonts w:ascii="sans-serif" w:hAnsi="sans-serif"/>
          <w:b w:val="false"/>
          <w:color w:val="000000"/>
          <w:sz w:val="24"/>
        </w:rPr>
        <w:t>pay</w:t>
      </w:r>
      <w:r>
        <w:rPr>
          <w:color w:val="000000"/>
        </w:rPr>
        <w:t xml:space="preserve"> </w:t>
      </w:r>
      <w:r>
        <w:rPr>
          <w:rFonts w:ascii="sans-serif" w:hAnsi="sans-serif"/>
          <w:b w:val="false"/>
          <w:color w:val="000000"/>
          <w:sz w:val="24"/>
        </w:rPr>
        <w:t>the</w:t>
      </w:r>
      <w:r>
        <w:rPr>
          <w:color w:val="000000"/>
        </w:rPr>
        <w:t xml:space="preserve"> </w:t>
      </w:r>
      <w:r>
        <w:rPr>
          <w:rFonts w:ascii="sans-serif" w:hAnsi="sans-serif"/>
          <w:b w:val="false"/>
          <w:color w:val="000000"/>
          <w:sz w:val="24"/>
        </w:rPr>
        <w:t>contributions</w:t>
      </w:r>
      <w:r>
        <w:rPr>
          <w:color w:val="000000"/>
        </w:rPr>
        <w:t xml:space="preserve"> </w:t>
      </w:r>
      <w:r>
        <w:rPr>
          <w:rFonts w:ascii="sans-serif" w:hAnsi="sans-serif"/>
          <w:b w:val="false"/>
          <w:color w:val="000000"/>
          <w:sz w:val="24"/>
        </w:rPr>
        <w:t>for</w:t>
      </w:r>
      <w:r>
        <w:rPr>
          <w:color w:val="000000"/>
        </w:rPr>
        <w:t xml:space="preserve"> </w:t>
      </w:r>
      <w:r>
        <w:rPr>
          <w:rFonts w:ascii="sans-serif" w:hAnsi="sans-serif"/>
          <w:b w:val="false"/>
          <w:color w:val="000000"/>
          <w:sz w:val="24"/>
        </w:rPr>
        <w:t>the</w:t>
      </w:r>
      <w:r>
        <w:rPr>
          <w:color w:val="000000"/>
        </w:rPr>
        <w:t xml:space="preserve"> </w:t>
      </w:r>
      <w:r>
        <w:rPr>
          <w:rFonts w:ascii="sans-serif" w:hAnsi="sans-serif"/>
          <w:b w:val="false"/>
          <w:color w:val="000000"/>
          <w:sz w:val="24"/>
        </w:rPr>
        <w:t>occupational accident insurance. The contributions for the non-occupational accident insurance will be paid by</w:t>
      </w:r>
      <w:r>
        <w:rPr>
          <w:color w:val="000000"/>
        </w:rPr>
        <w:t xml:space="preserve"> </w:t>
      </w:r>
      <w:r>
        <w:rPr>
          <w:rFonts w:ascii="sans-serif" w:hAnsi="sans-serif"/>
          <w:b w:val="false"/>
          <w:color w:val="000000"/>
          <w:sz w:val="24"/>
        </w:rPr>
        <w:t>the Company. The</w:t>
      </w:r>
      <w:r>
        <w:rPr>
          <w:color w:val="000000"/>
        </w:rPr>
        <w:t xml:space="preserve"> </w:t>
      </w:r>
      <w:r>
        <w:rPr>
          <w:rFonts w:ascii="sans-serif" w:hAnsi="sans-serif"/>
          <w:b w:val="false"/>
          <w:color w:val="000000"/>
          <w:sz w:val="24"/>
        </w:rPr>
        <w:t>Company</w:t>
      </w:r>
      <w:r>
        <w:rPr>
          <w:color w:val="000000"/>
        </w:rPr>
        <w:t xml:space="preserve"> </w:t>
      </w:r>
      <w:r>
        <w:rPr>
          <w:rFonts w:ascii="sans-serif" w:hAnsi="sans-serif"/>
          <w:b w:val="false"/>
          <w:color w:val="000000"/>
          <w:sz w:val="24"/>
        </w:rPr>
        <w:t>will</w:t>
      </w:r>
      <w:r>
        <w:rPr>
          <w:color w:val="000000"/>
        </w:rPr>
        <w:t xml:space="preserve"> </w:t>
      </w:r>
      <w:r>
        <w:rPr>
          <w:rFonts w:ascii="sans-serif" w:hAnsi="sans-serif"/>
          <w:b w:val="false"/>
          <w:color w:val="000000"/>
          <w:sz w:val="24"/>
        </w:rPr>
        <w:t>deduct your contributions from the Base Salary.</w:t>
      </w:r>
    </w:p>
    <w:p>
      <w:pPr>
        <w:pStyle w:val="TextBody"/>
        <w:bidi w:val="0"/>
        <w:spacing w:before="107" w:after="283"/>
        <w:jc w:val="left"/>
        <w:rPr/>
      </w:pPr>
      <w:r>
        <w:rPr/>
      </w:r>
    </w:p>
    <w:p>
      <w:pPr>
        <w:pStyle w:val="TextBody"/>
        <w:bidi w:val="0"/>
        <w:spacing w:lineRule="auto" w:line="288" w:before="0" w:after="0"/>
        <w:ind w:left="0" w:right="0" w:hanging="851"/>
        <w:jc w:val="left"/>
        <w:rPr/>
      </w:pPr>
      <w:r>
        <w:rPr>
          <w:rFonts w:ascii="sans-serif" w:hAnsi="sans-serif"/>
          <w:b/>
          <w:color w:val="000000"/>
          <w:sz w:val="24"/>
        </w:rPr>
        <w:t>17.5.    Pension</w:t>
      </w:r>
      <w:r>
        <w:rPr>
          <w:color w:val="000000"/>
        </w:rPr>
        <w:t xml:space="preserve"> </w:t>
      </w:r>
      <w:r>
        <w:rPr>
          <w:rFonts w:ascii="sans-serif" w:hAnsi="sans-serif"/>
          <w:b/>
          <w:color w:val="000000"/>
          <w:sz w:val="24"/>
        </w:rPr>
        <w:t>Plan</w:t>
      </w:r>
    </w:p>
    <w:p>
      <w:pPr>
        <w:pStyle w:val="TextBody"/>
        <w:bidi w:val="0"/>
        <w:spacing w:lineRule="auto" w:line="288" w:before="199" w:after="283"/>
        <w:jc w:val="left"/>
        <w:rPr/>
      </w:pPr>
      <w:r>
        <w:rPr>
          <w:rFonts w:ascii="sans-serif" w:hAnsi="sans-serif"/>
          <w:b w:val="false"/>
          <w:color w:val="000000"/>
          <w:sz w:val="24"/>
        </w:rPr>
        <w:t>Provided</w:t>
      </w:r>
      <w:r>
        <w:rPr>
          <w:color w:val="000000"/>
        </w:rPr>
        <w:t xml:space="preserve"> </w:t>
      </w:r>
      <w:r>
        <w:rPr>
          <w:rFonts w:ascii="sans-serif" w:hAnsi="sans-serif"/>
          <w:b w:val="false"/>
          <w:color w:val="000000"/>
          <w:sz w:val="24"/>
        </w:rPr>
        <w:t>that you meet</w:t>
      </w:r>
      <w:r>
        <w:rPr>
          <w:color w:val="000000"/>
        </w:rPr>
        <w:t xml:space="preserve"> </w:t>
      </w:r>
      <w:r>
        <w:rPr>
          <w:rFonts w:ascii="sans-serif" w:hAnsi="sans-serif"/>
          <w:b w:val="false"/>
          <w:color w:val="000000"/>
          <w:sz w:val="24"/>
        </w:rPr>
        <w:t>the regulatory</w:t>
      </w:r>
      <w:r>
        <w:rPr>
          <w:color w:val="000000"/>
        </w:rPr>
        <w:t xml:space="preserve"> </w:t>
      </w:r>
      <w:r>
        <w:rPr>
          <w:rFonts w:ascii="sans-serif" w:hAnsi="sans-serif"/>
          <w:b w:val="false"/>
          <w:color w:val="000000"/>
          <w:sz w:val="24"/>
        </w:rPr>
        <w:t>requirements, you are insured</w:t>
      </w:r>
      <w:r>
        <w:rPr>
          <w:color w:val="000000"/>
        </w:rPr>
        <w:t xml:space="preserve"> </w:t>
      </w:r>
      <w:r>
        <w:rPr>
          <w:rFonts w:ascii="sans-serif" w:hAnsi="sans-serif"/>
          <w:b w:val="false"/>
          <w:color w:val="000000"/>
          <w:sz w:val="24"/>
        </w:rPr>
        <w:t>with</w:t>
      </w:r>
      <w:r>
        <w:rPr>
          <w:color w:val="000000"/>
        </w:rPr>
        <w:t xml:space="preserve"> </w:t>
      </w:r>
      <w:r>
        <w:rPr>
          <w:rFonts w:ascii="sans-serif" w:hAnsi="sans-serif"/>
          <w:b w:val="false"/>
          <w:color w:val="000000"/>
          <w:sz w:val="24"/>
        </w:rPr>
        <w:t>the Company's</w:t>
      </w:r>
      <w:r>
        <w:rPr>
          <w:color w:val="000000"/>
        </w:rPr>
        <w:t xml:space="preserve"> </w:t>
      </w:r>
      <w:r>
        <w:rPr>
          <w:rFonts w:ascii="sans-serif" w:hAnsi="sans-serif"/>
          <w:b w:val="false"/>
          <w:color w:val="000000"/>
          <w:sz w:val="24"/>
        </w:rPr>
        <w:t>current</w:t>
      </w:r>
      <w:r>
        <w:rPr>
          <w:color w:val="000000"/>
        </w:rPr>
        <w:t xml:space="preserve"> </w:t>
      </w:r>
      <w:r>
        <w:rPr>
          <w:rFonts w:ascii="sans-serif" w:hAnsi="sans-serif"/>
          <w:b w:val="false"/>
          <w:color w:val="000000"/>
          <w:sz w:val="24"/>
        </w:rPr>
        <w:t>pension</w:t>
      </w:r>
      <w:r>
        <w:rPr>
          <w:color w:val="000000"/>
        </w:rPr>
        <w:t xml:space="preserve"> </w:t>
      </w:r>
      <w:r>
        <w:rPr>
          <w:rFonts w:ascii="sans-serif" w:hAnsi="sans-serif"/>
          <w:b w:val="false"/>
          <w:color w:val="000000"/>
          <w:sz w:val="24"/>
        </w:rPr>
        <w:t>fund</w:t>
      </w:r>
      <w:r>
        <w:rPr>
          <w:color w:val="000000"/>
        </w:rPr>
        <w:t xml:space="preserve"> </w:t>
      </w:r>
      <w:r>
        <w:rPr>
          <w:rFonts w:ascii="sans-serif" w:hAnsi="sans-serif"/>
          <w:b w:val="false"/>
          <w:color w:val="000000"/>
          <w:sz w:val="24"/>
        </w:rPr>
        <w:t>against</w:t>
      </w:r>
      <w:r>
        <w:rPr>
          <w:color w:val="000000"/>
        </w:rPr>
        <w:t xml:space="preserve"> </w:t>
      </w:r>
      <w:r>
        <w:rPr>
          <w:rFonts w:ascii="sans-serif" w:hAnsi="sans-serif"/>
          <w:b w:val="false"/>
          <w:color w:val="000000"/>
          <w:sz w:val="24"/>
        </w:rPr>
        <w:t>the</w:t>
      </w:r>
      <w:r>
        <w:rPr>
          <w:color w:val="000000"/>
        </w:rPr>
        <w:t xml:space="preserve"> </w:t>
      </w:r>
      <w:r>
        <w:rPr>
          <w:rFonts w:ascii="sans-serif" w:hAnsi="sans-serif"/>
          <w:b w:val="false"/>
          <w:color w:val="000000"/>
          <w:sz w:val="24"/>
        </w:rPr>
        <w:t>economic</w:t>
      </w:r>
      <w:r>
        <w:rPr>
          <w:color w:val="000000"/>
        </w:rPr>
        <w:t xml:space="preserve"> </w:t>
      </w:r>
      <w:r>
        <w:rPr>
          <w:rFonts w:ascii="sans-serif" w:hAnsi="sans-serif"/>
          <w:b w:val="false"/>
          <w:color w:val="000000"/>
          <w:sz w:val="24"/>
        </w:rPr>
        <w:t>consequences</w:t>
      </w:r>
      <w:r>
        <w:rPr>
          <w:color w:val="000000"/>
        </w:rPr>
        <w:t xml:space="preserve"> </w:t>
      </w:r>
      <w:r>
        <w:rPr>
          <w:rFonts w:ascii="sans-serif" w:hAnsi="sans-serif"/>
          <w:b w:val="false"/>
          <w:color w:val="000000"/>
          <w:sz w:val="24"/>
        </w:rPr>
        <w:t>of</w:t>
      </w:r>
      <w:r>
        <w:rPr>
          <w:color w:val="000000"/>
        </w:rPr>
        <w:t xml:space="preserve"> </w:t>
      </w:r>
      <w:r>
        <w:rPr>
          <w:rFonts w:ascii="sans-serif" w:hAnsi="sans-serif"/>
          <w:b w:val="false"/>
          <w:color w:val="000000"/>
          <w:sz w:val="24"/>
        </w:rPr>
        <w:t>retirement, disability and death in accordance with the regulations of this pension fund in force at the time.</w:t>
      </w:r>
    </w:p>
    <w:p>
      <w:pPr>
        <w:pStyle w:val="TextBody"/>
        <w:bidi w:val="0"/>
        <w:spacing w:before="135" w:after="283"/>
        <w:jc w:val="left"/>
        <w:rPr/>
      </w:pPr>
      <w:r>
        <w:rPr/>
      </w:r>
    </w:p>
    <w:p>
      <w:pPr>
        <w:pStyle w:val="TextBody"/>
        <w:bidi w:val="0"/>
        <w:spacing w:lineRule="auto" w:line="288" w:before="0" w:after="0"/>
        <w:ind w:left="0" w:right="0" w:hanging="851"/>
        <w:jc w:val="left"/>
        <w:rPr/>
      </w:pPr>
      <w:r>
        <w:rPr>
          <w:rFonts w:ascii="sans-serif" w:hAnsi="sans-serif"/>
          <w:b/>
          <w:color w:val="000000"/>
          <w:sz w:val="24"/>
        </w:rPr>
        <w:t>18.    Intellectual</w:t>
      </w:r>
      <w:r>
        <w:rPr>
          <w:color w:val="000000"/>
        </w:rPr>
        <w:t xml:space="preserve"> </w:t>
      </w:r>
      <w:r>
        <w:rPr>
          <w:rFonts w:ascii="sans-serif" w:hAnsi="sans-serif"/>
          <w:b/>
          <w:color w:val="000000"/>
          <w:sz w:val="24"/>
        </w:rPr>
        <w:t>Property</w:t>
      </w:r>
      <w:r>
        <w:rPr>
          <w:color w:val="000000"/>
        </w:rPr>
        <w:t xml:space="preserve"> </w:t>
      </w:r>
      <w:r>
        <w:rPr>
          <w:rFonts w:ascii="sans-serif" w:hAnsi="sans-serif"/>
          <w:b/>
          <w:color w:val="000000"/>
          <w:sz w:val="24"/>
        </w:rPr>
        <w:t>Rights</w:t>
      </w:r>
      <w:r>
        <w:rPr>
          <w:color w:val="000000"/>
        </w:rPr>
        <w:t xml:space="preserve"> </w:t>
      </w:r>
      <w:r>
        <w:rPr>
          <w:rFonts w:ascii="sans-serif" w:hAnsi="sans-serif"/>
          <w:b/>
          <w:color w:val="000000"/>
          <w:sz w:val="24"/>
        </w:rPr>
        <w:t>and</w:t>
      </w:r>
      <w:r>
        <w:rPr>
          <w:color w:val="000000"/>
        </w:rPr>
        <w:t xml:space="preserve"> </w:t>
      </w:r>
      <w:r>
        <w:rPr>
          <w:rFonts w:ascii="sans-serif" w:hAnsi="sans-serif"/>
          <w:b/>
          <w:color w:val="000000"/>
          <w:sz w:val="24"/>
        </w:rPr>
        <w:t>Work</w:t>
      </w:r>
      <w:r>
        <w:rPr>
          <w:color w:val="000000"/>
        </w:rPr>
        <w:t xml:space="preserve"> </w:t>
      </w:r>
      <w:r>
        <w:rPr>
          <w:rFonts w:ascii="sans-serif" w:hAnsi="sans-serif"/>
          <w:b/>
          <w:color w:val="000000"/>
          <w:sz w:val="24"/>
        </w:rPr>
        <w:t>Results</w:t>
      </w:r>
    </w:p>
    <w:p>
      <w:pPr>
        <w:pStyle w:val="TextBody"/>
        <w:bidi w:val="0"/>
        <w:spacing w:lineRule="auto" w:line="288" w:before="360" w:after="283"/>
        <w:jc w:val="left"/>
        <w:rPr/>
      </w:pPr>
      <w:r>
        <w:rPr>
          <w:rFonts w:ascii="sans-serif" w:hAnsi="sans-serif"/>
          <w:b w:val="false"/>
          <w:color w:val="000000"/>
          <w:sz w:val="24"/>
        </w:rPr>
        <w:t>All work</w:t>
      </w:r>
      <w:r>
        <w:rPr>
          <w:color w:val="000000"/>
        </w:rPr>
        <w:t xml:space="preserve"> </w:t>
      </w:r>
      <w:r>
        <w:rPr>
          <w:rFonts w:ascii="sans-serif" w:hAnsi="sans-serif"/>
          <w:b w:val="false"/>
          <w:color w:val="000000"/>
          <w:sz w:val="24"/>
        </w:rPr>
        <w:t>results (in</w:t>
      </w:r>
      <w:r>
        <w:rPr>
          <w:color w:val="000000"/>
        </w:rPr>
        <w:t xml:space="preserve"> </w:t>
      </w:r>
      <w:r>
        <w:rPr>
          <w:rFonts w:ascii="sans-serif" w:hAnsi="sans-serif"/>
          <w:b w:val="false"/>
          <w:color w:val="000000"/>
          <w:sz w:val="24"/>
        </w:rPr>
        <w:t>particular,</w:t>
      </w:r>
      <w:r>
        <w:rPr>
          <w:color w:val="000000"/>
        </w:rPr>
        <w:t xml:space="preserve"> </w:t>
      </w:r>
      <w:r>
        <w:rPr>
          <w:rFonts w:ascii="sans-serif" w:hAnsi="sans-serif"/>
          <w:b w:val="false"/>
          <w:color w:val="000000"/>
          <w:sz w:val="24"/>
        </w:rPr>
        <w:t>data,</w:t>
      </w:r>
      <w:r>
        <w:rPr>
          <w:color w:val="000000"/>
        </w:rPr>
        <w:t xml:space="preserve"> </w:t>
      </w:r>
      <w:r>
        <w:rPr>
          <w:rFonts w:ascii="sans-serif" w:hAnsi="sans-serif"/>
          <w:b w:val="false"/>
          <w:color w:val="000000"/>
          <w:sz w:val="24"/>
        </w:rPr>
        <w:t>know-how,</w:t>
      </w:r>
      <w:r>
        <w:rPr>
          <w:color w:val="000000"/>
        </w:rPr>
        <w:t xml:space="preserve"> </w:t>
      </w:r>
      <w:r>
        <w:rPr>
          <w:rFonts w:ascii="sans-serif" w:hAnsi="sans-serif"/>
          <w:b w:val="false"/>
          <w:color w:val="000000"/>
          <w:sz w:val="24"/>
        </w:rPr>
        <w:t>documentation, concepts,</w:t>
      </w:r>
      <w:r>
        <w:rPr>
          <w:color w:val="000000"/>
        </w:rPr>
        <w:t xml:space="preserve"> </w:t>
      </w:r>
      <w:r>
        <w:rPr>
          <w:rFonts w:ascii="sans-serif" w:hAnsi="sans-serif"/>
          <w:b w:val="false"/>
          <w:color w:val="000000"/>
          <w:sz w:val="24"/>
        </w:rPr>
        <w:t>drafts, inventions, designs, works, applications, software, etc.) and all associated rights that you have created in the course of your professional activities, or in which you have participated in creating, belong to the Company. If the Company does not automatically become the original</w:t>
      </w:r>
      <w:r>
        <w:rPr>
          <w:color w:val="000000"/>
        </w:rPr>
        <w:t xml:space="preserve"> </w:t>
      </w:r>
      <w:r>
        <w:rPr>
          <w:rFonts w:ascii="sans-serif" w:hAnsi="sans-serif"/>
          <w:b w:val="false"/>
          <w:color w:val="000000"/>
          <w:sz w:val="24"/>
        </w:rPr>
        <w:t>owner of such rights, you undertake to</w:t>
      </w:r>
      <w:r>
        <w:rPr>
          <w:color w:val="000000"/>
        </w:rPr>
        <w:t xml:space="preserve"> </w:t>
      </w:r>
      <w:r>
        <w:rPr>
          <w:rFonts w:ascii="sans-serif" w:hAnsi="sans-serif"/>
          <w:b w:val="false"/>
          <w:color w:val="000000"/>
          <w:sz w:val="24"/>
        </w:rPr>
        <w:t>irrevocably assign, and hereby assign them to the Company and, where such assignment is not possible, to grant the Company an exclusive, worldwide, transferable,</w:t>
      </w:r>
      <w:r>
        <w:rPr>
          <w:color w:val="000000"/>
        </w:rPr>
        <w:t xml:space="preserve"> </w:t>
      </w:r>
      <w:r>
        <w:rPr>
          <w:rFonts w:ascii="sans-serif" w:hAnsi="sans-serif"/>
          <w:b w:val="false"/>
          <w:color w:val="000000"/>
          <w:sz w:val="24"/>
        </w:rPr>
        <w:t>perpetual,</w:t>
      </w:r>
      <w:r>
        <w:rPr>
          <w:color w:val="000000"/>
        </w:rPr>
        <w:t xml:space="preserve"> </w:t>
      </w:r>
      <w:r>
        <w:rPr>
          <w:rFonts w:ascii="sans-serif" w:hAnsi="sans-serif"/>
          <w:b w:val="false"/>
          <w:color w:val="000000"/>
          <w:sz w:val="24"/>
        </w:rPr>
        <w:t>irrevocable,</w:t>
      </w:r>
      <w:r>
        <w:rPr>
          <w:color w:val="000000"/>
        </w:rPr>
        <w:t xml:space="preserve"> </w:t>
      </w:r>
      <w:r>
        <w:rPr>
          <w:rFonts w:ascii="sans-serif" w:hAnsi="sans-serif"/>
          <w:b w:val="false"/>
          <w:color w:val="000000"/>
          <w:sz w:val="24"/>
        </w:rPr>
        <w:t>sublicensable,</w:t>
      </w:r>
      <w:r>
        <w:rPr>
          <w:color w:val="000000"/>
        </w:rPr>
        <w:t xml:space="preserve"> </w:t>
      </w:r>
      <w:r>
        <w:rPr>
          <w:rFonts w:ascii="sans-serif" w:hAnsi="sans-serif"/>
          <w:b w:val="false"/>
          <w:color w:val="000000"/>
          <w:sz w:val="24"/>
        </w:rPr>
        <w:t>and</w:t>
      </w:r>
      <w:r>
        <w:rPr>
          <w:color w:val="000000"/>
        </w:rPr>
        <w:t xml:space="preserve"> </w:t>
      </w:r>
      <w:r>
        <w:rPr>
          <w:rFonts w:ascii="sans-serif" w:hAnsi="sans-serif"/>
          <w:b w:val="false"/>
          <w:color w:val="000000"/>
          <w:sz w:val="24"/>
        </w:rPr>
        <w:t>royalty-free</w:t>
      </w:r>
      <w:r>
        <w:rPr>
          <w:color w:val="000000"/>
        </w:rPr>
        <w:t xml:space="preserve"> </w:t>
      </w:r>
      <w:r>
        <w:rPr>
          <w:rFonts w:ascii="sans-serif" w:hAnsi="sans-serif"/>
          <w:b w:val="false"/>
          <w:color w:val="000000"/>
          <w:sz w:val="24"/>
        </w:rPr>
        <w:t>license</w:t>
      </w:r>
      <w:r>
        <w:rPr>
          <w:color w:val="000000"/>
        </w:rPr>
        <w:t xml:space="preserve"> </w:t>
      </w:r>
      <w:r>
        <w:rPr>
          <w:rFonts w:ascii="sans-serif" w:hAnsi="sans-serif"/>
          <w:b w:val="false"/>
          <w:color w:val="000000"/>
          <w:sz w:val="24"/>
        </w:rPr>
        <w:t>to</w:t>
      </w:r>
      <w:r>
        <w:rPr>
          <w:color w:val="000000"/>
        </w:rPr>
        <w:t xml:space="preserve"> </w:t>
      </w:r>
      <w:r>
        <w:rPr>
          <w:rFonts w:ascii="sans-serif" w:hAnsi="sans-serif"/>
          <w:b w:val="false"/>
          <w:color w:val="000000"/>
          <w:sz w:val="24"/>
        </w:rPr>
        <w:t>use</w:t>
      </w:r>
      <w:r>
        <w:rPr>
          <w:color w:val="000000"/>
        </w:rPr>
        <w:t xml:space="preserve"> </w:t>
      </w:r>
      <w:r>
        <w:rPr>
          <w:rFonts w:ascii="sans-serif" w:hAnsi="sans-serif"/>
          <w:b w:val="false"/>
          <w:color w:val="000000"/>
          <w:sz w:val="24"/>
        </w:rPr>
        <w:t>and exploit the respective work results. To the extent permitted by law, you waive the exercise of any moral rights. If you create an invention or a design in the course of your professional activities, but not in fulfillment of your contractual duties, you shall immediately inform the Company thereof in writing. The Company has the right to acquire ownership thereof in return for appropriate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11" w:before="0" w:after="0"/>
        <w:jc w:val="right"/>
        <w:rPr>
          <w:rFonts w:ascii="sans-serif" w:hAnsi="sans-serif"/>
          <w:b/>
          <w:color w:val="000000"/>
          <w:sz w:val="16"/>
        </w:rPr>
      </w:pPr>
      <w:r>
        <w:rPr>
          <w:rFonts w:ascii="sans-serif" w:hAnsi="sans-serif"/>
          <w:b/>
          <w:color w:val="000000"/>
          <w:sz w:val="16"/>
        </w:rPr>
        <w:t>Employment Agreement between Lucid Switzerland AG and Silvio Napoli</w:t>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582930"/>
                <wp:effectExtent l="0" t="0" r="0" b="0"/>
                <wp:wrapNone/>
                <wp:docPr id="143" name="Frame143"/>
                <a:graphic xmlns:a="http://schemas.openxmlformats.org/drawingml/2006/main">
                  <a:graphicData uri="http://schemas.microsoft.com/office/word/2010/wordprocessingShape">
                    <wps:wsp>
                      <wps:cNvSpPr txBox="1"/>
                      <wps:spPr>
                        <a:xfrm>
                          <a:off x="0" y="0"/>
                          <a:ext cx="6480175" cy="58293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sans-serif" w:hAnsi="sans-serif"/>
                                <w:b w:val="false"/>
                                <w:color w:val="000000"/>
                                <w:sz w:val="22"/>
                              </w:rPr>
                            </w:pPr>
                            <w:r>
                              <w:rPr>
                                <w:rFonts w:ascii="sans-serif" w:hAnsi="sans-serif"/>
                                <w:b w:val="false"/>
                                <w:color w:val="000000"/>
                                <w:sz w:val="22"/>
                              </w:rPr>
                              <w:t xml:space="preserve">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9pt;mso-wrap-distance-left:0pt;mso-wrap-distance-right:0pt;mso-wrap-distance-top:0pt;mso-wrap-distance-bottom:0pt;margin-top:0pt;mso-position-vertical:top;mso-position-vertical-relative:text;margin-left:-154.2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sans-serif" w:hAnsi="sans-serif"/>
                          <w:b w:val="false"/>
                          <w:color w:val="000000"/>
                          <w:sz w:val="22"/>
                        </w:rPr>
                      </w:pPr>
                      <w:r>
                        <w:rPr>
                          <w:rFonts w:ascii="sans-serif" w:hAnsi="sans-serif"/>
                          <w:b w:val="false"/>
                          <w:color w:val="000000"/>
                          <w:sz w:val="22"/>
                        </w:rPr>
                        <w:t xml:space="preserve">12 </w:t>
                      </w:r>
                    </w:p>
                  </w:txbxContent>
                </v:textbox>
                <w10:wrap type="none"/>
              </v:rect>
            </w:pict>
          </mc:Fallback>
        </mc:AlternateContent>
      </w:r>
    </w:p>
    <w:p>
      <w:pPr>
        <w:pStyle w:val="TextBody"/>
        <w:bidi w:val="0"/>
        <w:spacing w:lineRule="auto" w:line="288" w:before="240" w:after="283"/>
        <w:ind w:left="0" w:right="0" w:hanging="851"/>
        <w:jc w:val="left"/>
        <w:rPr/>
      </w:pPr>
      <w:r>
        <w:rPr>
          <w:rFonts w:ascii="sans-serif" w:hAnsi="sans-serif"/>
          <w:b/>
          <w:color w:val="000000"/>
          <w:sz w:val="24"/>
        </w:rPr>
        <w:t>19.    Data</w:t>
      </w:r>
      <w:r>
        <w:rPr>
          <w:color w:val="000000"/>
        </w:rPr>
        <w:t xml:space="preserve"> </w:t>
      </w:r>
      <w:r>
        <w:rPr>
          <w:rFonts w:ascii="sans-serif" w:hAnsi="sans-serif"/>
          <w:b/>
          <w:color w:val="000000"/>
          <w:sz w:val="24"/>
        </w:rPr>
        <w:t>Protection</w:t>
      </w:r>
    </w:p>
    <w:p>
      <w:pPr>
        <w:pStyle w:val="TextBody"/>
        <w:bidi w:val="0"/>
        <w:spacing w:lineRule="auto" w:line="288" w:before="199" w:after="283"/>
        <w:jc w:val="both"/>
        <w:rPr/>
      </w:pPr>
      <w:r>
        <w:rPr>
          <w:rFonts w:ascii="sans-serif" w:hAnsi="sans-serif"/>
          <w:b w:val="false"/>
          <w:color w:val="000000"/>
          <w:sz w:val="24"/>
        </w:rPr>
        <w:t>The</w:t>
      </w:r>
      <w:r>
        <w:rPr>
          <w:color w:val="000000"/>
        </w:rPr>
        <w:t xml:space="preserve"> </w:t>
      </w:r>
      <w:r>
        <w:rPr>
          <w:rFonts w:ascii="sans-serif" w:hAnsi="sans-serif"/>
          <w:b w:val="false"/>
          <w:color w:val="000000"/>
          <w:sz w:val="24"/>
        </w:rPr>
        <w:t>Company</w:t>
      </w:r>
      <w:r>
        <w:rPr>
          <w:color w:val="000000"/>
        </w:rPr>
        <w:t xml:space="preserve"> </w:t>
      </w:r>
      <w:r>
        <w:rPr>
          <w:rFonts w:ascii="sans-serif" w:hAnsi="sans-serif"/>
          <w:b w:val="false"/>
          <w:color w:val="000000"/>
          <w:sz w:val="24"/>
        </w:rPr>
        <w:t>informs</w:t>
      </w:r>
      <w:r>
        <w:rPr>
          <w:color w:val="000000"/>
        </w:rPr>
        <w:t xml:space="preserve"> </w:t>
      </w:r>
      <w:r>
        <w:rPr>
          <w:rFonts w:ascii="sans-serif" w:hAnsi="sans-serif"/>
          <w:b w:val="false"/>
          <w:color w:val="000000"/>
          <w:sz w:val="24"/>
        </w:rPr>
        <w:t>you</w:t>
      </w:r>
      <w:r>
        <w:rPr>
          <w:color w:val="000000"/>
        </w:rPr>
        <w:t xml:space="preserve"> </w:t>
      </w:r>
      <w:r>
        <w:rPr>
          <w:rFonts w:ascii="sans-serif" w:hAnsi="sans-serif"/>
          <w:b w:val="false"/>
          <w:color w:val="000000"/>
          <w:sz w:val="24"/>
        </w:rPr>
        <w:t>about</w:t>
      </w:r>
      <w:r>
        <w:rPr>
          <w:color w:val="000000"/>
        </w:rPr>
        <w:t xml:space="preserve"> </w:t>
      </w:r>
      <w:r>
        <w:rPr>
          <w:rFonts w:ascii="sans-serif" w:hAnsi="sans-serif"/>
          <w:b w:val="false"/>
          <w:color w:val="000000"/>
          <w:sz w:val="24"/>
        </w:rPr>
        <w:t>the</w:t>
      </w:r>
      <w:r>
        <w:rPr>
          <w:color w:val="000000"/>
        </w:rPr>
        <w:t xml:space="preserve"> </w:t>
      </w:r>
      <w:r>
        <w:rPr>
          <w:rFonts w:ascii="sans-serif" w:hAnsi="sans-serif"/>
          <w:b w:val="false"/>
          <w:color w:val="000000"/>
          <w:sz w:val="24"/>
        </w:rPr>
        <w:t>processing</w:t>
      </w:r>
      <w:r>
        <w:rPr>
          <w:color w:val="000000"/>
        </w:rPr>
        <w:t xml:space="preserve"> </w:t>
      </w:r>
      <w:r>
        <w:rPr>
          <w:rFonts w:ascii="sans-serif" w:hAnsi="sans-serif"/>
          <w:b w:val="false"/>
          <w:color w:val="000000"/>
          <w:sz w:val="24"/>
        </w:rPr>
        <w:t>of</w:t>
      </w:r>
      <w:r>
        <w:rPr>
          <w:color w:val="000000"/>
        </w:rPr>
        <w:t xml:space="preserve"> </w:t>
      </w:r>
      <w:r>
        <w:rPr>
          <w:rFonts w:ascii="sans-serif" w:hAnsi="sans-serif"/>
          <w:b w:val="false"/>
          <w:color w:val="000000"/>
          <w:sz w:val="24"/>
        </w:rPr>
        <w:t>your</w:t>
      </w:r>
      <w:r>
        <w:rPr>
          <w:color w:val="000000"/>
        </w:rPr>
        <w:t xml:space="preserve"> </w:t>
      </w:r>
      <w:r>
        <w:rPr>
          <w:rFonts w:ascii="sans-serif" w:hAnsi="sans-serif"/>
          <w:b w:val="false"/>
          <w:color w:val="000000"/>
          <w:sz w:val="24"/>
        </w:rPr>
        <w:t>personal</w:t>
      </w:r>
      <w:r>
        <w:rPr>
          <w:color w:val="000000"/>
        </w:rPr>
        <w:t xml:space="preserve"> </w:t>
      </w:r>
      <w:r>
        <w:rPr>
          <w:rFonts w:ascii="sans-serif" w:hAnsi="sans-serif"/>
          <w:b w:val="false"/>
          <w:color w:val="000000"/>
          <w:sz w:val="24"/>
        </w:rPr>
        <w:t>information</w:t>
      </w:r>
      <w:r>
        <w:rPr>
          <w:color w:val="000000"/>
        </w:rPr>
        <w:t xml:space="preserve"> </w:t>
      </w:r>
      <w:r>
        <w:rPr>
          <w:rFonts w:ascii="sans-serif" w:hAnsi="sans-serif"/>
          <w:b w:val="false"/>
          <w:color w:val="000000"/>
          <w:sz w:val="24"/>
        </w:rPr>
        <w:t>in</w:t>
      </w:r>
      <w:r>
        <w:rPr>
          <w:color w:val="000000"/>
        </w:rPr>
        <w:t xml:space="preserve"> </w:t>
      </w:r>
      <w:r>
        <w:rPr>
          <w:rFonts w:ascii="sans-serif" w:hAnsi="sans-serif"/>
          <w:b w:val="false"/>
          <w:color w:val="000000"/>
          <w:sz w:val="24"/>
        </w:rPr>
        <w:t>a privacy notice (</w:t>
      </w:r>
      <w:r>
        <w:rPr>
          <w:rFonts w:ascii="sans-serif" w:hAnsi="sans-serif"/>
          <w:b/>
          <w:color w:val="000000"/>
          <w:sz w:val="24"/>
        </w:rPr>
        <w:t>Privacy Notice</w:t>
      </w:r>
      <w:r>
        <w:rPr>
          <w:rFonts w:ascii="sans-serif" w:hAnsi="sans-serif"/>
          <w:b w:val="false"/>
          <w:color w:val="000000"/>
          <w:sz w:val="24"/>
        </w:rPr>
        <w:t>). The Company may amend the Privacy Notice and respective policies at any time.</w:t>
      </w:r>
    </w:p>
    <w:p>
      <w:pPr>
        <w:pStyle w:val="TextBody"/>
        <w:bidi w:val="0"/>
        <w:spacing w:before="133" w:after="283"/>
        <w:jc w:val="left"/>
        <w:rPr/>
      </w:pPr>
      <w:r>
        <w:rPr/>
      </w:r>
    </w:p>
    <w:p>
      <w:pPr>
        <w:pStyle w:val="TextBody"/>
        <w:bidi w:val="0"/>
        <w:spacing w:lineRule="auto" w:line="288" w:before="21" w:after="283"/>
        <w:ind w:left="0" w:right="0" w:hanging="851"/>
        <w:jc w:val="left"/>
        <w:rPr>
          <w:rFonts w:ascii="sans-serif" w:hAnsi="sans-serif"/>
          <w:b/>
          <w:color w:val="000000"/>
          <w:sz w:val="24"/>
        </w:rPr>
      </w:pPr>
      <w:r>
        <w:rPr>
          <w:rFonts w:ascii="sans-serif" w:hAnsi="sans-serif"/>
          <w:b/>
          <w:color w:val="000000"/>
          <w:sz w:val="24"/>
        </w:rPr>
        <w:t>20.    Confidentiality</w:t>
      </w:r>
    </w:p>
    <w:p>
      <w:pPr>
        <w:pStyle w:val="TextBody"/>
        <w:bidi w:val="0"/>
        <w:spacing w:lineRule="auto" w:line="288" w:before="199" w:after="283"/>
        <w:jc w:val="both"/>
        <w:rPr/>
      </w:pPr>
      <w:r>
        <w:rPr>
          <w:rFonts w:ascii="sans-serif" w:hAnsi="sans-serif"/>
          <w:b w:val="false"/>
          <w:color w:val="000000"/>
          <w:sz w:val="24"/>
        </w:rPr>
        <w:t>You</w:t>
      </w:r>
      <w:r>
        <w:rPr>
          <w:color w:val="000000"/>
        </w:rPr>
        <w:t xml:space="preserve"> </w:t>
      </w:r>
      <w:r>
        <w:rPr>
          <w:rFonts w:ascii="sans-serif" w:hAnsi="sans-serif"/>
          <w:b w:val="false"/>
          <w:color w:val="000000"/>
          <w:sz w:val="24"/>
        </w:rPr>
        <w:t>will</w:t>
      </w:r>
      <w:r>
        <w:rPr>
          <w:color w:val="000000"/>
        </w:rPr>
        <w:t xml:space="preserve"> </w:t>
      </w:r>
      <w:r>
        <w:rPr>
          <w:rFonts w:ascii="sans-serif" w:hAnsi="sans-serif"/>
          <w:b w:val="false"/>
          <w:color w:val="000000"/>
          <w:sz w:val="24"/>
        </w:rPr>
        <w:t>have</w:t>
      </w:r>
      <w:r>
        <w:rPr>
          <w:color w:val="000000"/>
        </w:rPr>
        <w:t xml:space="preserve"> </w:t>
      </w:r>
      <w:r>
        <w:rPr>
          <w:rFonts w:ascii="sans-serif" w:hAnsi="sans-serif"/>
          <w:b w:val="false"/>
          <w:color w:val="000000"/>
          <w:sz w:val="24"/>
        </w:rPr>
        <w:t>access</w:t>
      </w:r>
      <w:r>
        <w:rPr>
          <w:color w:val="000000"/>
        </w:rPr>
        <w:t xml:space="preserve"> </w:t>
      </w:r>
      <w:r>
        <w:rPr>
          <w:rFonts w:ascii="sans-serif" w:hAnsi="sans-serif"/>
          <w:b w:val="false"/>
          <w:color w:val="000000"/>
          <w:sz w:val="24"/>
        </w:rPr>
        <w:t>to</w:t>
      </w:r>
      <w:r>
        <w:rPr>
          <w:color w:val="000000"/>
        </w:rPr>
        <w:t xml:space="preserve"> </w:t>
      </w:r>
      <w:r>
        <w:rPr>
          <w:rFonts w:ascii="sans-serif" w:hAnsi="sans-serif"/>
          <w:b w:val="false"/>
          <w:color w:val="000000"/>
          <w:sz w:val="24"/>
        </w:rPr>
        <w:t>confidential</w:t>
      </w:r>
      <w:r>
        <w:rPr>
          <w:color w:val="000000"/>
        </w:rPr>
        <w:t xml:space="preserve"> </w:t>
      </w:r>
      <w:r>
        <w:rPr>
          <w:rFonts w:ascii="sans-serif" w:hAnsi="sans-serif"/>
          <w:b w:val="false"/>
          <w:color w:val="000000"/>
          <w:sz w:val="24"/>
        </w:rPr>
        <w:t>and proprietary</w:t>
      </w:r>
      <w:r>
        <w:rPr>
          <w:color w:val="000000"/>
        </w:rPr>
        <w:t xml:space="preserve"> </w:t>
      </w:r>
      <w:r>
        <w:rPr>
          <w:rFonts w:ascii="sans-serif" w:hAnsi="sans-serif"/>
          <w:b w:val="false"/>
          <w:color w:val="000000"/>
          <w:sz w:val="24"/>
        </w:rPr>
        <w:t>information</w:t>
      </w:r>
      <w:r>
        <w:rPr>
          <w:color w:val="000000"/>
        </w:rPr>
        <w:t xml:space="preserve"> </w:t>
      </w:r>
      <w:r>
        <w:rPr>
          <w:rFonts w:ascii="sans-serif" w:hAnsi="sans-serif"/>
          <w:b w:val="false"/>
          <w:color w:val="000000"/>
          <w:sz w:val="24"/>
        </w:rPr>
        <w:t>relating</w:t>
      </w:r>
      <w:r>
        <w:rPr>
          <w:color w:val="000000"/>
        </w:rPr>
        <w:t xml:space="preserve"> </w:t>
      </w:r>
      <w:r>
        <w:rPr>
          <w:rFonts w:ascii="sans-serif" w:hAnsi="sans-serif"/>
          <w:b w:val="false"/>
          <w:color w:val="000000"/>
          <w:sz w:val="24"/>
        </w:rPr>
        <w:t>to</w:t>
      </w:r>
      <w:r>
        <w:rPr>
          <w:color w:val="000000"/>
        </w:rPr>
        <w:t xml:space="preserve"> </w:t>
      </w:r>
      <w:r>
        <w:rPr>
          <w:rFonts w:ascii="sans-serif" w:hAnsi="sans-serif"/>
          <w:b w:val="false"/>
          <w:color w:val="000000"/>
          <w:sz w:val="24"/>
        </w:rPr>
        <w:t>the business and operations</w:t>
      </w:r>
      <w:r>
        <w:rPr>
          <w:color w:val="000000"/>
        </w:rPr>
        <w:t xml:space="preserve"> </w:t>
      </w:r>
      <w:r>
        <w:rPr>
          <w:rFonts w:ascii="sans-serif" w:hAnsi="sans-serif"/>
          <w:b w:val="false"/>
          <w:color w:val="000000"/>
          <w:sz w:val="24"/>
        </w:rPr>
        <w:t>of the</w:t>
      </w:r>
      <w:r>
        <w:rPr>
          <w:color w:val="000000"/>
        </w:rPr>
        <w:t xml:space="preserve"> </w:t>
      </w:r>
      <w:r>
        <w:rPr>
          <w:rFonts w:ascii="sans-serif" w:hAnsi="sans-serif"/>
          <w:b w:val="false"/>
          <w:color w:val="000000"/>
          <w:sz w:val="24"/>
        </w:rPr>
        <w:t>Company or,</w:t>
      </w:r>
      <w:r>
        <w:rPr>
          <w:color w:val="000000"/>
        </w:rPr>
        <w:t xml:space="preserve"> </w:t>
      </w:r>
      <w:r>
        <w:rPr>
          <w:rFonts w:ascii="sans-serif" w:hAnsi="sans-serif"/>
          <w:b w:val="false"/>
          <w:color w:val="000000"/>
          <w:sz w:val="24"/>
        </w:rPr>
        <w:t>any</w:t>
      </w:r>
      <w:r>
        <w:rPr>
          <w:color w:val="000000"/>
        </w:rPr>
        <w:t xml:space="preserve"> </w:t>
      </w:r>
      <w:r>
        <w:rPr>
          <w:rFonts w:ascii="sans-serif" w:hAnsi="sans-serif"/>
          <w:b w:val="false"/>
          <w:color w:val="000000"/>
          <w:sz w:val="24"/>
        </w:rPr>
        <w:t>Group Company and their clients, in particular to business and manufacturing secrets.</w:t>
      </w:r>
    </w:p>
    <w:p>
      <w:pPr>
        <w:pStyle w:val="TextBody"/>
        <w:bidi w:val="0"/>
        <w:spacing w:lineRule="auto" w:line="288" w:before="59" w:after="283"/>
        <w:jc w:val="left"/>
        <w:rPr/>
      </w:pPr>
      <w:r>
        <w:rPr>
          <w:rFonts w:ascii="sans-serif" w:hAnsi="sans-serif"/>
          <w:b w:val="false"/>
          <w:color w:val="000000"/>
          <w:sz w:val="24"/>
        </w:rPr>
        <w:t>You are under a strict duty to keep all confidential and proprietary information strictly and permanently confidential and, accordingly, shall not during the Employment Agreement or after termination of the Employment Agreement directly or indirectly for any purpose other than for the sole benefit of the Company</w:t>
      </w:r>
      <w:r>
        <w:rPr>
          <w:color w:val="000000"/>
        </w:rPr>
        <w:t xml:space="preserve"> </w:t>
      </w:r>
      <w:r>
        <w:rPr>
          <w:rFonts w:ascii="sans-serif" w:hAnsi="sans-serif"/>
          <w:b w:val="false"/>
          <w:color w:val="000000"/>
          <w:sz w:val="24"/>
        </w:rPr>
        <w:t>or</w:t>
      </w:r>
      <w:r>
        <w:rPr>
          <w:color w:val="000000"/>
        </w:rPr>
        <w:t xml:space="preserve"> </w:t>
      </w:r>
      <w:r>
        <w:rPr>
          <w:rFonts w:ascii="sans-serif" w:hAnsi="sans-serif"/>
          <w:b w:val="false"/>
          <w:color w:val="000000"/>
          <w:sz w:val="24"/>
        </w:rPr>
        <w:t>any</w:t>
      </w:r>
      <w:r>
        <w:rPr>
          <w:color w:val="000000"/>
        </w:rPr>
        <w:t xml:space="preserve"> </w:t>
      </w:r>
      <w:r>
        <w:rPr>
          <w:rFonts w:ascii="sans-serif" w:hAnsi="sans-serif"/>
          <w:b w:val="false"/>
          <w:color w:val="000000"/>
          <w:sz w:val="24"/>
        </w:rPr>
        <w:t>Group</w:t>
      </w:r>
      <w:r>
        <w:rPr>
          <w:color w:val="000000"/>
        </w:rPr>
        <w:t xml:space="preserve"> </w:t>
      </w:r>
      <w:r>
        <w:rPr>
          <w:rFonts w:ascii="sans-serif" w:hAnsi="sans-serif"/>
          <w:b w:val="false"/>
          <w:color w:val="000000"/>
          <w:sz w:val="24"/>
        </w:rPr>
        <w:t>Company</w:t>
      </w:r>
      <w:r>
        <w:rPr>
          <w:color w:val="000000"/>
        </w:rPr>
        <w:t xml:space="preserve"> </w:t>
      </w:r>
      <w:r>
        <w:rPr>
          <w:rFonts w:ascii="sans-serif" w:hAnsi="sans-serif"/>
          <w:b w:val="false"/>
          <w:color w:val="000000"/>
          <w:sz w:val="24"/>
        </w:rPr>
        <w:t>disclose or</w:t>
      </w:r>
      <w:r>
        <w:rPr>
          <w:color w:val="000000"/>
        </w:rPr>
        <w:t xml:space="preserve"> </w:t>
      </w:r>
      <w:r>
        <w:rPr>
          <w:rFonts w:ascii="sans-serif" w:hAnsi="sans-serif"/>
          <w:b w:val="false"/>
          <w:color w:val="000000"/>
          <w:sz w:val="24"/>
        </w:rPr>
        <w:t>permit</w:t>
      </w:r>
      <w:r>
        <w:rPr>
          <w:color w:val="000000"/>
        </w:rPr>
        <w:t xml:space="preserve"> </w:t>
      </w:r>
      <w:r>
        <w:rPr>
          <w:rFonts w:ascii="sans-serif" w:hAnsi="sans-serif"/>
          <w:b w:val="false"/>
          <w:color w:val="000000"/>
          <w:sz w:val="24"/>
        </w:rPr>
        <w:t>to</w:t>
      </w:r>
      <w:r>
        <w:rPr>
          <w:color w:val="000000"/>
        </w:rPr>
        <w:t xml:space="preserve"> </w:t>
      </w:r>
      <w:r>
        <w:rPr>
          <w:rFonts w:ascii="sans-serif" w:hAnsi="sans-serif"/>
          <w:b w:val="false"/>
          <w:color w:val="000000"/>
          <w:sz w:val="24"/>
        </w:rPr>
        <w:t>be</w:t>
      </w:r>
      <w:r>
        <w:rPr>
          <w:color w:val="000000"/>
        </w:rPr>
        <w:t xml:space="preserve"> </w:t>
      </w:r>
      <w:r>
        <w:rPr>
          <w:rFonts w:ascii="sans-serif" w:hAnsi="sans-serif"/>
          <w:b w:val="false"/>
          <w:color w:val="000000"/>
          <w:sz w:val="24"/>
        </w:rPr>
        <w:t>disclosed</w:t>
      </w:r>
      <w:r>
        <w:rPr>
          <w:color w:val="000000"/>
        </w:rPr>
        <w:t xml:space="preserve"> </w:t>
      </w:r>
      <w:r>
        <w:rPr>
          <w:rFonts w:ascii="sans-serif" w:hAnsi="sans-serif"/>
          <w:b w:val="false"/>
          <w:color w:val="000000"/>
          <w:sz w:val="24"/>
        </w:rPr>
        <w:t>to</w:t>
      </w:r>
      <w:r>
        <w:rPr>
          <w:color w:val="000000"/>
        </w:rPr>
        <w:t xml:space="preserve"> </w:t>
      </w:r>
      <w:r>
        <w:rPr>
          <w:rFonts w:ascii="sans-serif" w:hAnsi="sans-serif"/>
          <w:b w:val="false"/>
          <w:color w:val="000000"/>
          <w:sz w:val="24"/>
        </w:rPr>
        <w:t>any</w:t>
      </w:r>
      <w:r>
        <w:rPr>
          <w:color w:val="000000"/>
        </w:rPr>
        <w:t xml:space="preserve"> </w:t>
      </w:r>
      <w:r>
        <w:rPr>
          <w:rFonts w:ascii="sans-serif" w:hAnsi="sans-serif"/>
          <w:b w:val="false"/>
          <w:color w:val="000000"/>
          <w:sz w:val="24"/>
        </w:rPr>
        <w:t>third</w:t>
      </w:r>
      <w:r>
        <w:rPr>
          <w:color w:val="000000"/>
        </w:rPr>
        <w:t xml:space="preserve"> </w:t>
      </w:r>
      <w:r>
        <w:rPr>
          <w:rFonts w:ascii="sans-serif" w:hAnsi="sans-serif"/>
          <w:b w:val="false"/>
          <w:color w:val="000000"/>
          <w:sz w:val="24"/>
        </w:rPr>
        <w:t>party any confidential or proprietary information without first obtaining the written consent of the responsible executive and the party concerned, if applicable, except if required to do so by law.</w:t>
      </w:r>
    </w:p>
    <w:p>
      <w:pPr>
        <w:pStyle w:val="TextBody"/>
        <w:bidi w:val="0"/>
        <w:spacing w:before="133" w:after="283"/>
        <w:jc w:val="left"/>
        <w:rPr/>
      </w:pPr>
      <w:r>
        <w:rPr/>
      </w:r>
    </w:p>
    <w:p>
      <w:pPr>
        <w:pStyle w:val="TextBody"/>
        <w:bidi w:val="0"/>
        <w:spacing w:lineRule="auto" w:line="288" w:before="21" w:after="283"/>
        <w:ind w:left="0" w:right="0" w:hanging="851"/>
        <w:jc w:val="left"/>
        <w:rPr/>
      </w:pPr>
      <w:r>
        <w:rPr>
          <w:rFonts w:ascii="sans-serif" w:hAnsi="sans-serif"/>
          <w:b/>
          <w:color w:val="000000"/>
          <w:sz w:val="24"/>
        </w:rPr>
        <w:t>21.    Instructions</w:t>
      </w:r>
      <w:r>
        <w:rPr>
          <w:color w:val="000000"/>
        </w:rPr>
        <w:t xml:space="preserve"> </w:t>
      </w:r>
      <w:r>
        <w:rPr>
          <w:rFonts w:ascii="sans-serif" w:hAnsi="sans-serif"/>
          <w:b/>
          <w:color w:val="000000"/>
          <w:sz w:val="24"/>
        </w:rPr>
        <w:t>and</w:t>
      </w:r>
      <w:r>
        <w:rPr>
          <w:color w:val="000000"/>
        </w:rPr>
        <w:t xml:space="preserve"> </w:t>
      </w:r>
      <w:r>
        <w:rPr>
          <w:rFonts w:ascii="sans-serif" w:hAnsi="sans-serif"/>
          <w:b/>
          <w:color w:val="000000"/>
          <w:sz w:val="24"/>
        </w:rPr>
        <w:t>Policies</w:t>
      </w:r>
    </w:p>
    <w:p>
      <w:pPr>
        <w:pStyle w:val="TextBody"/>
        <w:bidi w:val="0"/>
        <w:spacing w:lineRule="auto" w:line="288" w:before="199" w:after="283"/>
        <w:jc w:val="left"/>
        <w:rPr/>
      </w:pPr>
      <w:r>
        <w:rPr>
          <w:rFonts w:ascii="sans-serif" w:hAnsi="sans-serif"/>
          <w:b w:val="false"/>
          <w:color w:val="000000"/>
          <w:sz w:val="24"/>
        </w:rPr>
        <w:t>You</w:t>
      </w:r>
      <w:r>
        <w:rPr>
          <w:color w:val="000000"/>
        </w:rPr>
        <w:t xml:space="preserve"> </w:t>
      </w:r>
      <w:r>
        <w:rPr>
          <w:rFonts w:ascii="sans-serif" w:hAnsi="sans-serif"/>
          <w:b w:val="false"/>
          <w:color w:val="000000"/>
          <w:sz w:val="24"/>
        </w:rPr>
        <w:t>confirm</w:t>
      </w:r>
      <w:r>
        <w:rPr>
          <w:color w:val="000000"/>
        </w:rPr>
        <w:t xml:space="preserve"> </w:t>
      </w:r>
      <w:r>
        <w:rPr>
          <w:rFonts w:ascii="sans-serif" w:hAnsi="sans-serif"/>
          <w:b w:val="false"/>
          <w:color w:val="000000"/>
          <w:sz w:val="24"/>
        </w:rPr>
        <w:t>to</w:t>
      </w:r>
      <w:r>
        <w:rPr>
          <w:color w:val="000000"/>
        </w:rPr>
        <w:t xml:space="preserve"> </w:t>
      </w:r>
      <w:r>
        <w:rPr>
          <w:rFonts w:ascii="sans-serif" w:hAnsi="sans-serif"/>
          <w:b w:val="false"/>
          <w:color w:val="000000"/>
          <w:sz w:val="24"/>
        </w:rPr>
        <w:t>comply</w:t>
      </w:r>
      <w:r>
        <w:rPr>
          <w:color w:val="000000"/>
        </w:rPr>
        <w:t xml:space="preserve"> </w:t>
      </w:r>
      <w:r>
        <w:rPr>
          <w:rFonts w:ascii="sans-serif" w:hAnsi="sans-serif"/>
          <w:b w:val="false"/>
          <w:color w:val="000000"/>
          <w:sz w:val="24"/>
        </w:rPr>
        <w:t>with</w:t>
      </w:r>
      <w:r>
        <w:rPr>
          <w:color w:val="000000"/>
        </w:rPr>
        <w:t xml:space="preserve"> </w:t>
      </w:r>
      <w:r>
        <w:rPr>
          <w:rFonts w:ascii="sans-serif" w:hAnsi="sans-serif"/>
          <w:b w:val="false"/>
          <w:color w:val="000000"/>
          <w:sz w:val="24"/>
        </w:rPr>
        <w:t>the</w:t>
      </w:r>
      <w:r>
        <w:rPr>
          <w:color w:val="000000"/>
        </w:rPr>
        <w:t xml:space="preserve"> </w:t>
      </w:r>
      <w:r>
        <w:rPr>
          <w:rFonts w:ascii="sans-serif" w:hAnsi="sans-serif"/>
          <w:b w:val="false"/>
          <w:color w:val="000000"/>
          <w:sz w:val="24"/>
        </w:rPr>
        <w:t>Company’s</w:t>
      </w:r>
      <w:r>
        <w:rPr>
          <w:color w:val="000000"/>
        </w:rPr>
        <w:t xml:space="preserve"> </w:t>
      </w:r>
      <w:r>
        <w:rPr>
          <w:rFonts w:ascii="sans-serif" w:hAnsi="sans-serif"/>
          <w:b w:val="false"/>
          <w:color w:val="000000"/>
          <w:sz w:val="24"/>
        </w:rPr>
        <w:t>policies</w:t>
      </w:r>
      <w:r>
        <w:rPr>
          <w:color w:val="000000"/>
        </w:rPr>
        <w:t xml:space="preserve"> </w:t>
      </w:r>
      <w:r>
        <w:rPr>
          <w:rFonts w:ascii="sans-serif" w:hAnsi="sans-serif"/>
          <w:b w:val="false"/>
          <w:color w:val="000000"/>
          <w:sz w:val="24"/>
        </w:rPr>
        <w:t>and</w:t>
      </w:r>
      <w:r>
        <w:rPr>
          <w:color w:val="000000"/>
        </w:rPr>
        <w:t xml:space="preserve"> </w:t>
      </w:r>
      <w:r>
        <w:rPr>
          <w:rFonts w:ascii="sans-serif" w:hAnsi="sans-serif"/>
          <w:b w:val="false"/>
          <w:color w:val="000000"/>
          <w:sz w:val="24"/>
        </w:rPr>
        <w:t>instructions</w:t>
      </w:r>
      <w:r>
        <w:rPr>
          <w:color w:val="000000"/>
        </w:rPr>
        <w:t xml:space="preserve"> </w:t>
      </w:r>
      <w:r>
        <w:rPr>
          <w:rFonts w:ascii="sans-serif" w:hAnsi="sans-serif"/>
          <w:b w:val="false"/>
          <w:color w:val="000000"/>
          <w:sz w:val="24"/>
        </w:rPr>
        <w:t>at</w:t>
      </w:r>
      <w:r>
        <w:rPr>
          <w:color w:val="000000"/>
        </w:rPr>
        <w:t xml:space="preserve"> </w:t>
      </w:r>
      <w:r>
        <w:rPr>
          <w:rFonts w:ascii="sans-serif" w:hAnsi="sans-serif"/>
          <w:b w:val="false"/>
          <w:color w:val="000000"/>
          <w:sz w:val="24"/>
        </w:rPr>
        <w:t>all</w:t>
      </w:r>
      <w:r>
        <w:rPr>
          <w:color w:val="000000"/>
        </w:rPr>
        <w:t xml:space="preserve"> </w:t>
      </w:r>
      <w:r>
        <w:rPr>
          <w:rFonts w:ascii="sans-serif" w:hAnsi="sans-serif"/>
          <w:b w:val="false"/>
          <w:color w:val="000000"/>
          <w:sz w:val="24"/>
        </w:rPr>
        <w:t>times.</w:t>
      </w:r>
    </w:p>
    <w:p>
      <w:pPr>
        <w:pStyle w:val="TextBody"/>
        <w:bidi w:val="0"/>
        <w:spacing w:lineRule="auto" w:line="288" w:before="60" w:after="283"/>
        <w:jc w:val="left"/>
        <w:rPr/>
      </w:pPr>
      <w:r>
        <w:rPr>
          <w:rFonts w:ascii="sans-serif" w:hAnsi="sans-serif"/>
          <w:b w:val="false"/>
          <w:color w:val="000000"/>
          <w:sz w:val="24"/>
        </w:rPr>
        <w:t>You acknowledge that the Company may amend existing policies unilaterally from</w:t>
      </w:r>
      <w:r>
        <w:rPr>
          <w:color w:val="000000"/>
        </w:rPr>
        <w:t xml:space="preserve"> </w:t>
      </w:r>
      <w:r>
        <w:rPr>
          <w:rFonts w:ascii="sans-serif" w:hAnsi="sans-serif"/>
          <w:b w:val="false"/>
          <w:color w:val="000000"/>
          <w:sz w:val="24"/>
        </w:rPr>
        <w:t>time</w:t>
      </w:r>
      <w:r>
        <w:rPr>
          <w:color w:val="000000"/>
        </w:rPr>
        <w:t xml:space="preserve"> </w:t>
      </w:r>
      <w:r>
        <w:rPr>
          <w:rFonts w:ascii="sans-serif" w:hAnsi="sans-serif"/>
          <w:b w:val="false"/>
          <w:color w:val="000000"/>
          <w:sz w:val="24"/>
        </w:rPr>
        <w:t>to</w:t>
      </w:r>
      <w:r>
        <w:rPr>
          <w:color w:val="000000"/>
        </w:rPr>
        <w:t xml:space="preserve"> </w:t>
      </w:r>
      <w:r>
        <w:rPr>
          <w:rFonts w:ascii="sans-serif" w:hAnsi="sans-serif"/>
          <w:b w:val="false"/>
          <w:color w:val="000000"/>
          <w:sz w:val="24"/>
        </w:rPr>
        <w:t>time,</w:t>
      </w:r>
      <w:r>
        <w:rPr>
          <w:color w:val="000000"/>
        </w:rPr>
        <w:t xml:space="preserve"> </w:t>
      </w:r>
      <w:r>
        <w:rPr>
          <w:rFonts w:ascii="sans-serif" w:hAnsi="sans-serif"/>
          <w:b w:val="false"/>
          <w:color w:val="000000"/>
          <w:sz w:val="24"/>
        </w:rPr>
        <w:t>issue</w:t>
      </w:r>
      <w:r>
        <w:rPr>
          <w:color w:val="000000"/>
        </w:rPr>
        <w:t xml:space="preserve"> </w:t>
      </w:r>
      <w:r>
        <w:rPr>
          <w:rFonts w:ascii="sans-serif" w:hAnsi="sans-serif"/>
          <w:b w:val="false"/>
          <w:color w:val="000000"/>
          <w:sz w:val="24"/>
        </w:rPr>
        <w:t>new</w:t>
      </w:r>
      <w:r>
        <w:rPr>
          <w:color w:val="000000"/>
        </w:rPr>
        <w:t xml:space="preserve"> </w:t>
      </w:r>
      <w:r>
        <w:rPr>
          <w:rFonts w:ascii="sans-serif" w:hAnsi="sans-serif"/>
          <w:b w:val="false"/>
          <w:color w:val="000000"/>
          <w:sz w:val="24"/>
        </w:rPr>
        <w:t>policies</w:t>
      </w:r>
      <w:r>
        <w:rPr>
          <w:color w:val="000000"/>
        </w:rPr>
        <w:t xml:space="preserve"> </w:t>
      </w:r>
      <w:r>
        <w:rPr>
          <w:rFonts w:ascii="sans-serif" w:hAnsi="sans-serif"/>
          <w:b w:val="false"/>
          <w:color w:val="000000"/>
          <w:sz w:val="24"/>
        </w:rPr>
        <w:t>from</w:t>
      </w:r>
      <w:r>
        <w:rPr>
          <w:color w:val="000000"/>
        </w:rPr>
        <w:t xml:space="preserve"> </w:t>
      </w:r>
      <w:r>
        <w:rPr>
          <w:rFonts w:ascii="sans-serif" w:hAnsi="sans-serif"/>
          <w:b w:val="false"/>
          <w:color w:val="000000"/>
          <w:sz w:val="24"/>
        </w:rPr>
        <w:t>time</w:t>
      </w:r>
      <w:r>
        <w:rPr>
          <w:color w:val="000000"/>
        </w:rPr>
        <w:t xml:space="preserve"> </w:t>
      </w:r>
      <w:r>
        <w:rPr>
          <w:rFonts w:ascii="sans-serif" w:hAnsi="sans-serif"/>
          <w:b w:val="false"/>
          <w:color w:val="000000"/>
          <w:sz w:val="24"/>
        </w:rPr>
        <w:t>to</w:t>
      </w:r>
      <w:r>
        <w:rPr>
          <w:color w:val="000000"/>
        </w:rPr>
        <w:t xml:space="preserve"> </w:t>
      </w:r>
      <w:r>
        <w:rPr>
          <w:rFonts w:ascii="sans-serif" w:hAnsi="sans-serif"/>
          <w:b w:val="false"/>
          <w:color w:val="000000"/>
          <w:sz w:val="24"/>
        </w:rPr>
        <w:t>time</w:t>
      </w:r>
      <w:r>
        <w:rPr>
          <w:color w:val="000000"/>
        </w:rPr>
        <w:t xml:space="preserve"> </w:t>
      </w:r>
      <w:r>
        <w:rPr>
          <w:rFonts w:ascii="sans-serif" w:hAnsi="sans-serif"/>
          <w:b w:val="false"/>
          <w:color w:val="000000"/>
          <w:sz w:val="24"/>
        </w:rPr>
        <w:t>and</w:t>
      </w:r>
      <w:r>
        <w:rPr>
          <w:color w:val="000000"/>
        </w:rPr>
        <w:t xml:space="preserve"> </w:t>
      </w:r>
      <w:r>
        <w:rPr>
          <w:rFonts w:ascii="sans-serif" w:hAnsi="sans-serif"/>
          <w:b w:val="false"/>
          <w:color w:val="000000"/>
          <w:sz w:val="24"/>
        </w:rPr>
        <w:t>that</w:t>
      </w:r>
      <w:r>
        <w:rPr>
          <w:color w:val="000000"/>
        </w:rPr>
        <w:t xml:space="preserve"> </w:t>
      </w:r>
      <w:r>
        <w:rPr>
          <w:rFonts w:ascii="sans-serif" w:hAnsi="sans-serif"/>
          <w:b w:val="false"/>
          <w:color w:val="000000"/>
          <w:sz w:val="24"/>
        </w:rPr>
        <w:t>such</w:t>
      </w:r>
      <w:r>
        <w:rPr>
          <w:color w:val="000000"/>
        </w:rPr>
        <w:t xml:space="preserve"> </w:t>
      </w:r>
      <w:r>
        <w:rPr>
          <w:rFonts w:ascii="sans-serif" w:hAnsi="sans-serif"/>
          <w:b w:val="false"/>
          <w:color w:val="000000"/>
          <w:sz w:val="24"/>
        </w:rPr>
        <w:t>other</w:t>
      </w:r>
      <w:r>
        <w:rPr>
          <w:color w:val="000000"/>
        </w:rPr>
        <w:t xml:space="preserve"> </w:t>
      </w:r>
      <w:r>
        <w:rPr>
          <w:rFonts w:ascii="sans-serif" w:hAnsi="sans-serif"/>
          <w:b w:val="false"/>
          <w:color w:val="000000"/>
          <w:sz w:val="24"/>
        </w:rPr>
        <w:t>policies do not form an integral part of the Employment Agreement.</w:t>
      </w:r>
    </w:p>
    <w:p>
      <w:pPr>
        <w:pStyle w:val="TextBody"/>
        <w:bidi w:val="0"/>
        <w:spacing w:before="133" w:after="283"/>
        <w:jc w:val="left"/>
        <w:rPr/>
      </w:pPr>
      <w:r>
        <w:rPr/>
      </w:r>
    </w:p>
    <w:p>
      <w:pPr>
        <w:pStyle w:val="TextBody"/>
        <w:bidi w:val="0"/>
        <w:spacing w:lineRule="auto" w:line="288" w:before="21" w:after="283"/>
        <w:ind w:left="0" w:right="0" w:hanging="851"/>
        <w:jc w:val="left"/>
        <w:rPr>
          <w:rFonts w:ascii="sans-serif" w:hAnsi="sans-serif"/>
          <w:b/>
          <w:color w:val="000000"/>
          <w:sz w:val="24"/>
        </w:rPr>
      </w:pPr>
      <w:r>
        <w:rPr>
          <w:rFonts w:ascii="sans-serif" w:hAnsi="sans-serif"/>
          <w:b/>
          <w:color w:val="000000"/>
          <w:sz w:val="24"/>
        </w:rPr>
        <w:t>22.    Miscellaneous</w:t>
      </w:r>
    </w:p>
    <w:p>
      <w:pPr>
        <w:pStyle w:val="TextBody"/>
        <w:bidi w:val="0"/>
        <w:spacing w:before="107" w:after="283"/>
        <w:jc w:val="left"/>
        <w:rPr/>
      </w:pPr>
      <w:r>
        <w:rPr/>
      </w:r>
    </w:p>
    <w:p>
      <w:pPr>
        <w:pStyle w:val="TextBody"/>
        <w:bidi w:val="0"/>
        <w:spacing w:lineRule="auto" w:line="288" w:before="0" w:after="0"/>
        <w:ind w:left="0" w:right="0" w:hanging="851"/>
        <w:jc w:val="left"/>
        <w:rPr/>
      </w:pPr>
      <w:r>
        <w:rPr>
          <w:rFonts w:ascii="sans-serif" w:hAnsi="sans-serif"/>
          <w:b/>
          <w:color w:val="000000"/>
          <w:sz w:val="24"/>
        </w:rPr>
        <w:t>22.1.    Entire</w:t>
      </w:r>
      <w:r>
        <w:rPr>
          <w:color w:val="000000"/>
        </w:rPr>
        <w:t xml:space="preserve"> </w:t>
      </w:r>
      <w:r>
        <w:rPr>
          <w:rFonts w:ascii="sans-serif" w:hAnsi="sans-serif"/>
          <w:b/>
          <w:color w:val="000000"/>
          <w:sz w:val="24"/>
        </w:rPr>
        <w:t>Agreement</w:t>
      </w:r>
    </w:p>
    <w:p>
      <w:pPr>
        <w:pStyle w:val="TextBody"/>
        <w:bidi w:val="0"/>
        <w:spacing w:lineRule="auto" w:line="288" w:before="199" w:after="283"/>
        <w:jc w:val="left"/>
        <w:rPr/>
      </w:pPr>
      <w:r>
        <w:rPr>
          <w:rFonts w:ascii="sans-serif" w:hAnsi="sans-serif"/>
          <w:b w:val="false"/>
          <w:color w:val="000000"/>
          <w:sz w:val="24"/>
        </w:rPr>
        <w:t>This</w:t>
      </w:r>
      <w:r>
        <w:rPr>
          <w:color w:val="000000"/>
        </w:rPr>
        <w:t xml:space="preserve"> </w:t>
      </w:r>
      <w:r>
        <w:rPr>
          <w:rFonts w:ascii="sans-serif" w:hAnsi="sans-serif"/>
          <w:b w:val="false"/>
          <w:color w:val="000000"/>
          <w:sz w:val="24"/>
        </w:rPr>
        <w:t>Employment</w:t>
      </w:r>
      <w:r>
        <w:rPr>
          <w:color w:val="000000"/>
        </w:rPr>
        <w:t xml:space="preserve"> </w:t>
      </w:r>
      <w:r>
        <w:rPr>
          <w:rFonts w:ascii="sans-serif" w:hAnsi="sans-serif"/>
          <w:b w:val="false"/>
          <w:color w:val="000000"/>
          <w:sz w:val="24"/>
        </w:rPr>
        <w:t>Agreement</w:t>
      </w:r>
      <w:r>
        <w:rPr>
          <w:color w:val="000000"/>
        </w:rPr>
        <w:t xml:space="preserve"> </w:t>
      </w:r>
      <w:r>
        <w:rPr>
          <w:rFonts w:ascii="sans-serif" w:hAnsi="sans-serif"/>
          <w:b w:val="false"/>
          <w:color w:val="000000"/>
          <w:sz w:val="24"/>
        </w:rPr>
        <w:t>constitutes</w:t>
      </w:r>
      <w:r>
        <w:rPr>
          <w:color w:val="000000"/>
        </w:rPr>
        <w:t xml:space="preserve"> </w:t>
      </w:r>
      <w:r>
        <w:rPr>
          <w:rFonts w:ascii="sans-serif" w:hAnsi="sans-serif"/>
          <w:b w:val="false"/>
          <w:color w:val="000000"/>
          <w:sz w:val="24"/>
        </w:rPr>
        <w:t>the</w:t>
      </w:r>
      <w:r>
        <w:rPr>
          <w:color w:val="000000"/>
        </w:rPr>
        <w:t xml:space="preserve"> </w:t>
      </w:r>
      <w:r>
        <w:rPr>
          <w:rFonts w:ascii="sans-serif" w:hAnsi="sans-serif"/>
          <w:b w:val="false"/>
          <w:color w:val="000000"/>
          <w:sz w:val="24"/>
        </w:rPr>
        <w:t>complete agreement</w:t>
      </w:r>
      <w:r>
        <w:rPr>
          <w:color w:val="000000"/>
        </w:rPr>
        <w:t xml:space="preserve"> </w:t>
      </w:r>
      <w:r>
        <w:rPr>
          <w:rFonts w:ascii="sans-serif" w:hAnsi="sans-serif"/>
          <w:b w:val="false"/>
          <w:color w:val="000000"/>
          <w:sz w:val="24"/>
        </w:rPr>
        <w:t>between</w:t>
      </w:r>
      <w:r>
        <w:rPr>
          <w:color w:val="000000"/>
        </w:rPr>
        <w:t xml:space="preserve"> </w:t>
      </w:r>
      <w:r>
        <w:rPr>
          <w:rFonts w:ascii="sans-serif" w:hAnsi="sans-serif"/>
          <w:b w:val="false"/>
          <w:color w:val="000000"/>
          <w:sz w:val="24"/>
        </w:rPr>
        <w:t>the Parties</w:t>
      </w:r>
      <w:r>
        <w:rPr>
          <w:color w:val="000000"/>
        </w:rPr>
        <w:t xml:space="preserve"> </w:t>
      </w:r>
      <w:r>
        <w:rPr>
          <w:rFonts w:ascii="sans-serif" w:hAnsi="sans-serif"/>
          <w:b w:val="false"/>
          <w:color w:val="000000"/>
          <w:sz w:val="24"/>
        </w:rPr>
        <w:t>regarding</w:t>
      </w:r>
      <w:r>
        <w:rPr>
          <w:color w:val="000000"/>
        </w:rPr>
        <w:t xml:space="preserve"> </w:t>
      </w:r>
      <w:r>
        <w:rPr>
          <w:rFonts w:ascii="sans-serif" w:hAnsi="sans-serif"/>
          <w:b w:val="false"/>
          <w:color w:val="000000"/>
          <w:sz w:val="24"/>
        </w:rPr>
        <w:t>its</w:t>
      </w:r>
      <w:r>
        <w:rPr>
          <w:color w:val="000000"/>
        </w:rPr>
        <w:t xml:space="preserve"> </w:t>
      </w:r>
      <w:r>
        <w:rPr>
          <w:rFonts w:ascii="sans-serif" w:hAnsi="sans-serif"/>
          <w:b w:val="false"/>
          <w:color w:val="000000"/>
          <w:sz w:val="24"/>
        </w:rPr>
        <w:t>subject</w:t>
      </w:r>
      <w:r>
        <w:rPr>
          <w:color w:val="000000"/>
        </w:rPr>
        <w:t xml:space="preserve"> </w:t>
      </w:r>
      <w:r>
        <w:rPr>
          <w:rFonts w:ascii="sans-serif" w:hAnsi="sans-serif"/>
          <w:b w:val="false"/>
          <w:color w:val="000000"/>
          <w:sz w:val="24"/>
        </w:rPr>
        <w:t>matter</w:t>
      </w:r>
      <w:r>
        <w:rPr>
          <w:color w:val="000000"/>
        </w:rPr>
        <w:t xml:space="preserve"> </w:t>
      </w:r>
      <w:r>
        <w:rPr>
          <w:rFonts w:ascii="sans-serif" w:hAnsi="sans-serif"/>
          <w:b w:val="false"/>
          <w:color w:val="000000"/>
          <w:sz w:val="24"/>
        </w:rPr>
        <w:t>and</w:t>
      </w:r>
      <w:r>
        <w:rPr>
          <w:color w:val="000000"/>
        </w:rPr>
        <w:t xml:space="preserve"> </w:t>
      </w:r>
      <w:r>
        <w:rPr>
          <w:rFonts w:ascii="sans-serif" w:hAnsi="sans-serif"/>
          <w:b w:val="false"/>
          <w:color w:val="000000"/>
          <w:sz w:val="24"/>
        </w:rPr>
        <w:t>supersedes</w:t>
      </w:r>
      <w:r>
        <w:rPr>
          <w:color w:val="000000"/>
        </w:rPr>
        <w:t xml:space="preserve"> </w:t>
      </w:r>
      <w:r>
        <w:rPr>
          <w:rFonts w:ascii="sans-serif" w:hAnsi="sans-serif"/>
          <w:b w:val="false"/>
          <w:color w:val="000000"/>
          <w:sz w:val="24"/>
        </w:rPr>
        <w:t>all</w:t>
      </w:r>
      <w:r>
        <w:rPr>
          <w:color w:val="000000"/>
        </w:rPr>
        <w:t xml:space="preserve"> </w:t>
      </w:r>
      <w:r>
        <w:rPr>
          <w:rFonts w:ascii="sans-serif" w:hAnsi="sans-serif"/>
          <w:b w:val="false"/>
          <w:color w:val="000000"/>
          <w:sz w:val="24"/>
        </w:rPr>
        <w:t>prior</w:t>
      </w:r>
      <w:r>
        <w:rPr>
          <w:color w:val="000000"/>
        </w:rPr>
        <w:t xml:space="preserve"> </w:t>
      </w:r>
      <w:r>
        <w:rPr>
          <w:rFonts w:ascii="sans-serif" w:hAnsi="sans-serif"/>
          <w:b w:val="false"/>
          <w:color w:val="000000"/>
          <w:sz w:val="24"/>
        </w:rPr>
        <w:t>oral</w:t>
      </w:r>
      <w:r>
        <w:rPr>
          <w:color w:val="000000"/>
        </w:rPr>
        <w:t xml:space="preserve"> </w:t>
      </w:r>
      <w:r>
        <w:rPr>
          <w:rFonts w:ascii="sans-serif" w:hAnsi="sans-serif"/>
          <w:b w:val="false"/>
          <w:color w:val="000000"/>
          <w:sz w:val="24"/>
        </w:rPr>
        <w:t>and/or</w:t>
      </w:r>
      <w:r>
        <w:rPr>
          <w:color w:val="000000"/>
        </w:rPr>
        <w:t xml:space="preserve"> </w:t>
      </w:r>
      <w:r>
        <w:rPr>
          <w:rFonts w:ascii="sans-serif" w:hAnsi="sans-serif"/>
          <w:b w:val="false"/>
          <w:color w:val="000000"/>
          <w:sz w:val="24"/>
        </w:rPr>
        <w:t>written agreements, representations and/or communications concerning the subject matter hereof.</w:t>
      </w:r>
    </w:p>
    <w:p>
      <w:pPr>
        <w:pStyle w:val="TextBody"/>
        <w:bidi w:val="0"/>
        <w:spacing w:before="107" w:after="283"/>
        <w:jc w:val="left"/>
        <w:rPr/>
      </w:pPr>
      <w:r>
        <w:rPr/>
      </w:r>
    </w:p>
    <w:p>
      <w:pPr>
        <w:pStyle w:val="TextBody"/>
        <w:bidi w:val="0"/>
        <w:spacing w:lineRule="auto" w:line="288" w:before="1" w:after="283"/>
        <w:ind w:left="0" w:right="0" w:hanging="851"/>
        <w:jc w:val="left"/>
        <w:rPr>
          <w:rFonts w:ascii="sans-serif" w:hAnsi="sans-serif"/>
          <w:b/>
          <w:color w:val="000000"/>
          <w:sz w:val="24"/>
        </w:rPr>
      </w:pPr>
      <w:r>
        <w:rPr>
          <w:rFonts w:ascii="sans-serif" w:hAnsi="sans-serif"/>
          <w:b/>
          <w:color w:val="000000"/>
          <w:sz w:val="24"/>
        </w:rPr>
        <w:t>22.2.    Amendments</w:t>
      </w:r>
    </w:p>
    <w:p>
      <w:pPr>
        <w:pStyle w:val="TextBody"/>
        <w:bidi w:val="0"/>
        <w:spacing w:lineRule="auto" w:line="288" w:before="199" w:after="283"/>
        <w:jc w:val="left"/>
        <w:rPr/>
      </w:pPr>
      <w:r>
        <w:rPr>
          <w:rFonts w:ascii="sans-serif" w:hAnsi="sans-serif"/>
          <w:b w:val="false"/>
          <w:color w:val="000000"/>
          <w:sz w:val="24"/>
        </w:rPr>
        <w:t>Any amendments or supplementation of this Employment Agreement shall re-quire written form (a simple electronic signature being</w:t>
      </w:r>
      <w:r>
        <w:rPr>
          <w:color w:val="000000"/>
        </w:rPr>
        <w:t xml:space="preserve"> </w:t>
      </w:r>
      <w:r>
        <w:rPr>
          <w:rFonts w:ascii="sans-serif" w:hAnsi="sans-serif"/>
          <w:b w:val="false"/>
          <w:color w:val="000000"/>
          <w:sz w:val="24"/>
        </w:rPr>
        <w:t>sufficient,</w:t>
      </w:r>
      <w:r>
        <w:rPr>
          <w:color w:val="000000"/>
        </w:rPr>
        <w:t xml:space="preserve"> </w:t>
      </w:r>
      <w:r>
        <w:rPr>
          <w:rFonts w:ascii="sans-serif" w:hAnsi="sans-serif"/>
          <w:b w:val="false"/>
          <w:color w:val="000000"/>
          <w:sz w:val="24"/>
        </w:rPr>
        <w:t>except where statutory</w:t>
      </w:r>
      <w:r>
        <w:rPr>
          <w:color w:val="000000"/>
        </w:rPr>
        <w:t xml:space="preserve"> </w:t>
      </w:r>
      <w:r>
        <w:rPr>
          <w:rFonts w:ascii="sans-serif" w:hAnsi="sans-serif"/>
          <w:b w:val="false"/>
          <w:color w:val="000000"/>
          <w:sz w:val="24"/>
        </w:rPr>
        <w:t>law</w:t>
      </w:r>
      <w:r>
        <w:rPr>
          <w:color w:val="000000"/>
        </w:rPr>
        <w:t xml:space="preserve"> </w:t>
      </w:r>
      <w:r>
        <w:rPr>
          <w:rFonts w:ascii="sans-serif" w:hAnsi="sans-serif"/>
          <w:b w:val="false"/>
          <w:color w:val="000000"/>
          <w:sz w:val="24"/>
        </w:rPr>
        <w:t>provides</w:t>
      </w:r>
      <w:r>
        <w:rPr>
          <w:color w:val="000000"/>
        </w:rPr>
        <w:t xml:space="preserve"> </w:t>
      </w:r>
      <w:r>
        <w:rPr>
          <w:rFonts w:ascii="sans-serif" w:hAnsi="sans-serif"/>
          <w:b w:val="false"/>
          <w:color w:val="000000"/>
          <w:sz w:val="24"/>
        </w:rPr>
        <w:t>otherwise) and</w:t>
      </w:r>
      <w:r>
        <w:rPr>
          <w:color w:val="000000"/>
        </w:rPr>
        <w:t xml:space="preserve"> </w:t>
      </w:r>
      <w:r>
        <w:rPr>
          <w:rFonts w:ascii="sans-serif" w:hAnsi="sans-serif"/>
          <w:b w:val="false"/>
          <w:color w:val="000000"/>
          <w:sz w:val="24"/>
        </w:rPr>
        <w:t>must</w:t>
      </w:r>
      <w:r>
        <w:rPr>
          <w:color w:val="000000"/>
        </w:rPr>
        <w:t xml:space="preserve"> </w:t>
      </w:r>
      <w:r>
        <w:rPr>
          <w:rFonts w:ascii="sans-serif" w:hAnsi="sans-serif"/>
          <w:b w:val="false"/>
          <w:color w:val="000000"/>
          <w:sz w:val="24"/>
        </w:rPr>
        <w:t>be</w:t>
      </w:r>
      <w:r>
        <w:rPr>
          <w:color w:val="000000"/>
        </w:rPr>
        <w:t xml:space="preserve"> </w:t>
      </w:r>
      <w:r>
        <w:rPr>
          <w:rFonts w:ascii="sans-serif" w:hAnsi="sans-serif"/>
          <w:b w:val="false"/>
          <w:color w:val="000000"/>
          <w:sz w:val="24"/>
        </w:rPr>
        <w:t>signed</w:t>
      </w:r>
      <w:r>
        <w:rPr>
          <w:color w:val="000000"/>
        </w:rPr>
        <w:t xml:space="preserve"> </w:t>
      </w:r>
      <w:r>
        <w:rPr>
          <w:rFonts w:ascii="sans-serif" w:hAnsi="sans-serif"/>
          <w:b w:val="false"/>
          <w:color w:val="000000"/>
          <w:sz w:val="24"/>
        </w:rPr>
        <w:t>by</w:t>
      </w:r>
      <w:r>
        <w:rPr>
          <w:color w:val="000000"/>
        </w:rPr>
        <w:t xml:space="preserve"> </w:t>
      </w:r>
      <w:r>
        <w:rPr>
          <w:rFonts w:ascii="sans-serif" w:hAnsi="sans-serif"/>
          <w:b w:val="false"/>
          <w:color w:val="000000"/>
          <w:sz w:val="24"/>
        </w:rPr>
        <w:t>both</w:t>
      </w:r>
      <w:r>
        <w:rPr>
          <w:color w:val="000000"/>
        </w:rPr>
        <w:t xml:space="preserve"> </w:t>
      </w:r>
      <w:r>
        <w:rPr>
          <w:rFonts w:ascii="sans-serif" w:hAnsi="sans-serif"/>
          <w:b w:val="false"/>
          <w:color w:val="000000"/>
          <w:sz w:val="24"/>
        </w:rPr>
        <w:t>Parties. The</w:t>
      </w:r>
      <w:r>
        <w:rPr>
          <w:color w:val="000000"/>
        </w:rPr>
        <w:t xml:space="preserve"> </w:t>
      </w:r>
      <w:r>
        <w:rPr>
          <w:rFonts w:ascii="sans-serif" w:hAnsi="sans-serif"/>
          <w:b w:val="false"/>
          <w:color w:val="000000"/>
          <w:sz w:val="24"/>
        </w:rPr>
        <w:t>writ-ten form may be dispensed only in writing.</w:t>
      </w:r>
    </w:p>
    <w:p>
      <w:pPr>
        <w:pStyle w:val="TextBody"/>
        <w:bidi w:val="0"/>
        <w:spacing w:before="107" w:after="283"/>
        <w:jc w:val="left"/>
        <w:rPr/>
      </w:pPr>
      <w:r>
        <w:rPr/>
      </w:r>
    </w:p>
    <w:p>
      <w:pPr>
        <w:pStyle w:val="TextBody"/>
        <w:bidi w:val="0"/>
        <w:spacing w:lineRule="auto" w:line="288" w:before="0" w:after="0"/>
        <w:ind w:left="0" w:right="0" w:hanging="851"/>
        <w:jc w:val="left"/>
        <w:rPr/>
      </w:pPr>
      <w:r>
        <w:rPr>
          <w:rFonts w:ascii="sans-serif" w:hAnsi="sans-serif"/>
          <w:b/>
          <w:color w:val="000000"/>
          <w:sz w:val="24"/>
        </w:rPr>
        <w:t>22.3.    Applicable</w:t>
      </w:r>
      <w:r>
        <w:rPr>
          <w:color w:val="000000"/>
        </w:rPr>
        <w:t xml:space="preserve"> </w:t>
      </w:r>
      <w:r>
        <w:rPr>
          <w:rFonts w:ascii="sans-serif" w:hAnsi="sans-serif"/>
          <w:b/>
          <w:color w:val="000000"/>
          <w:sz w:val="24"/>
        </w:rPr>
        <w:t>Law</w:t>
      </w:r>
    </w:p>
    <w:p>
      <w:pPr>
        <w:pStyle w:val="TextBody"/>
        <w:bidi w:val="0"/>
        <w:spacing w:lineRule="auto" w:line="288" w:before="240" w:after="283"/>
        <w:jc w:val="left"/>
        <w:rPr/>
      </w:pPr>
      <w:r>
        <w:rPr>
          <w:rFonts w:ascii="sans-serif" w:hAnsi="sans-serif"/>
          <w:b w:val="false"/>
          <w:color w:val="000000"/>
          <w:sz w:val="24"/>
        </w:rPr>
        <w:t>This Employment Agreement shall be construed in accordance with and governed</w:t>
      </w:r>
      <w:r>
        <w:rPr>
          <w:color w:val="000000"/>
        </w:rPr>
        <w:t xml:space="preserve"> </w:t>
      </w:r>
      <w:r>
        <w:rPr>
          <w:rFonts w:ascii="sans-serif" w:hAnsi="sans-serif"/>
          <w:b w:val="false"/>
          <w:color w:val="000000"/>
          <w:sz w:val="24"/>
        </w:rPr>
        <w:t>by</w:t>
      </w:r>
      <w:r>
        <w:rPr>
          <w:color w:val="000000"/>
        </w:rPr>
        <w:t xml:space="preserve"> </w:t>
      </w:r>
      <w:r>
        <w:rPr>
          <w:rFonts w:ascii="sans-serif" w:hAnsi="sans-serif"/>
          <w:b w:val="false"/>
          <w:color w:val="000000"/>
          <w:sz w:val="24"/>
        </w:rPr>
        <w:t>Swiss</w:t>
      </w:r>
      <w:r>
        <w:rPr>
          <w:color w:val="000000"/>
        </w:rPr>
        <w:t xml:space="preserve"> </w:t>
      </w:r>
      <w:r>
        <w:rPr>
          <w:rFonts w:ascii="sans-serif" w:hAnsi="sans-serif"/>
          <w:b w:val="false"/>
          <w:color w:val="000000"/>
          <w:sz w:val="24"/>
        </w:rPr>
        <w:t>law</w:t>
      </w:r>
      <w:r>
        <w:rPr>
          <w:color w:val="000000"/>
        </w:rPr>
        <w:t xml:space="preserve"> </w:t>
      </w:r>
      <w:r>
        <w:rPr>
          <w:rFonts w:ascii="sans-serif" w:hAnsi="sans-serif"/>
          <w:b w:val="false"/>
          <w:color w:val="000000"/>
          <w:sz w:val="24"/>
        </w:rPr>
        <w:t>(without</w:t>
      </w:r>
      <w:r>
        <w:rPr>
          <w:color w:val="000000"/>
        </w:rPr>
        <w:t xml:space="preserve"> </w:t>
      </w:r>
      <w:r>
        <w:rPr>
          <w:rFonts w:ascii="sans-serif" w:hAnsi="sans-serif"/>
          <w:b w:val="false"/>
          <w:color w:val="000000"/>
          <w:sz w:val="24"/>
        </w:rPr>
        <w:t>giving</w:t>
      </w:r>
      <w:r>
        <w:rPr>
          <w:color w:val="000000"/>
        </w:rPr>
        <w:t xml:space="preserve"> </w:t>
      </w:r>
      <w:r>
        <w:rPr>
          <w:rFonts w:ascii="sans-serif" w:hAnsi="sans-serif"/>
          <w:b w:val="false"/>
          <w:color w:val="000000"/>
          <w:sz w:val="24"/>
        </w:rPr>
        <w:t>effect</w:t>
      </w:r>
      <w:r>
        <w:rPr>
          <w:color w:val="000000"/>
        </w:rPr>
        <w:t xml:space="preserve"> </w:t>
      </w:r>
      <w:r>
        <w:rPr>
          <w:rFonts w:ascii="sans-serif" w:hAnsi="sans-serif"/>
          <w:b w:val="false"/>
          <w:color w:val="000000"/>
          <w:sz w:val="24"/>
        </w:rPr>
        <w:t>to</w:t>
      </w:r>
      <w:r>
        <w:rPr>
          <w:color w:val="000000"/>
        </w:rPr>
        <w:t xml:space="preserve"> </w:t>
      </w:r>
      <w:r>
        <w:rPr>
          <w:rFonts w:ascii="sans-serif" w:hAnsi="sans-serif"/>
          <w:b w:val="false"/>
          <w:color w:val="000000"/>
          <w:sz w:val="24"/>
        </w:rPr>
        <w:t>the</w:t>
      </w:r>
      <w:r>
        <w:rPr>
          <w:color w:val="000000"/>
        </w:rPr>
        <w:t xml:space="preserve"> </w:t>
      </w:r>
      <w:r>
        <w:rPr>
          <w:rFonts w:ascii="sans-serif" w:hAnsi="sans-serif"/>
          <w:b w:val="false"/>
          <w:color w:val="000000"/>
          <w:sz w:val="24"/>
        </w:rPr>
        <w:t>principles</w:t>
      </w:r>
      <w:r>
        <w:rPr>
          <w:color w:val="000000"/>
        </w:rPr>
        <w:t xml:space="preserve"> </w:t>
      </w:r>
      <w:r>
        <w:rPr>
          <w:rFonts w:ascii="sans-serif" w:hAnsi="sans-serif"/>
          <w:b w:val="false"/>
          <w:color w:val="000000"/>
          <w:sz w:val="24"/>
        </w:rPr>
        <w:t>of</w:t>
      </w:r>
      <w:r>
        <w:rPr>
          <w:color w:val="000000"/>
        </w:rPr>
        <w:t xml:space="preserve"> </w:t>
      </w:r>
      <w:r>
        <w:rPr>
          <w:rFonts w:ascii="sans-serif" w:hAnsi="sans-serif"/>
          <w:b w:val="false"/>
          <w:color w:val="000000"/>
          <w:sz w:val="24"/>
        </w:rPr>
        <w:t>conflicts</w:t>
      </w:r>
      <w:r>
        <w:rPr>
          <w:color w:val="000000"/>
        </w:rPr>
        <w:t xml:space="preserve"> </w:t>
      </w:r>
      <w:r>
        <w:rPr>
          <w:rFonts w:ascii="sans-serif" w:hAnsi="sans-serif"/>
          <w:b w:val="false"/>
          <w:color w:val="000000"/>
          <w:sz w:val="24"/>
        </w:rPr>
        <w:t>of</w:t>
      </w:r>
      <w:r>
        <w:rPr>
          <w:color w:val="000000"/>
        </w:rPr>
        <w:t xml:space="preserve"> </w:t>
      </w:r>
      <w:r>
        <w:rPr>
          <w:rFonts w:ascii="sans-serif" w:hAnsi="sans-serif"/>
          <w:b w:val="false"/>
          <w:color w:val="000000"/>
          <w:sz w:val="24"/>
        </w:rPr>
        <w:t>law).</w:t>
      </w:r>
    </w:p>
    <w:p>
      <w:pPr>
        <w:pStyle w:val="TextBody"/>
        <w:bidi w:val="0"/>
        <w:spacing w:lineRule="auto" w:line="211" w:before="0" w:after="0"/>
        <w:jc w:val="right"/>
        <w:rPr>
          <w:rFonts w:ascii="sans-serif" w:hAnsi="sans-serif"/>
          <w:b/>
          <w:color w:val="000000"/>
          <w:sz w:val="16"/>
        </w:rPr>
      </w:pPr>
      <w:r>
        <w:rPr>
          <w:rFonts w:ascii="sans-serif" w:hAnsi="sans-serif"/>
          <w:b/>
          <w:color w:val="000000"/>
          <w:sz w:val="16"/>
        </w:rPr>
        <w:t>Employment Agreement between Lucid Switzerland AG and Silvio Napoli</w:t>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582930"/>
                <wp:effectExtent l="0" t="0" r="0" b="0"/>
                <wp:wrapNone/>
                <wp:docPr id="144" name="Frame144"/>
                <a:graphic xmlns:a="http://schemas.openxmlformats.org/drawingml/2006/main">
                  <a:graphicData uri="http://schemas.microsoft.com/office/word/2010/wordprocessingShape">
                    <wps:wsp>
                      <wps:cNvSpPr txBox="1"/>
                      <wps:spPr>
                        <a:xfrm>
                          <a:off x="0" y="0"/>
                          <a:ext cx="6480175" cy="58293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sans-serif" w:hAnsi="sans-serif"/>
                                <w:b w:val="false"/>
                                <w:color w:val="000000"/>
                                <w:sz w:val="22"/>
                              </w:rPr>
                            </w:pPr>
                            <w:r>
                              <w:rPr>
                                <w:rFonts w:ascii="sans-serif" w:hAnsi="sans-serif"/>
                                <w:b w:val="false"/>
                                <w:color w:val="000000"/>
                                <w:sz w:val="22"/>
                              </w:rPr>
                              <w:t xml:space="preserve">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9pt;mso-wrap-distance-left:0pt;mso-wrap-distance-right:0pt;mso-wrap-distance-top:0pt;mso-wrap-distance-bottom:0pt;margin-top:0pt;mso-position-vertical:top;mso-position-vertical-relative:text;margin-left:-154.2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sans-serif" w:hAnsi="sans-serif"/>
                          <w:b w:val="false"/>
                          <w:color w:val="000000"/>
                          <w:sz w:val="22"/>
                        </w:rPr>
                      </w:pPr>
                      <w:r>
                        <w:rPr>
                          <w:rFonts w:ascii="sans-serif" w:hAnsi="sans-serif"/>
                          <w:b w:val="false"/>
                          <w:color w:val="000000"/>
                          <w:sz w:val="22"/>
                        </w:rPr>
                        <w:t xml:space="preserve">13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41" w:after="283"/>
        <w:jc w:val="left"/>
        <w:rPr/>
      </w:pPr>
      <w:r>
        <w:rPr>
          <w:rFonts w:ascii="sans-serif" w:hAnsi="sans-serif"/>
          <w:b w:val="false"/>
          <w:color w:val="000000"/>
          <w:sz w:val="22"/>
        </w:rPr>
        <w:t>In the event of any conflict between this Employment Agreement and applicable mandatory</w:t>
      </w:r>
      <w:r>
        <w:rPr>
          <w:color w:val="000000"/>
        </w:rPr>
        <w:t xml:space="preserve"> </w:t>
      </w:r>
      <w:r>
        <w:rPr>
          <w:rFonts w:ascii="sans-serif" w:hAnsi="sans-serif"/>
          <w:b w:val="false"/>
          <w:color w:val="000000"/>
          <w:sz w:val="22"/>
        </w:rPr>
        <w:t>Swiss</w:t>
      </w:r>
      <w:r>
        <w:rPr>
          <w:color w:val="000000"/>
        </w:rPr>
        <w:t xml:space="preserve"> </w:t>
      </w:r>
      <w:r>
        <w:rPr>
          <w:rFonts w:ascii="sans-serif" w:hAnsi="sans-serif"/>
          <w:b w:val="false"/>
          <w:color w:val="000000"/>
          <w:sz w:val="22"/>
        </w:rPr>
        <w:t>law,</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Company</w:t>
      </w:r>
      <w:r>
        <w:rPr>
          <w:color w:val="000000"/>
        </w:rPr>
        <w:t xml:space="preserve"> </w:t>
      </w:r>
      <w:r>
        <w:rPr>
          <w:rFonts w:ascii="sans-serif" w:hAnsi="sans-serif"/>
          <w:b w:val="false"/>
          <w:color w:val="000000"/>
          <w:sz w:val="22"/>
        </w:rPr>
        <w:t>shall</w:t>
      </w:r>
      <w:r>
        <w:rPr>
          <w:color w:val="000000"/>
        </w:rPr>
        <w:t xml:space="preserve"> </w:t>
      </w:r>
      <w:r>
        <w:rPr>
          <w:rFonts w:ascii="sans-serif" w:hAnsi="sans-serif"/>
          <w:b w:val="false"/>
          <w:color w:val="000000"/>
          <w:sz w:val="22"/>
        </w:rPr>
        <w:t>have</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right</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unilaterally</w:t>
      </w:r>
      <w:r>
        <w:rPr>
          <w:color w:val="000000"/>
        </w:rPr>
        <w:t xml:space="preserve"> </w:t>
      </w:r>
      <w:r>
        <w:rPr>
          <w:rFonts w:ascii="sans-serif" w:hAnsi="sans-serif"/>
          <w:b w:val="false"/>
          <w:color w:val="000000"/>
          <w:sz w:val="22"/>
        </w:rPr>
        <w:t>modify</w:t>
      </w:r>
      <w:r>
        <w:rPr>
          <w:color w:val="000000"/>
        </w:rPr>
        <w:t xml:space="preserve"> </w:t>
      </w:r>
      <w:r>
        <w:rPr>
          <w:rFonts w:ascii="sans-serif" w:hAnsi="sans-serif"/>
          <w:b w:val="false"/>
          <w:color w:val="000000"/>
          <w:sz w:val="22"/>
        </w:rPr>
        <w:t>this Employment Agreement to the extent necessary to comply with Swiss law.</w:t>
      </w:r>
    </w:p>
    <w:p>
      <w:pPr>
        <w:pStyle w:val="TextBody"/>
        <w:bidi w:val="0"/>
        <w:spacing w:before="0" w:after="0"/>
        <w:jc w:val="left"/>
        <w:rPr/>
      </w:pPr>
      <w:r>
        <w:rPr/>
      </w:r>
    </w:p>
    <w:p>
      <w:pPr>
        <w:pStyle w:val="TextBody"/>
        <w:bidi w:val="0"/>
        <w:spacing w:before="0" w:after="0"/>
        <w:jc w:val="left"/>
        <w:rPr/>
      </w:pPr>
      <w:r>
        <w:rPr/>
      </w:r>
    </w:p>
    <w:tbl>
      <w:tblPr>
        <w:tblW w:w="7895" w:type="dxa"/>
        <w:jc w:val="left"/>
        <w:tblInd w:w="0" w:type="dxa"/>
        <w:tblLayout w:type="fixed"/>
        <w:tblCellMar>
          <w:top w:w="28" w:type="dxa"/>
          <w:left w:w="28" w:type="dxa"/>
          <w:bottom w:w="28" w:type="dxa"/>
          <w:right w:w="28" w:type="dxa"/>
        </w:tblCellMar>
      </w:tblPr>
      <w:tblGrid>
        <w:gridCol w:w="581"/>
        <w:gridCol w:w="511"/>
        <w:gridCol w:w="512"/>
        <w:gridCol w:w="109"/>
        <w:gridCol w:w="109"/>
        <w:gridCol w:w="109"/>
        <w:gridCol w:w="109"/>
        <w:gridCol w:w="109"/>
        <w:gridCol w:w="109"/>
        <w:gridCol w:w="1658"/>
        <w:gridCol w:w="1658"/>
        <w:gridCol w:w="1662"/>
        <w:gridCol w:w="193"/>
        <w:gridCol w:w="193"/>
        <w:gridCol w:w="273"/>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Lucid Switzerland AG</w:t>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April 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/s/Turqi Alnowaiser</w:t>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Name: Turqi Alnowaiser</w:t>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Title: Chairman of the Board of Lucid Group, Inc.</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4460" w:type="dxa"/>
        <w:jc w:val="left"/>
        <w:tblInd w:w="0" w:type="dxa"/>
        <w:tblLayout w:type="fixed"/>
        <w:tblCellMar>
          <w:top w:w="28" w:type="dxa"/>
          <w:left w:w="28" w:type="dxa"/>
          <w:bottom w:w="28" w:type="dxa"/>
          <w:right w:w="28" w:type="dxa"/>
        </w:tblCellMar>
      </w:tblPr>
      <w:tblGrid>
        <w:gridCol w:w="581"/>
        <w:gridCol w:w="511"/>
        <w:gridCol w:w="513"/>
        <w:gridCol w:w="109"/>
        <w:gridCol w:w="109"/>
        <w:gridCol w:w="109"/>
        <w:gridCol w:w="109"/>
        <w:gridCol w:w="109"/>
        <w:gridCol w:w="109"/>
        <w:gridCol w:w="609"/>
        <w:gridCol w:w="609"/>
        <w:gridCol w:w="611"/>
        <w:gridCol w:w="109"/>
        <w:gridCol w:w="109"/>
        <w:gridCol w:w="154"/>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Executive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April 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/s/ Silvio Napoli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Silvio Napoli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8"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582930"/>
                <wp:effectExtent l="0" t="0" r="0" b="0"/>
                <wp:wrapNone/>
                <wp:docPr id="145" name="Frame145"/>
                <a:graphic xmlns:a="http://schemas.openxmlformats.org/drawingml/2006/main">
                  <a:graphicData uri="http://schemas.microsoft.com/office/word/2010/wordprocessingShape">
                    <wps:wsp>
                      <wps:cNvSpPr txBox="1"/>
                      <wps:spPr>
                        <a:xfrm>
                          <a:off x="0" y="0"/>
                          <a:ext cx="6480175" cy="58293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sans-serif" w:hAnsi="sans-serif"/>
                                <w:b w:val="false"/>
                                <w:color w:val="000000"/>
                                <w:sz w:val="22"/>
                              </w:rPr>
                            </w:pPr>
                            <w:r>
                              <w:rPr>
                                <w:rFonts w:ascii="sans-serif" w:hAnsi="sans-serif"/>
                                <w:b w:val="false"/>
                                <w:color w:val="000000"/>
                                <w:sz w:val="22"/>
                              </w:rPr>
                              <w:t xml:space="preserve">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sans-serif" w:hAnsi="sans-serif"/>
                          <w:b w:val="false"/>
                          <w:color w:val="000000"/>
                          <w:sz w:val="22"/>
                        </w:rPr>
                      </w:pPr>
                      <w:r>
                        <w:rPr>
                          <w:rFonts w:ascii="sans-serif" w:hAnsi="sans-serif"/>
                          <w:b w:val="false"/>
                          <w:color w:val="000000"/>
                          <w:sz w:val="22"/>
                        </w:rPr>
                        <w:t xml:space="preserve">14 </w:t>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240" w:after="283"/>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Silvio Napoli, certify that: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Lucid Group, Inc.;</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645"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722"/>
        <w:gridCol w:w="722"/>
        <w:gridCol w:w="103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Silvio Napoli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Silvio Napoli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24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Taoufiq Boussaid, certify that: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Lucid Group, Inc.;</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586"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707"/>
        <w:gridCol w:w="707"/>
        <w:gridCol w:w="100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Taoufiq Boussaid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Taoufiq Boussaid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 (FURNISHED HEREWITH)</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 Silvio Napoli, Chief Executive Officer of Lucid Group, Inc. (the “Company”), certify, as of the date hereof and solely for purposes of and pursuant to 18 U.S.C. Section 1350 as adopted pursuant to Section 906 of the Sarbanes-Oxley Act of 2002, that, to my knowledge: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a.The Quarterly Report on Form 10-Q of the Company for the fiscal quarter ended June 30, 2026 (the “Report”) fully complies with the requirements of Section 13(a) or 15(d), as applicable, of the Securities Exchange Act of 1934;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b.The information contained in the Report fairly presents, in all material respects, the financial condition and results of operations of the Company at the dates and for the periods indicated.</w:t>
      </w:r>
    </w:p>
    <w:p>
      <w:pPr>
        <w:pStyle w:val="TextBody"/>
        <w:bidi w:val="0"/>
        <w:spacing w:before="240" w:after="283"/>
        <w:ind w:left="0" w:right="0" w:firstLine="540"/>
        <w:jc w:val="both"/>
        <w:rPr/>
      </w:pPr>
      <w:r>
        <w:rPr/>
      </w:r>
    </w:p>
    <w:tbl>
      <w:tblPr>
        <w:tblW w:w="4645"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722"/>
        <w:gridCol w:w="722"/>
        <w:gridCol w:w="103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Silvio Napoli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Silvio Napoli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 (FURNISHED HEREWITH)</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 Taoufiq Boussaid, Chief Financial Officer of Lucid Group, Inc. (the “Company”), certify, as of the date hereof and solely for purposes of and pursuant to 18 U.S.C. Section 1350 as adopted pursuant to Section 906 of the Sarbanes-Oxley Act of 2002, that, to my knowledge: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a.The Quarterly Report on Form 10-Q of the Company for the fiscal quarter ended June 30, 2026 (the “Report”) fully complies with the requirements of Section 13(a) or 15(d), as applicable, of the Securities Exchange Act of 1934;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b.The information contained in the Report fairly presents, in all material respects, the financial condition and results of operations of the Company at the dates and for the periods indicated.</w:t>
      </w:r>
    </w:p>
    <w:p>
      <w:pPr>
        <w:pStyle w:val="TextBody"/>
        <w:bidi w:val="0"/>
        <w:spacing w:before="240" w:after="283"/>
        <w:ind w:left="0" w:right="0" w:firstLine="540"/>
        <w:jc w:val="both"/>
        <w:rPr/>
      </w:pPr>
      <w:r>
        <w:rPr/>
      </w:r>
    </w:p>
    <w:tbl>
      <w:tblPr>
        <w:tblW w:w="4586"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707"/>
        <w:gridCol w:w="707"/>
        <w:gridCol w:w="100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Taoufiq Boussaid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Taoufiq Boussaid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 w:name="Courier New">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1210/000110465926051606/tm2611666d6_ex3-1.htm" TargetMode="External"/><Relationship Id="rId3" Type="http://schemas.openxmlformats.org/officeDocument/2006/relationships/hyperlink" Target="https://www.sec.gov/Archives/edgar/data/1811210/000110465926042847/tm2611666d2_ex10-1.htm" TargetMode="External"/><Relationship Id="rId4" Type="http://schemas.openxmlformats.org/officeDocument/2006/relationships/hyperlink" Target="https://www.sec.gov/Archives/edgar/data/1811210/000110465926042847/tm2611666d2_ex10-2.htm" TargetMode="External"/><Relationship Id="rId5" Type="http://schemas.openxmlformats.org/officeDocument/2006/relationships/hyperlink" Target="https://www.sec.gov/Archives/edgar/data/1811210/000110465926042847/tm2611666d2_ex10-3.htm" TargetMode="External"/><Relationship Id="rId6" Type="http://schemas.openxmlformats.org/officeDocument/2006/relationships/hyperlink" Target="https://www.sec.gov/Archives/edgar/data/1811210/000110465926042847/tm2611666d2_ex10-4.htm" TargetMode="External"/><Relationship Id="rId7" Type="http://schemas.openxmlformats.org/officeDocument/2006/relationships/hyperlink" Target="https://www.sec.gov/Archives/edgar/data/1811210/000110465926042873/tm2611666d3_ex1-1.htm" TargetMode="External"/><Relationship Id="rId8" Type="http://schemas.openxmlformats.org/officeDocument/2006/relationships/hyperlink" Target="https://www.sec.gov/Archives/edgar/data/1811210/000110465926051606/tm2611666d6_ex10-1.htm" TargetMode="External"/><Relationship Id="rId9" Type="http://schemas.openxmlformats.org/officeDocument/2006/relationships/hyperlink" Target="https://www.sec.gov/ix?doc=/Archives/edgar/data/0001811210/000162828026026842/lcid-20260423.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37</Pages>
  <Words>100835</Words>
  <Characters>563101</Characters>
  <CharactersWithSpaces>661413</CharactersWithSpaces>
  <Paragraphs>4578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