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Boussaid Taoufiq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LUCID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7373 GATEWAY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Lucid Group,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LCID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179,890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1,156,338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that have been withheld by the Issuer to satisfy tax withholding and remittance obligations in connection with the settlement of time-based vesting of restricted stock units ("RSUs"). The acquisition of such RSUs has previously been reported on Forms 4 filed by the reporting person on January 31, 2025.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Wang, as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Taoufiq Boussaid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3685" TargetMode="External"/><Relationship Id="rId14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2025-03-06T16:39:42Z</dcterms:created>
  <dcterms:modified xsi:type="dcterms:W3CDTF">2025-03-06T16:39:42Z</dcterms:modified>
</cp:coreProperties>
</file>