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23,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communications were made available by Lucid Motors on Twitter, Facebook and LinkedIn and Instagram:</w:t>
      </w:r>
    </w:p>
    <w:p>
      <w:pPr>
        <w:spacing w:after="0" w:line="200" w:lineRule="exact"/>
        <w:rPr>
          <w:sz w:val="24"/>
          <w:szCs w:val="24"/>
          <w:color w:val="auto"/>
        </w:rPr>
      </w:pPr>
    </w:p>
    <w:p>
      <w:pPr>
        <w:spacing w:after="0" w:line="237"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“We have shown that we can execute.” Following yesterday’s announcement, CEO Peter Rawlinson joined @SquawkStreet to discuss the deal.</w:t>
      </w:r>
      <w:r>
        <w:rPr>
          <w:rFonts w:ascii="Arial" w:cs="Arial" w:eastAsia="Arial" w:hAnsi="Arial"/>
          <w:sz w:val="18"/>
          <w:szCs w:val="18"/>
          <w:b w:val="1"/>
          <w:bCs w:val="1"/>
          <w:color w:val="auto"/>
        </w:rPr>
        <w:t xml:space="preserve"> </w:t>
      </w:r>
      <w:r>
        <w:rPr>
          <w:rFonts w:ascii="Arial" w:cs="Arial" w:eastAsia="Arial" w:hAnsi="Arial"/>
          <w:sz w:val="18"/>
          <w:szCs w:val="18"/>
          <w:color w:val="auto"/>
        </w:rPr>
        <w:t>Watch his interview. [https://cnb.cx/3aJwHNU]</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more information and related disclaimers: [https://bit.ly/2NOahlt]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783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“We have shown that we can execute.” Following yesterday’s announcement, CEO Peter Rawlinson joined Squaw on the Street to discuss the</w:t>
      </w:r>
      <w:r>
        <w:rPr>
          <w:rFonts w:ascii="Arial" w:cs="Arial" w:eastAsia="Arial" w:hAnsi="Arial"/>
          <w:sz w:val="18"/>
          <w:szCs w:val="18"/>
          <w:b w:val="1"/>
          <w:bCs w:val="1"/>
          <w:color w:val="auto"/>
        </w:rPr>
        <w:t xml:space="preserve"> </w:t>
      </w:r>
      <w:r>
        <w:rPr>
          <w:rFonts w:ascii="Arial" w:cs="Arial" w:eastAsia="Arial" w:hAnsi="Arial"/>
          <w:sz w:val="18"/>
          <w:szCs w:val="18"/>
          <w:color w:val="auto"/>
        </w:rPr>
        <w:t>deal. Watch his interview. [https://cnb.cx/3aJwHNU]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and related disclaimers: [https://bit.ly/2NOahlt]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151765</wp:posOffset>
            </wp:positionV>
            <wp:extent cx="297434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 w:name="page3"/>
    <w:bookmarkEnd w:id="2"/>
    <w:p>
      <w:pPr>
        <w:spacing w:after="0" w:line="282" w:lineRule="auto"/>
        <w:rPr>
          <w:sz w:val="20"/>
          <w:szCs w:val="20"/>
          <w:color w:val="auto"/>
        </w:rPr>
      </w:pPr>
      <w:r>
        <w:rPr>
          <w:rFonts w:ascii="Arial" w:cs="Arial" w:eastAsia="Arial" w:hAnsi="Arial"/>
          <w:sz w:val="18"/>
          <w:szCs w:val="18"/>
          <w:b w:val="1"/>
          <w:bCs w:val="1"/>
          <w:color w:val="auto"/>
        </w:rPr>
        <w:t xml:space="preserve">LinkedIn: </w:t>
      </w:r>
      <w:r>
        <w:rPr>
          <w:rFonts w:ascii="Arial" w:cs="Arial" w:eastAsia="Arial" w:hAnsi="Arial"/>
          <w:sz w:val="18"/>
          <w:szCs w:val="18"/>
          <w:color w:val="auto"/>
        </w:rPr>
        <w:t>“We have shown that we can execute.” Following yesterday’s announcement, CEO Peter Rawlinson joined Squawk on the Street to discuss the</w:t>
      </w:r>
      <w:r>
        <w:rPr>
          <w:rFonts w:ascii="Arial" w:cs="Arial" w:eastAsia="Arial" w:hAnsi="Arial"/>
          <w:sz w:val="18"/>
          <w:szCs w:val="18"/>
          <w:b w:val="1"/>
          <w:bCs w:val="1"/>
          <w:color w:val="auto"/>
        </w:rPr>
        <w:t xml:space="preserve"> </w:t>
      </w:r>
      <w:r>
        <w:rPr>
          <w:rFonts w:ascii="Arial" w:cs="Arial" w:eastAsia="Arial" w:hAnsi="Arial"/>
          <w:sz w:val="18"/>
          <w:szCs w:val="18"/>
          <w:color w:val="auto"/>
        </w:rPr>
        <w:t>deal. Watch his interview. [https://cnb.cx/3aJwHNU]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and related disclaimers: [https://bit.ly/2NOahlt]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151765</wp:posOffset>
            </wp:positionV>
            <wp:extent cx="3677285" cy="442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77285" cy="442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information with respect to the combined company, namely revenue, cost of goods sold, gross profit, capital expenditures, EBIT, EBITDA and Free Cash Flow for 2021–2026. Such projected financial information constitutes forward-looking information, and is for illustrative purposes only and should not be relied upon as necessarily being indicative of future results.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Market and Vehicle Data</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8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2021-02-23T15:46:14Z</dcterms:created>
  <dcterms:modified xsi:type="dcterms:W3CDTF">2021-02-23T15:46:14Z</dcterms:modified>
</cp:coreProperties>
</file>