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2840" w:type="dxa"/>
        <w:tblCellMar>
          <w:top w:w="0" w:type="dxa"/>
          <w:left w:w="0" w:type="dxa"/>
          <w:bottom w:w="0" w:type="dxa"/>
          <w:right w:w="0" w:type="dxa"/>
        </w:tblCellMar>
      </w:tblPr>
      <w:tr>
        <w:trPr>
          <w:trHeight w:val="198"/>
        </w:trPr>
        <w:tc>
          <w:tcPr>
            <w:tcW w:w="700" w:type="dxa"/>
            <w:vAlign w:val="bottom"/>
          </w:tcPr>
          <w:p>
            <w:pPr>
              <w:spacing w:after="0"/>
              <w:rPr>
                <w:sz w:val="17"/>
                <w:szCs w:val="17"/>
                <w:color w:val="auto"/>
              </w:rPr>
            </w:pPr>
          </w:p>
        </w:tc>
        <w:tc>
          <w:tcPr>
            <w:tcW w:w="5340" w:type="dxa"/>
            <w:vAlign w:val="bottom"/>
            <w:tcBorders>
              <w:right w:val="single" w:sz="8" w:color="auto"/>
            </w:tcBorders>
          </w:tcPr>
          <w:p>
            <w:pPr>
              <w:jc w:val="center"/>
              <w:ind w:right="1970"/>
              <w:spacing w:after="0" w:line="198" w:lineRule="exact"/>
              <w:rPr>
                <w:sz w:val="20"/>
                <w:szCs w:val="20"/>
                <w:color w:val="auto"/>
              </w:rPr>
            </w:pPr>
            <w:r>
              <w:rPr>
                <w:rFonts w:ascii="Arial" w:cs="Arial" w:eastAsia="Arial" w:hAnsi="Arial"/>
                <w:sz w:val="18"/>
                <w:szCs w:val="18"/>
                <w:b w:val="1"/>
                <w:bCs w:val="1"/>
                <w:color w:val="auto"/>
                <w:w w:val="97"/>
              </w:rPr>
              <w:t>UNITED STATES</w:t>
            </w:r>
          </w:p>
        </w:tc>
        <w:tc>
          <w:tcPr>
            <w:tcW w:w="340" w:type="dxa"/>
            <w:vAlign w:val="bottom"/>
            <w:tcBorders>
              <w:top w:val="single" w:sz="8" w:color="auto"/>
            </w:tcBorders>
          </w:tcPr>
          <w:p>
            <w:pPr>
              <w:spacing w:after="0"/>
              <w:rPr>
                <w:sz w:val="17"/>
                <w:szCs w:val="17"/>
                <w:color w:val="auto"/>
              </w:rPr>
            </w:pPr>
          </w:p>
        </w:tc>
        <w:tc>
          <w:tcPr>
            <w:tcW w:w="2020" w:type="dxa"/>
            <w:vAlign w:val="bottom"/>
            <w:tcBorders>
              <w:top w:val="single" w:sz="8" w:color="auto"/>
              <w:right w:val="single" w:sz="8" w:color="auto"/>
            </w:tcBorders>
          </w:tcPr>
          <w:p>
            <w:pPr>
              <w:jc w:val="right"/>
              <w:ind w:right="410"/>
              <w:spacing w:after="0" w:line="198"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32"/>
        </w:trPr>
        <w:tc>
          <w:tcPr>
            <w:tcW w:w="6040" w:type="dxa"/>
            <w:vAlign w:val="bottom"/>
            <w:tcBorders>
              <w:right w:val="single" w:sz="8" w:color="auto"/>
            </w:tcBorders>
            <w:gridSpan w:val="2"/>
            <w:vMerge w:val="restart"/>
          </w:tcPr>
          <w:p>
            <w:pPr>
              <w:jc w:val="center"/>
              <w:ind w:right="1270"/>
              <w:spacing w:after="0"/>
              <w:rPr>
                <w:sz w:val="20"/>
                <w:szCs w:val="20"/>
                <w:color w:val="auto"/>
              </w:rPr>
            </w:pPr>
            <w:r>
              <w:rPr>
                <w:rFonts w:ascii="Arial" w:cs="Arial" w:eastAsia="Arial" w:hAnsi="Arial"/>
                <w:sz w:val="18"/>
                <w:szCs w:val="18"/>
                <w:b w:val="1"/>
                <w:bCs w:val="1"/>
                <w:color w:val="auto"/>
              </w:rPr>
              <w:t>SECURITIES AND EXCHANGE COMMISSION</w:t>
            </w:r>
          </w:p>
        </w:tc>
        <w:tc>
          <w:tcPr>
            <w:tcW w:w="340" w:type="dxa"/>
            <w:vAlign w:val="bottom"/>
            <w:tcBorders>
              <w:bottom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6040" w:type="dxa"/>
            <w:vAlign w:val="bottom"/>
            <w:tcBorders>
              <w:right w:val="single" w:sz="8" w:color="auto"/>
            </w:tcBorders>
            <w:gridSpan w:val="2"/>
            <w:vMerge w:val="continue"/>
          </w:tcPr>
          <w:p>
            <w:pPr>
              <w:spacing w:after="0"/>
              <w:rPr>
                <w:sz w:val="14"/>
                <w:szCs w:val="14"/>
                <w:color w:val="auto"/>
              </w:rPr>
            </w:pPr>
          </w:p>
        </w:tc>
        <w:tc>
          <w:tcPr>
            <w:tcW w:w="2360" w:type="dxa"/>
            <w:vAlign w:val="bottom"/>
            <w:tcBorders>
              <w:right w:val="single" w:sz="8" w:color="auto"/>
            </w:tcBorders>
            <w:gridSpan w:val="2"/>
          </w:tcPr>
          <w:p>
            <w:pPr>
              <w:ind w:left="20"/>
              <w:spacing w:after="0" w:line="164" w:lineRule="exact"/>
              <w:rPr>
                <w:sz w:val="20"/>
                <w:szCs w:val="20"/>
                <w:color w:val="auto"/>
              </w:rPr>
            </w:pPr>
            <w:r>
              <w:rPr>
                <w:rFonts w:ascii="Arial" w:cs="Arial" w:eastAsia="Arial" w:hAnsi="Arial"/>
                <w:sz w:val="18"/>
                <w:szCs w:val="18"/>
                <w:color w:val="auto"/>
              </w:rPr>
              <w:t>OMB Number:   3235-0080</w:t>
            </w:r>
          </w:p>
        </w:tc>
        <w:tc>
          <w:tcPr>
            <w:tcW w:w="0" w:type="dxa"/>
            <w:vAlign w:val="bottom"/>
          </w:tcPr>
          <w:p>
            <w:pPr>
              <w:spacing w:after="0"/>
              <w:rPr>
                <w:sz w:val="1"/>
                <w:szCs w:val="1"/>
                <w:color w:val="auto"/>
              </w:rPr>
            </w:pPr>
          </w:p>
        </w:tc>
      </w:tr>
      <w:tr>
        <w:trPr>
          <w:trHeight w:val="247"/>
        </w:trPr>
        <w:tc>
          <w:tcPr>
            <w:tcW w:w="700" w:type="dxa"/>
            <w:vAlign w:val="bottom"/>
          </w:tcPr>
          <w:p>
            <w:pPr>
              <w:spacing w:after="0"/>
              <w:rPr>
                <w:sz w:val="21"/>
                <w:szCs w:val="21"/>
                <w:color w:val="auto"/>
              </w:rPr>
            </w:pPr>
          </w:p>
        </w:tc>
        <w:tc>
          <w:tcPr>
            <w:tcW w:w="5340" w:type="dxa"/>
            <w:vAlign w:val="bottom"/>
            <w:tcBorders>
              <w:right w:val="single" w:sz="8" w:color="auto"/>
            </w:tcBorders>
          </w:tcPr>
          <w:p>
            <w:pPr>
              <w:jc w:val="center"/>
              <w:ind w:right="1990"/>
              <w:spacing w:after="0"/>
              <w:rPr>
                <w:sz w:val="20"/>
                <w:szCs w:val="20"/>
                <w:color w:val="auto"/>
              </w:rPr>
            </w:pPr>
            <w:r>
              <w:rPr>
                <w:rFonts w:ascii="Arial" w:cs="Arial" w:eastAsia="Arial" w:hAnsi="Arial"/>
                <w:sz w:val="18"/>
                <w:szCs w:val="18"/>
                <w:b w:val="1"/>
                <w:bCs w:val="1"/>
                <w:color w:val="auto"/>
                <w:w w:val="90"/>
              </w:rPr>
              <w:t>Washington, D. C. 20549</w:t>
            </w:r>
          </w:p>
        </w:tc>
        <w:tc>
          <w:tcPr>
            <w:tcW w:w="23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Expires:</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5340" w:type="dxa"/>
            <w:vAlign w:val="bottom"/>
            <w:tcBorders>
              <w:right w:val="single" w:sz="8" w:color="auto"/>
            </w:tcBorders>
            <w:vMerge w:val="restart"/>
          </w:tcPr>
          <w:p>
            <w:pPr>
              <w:jc w:val="center"/>
              <w:ind w:right="1910"/>
              <w:spacing w:after="0"/>
              <w:rPr>
                <w:sz w:val="20"/>
                <w:szCs w:val="20"/>
                <w:color w:val="auto"/>
              </w:rPr>
            </w:pPr>
            <w:r>
              <w:rPr>
                <w:rFonts w:ascii="Arial" w:cs="Arial" w:eastAsia="Arial" w:hAnsi="Arial"/>
                <w:sz w:val="18"/>
                <w:szCs w:val="18"/>
                <w:b w:val="1"/>
                <w:bCs w:val="1"/>
                <w:color w:val="auto"/>
                <w:w w:val="99"/>
              </w:rPr>
              <w:t>FORM 25</w:t>
            </w:r>
          </w:p>
        </w:tc>
        <w:tc>
          <w:tcPr>
            <w:tcW w:w="236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Estimated average burden</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5340" w:type="dxa"/>
            <w:vAlign w:val="bottom"/>
            <w:tcBorders>
              <w:right w:val="single" w:sz="8" w:color="auto"/>
            </w:tcBorders>
            <w:vMerge w:val="continue"/>
          </w:tcPr>
          <w:p>
            <w:pPr>
              <w:spacing w:after="0"/>
              <w:rPr>
                <w:sz w:val="20"/>
                <w:szCs w:val="20"/>
                <w:color w:val="auto"/>
              </w:rPr>
            </w:pPr>
          </w:p>
        </w:tc>
        <w:tc>
          <w:tcPr>
            <w:tcW w:w="2360" w:type="dxa"/>
            <w:vAlign w:val="bottom"/>
            <w:tcBorders>
              <w:bottom w:val="single" w:sz="8" w:color="auto"/>
              <w:right w:val="single" w:sz="8" w:color="auto"/>
            </w:tcBorders>
            <w:gridSpan w:val="2"/>
          </w:tcPr>
          <w:p>
            <w:pPr>
              <w:ind w:left="20"/>
              <w:spacing w:after="0"/>
              <w:rPr>
                <w:sz w:val="20"/>
                <w:szCs w:val="20"/>
                <w:color w:val="auto"/>
              </w:rPr>
            </w:pPr>
            <w:r>
              <w:rPr>
                <w:rFonts w:ascii="Arial" w:cs="Arial" w:eastAsia="Arial" w:hAnsi="Arial"/>
                <w:sz w:val="18"/>
                <w:szCs w:val="18"/>
                <w:color w:val="auto"/>
                <w:w w:val="88"/>
              </w:rPr>
              <w:t>hours per response ............ 1.00</w:t>
            </w:r>
          </w:p>
        </w:tc>
        <w:tc>
          <w:tcPr>
            <w:tcW w:w="0" w:type="dxa"/>
            <w:vAlign w:val="bottom"/>
          </w:tcPr>
          <w:p>
            <w:pPr>
              <w:spacing w:after="0"/>
              <w:rPr>
                <w:sz w:val="1"/>
                <w:szCs w:val="1"/>
                <w:color w:val="auto"/>
              </w:rPr>
            </w:pPr>
          </w:p>
        </w:tc>
      </w:tr>
      <w:tr>
        <w:trPr>
          <w:trHeight w:val="178"/>
        </w:trPr>
        <w:tc>
          <w:tcPr>
            <w:tcW w:w="6040" w:type="dxa"/>
            <w:vAlign w:val="bottom"/>
            <w:gridSpan w:val="2"/>
          </w:tcPr>
          <w:p>
            <w:pPr>
              <w:jc w:val="center"/>
              <w:ind w:right="1210"/>
              <w:spacing w:after="0" w:line="177" w:lineRule="exact"/>
              <w:rPr>
                <w:sz w:val="20"/>
                <w:szCs w:val="20"/>
                <w:color w:val="auto"/>
              </w:rPr>
            </w:pPr>
            <w:r>
              <w:rPr>
                <w:rFonts w:ascii="Arial" w:cs="Arial" w:eastAsia="Arial" w:hAnsi="Arial"/>
                <w:sz w:val="18"/>
                <w:szCs w:val="18"/>
                <w:b w:val="1"/>
                <w:bCs w:val="1"/>
                <w:color w:val="auto"/>
              </w:rPr>
              <w:t>NOTIFICATION OF REMOVAL FROM LISTING AND/OR</w:t>
            </w:r>
          </w:p>
        </w:tc>
        <w:tc>
          <w:tcPr>
            <w:tcW w:w="34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040" w:type="dxa"/>
            <w:vAlign w:val="bottom"/>
            <w:gridSpan w:val="2"/>
          </w:tcPr>
          <w:p>
            <w:pPr>
              <w:jc w:val="center"/>
              <w:ind w:right="1210"/>
              <w:spacing w:after="0"/>
              <w:rPr>
                <w:sz w:val="20"/>
                <w:szCs w:val="20"/>
                <w:color w:val="auto"/>
              </w:rPr>
            </w:pPr>
            <w:r>
              <w:rPr>
                <w:rFonts w:ascii="Arial" w:cs="Arial" w:eastAsia="Arial" w:hAnsi="Arial"/>
                <w:sz w:val="18"/>
                <w:szCs w:val="18"/>
                <w:b w:val="1"/>
                <w:bCs w:val="1"/>
                <w:color w:val="auto"/>
              </w:rPr>
              <w:t>REGISTRATION UNDER SECTION 12(b) OF THE</w:t>
            </w:r>
          </w:p>
        </w:tc>
        <w:tc>
          <w:tcPr>
            <w:tcW w:w="3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p>
        </w:tc>
        <w:tc>
          <w:tcPr>
            <w:tcW w:w="5340" w:type="dxa"/>
            <w:vAlign w:val="bottom"/>
          </w:tcPr>
          <w:p>
            <w:pPr>
              <w:jc w:val="center"/>
              <w:ind w:right="1910"/>
              <w:spacing w:after="0"/>
              <w:rPr>
                <w:sz w:val="20"/>
                <w:szCs w:val="20"/>
                <w:color w:val="auto"/>
              </w:rPr>
            </w:pPr>
            <w:r>
              <w:rPr>
                <w:rFonts w:ascii="Arial" w:cs="Arial" w:eastAsia="Arial" w:hAnsi="Arial"/>
                <w:sz w:val="18"/>
                <w:szCs w:val="18"/>
                <w:b w:val="1"/>
                <w:bCs w:val="1"/>
                <w:color w:val="auto"/>
                <w:w w:val="99"/>
              </w:rPr>
              <w:t>SECURITIES EXCHANGE ACT OF 1934</w:t>
            </w:r>
          </w:p>
        </w:tc>
        <w:tc>
          <w:tcPr>
            <w:tcW w:w="3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340" w:type="dxa"/>
            <w:vAlign w:val="bottom"/>
          </w:tcPr>
          <w:p>
            <w:pPr>
              <w:ind w:left="3440"/>
              <w:spacing w:after="0"/>
              <w:rPr>
                <w:sz w:val="20"/>
                <w:szCs w:val="20"/>
                <w:color w:val="auto"/>
              </w:rPr>
            </w:pPr>
            <w:r>
              <w:rPr>
                <w:rFonts w:ascii="Arial" w:cs="Arial" w:eastAsia="Arial" w:hAnsi="Arial"/>
                <w:sz w:val="18"/>
                <w:szCs w:val="18"/>
                <w:color w:val="auto"/>
                <w:w w:val="92"/>
              </w:rPr>
              <w:t>Commission File Number</w:t>
            </w:r>
          </w:p>
        </w:tc>
        <w:tc>
          <w:tcPr>
            <w:tcW w:w="340" w:type="dxa"/>
            <w:vAlign w:val="bottom"/>
          </w:tcPr>
          <w:p>
            <w:pPr>
              <w:spacing w:after="0"/>
              <w:rPr>
                <w:sz w:val="24"/>
                <w:szCs w:val="24"/>
                <w:color w:val="auto"/>
              </w:rPr>
            </w:pPr>
          </w:p>
        </w:tc>
        <w:tc>
          <w:tcPr>
            <w:tcW w:w="20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001-39408</w:t>
            </w:r>
          </w:p>
        </w:tc>
        <w:tc>
          <w:tcPr>
            <w:tcW w:w="0" w:type="dxa"/>
            <w:vAlign w:val="bottom"/>
          </w:tcPr>
          <w:p>
            <w:pPr>
              <w:spacing w:after="0"/>
              <w:rPr>
                <w:sz w:val="1"/>
                <w:szCs w:val="1"/>
                <w:color w:val="auto"/>
              </w:rPr>
            </w:pPr>
          </w:p>
        </w:tc>
      </w:tr>
    </w:tbl>
    <w:p>
      <w:pPr>
        <w:spacing w:after="0" w:line="21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Issuer: Lucid Group, Inc. (f/k/a Churchill Capital Corp IV)</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Exchange: New York Stock Exchange LLC</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Issuer as specified in its charter, and name of Exchange where security is listed and/or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Address: 7373 Gateway Blvd, Newark, CA 94560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Telephone: (510) 648-3553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Issuer’s principal executive offices)</w:t>
      </w:r>
    </w:p>
    <w:p>
      <w:pPr>
        <w:spacing w:after="0" w:line="224"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Class A Common Stock, par value $0.0001</w:t>
      </w:r>
    </w:p>
    <w:p>
      <w:pPr>
        <w:spacing w:after="0" w:line="23" w:lineRule="exact"/>
        <w:rPr>
          <w:sz w:val="24"/>
          <w:szCs w:val="24"/>
          <w:color w:val="auto"/>
        </w:rPr>
      </w:pPr>
    </w:p>
    <w:p>
      <w:pPr>
        <w:jc w:val="center"/>
        <w:spacing w:after="0" w:line="255" w:lineRule="auto"/>
        <w:rPr>
          <w:sz w:val="20"/>
          <w:szCs w:val="20"/>
          <w:color w:val="auto"/>
        </w:rPr>
      </w:pPr>
      <w:r>
        <w:rPr>
          <w:rFonts w:ascii="Arial" w:cs="Arial" w:eastAsia="Arial" w:hAnsi="Arial"/>
          <w:sz w:val="18"/>
          <w:szCs w:val="18"/>
          <w:color w:val="auto"/>
        </w:rPr>
        <w:t>Warrants, each exercisable for one share of Class A Common Stock at an exercise price of $11.50 per share Units, consisting of one share of Class A Common Stock and one-fifth of one Warrant, whereby each whole Warrant entitles the holder thereof to purchase one share of Class A Common Stock at an exercise price of $11.50 per share of Class A Common Stock</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(Description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2" w:lineRule="exact"/>
        <w:rPr>
          <w:sz w:val="24"/>
          <w:szCs w:val="24"/>
          <w:color w:val="auto"/>
        </w:rPr>
      </w:pPr>
    </w:p>
    <w:p>
      <w:pPr>
        <w:spacing w:after="0"/>
        <w:rPr>
          <w:sz w:val="20"/>
          <w:szCs w:val="20"/>
          <w:color w:val="auto"/>
        </w:rPr>
      </w:pPr>
      <w:r>
        <w:rPr>
          <w:rFonts w:ascii="Arial" w:cs="Arial" w:eastAsia="Arial" w:hAnsi="Arial"/>
          <w:sz w:val="18"/>
          <w:szCs w:val="18"/>
          <w:color w:val="auto"/>
        </w:rPr>
        <w:t>Please place an X in the box to designate the rule provision relied upon to strike the class of securities from listing and registration:</w:t>
      </w:r>
    </w:p>
    <w:p>
      <w:pPr>
        <w:spacing w:after="0" w:line="225"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17 CFR 240.12d2-2(a)(1)</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17 CFR 240.12d2-2(a)(2)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17 CFR 240.12d2-2(a)(3)</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17 CFR 240.12d2-2(a)(4)</w:t>
      </w:r>
    </w:p>
    <w:p>
      <w:pPr>
        <w:spacing w:after="0" w:line="225" w:lineRule="exact"/>
        <w:rPr>
          <w:rFonts w:ascii="MS PGothic" w:cs="MS PGothic" w:eastAsia="MS PGothic" w:hAnsi="MS PGothic"/>
          <w:sz w:val="18"/>
          <w:szCs w:val="18"/>
          <w:color w:val="auto"/>
        </w:rPr>
      </w:pPr>
    </w:p>
    <w:p>
      <w:pPr>
        <w:ind w:right="60" w:firstLine="8"/>
        <w:spacing w:after="0" w:line="289" w:lineRule="auto"/>
        <w:tabs>
          <w:tab w:leader="none" w:pos="20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Pursuant to 17 CFR 240.12d2-2(b), the Exchange has complied with its rules to strike the class of securities from listing and/or withdraw registration on the Exchange</w:t>
      </w:r>
      <w:r>
        <w:rPr>
          <w:rFonts w:ascii="Arial" w:cs="Arial" w:eastAsia="Arial" w:hAnsi="Arial"/>
          <w:sz w:val="29"/>
          <w:szCs w:val="29"/>
          <w:color w:val="auto"/>
          <w:vertAlign w:val="superscript"/>
        </w:rPr>
        <w:t>1</w:t>
      </w:r>
    </w:p>
    <w:p>
      <w:pPr>
        <w:spacing w:after="0" w:line="38" w:lineRule="exact"/>
        <w:rPr>
          <w:sz w:val="24"/>
          <w:szCs w:val="24"/>
          <w:color w:val="auto"/>
        </w:rPr>
      </w:pPr>
    </w:p>
    <w:p>
      <w:pPr>
        <w:ind w:right="40" w:firstLine="8"/>
        <w:spacing w:after="0" w:line="277" w:lineRule="auto"/>
        <w:tabs>
          <w:tab w:leader="none" w:pos="207"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Pursuant to 17 CFR 240.12d2-2(c), the Issuer has complied with the rules of the Exchange and the requirements of 17 CFR 240.12d2-2(c) governing the voluntary withdrawal of the class of securities from listing and registration on the Exchange.</w:t>
      </w:r>
    </w:p>
    <w:p>
      <w:pPr>
        <w:spacing w:after="0" w:line="170" w:lineRule="exact"/>
        <w:rPr>
          <w:sz w:val="24"/>
          <w:szCs w:val="24"/>
          <w:color w:val="auto"/>
        </w:rPr>
      </w:pPr>
    </w:p>
    <w:p>
      <w:pPr>
        <w:ind w:right="200"/>
        <w:spacing w:after="0" w:line="263" w:lineRule="auto"/>
        <w:rPr>
          <w:sz w:val="20"/>
          <w:szCs w:val="20"/>
          <w:color w:val="auto"/>
        </w:rPr>
      </w:pPr>
      <w:r>
        <w:rPr>
          <w:rFonts w:ascii="Arial" w:cs="Arial" w:eastAsia="Arial" w:hAnsi="Arial"/>
          <w:sz w:val="18"/>
          <w:szCs w:val="18"/>
          <w:color w:val="auto"/>
        </w:rPr>
        <w:t>Pursuant to the requirements of the Securities Exchange Act of 1934, Lucid Group, Inc. (f/k/a Churchill Capital Corp IV) (Name of Issuer or Exchange) certifies that it has reasonable grounds to believe that it meets all of the requirements for filing the Form 25 and has caused this notification to be signed on its behalf by the undersigned duly authorized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3197225</wp:posOffset>
            </wp:positionH>
            <wp:positionV relativeFrom="paragraph">
              <wp:posOffset>-311150</wp:posOffset>
            </wp:positionV>
            <wp:extent cx="25571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57145" cy="8255"/>
                    </a:xfrm>
                    <a:prstGeom prst="rect">
                      <a:avLst/>
                    </a:prstGeom>
                    <a:noFill/>
                  </pic:spPr>
                </pic:pic>
              </a:graphicData>
            </a:graphic>
          </wp:anchor>
        </w:drawing>
      </w:r>
    </w:p>
    <w:p>
      <w:pPr>
        <w:spacing w:after="0" w:line="164" w:lineRule="exact"/>
        <w:rPr>
          <w:sz w:val="24"/>
          <w:szCs w:val="24"/>
          <w:color w:val="auto"/>
        </w:rPr>
      </w:pPr>
    </w:p>
    <w:tbl>
      <w:tblPr>
        <w:tblLayout w:type="fixed"/>
        <w:tblInd w:w="0" w:type="dxa"/>
        <w:tblCellMar>
          <w:top w:w="0" w:type="dxa"/>
          <w:left w:w="0" w:type="dxa"/>
          <w:bottom w:w="0" w:type="dxa"/>
          <w:right w:w="0" w:type="dxa"/>
        </w:tblCellMar>
      </w:tblPr>
      <w:tr>
        <w:trPr>
          <w:trHeight w:val="244"/>
        </w:trPr>
        <w:tc>
          <w:tcPr>
            <w:tcW w:w="3380" w:type="dxa"/>
            <w:vAlign w:val="bottom"/>
          </w:tcPr>
          <w:p>
            <w:pPr>
              <w:jc w:val="center"/>
              <w:spacing w:after="0"/>
              <w:rPr>
                <w:sz w:val="20"/>
                <w:szCs w:val="20"/>
                <w:color w:val="auto"/>
              </w:rPr>
            </w:pPr>
            <w:r>
              <w:rPr>
                <w:rFonts w:ascii="Arial" w:cs="Arial" w:eastAsia="Arial" w:hAnsi="Arial"/>
                <w:sz w:val="18"/>
                <w:szCs w:val="18"/>
                <w:color w:val="auto"/>
                <w:w w:val="91"/>
              </w:rPr>
              <w:t>July 23, 2021</w:t>
            </w:r>
          </w:p>
        </w:tc>
        <w:tc>
          <w:tcPr>
            <w:tcW w:w="340" w:type="dxa"/>
            <w:vAlign w:val="bottom"/>
          </w:tcPr>
          <w:p>
            <w:pPr>
              <w:ind w:left="60"/>
              <w:spacing w:after="0"/>
              <w:rPr>
                <w:sz w:val="20"/>
                <w:szCs w:val="20"/>
                <w:color w:val="auto"/>
              </w:rPr>
            </w:pPr>
            <w:r>
              <w:rPr>
                <w:rFonts w:ascii="Arial" w:cs="Arial" w:eastAsia="Arial" w:hAnsi="Arial"/>
                <w:sz w:val="18"/>
                <w:szCs w:val="18"/>
                <w:color w:val="auto"/>
              </w:rPr>
              <w:t>By</w:t>
            </w:r>
          </w:p>
        </w:tc>
        <w:tc>
          <w:tcPr>
            <w:tcW w:w="41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/s/ Sherry House</w:t>
            </w:r>
          </w:p>
        </w:tc>
        <w:tc>
          <w:tcPr>
            <w:tcW w:w="3360" w:type="dxa"/>
            <w:vAlign w:val="bottom"/>
          </w:tcPr>
          <w:p>
            <w:pPr>
              <w:jc w:val="center"/>
              <w:spacing w:after="0"/>
              <w:rPr>
                <w:sz w:val="20"/>
                <w:szCs w:val="20"/>
                <w:color w:val="auto"/>
              </w:rPr>
            </w:pPr>
            <w:r>
              <w:rPr>
                <w:rFonts w:ascii="Arial" w:cs="Arial" w:eastAsia="Arial" w:hAnsi="Arial"/>
                <w:sz w:val="18"/>
                <w:szCs w:val="18"/>
                <w:color w:val="auto"/>
                <w:w w:val="94"/>
              </w:rPr>
              <w:t>Chief Financial Officer</w:t>
            </w:r>
          </w:p>
        </w:tc>
      </w:tr>
      <w:tr>
        <w:trPr>
          <w:trHeight w:val="224"/>
        </w:trPr>
        <w:tc>
          <w:tcPr>
            <w:tcW w:w="3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Date</w:t>
            </w:r>
          </w:p>
        </w:tc>
        <w:tc>
          <w:tcPr>
            <w:tcW w:w="340" w:type="dxa"/>
            <w:vAlign w:val="bottom"/>
          </w:tcPr>
          <w:p>
            <w:pPr>
              <w:spacing w:after="0"/>
              <w:rPr>
                <w:sz w:val="19"/>
                <w:szCs w:val="19"/>
                <w:color w:val="auto"/>
              </w:rPr>
            </w:pPr>
          </w:p>
        </w:tc>
        <w:tc>
          <w:tcPr>
            <w:tcW w:w="39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Name: Sherry House</w:t>
            </w:r>
          </w:p>
        </w:tc>
        <w:tc>
          <w:tcPr>
            <w:tcW w:w="22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5"/>
              </w:rPr>
              <w:t>Title: Chief Financial Officer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159" w:lineRule="exact"/>
        <w:rPr>
          <w:sz w:val="24"/>
          <w:szCs w:val="24"/>
          <w:color w:val="auto"/>
        </w:rPr>
      </w:pPr>
    </w:p>
    <w:p>
      <w:pPr>
        <w:ind w:left="120" w:hanging="112"/>
        <w:spacing w:after="0"/>
        <w:tabs>
          <w:tab w:leader="none" w:pos="120" w:val="left"/>
        </w:tabs>
        <w:numPr>
          <w:ilvl w:val="0"/>
          <w:numId w:val="3"/>
        </w:numPr>
        <w:rPr>
          <w:rFonts w:ascii="Arial" w:cs="Arial" w:eastAsia="Arial" w:hAnsi="Arial"/>
          <w:sz w:val="29"/>
          <w:szCs w:val="29"/>
          <w:color w:val="auto"/>
          <w:vertAlign w:val="superscript"/>
        </w:rPr>
      </w:pPr>
      <w:r>
        <w:rPr>
          <w:rFonts w:ascii="Arial" w:cs="Arial" w:eastAsia="Arial" w:hAnsi="Arial"/>
          <w:sz w:val="17"/>
          <w:szCs w:val="17"/>
          <w:color w:val="auto"/>
        </w:rPr>
        <w:t>Form 25 and attached Notice will be considered compliance with the provisions of 17 CFR 240.19d-1 as applicable. See General Instructions.</w:t>
      </w:r>
    </w:p>
    <w:p>
      <w:pPr>
        <w:spacing w:after="0" w:line="198"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780" w:type="dxa"/>
            <w:vAlign w:val="bottom"/>
            <w:vMerge w:val="restart"/>
          </w:tcPr>
          <w:p>
            <w:pPr>
              <w:ind w:left="40"/>
              <w:spacing w:after="0"/>
              <w:rPr>
                <w:sz w:val="20"/>
                <w:szCs w:val="20"/>
                <w:color w:val="auto"/>
              </w:rPr>
            </w:pPr>
            <w:r>
              <w:rPr>
                <w:rFonts w:ascii="Arial" w:cs="Arial" w:eastAsia="Arial" w:hAnsi="Arial"/>
                <w:sz w:val="18"/>
                <w:szCs w:val="18"/>
                <w:color w:val="auto"/>
              </w:rPr>
              <w:t>SEC1654(03-06)</w:t>
            </w:r>
          </w:p>
        </w:tc>
        <w:tc>
          <w:tcPr>
            <w:tcW w:w="9460" w:type="dxa"/>
            <w:vAlign w:val="bottom"/>
          </w:tcPr>
          <w:p>
            <w:pPr>
              <w:ind w:left="500"/>
              <w:spacing w:after="0"/>
              <w:rPr>
                <w:sz w:val="20"/>
                <w:szCs w:val="20"/>
                <w:color w:val="auto"/>
              </w:rPr>
            </w:pPr>
            <w:r>
              <w:rPr>
                <w:rFonts w:ascii="Arial" w:cs="Arial" w:eastAsia="Arial" w:hAnsi="Arial"/>
                <w:sz w:val="18"/>
                <w:szCs w:val="18"/>
                <w:b w:val="1"/>
                <w:bCs w:val="1"/>
                <w:color w:val="auto"/>
              </w:rPr>
              <w:t>Persons who respond to the collection of information contained in this form are not</w:t>
            </w:r>
          </w:p>
        </w:tc>
        <w:tc>
          <w:tcPr>
            <w:tcW w:w="0" w:type="dxa"/>
            <w:vAlign w:val="bottom"/>
          </w:tcPr>
          <w:p>
            <w:pPr>
              <w:spacing w:after="0"/>
              <w:rPr>
                <w:sz w:val="1"/>
                <w:szCs w:val="1"/>
                <w:color w:val="auto"/>
              </w:rPr>
            </w:pPr>
          </w:p>
        </w:tc>
      </w:tr>
      <w:tr>
        <w:trPr>
          <w:trHeight w:val="126"/>
        </w:trPr>
        <w:tc>
          <w:tcPr>
            <w:tcW w:w="1780" w:type="dxa"/>
            <w:vAlign w:val="bottom"/>
            <w:vMerge w:val="continue"/>
          </w:tcPr>
          <w:p>
            <w:pPr>
              <w:spacing w:after="0"/>
              <w:rPr>
                <w:sz w:val="10"/>
                <w:szCs w:val="10"/>
                <w:color w:val="auto"/>
              </w:rPr>
            </w:pPr>
          </w:p>
        </w:tc>
        <w:tc>
          <w:tcPr>
            <w:tcW w:w="9460" w:type="dxa"/>
            <w:vAlign w:val="bottom"/>
            <w:vMerge w:val="restart"/>
          </w:tcPr>
          <w:p>
            <w:pPr>
              <w:ind w:left="500"/>
              <w:spacing w:after="0"/>
              <w:rPr>
                <w:sz w:val="20"/>
                <w:szCs w:val="20"/>
                <w:color w:val="auto"/>
              </w:rPr>
            </w:pPr>
            <w:r>
              <w:rPr>
                <w:rFonts w:ascii="Arial" w:cs="Arial" w:eastAsia="Arial" w:hAnsi="Arial"/>
                <w:sz w:val="18"/>
                <w:szCs w:val="18"/>
                <w:b w:val="1"/>
                <w:bCs w:val="1"/>
                <w:color w:val="auto"/>
              </w:rPr>
              <w:t>required to respond unless the form displays a currently valid OMB control number.</w:t>
            </w:r>
          </w:p>
        </w:tc>
        <w:tc>
          <w:tcPr>
            <w:tcW w:w="0" w:type="dxa"/>
            <w:vAlign w:val="bottom"/>
          </w:tcPr>
          <w:p>
            <w:pPr>
              <w:spacing w:after="0"/>
              <w:rPr>
                <w:sz w:val="1"/>
                <w:szCs w:val="1"/>
                <w:color w:val="auto"/>
              </w:rPr>
            </w:pPr>
          </w:p>
        </w:tc>
      </w:tr>
      <w:tr>
        <w:trPr>
          <w:trHeight w:val="108"/>
        </w:trPr>
        <w:tc>
          <w:tcPr>
            <w:tcW w:w="1780" w:type="dxa"/>
            <w:vAlign w:val="bottom"/>
          </w:tcPr>
          <w:p>
            <w:pPr>
              <w:spacing w:after="0"/>
              <w:rPr>
                <w:sz w:val="9"/>
                <w:szCs w:val="9"/>
                <w:color w:val="auto"/>
              </w:rPr>
            </w:pPr>
          </w:p>
        </w:tc>
        <w:tc>
          <w:tcPr>
            <w:tcW w:w="9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780" w:type="dxa"/>
            <w:vAlign w:val="bottom"/>
            <w:tcBorders>
              <w:bottom w:val="single" w:sz="8" w:color="auto"/>
            </w:tcBorders>
          </w:tcPr>
          <w:p>
            <w:pPr>
              <w:spacing w:after="0"/>
              <w:rPr>
                <w:sz w:val="21"/>
                <w:szCs w:val="21"/>
                <w:color w:val="auto"/>
              </w:rPr>
            </w:pPr>
          </w:p>
        </w:tc>
        <w:tc>
          <w:tcPr>
            <w:tcW w:w="94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
        </w:trPr>
        <w:tc>
          <w:tcPr>
            <w:tcW w:w="1780" w:type="dxa"/>
            <w:vAlign w:val="bottom"/>
            <w:tcBorders>
              <w:bottom w:val="single" w:sz="8" w:color="auto"/>
            </w:tcBorders>
          </w:tcPr>
          <w:p>
            <w:pPr>
              <w:spacing w:after="0"/>
              <w:rPr>
                <w:sz w:val="2"/>
                <w:szCs w:val="2"/>
                <w:color w:val="auto"/>
              </w:rPr>
            </w:pPr>
          </w:p>
        </w:tc>
        <w:tc>
          <w:tcPr>
            <w:tcW w:w="9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73"/>
        </w:trPr>
        <w:tc>
          <w:tcPr>
            <w:tcW w:w="1780" w:type="dxa"/>
            <w:vAlign w:val="bottom"/>
            <w:tcBorders>
              <w:bottom w:val="single" w:sz="8" w:color="auto"/>
            </w:tcBorders>
          </w:tcPr>
          <w:p>
            <w:pPr>
              <w:spacing w:after="0"/>
              <w:rPr>
                <w:sz w:val="24"/>
                <w:szCs w:val="24"/>
                <w:color w:val="auto"/>
              </w:rPr>
            </w:pPr>
          </w:p>
        </w:tc>
        <w:tc>
          <w:tcPr>
            <w:tcW w:w="9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sectPr>
      <w:pgSz w:w="11900" w:h="16838" w:orient="portrait"/>
      <w:cols w:equalWidth="0" w:num="1">
        <w:col w:w="11240"/>
      </w:cols>
      <w:pgMar w:left="320" w:top="78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2021-07-23T15:24:29Z</dcterms:created>
  <dcterms:modified xsi:type="dcterms:W3CDTF">2021-07-23T15:24:29Z</dcterms:modified>
</cp:coreProperties>
</file>