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160" w:after="283"/>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Washington, D.C. 20549</w:t>
      </w:r>
    </w:p>
    <w:p>
      <w:pPr>
        <w:pStyle w:val="TextBody"/>
        <w:bidi w:val="0"/>
        <w:spacing w:lineRule="auto" w:line="288" w:before="200" w:after="283"/>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160" w:after="283"/>
        <w:jc w:val="center"/>
        <w:rPr>
          <w:rFonts w:ascii="Times New Roman;serif" w:hAnsi="Times New Roman;serif"/>
          <w:b/>
          <w:color w:val="231F20"/>
          <w:sz w:val="24"/>
        </w:rPr>
      </w:pPr>
      <w:r>
        <w:rPr>
          <w:rFonts w:ascii="Times New Roman;serif" w:hAnsi="Times New Roman;serif"/>
          <w:b/>
          <w:color w:val="231F20"/>
          <w:sz w:val="24"/>
        </w:rPr>
        <w:t>CURRENT REPORT</w:t>
      </w:r>
    </w:p>
    <w:p>
      <w:pPr>
        <w:pStyle w:val="TextBody"/>
        <w:bidi w:val="0"/>
        <w:spacing w:lineRule="auto" w:line="288" w:before="20" w:after="283"/>
        <w:jc w:val="center"/>
        <w:rPr>
          <w:rFonts w:ascii="Times New Roman;serif" w:hAnsi="Times New Roman;serif"/>
          <w:b/>
          <w:color w:val="231F20"/>
          <w:sz w:val="24"/>
        </w:rPr>
      </w:pPr>
      <w:r>
        <w:rPr>
          <w:rFonts w:ascii="Times New Roman;serif" w:hAnsi="Times New Roman;serif"/>
          <w:b/>
          <w:color w:val="231F20"/>
          <w:sz w:val="24"/>
        </w:rPr>
        <w:t>Pursuant to Section 13 OR 15(d) of The Securities Exchange Act of 1934</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Date of Report (date of earliest event reported): July 6, 2026</w:t>
      </w:r>
    </w:p>
    <w:p>
      <w:pPr>
        <w:pStyle w:val="TextBody"/>
        <w:bidi w:val="0"/>
        <w:spacing w:lineRule="auto" w:line="288" w:before="160" w:after="283"/>
        <w:jc w:val="center"/>
        <w:rPr>
          <w:rFonts w:ascii="Times New Roman;serif" w:hAnsi="Times New Roman;serif"/>
          <w:b/>
          <w:color w:val="000000"/>
          <w:sz w:val="36"/>
        </w:rPr>
      </w:pPr>
      <w:r>
        <w:rPr>
          <w:rFonts w:ascii="Times New Roman;serif" w:hAnsi="Times New Roman;serif"/>
          <w:b/>
          <w:color w:val="000000"/>
          <w:sz w:val="36"/>
        </w:rPr>
        <w:t>Lucid Group,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(Exact name of registrant as specified in its charter)</w:t>
      </w:r>
    </w:p>
    <w:tbl>
      <w:tblPr>
        <w:tblW w:w="7977" w:type="dxa"/>
        <w:jc w:val="left"/>
        <w:tblInd w:w="0" w:type="dxa"/>
        <w:tblLayout w:type="fixed"/>
        <w:tblCellMar>
          <w:top w:w="28" w:type="dxa"/>
          <w:left w:w="28" w:type="dxa"/>
          <w:bottom w:w="28" w:type="dxa"/>
          <w:right w:w="28" w:type="dxa"/>
        </w:tblCellMar>
      </w:tblPr>
      <w:tblGrid>
        <w:gridCol w:w="1215"/>
        <w:gridCol w:w="1066"/>
        <w:gridCol w:w="1078"/>
        <w:gridCol w:w="528"/>
        <w:gridCol w:w="528"/>
        <w:gridCol w:w="533"/>
        <w:gridCol w:w="884"/>
        <w:gridCol w:w="884"/>
        <w:gridCol w:w="1261"/>
      </w:tblGrid>
      <w:tr>
        <w:trPr/>
        <w:tc>
          <w:tcPr>
            <w:tcW w:w="1215"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Delaware</w:t>
            </w:r>
          </w:p>
        </w:tc>
        <w:tc>
          <w:tcPr>
            <w:tcW w:w="158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001-39408</w:t>
            </w:r>
          </w:p>
        </w:tc>
        <w:tc>
          <w:tcPr>
            <w:tcW w:w="302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85-0891392</w:t>
            </w:r>
          </w:p>
        </w:tc>
      </w:tr>
      <w:tr>
        <w:trPr/>
        <w:tc>
          <w:tcPr>
            <w:tcW w:w="335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(State or other jurisdiction of </w:t>
              <w:br/>
              <w:t>incorporation or organization)</w:t>
            </w:r>
          </w:p>
        </w:tc>
        <w:tc>
          <w:tcPr>
            <w:tcW w:w="158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(Commission File </w:t>
              <w:br/>
              <w:t>Number)</w:t>
            </w:r>
          </w:p>
        </w:tc>
        <w:tc>
          <w:tcPr>
            <w:tcW w:w="302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r>
        <w:trPr/>
        <w:tc>
          <w:tcPr>
            <w:tcW w:w="3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7373 Gateway Boulevard</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Newark, CA</w:t>
            </w:r>
          </w:p>
        </w:tc>
        <w:tc>
          <w:tcPr>
            <w:tcW w:w="1589" w:type="dxa"/>
            <w:gridSpan w:val="3"/>
            <w:tcBorders/>
            <w:tcMar>
              <w:top w:w="0" w:type="dxa"/>
              <w:left w:w="0" w:type="dxa"/>
              <w:bottom w:w="0" w:type="dxa"/>
              <w:right w:w="0" w:type="dxa"/>
            </w:tcMar>
            <w:vAlign w:val="center"/>
          </w:tcPr>
          <w:p>
            <w:pPr>
              <w:pStyle w:val="TableContents"/>
              <w:bidi w:val="0"/>
              <w:spacing w:before="53" w:after="30"/>
              <w:jc w:val="center"/>
              <w:rPr/>
            </w:pPr>
            <w:r>
              <w:rPr/>
            </w:r>
          </w:p>
        </w:tc>
        <w:tc>
          <w:tcPr>
            <w:tcW w:w="302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94560</w:t>
            </w:r>
          </w:p>
        </w:tc>
      </w:tr>
      <w:tr>
        <w:trPr/>
        <w:tc>
          <w:tcPr>
            <w:tcW w:w="335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160" w:after="283"/>
        <w:jc w:val="center"/>
        <w:rPr/>
      </w:pPr>
      <w:r>
        <w:rPr>
          <w:rFonts w:ascii="Times New Roman;serif" w:hAnsi="Times New Roman;serif"/>
          <w:b w:val="false"/>
          <w:color w:val="000000"/>
          <w:sz w:val="20"/>
        </w:rPr>
        <w:t xml:space="preserve">Registrant's telephone number, including area code: </w:t>
      </w:r>
      <w:r>
        <w:rPr>
          <w:rFonts w:ascii="Times New Roman;serif" w:hAnsi="Times New Roman;serif"/>
          <w:b/>
          <w:color w:val="000000"/>
          <w:sz w:val="20"/>
        </w:rPr>
        <w:t>(510) 648-3553</w:t>
      </w:r>
    </w:p>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(Former name or former address, if changed since last report.)</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lineRule="auto" w:line="288" w:before="0" w:after="0"/>
        <w:ind w:left="0" w:right="0" w:hanging="360"/>
        <w:jc w:val="left"/>
        <w:rPr>
          <w:color w:val="000000"/>
        </w:rPr>
      </w:pPr>
      <w:r>
        <w:rPr>
          <w:color w:val="000000"/>
        </w:rPr>
        <w:t>☐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0" w:after="0"/>
        <w:ind w:left="0" w:right="0" w:hanging="360"/>
        <w:jc w:val="left"/>
        <w:rPr/>
      </w:pPr>
      <w:r>
        <w:rPr>
          <w:color w:val="000000"/>
        </w:rPr>
        <w:t>☐    </w:t>
      </w:r>
      <w:r>
        <w:rPr>
          <w:rFonts w:ascii="Times New Roman;serif" w:hAnsi="Times New Roman;serif"/>
          <w:b w:val="false"/>
          <w:color w:val="231F20"/>
          <w:sz w:val="20"/>
        </w:rPr>
        <w:t xml:space="preserve">Soliciting material pursuant to Rule 14a-12 under the Exchange Act (17 CFR 240.14a-12) </w:t>
      </w:r>
    </w:p>
    <w:p>
      <w:pPr>
        <w:pStyle w:val="TextBody"/>
        <w:bidi w:val="0"/>
        <w:spacing w:lineRule="auto" w:line="288" w:before="0" w:after="0"/>
        <w:ind w:left="0" w:right="0" w:hanging="360"/>
        <w:jc w:val="left"/>
        <w:rPr/>
      </w:pPr>
      <w:r>
        <w:rPr>
          <w:color w:val="000000"/>
        </w:rPr>
        <w:t>☐    </w:t>
      </w:r>
      <w:r>
        <w:rPr>
          <w:rFonts w:ascii="Times New Roman;serif" w:hAnsi="Times New Roman;serif"/>
          <w:b w:val="false"/>
          <w:color w:val="231F20"/>
          <w:sz w:val="20"/>
        </w:rPr>
        <w:t xml:space="preserve">Pre-commencement communications pursuant to Rule 14d-2(b) under the Exchange Act (17 CFR 240.14d-2(b)) </w:t>
      </w:r>
    </w:p>
    <w:p>
      <w:pPr>
        <w:pStyle w:val="TextBody"/>
        <w:bidi w:val="0"/>
        <w:spacing w:lineRule="auto" w:line="288" w:before="0" w:after="0"/>
        <w:ind w:left="0" w:right="0" w:hanging="360"/>
        <w:jc w:val="left"/>
        <w:rPr/>
      </w:pPr>
      <w:r>
        <w:rPr>
          <w:color w:val="000000"/>
        </w:rPr>
        <w:t>☐    </w:t>
      </w:r>
      <w:r>
        <w:rPr>
          <w:rFonts w:ascii="Times New Roman;serif" w:hAnsi="Times New Roman;serif"/>
          <w:b w:val="false"/>
          <w:color w:val="231F20"/>
          <w:sz w:val="20"/>
        </w:rPr>
        <w:t xml:space="preserve">Pre-commencement communications pursuant to Rule 13e-4(c) under the Exchange Act (17 CFR 240.13e-4(c)) </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Securities registered pursuant to Section 12(b) of the Act: </w:t>
      </w:r>
    </w:p>
    <w:tbl>
      <w:tblPr>
        <w:tblW w:w="10205" w:type="dxa"/>
        <w:jc w:val="left"/>
        <w:tblInd w:w="0" w:type="dxa"/>
        <w:tblLayout w:type="fixed"/>
        <w:tblCellMar>
          <w:top w:w="28" w:type="dxa"/>
          <w:left w:w="28" w:type="dxa"/>
          <w:bottom w:w="28" w:type="dxa"/>
          <w:right w:w="28" w:type="dxa"/>
        </w:tblCellMar>
      </w:tblPr>
      <w:tblGrid>
        <w:gridCol w:w="1528"/>
        <w:gridCol w:w="1329"/>
        <w:gridCol w:w="1344"/>
        <w:gridCol w:w="109"/>
        <w:gridCol w:w="109"/>
        <w:gridCol w:w="109"/>
        <w:gridCol w:w="550"/>
        <w:gridCol w:w="550"/>
        <w:gridCol w:w="552"/>
        <w:gridCol w:w="109"/>
        <w:gridCol w:w="109"/>
        <w:gridCol w:w="109"/>
        <w:gridCol w:w="1079"/>
        <w:gridCol w:w="1079"/>
        <w:gridCol w:w="1540"/>
      </w:tblGrid>
      <w:tr>
        <w:trPr/>
        <w:tc>
          <w:tcPr>
            <w:tcW w:w="1528"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540" w:type="dxa"/>
            <w:tcBorders/>
            <w:vAlign w:val="center"/>
          </w:tcPr>
          <w:p>
            <w:pPr>
              <w:pStyle w:val="TableContents"/>
              <w:bidi w:val="0"/>
              <w:spacing w:before="0" w:after="283"/>
              <w:jc w:val="left"/>
              <w:rPr>
                <w:sz w:val="4"/>
                <w:szCs w:val="4"/>
              </w:rPr>
            </w:pPr>
            <w:r>
              <w:rPr>
                <w:sz w:val="4"/>
                <w:szCs w:val="4"/>
              </w:rPr>
            </w:r>
          </w:p>
        </w:tc>
      </w:tr>
      <w:tr>
        <w:trPr/>
        <w:tc>
          <w:tcPr>
            <w:tcW w:w="4201" w:type="dxa"/>
            <w:gridSpan w:val="3"/>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3"/>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42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Class A Common Stock, $0.0001 par value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LCID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0"/>
        <w:jc w:val="right"/>
        <w:rPr/>
      </w:pPr>
      <w:r>
        <w:rPr>
          <w:rFonts w:ascii="Times New Roman;serif" w:hAnsi="Times New Roman;serif"/>
          <w:b w:val="false"/>
          <w:color w:val="231F20"/>
          <w:sz w:val="20"/>
        </w:rPr>
        <w:t xml:space="preserve">Emerging growth company </w:t>
      </w:r>
      <w:r>
        <w:rPr>
          <w:color w:val="000000"/>
        </w:rPr>
        <w:t>☐</w:t>
      </w:r>
      <w:r>
        <w:rPr>
          <w:color w:val="231F20"/>
        </w:rPr>
        <w:t xml:space="preserve"> </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0" w:after="0"/>
        <w:jc w:val="right"/>
        <w:rPr>
          <w:color w:val="000000"/>
        </w:rPr>
      </w:pPr>
      <w:r>
        <w:rPr>
          <w:color w:val="000000"/>
        </w:rPr>
        <w: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Item 2.03 Creation of a Direct Financial Obligation or an Obligation under an Off-Balance Sheet Arrangement of a Registrant.</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color w:val="000000"/>
          <w:sz w:val="20"/>
        </w:rPr>
        <w:t>On July 6, 2026, Lucid Group, Inc. drew $800 million of Delayed Draw Term Loan (“</w:t>
      </w:r>
      <w:r>
        <w:rPr>
          <w:rFonts w:ascii="Times New Roman;serif" w:hAnsi="Times New Roman;serif"/>
          <w:b/>
          <w:i/>
          <w:color w:val="000000"/>
          <w:sz w:val="20"/>
        </w:rPr>
        <w:t>DDTL</w:t>
      </w:r>
      <w:r>
        <w:rPr>
          <w:color w:val="000000"/>
        </w:rPr>
        <w:t>”</w:t>
      </w:r>
      <w:r>
        <w:rPr>
          <w:rFonts w:ascii="Times New Roman;serif" w:hAnsi="Times New Roman;serif"/>
          <w:b w:val="false"/>
          <w:color w:val="000000"/>
          <w:sz w:val="20"/>
        </w:rPr>
        <w:t xml:space="preserve">) facilities pursuant to its existing agreement with Ayar Third Investment Company, an affiliate of the Public Investment Fund. A summary of the key terms of the DDTL is incorporated by reference from the Current Report on Form 8-Ks filed on August 5, 2024, November 5, 2025 and April 14, 2026.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(d) Exhibits</w:t>
      </w:r>
    </w:p>
    <w:tbl>
      <w:tblPr>
        <w:tblW w:w="7737" w:type="dxa"/>
        <w:jc w:val="left"/>
        <w:tblInd w:w="0" w:type="dxa"/>
        <w:tblLayout w:type="fixed"/>
        <w:tblCellMar>
          <w:top w:w="28" w:type="dxa"/>
          <w:left w:w="28" w:type="dxa"/>
          <w:bottom w:w="28" w:type="dxa"/>
          <w:right w:w="28" w:type="dxa"/>
        </w:tblCellMar>
      </w:tblPr>
      <w:tblGrid>
        <w:gridCol w:w="294"/>
        <w:gridCol w:w="258"/>
        <w:gridCol w:w="259"/>
        <w:gridCol w:w="109"/>
        <w:gridCol w:w="109"/>
        <w:gridCol w:w="109"/>
        <w:gridCol w:w="1928"/>
        <w:gridCol w:w="1928"/>
        <w:gridCol w:w="2743"/>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2743"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Exhibit</w:t>
            </w:r>
          </w:p>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81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Current Report on Form 8-K to be signed on its behalf by the undersigned hereunto duly authorized.</w:t>
      </w:r>
    </w:p>
    <w:tbl>
      <w:tblPr>
        <w:tblW w:w="5566" w:type="dxa"/>
        <w:jc w:val="left"/>
        <w:tblInd w:w="0" w:type="dxa"/>
        <w:tblLayout w:type="fixed"/>
        <w:tblCellMar>
          <w:top w:w="28" w:type="dxa"/>
          <w:left w:w="28" w:type="dxa"/>
          <w:bottom w:w="28" w:type="dxa"/>
          <w:right w:w="28" w:type="dxa"/>
        </w:tblCellMar>
      </w:tblPr>
      <w:tblGrid>
        <w:gridCol w:w="618"/>
        <w:gridCol w:w="543"/>
        <w:gridCol w:w="548"/>
        <w:gridCol w:w="322"/>
        <w:gridCol w:w="322"/>
        <w:gridCol w:w="322"/>
        <w:gridCol w:w="838"/>
        <w:gridCol w:w="838"/>
        <w:gridCol w:w="843"/>
        <w:gridCol w:w="109"/>
        <w:gridCol w:w="109"/>
        <w:gridCol w:w="154"/>
      </w:tblGrid>
      <w:tr>
        <w:trPr/>
        <w:tc>
          <w:tcPr>
            <w:tcW w:w="618"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Dated: July 6, 2026</w:t>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5" w:type="dxa"/>
            <w:gridSpan w:val="6"/>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LUCID GROUP,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51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 Silvio Napoli</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Name: Silvio Napoli</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Title: 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470</Words>
  <Characters>2543</Characters>
  <CharactersWithSpaces>2979</CharactersWithSpaces>
  <Paragraphs>55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