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8, 2023</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78"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56"/>
        </w:trPr>
        <w:tc>
          <w:tcPr>
            <w:tcW w:w="3740" w:type="dxa"/>
            <w:vAlign w:val="bottom"/>
          </w:tcPr>
          <w:p>
            <w:pPr>
              <w:jc w:val="center"/>
              <w:ind w:right="7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3740" w:type="dxa"/>
            <w:vAlign w:val="bottom"/>
          </w:tcPr>
          <w:p>
            <w:pPr>
              <w:jc w:val="center"/>
              <w:ind w:right="690"/>
              <w:spacing w:after="0"/>
              <w:rPr>
                <w:sz w:val="20"/>
                <w:szCs w:val="20"/>
                <w:color w:val="auto"/>
              </w:rPr>
            </w:pPr>
            <w:r>
              <w:rPr>
                <w:rFonts w:ascii="Arial" w:cs="Arial" w:eastAsia="Arial" w:hAnsi="Arial"/>
                <w:sz w:val="18"/>
                <w:szCs w:val="18"/>
                <w:b w:val="1"/>
                <w:bCs w:val="1"/>
                <w:color w:val="auto"/>
                <w:w w:val="95"/>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Arial" w:cs="Arial" w:eastAsia="Arial" w:hAnsi="Arial"/>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30"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$0.0001 par value per share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LCID</w:t>
            </w: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56"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171"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2.02 - Results of Operations and Financial Condition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8, 2023, Lucid Group, Inc. (“Lucid”) issued a press release announcing its results for the first quarter ended March 31, 2023. A copy of the press release is attached as Exhibit 99.1 to this current report on Form 8-K and is incorporated by reference herein.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Lucid uses its </w:t>
      </w:r>
      <w:r>
        <w:rPr>
          <w:rFonts w:ascii="Arial" w:cs="Arial" w:eastAsia="Arial" w:hAnsi="Arial"/>
          <w:sz w:val="18"/>
          <w:szCs w:val="18"/>
          <w:u w:val="single" w:color="auto"/>
          <w:color w:val="auto"/>
        </w:rPr>
        <w:t>ir.lucidmotors.com</w:t>
      </w:r>
      <w:r>
        <w:rPr>
          <w:rFonts w:ascii="Arial" w:cs="Arial" w:eastAsia="Arial" w:hAnsi="Arial"/>
          <w:sz w:val="18"/>
          <w:szCs w:val="18"/>
          <w:color w:val="auto"/>
        </w:rPr>
        <w:t xml:space="preserve"> website as a means of disclosing material non-public information and for complying with its disclosure obligations under Regulation FD.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 Exhibits</w:t>
            </w:r>
          </w:p>
        </w:tc>
        <w:tc>
          <w:tcPr>
            <w:tcW w:w="288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441"/>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288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234"/>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10000" w:type="dxa"/>
            <w:vAlign w:val="bottom"/>
            <w:gridSpan w:val="2"/>
          </w:tcPr>
          <w:p>
            <w:pPr>
              <w:spacing w:after="0"/>
              <w:rPr>
                <w:sz w:val="20"/>
                <w:szCs w:val="20"/>
                <w:color w:val="auto"/>
              </w:rPr>
            </w:pPr>
            <w:r>
              <w:rPr>
                <w:rFonts w:ascii="Arial" w:cs="Arial" w:eastAsia="Arial" w:hAnsi="Arial"/>
                <w:sz w:val="18"/>
                <w:szCs w:val="18"/>
                <w:color w:val="0000FF"/>
              </w:rPr>
              <w:t>Lucid Press Release Dated May 8, 2023</w:t>
            </w:r>
          </w:p>
        </w:tc>
      </w:tr>
      <w:tr>
        <w:trPr>
          <w:trHeight w:val="20"/>
        </w:trPr>
        <w:tc>
          <w:tcPr>
            <w:tcW w:w="12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304"/>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8, 2023</w:t>
      </w:r>
    </w:p>
    <w:p>
      <w:pPr>
        <w:spacing w:after="0" w:line="3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40640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Sherry House</w:t>
      </w:r>
    </w:p>
    <w:p>
      <w:pPr>
        <w:spacing w:after="0" w:line="7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Lucid Announces First Quarter 2023 Financial Results</w:t>
      </w:r>
    </w:p>
    <w:p>
      <w:pPr>
        <w:spacing w:after="0" w:line="200" w:lineRule="exact"/>
        <w:rPr>
          <w:sz w:val="20"/>
          <w:szCs w:val="20"/>
          <w:color w:val="auto"/>
        </w:rPr>
      </w:pPr>
    </w:p>
    <w:p>
      <w:pPr>
        <w:spacing w:after="0" w:line="293" w:lineRule="exact"/>
        <w:rPr>
          <w:sz w:val="20"/>
          <w:szCs w:val="20"/>
          <w:color w:val="auto"/>
        </w:rPr>
      </w:pPr>
    </w:p>
    <w:p>
      <w:pPr>
        <w:ind w:right="360"/>
        <w:spacing w:after="0" w:line="316" w:lineRule="auto"/>
        <w:rPr>
          <w:sz w:val="20"/>
          <w:szCs w:val="20"/>
          <w:color w:val="auto"/>
        </w:rPr>
      </w:pPr>
      <w:r>
        <w:rPr>
          <w:rFonts w:ascii="Arial" w:cs="Arial" w:eastAsia="Arial" w:hAnsi="Arial"/>
          <w:sz w:val="18"/>
          <w:szCs w:val="18"/>
          <w:color w:val="auto"/>
        </w:rPr>
        <w:t>NEWARK, Calif. — May 8, 2023 — Lucid Group, Inc. (NASDAQ: LCID), setting new standards for luxury electric experience with the Lucid Air, winner of the 2023 World Luxury Car Award, today announced financial results for its first quarter ended March 31, 2023.</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Lucid reported first quarter revenue of $149.4 million, having produced 2,314 vehicles at its manufacturing facility in Arizona and delivered 1,406 vehicles during the same period. Lucid plans to manufacture more than 10,000 vehicles in 2023 and ended the quarter with approximately $4.1 billion total liquidity, which is expected to fund the Company at least into the second quarter of 2024.</w:t>
      </w:r>
    </w:p>
    <w:p>
      <w:pPr>
        <w:spacing w:after="0" w:line="175"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“We are on track to produce over 10,000 vehicles in 2023, with company-wide initiatives ongoing that will enable Lucid to pivot to higher volumes as market conditions allow,” said Peter Rawlinson, Lucid’s CEO and CTO. “We continue to grow our brand awareness and I’m proud to say that the Lucid Air was recently awarded a number of prestigious industry accolades. We will unveil our Gravity SUV later this year ahead of its launch in 2024 and we cannot wait for everyone to experience it. The Lucid Air redefined the luxury sedan category and we believe the continuing advancements of our in-house technology position our Gravity SUV to do the same in the SUV category – game-changing range, driving experience, charging speed, voluminous interior space, and an unrivaled combination of luxury and performance.”</w:t>
      </w:r>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“Our Q1 revenue was approximately $149 million, which represented a year-over-year increase of 159%. We ended the quarter with just over $3.4 billion in cash, cash equivalents, and investments, with total liquidity of approximately $4.1 billion, which we believe is sufficient to fund the Company at least into Q2 of 2024,” said Sherry House, Lucid’s CFO. “Our mission and optimism are unchanged. We are committed to an environmentally sustainable future – designing, building, and delivering the best EVs on the market.”</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Lucid will host a conference call for analysts and investors at 2:30 P.M. PT / 5:30 P.M. ET on May 8, 2023.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Lucid Group</w:t>
      </w:r>
    </w:p>
    <w:p>
      <w:pPr>
        <w:spacing w:after="0" w:line="235"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color w:val="auto"/>
        </w:rPr>
        <w:t>Lucid’s mission is to inspire the adoption of sustainable energy by creating advanced technologies and the most captivating luxury electric vehicles centered around the human experience. The Lucid Air is a state-of-the-art luxury sedan with a California-inspired design. The Lucid Air Grand Touring features an official EPA estimated 516 miles of range or 1,050 horsepower. Assembled at Lucid’s factory in Casa Grande, Arizona, deliveries of the Lucid Air are currently underway to customers in the U.S., Canada, Europe, and the Middle East.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investor@lucidmotors.com</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3051F2"/>
        </w:rPr>
        <w:t>media@lucidmotors.com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1B1B1B"/>
        </w:rPr>
        <w:t>Trademarks</w:t>
      </w:r>
    </w:p>
    <w:p>
      <w:pPr>
        <w:spacing w:after="0" w:line="235"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319"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 Looking Statements</w:t>
      </w:r>
    </w:p>
    <w:p>
      <w:pPr>
        <w:spacing w:after="0" w:line="23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future capital expenditures and other operating expenses, ability to control costs, expectations and timing related to commercial product launches, including the Gravity SUV and the various Air models, production and delivery volumes, expectations regarding market opportunities and demand for Lucid’s products, the range and performance of Lucid’s vehicles, plans and expectations regarding the Gravity SUV, including performance, driving range, features, specifications, potential impact on markets, plans and expectations regarding Lucid’s software, estimate of the length of time Lucid’s existing cash, cash equivalents and investments will be sufficient to fund planned operations, plans and expectations regarding its future capital raises and funding strategy, expectations regarding the restructuring plan, including with respect to timing, costs, and expected benefits, the timing of vehicle deliveries, future manufacturing capabilities and facilities, studio and service center openings, ability to mitigate supply chain and logistics risks, plans regarding the Phase 2 expansion of Lucid’s AMP-1 factory, including timing, installed capacity and potential benefits, ability to vertically integrate production processes, future sales channels and strategies, future market launches and international expansion, including plans and expectations for the AMP-2 manufacturing facility in Saudi Arabia, Lucid’s ability to grow its brand awareness, the potential success of Lucid’s direct-to-consumer sales strategy and future vehicle programs, potential automotive partnerships, plans and expectations regarding Lucid’s participation in the UN Global Compact,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government closures of banks and liquidity concerns at other financial institutions, a potential global economic recession or other downturn and the ongoing conflict between Russia and Ukraine; risks related to changes in overall demand for Lucid’s products and services and cancellation of reservations and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potential vehicle recalls; Lucid’s ability to establish and expand its brand and capture additional market share, and the risks associated with negative press or reputational harm; Lucid’s ability to effectively utilize zero emission vehicle credits and obtain and utilize certain tax and other incentives; Lucid’s ability to issue equity or equity-linked securities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risks associated with the restructuring plan, including the risk that the charges and expenditures may be greater than anticipated, the risk that the restructuring plan may adversely affect Lucid’s internal programs and initiatives and its ability to recruit and retain skilled and motivated personnel, the risk that the restructuring plan may be distracting to employees and management, the risk that the restructuring plan may negatively impact Lucid’s business operations, reputation, or ability to serve customers, and the risk that the restructuring plan may not generate their intended benefits to the extent or as quickly as anticipated; and the impact of the global COVID-19 pandemic on Lucid’s supply chain, projected results of operations, financial performance or other financial metrics, or on any of the foregoing risks; and those factors discussed under the heading “Risk Factors” in Part II, Item 1A of Lucid’s Quarterly</w:t>
      </w:r>
    </w:p>
    <w:p>
      <w:pPr>
        <w:sectPr>
          <w:pgSz w:w="11900" w:h="16838" w:orient="portrait"/>
          <w:cols w:equalWidth="0" w:num="1">
            <w:col w:w="11240"/>
          </w:cols>
          <w:pgMar w:left="320" w:top="1318"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18" w:right="339" w:bottom="1440" w:gutter="0" w:footer="0" w:header="0"/>
          <w:type w:val="continuous"/>
        </w:sectPr>
      </w:pPr>
    </w:p>
    <w:bookmarkStart w:id="5" w:name="page6"/>
    <w:bookmarkEnd w:id="5"/>
    <w:p>
      <w:pPr>
        <w:ind w:right="40"/>
        <w:spacing w:after="0" w:line="282" w:lineRule="auto"/>
        <w:rPr>
          <w:sz w:val="20"/>
          <w:szCs w:val="20"/>
          <w:color w:val="auto"/>
        </w:rPr>
      </w:pPr>
      <w:r>
        <w:rPr>
          <w:rFonts w:ascii="Arial" w:cs="Arial" w:eastAsia="Arial" w:hAnsi="Arial"/>
          <w:sz w:val="18"/>
          <w:szCs w:val="18"/>
          <w:color w:val="auto"/>
        </w:rPr>
        <w:t>Report on Form 10-Q for the quarter ended March 31,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 and Key Business Metrics</w:t>
      </w:r>
    </w:p>
    <w:p>
      <w:pPr>
        <w:spacing w:after="0" w:line="22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Condensed consolidated financial information has been presented in accordance with US GAAP (“GAAP”) as well as on a non-GAAP basis to supplement our condensed consolidated financial results. Lucid’s non-GAAP financial measures include Adjusted EBITDA and Free Cash Flow which are discussed below.</w:t>
      </w:r>
    </w:p>
    <w:p>
      <w:pPr>
        <w:spacing w:after="0" w:line="193"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Adjusted EBITDA is defined as net loss before (1) interest expense, (2) interest income, (3) provision for income taxes, (4) depreciation and amortization, (5) change in fair value of common stock warrant liability, (6) stock-based compensation and (7) restructuring charges. Adjusted EBITDA is a performance measure that Lucid believes provides useful information to Lucid’s management and investors about Lucid’s profitability. Free Cash Flow is defined as net cash used in operating activities less capital expenditures. Free Cash Flow is a performance measure that Lucid believes provides useful information to Lucid’s management and investors about the amount of cash generated by the business after necessary capital expenditures.</w:t>
      </w:r>
    </w:p>
    <w:p>
      <w:pPr>
        <w:spacing w:after="0" w:line="189"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324"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1,735,765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2,078,377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2,177,231</w:t>
            </w: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1,017,570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834,401</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62,367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63,548</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81,541</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4,119,832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4,912,028</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2,322,884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2,166,776</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213,193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215,160</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441,727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529,974</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163,295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55,300</w:t>
            </w:r>
          </w:p>
        </w:tc>
        <w:tc>
          <w:tcPr>
            <w:tcW w:w="0" w:type="dxa"/>
            <w:vAlign w:val="bottom"/>
          </w:tcPr>
          <w:p>
            <w:pPr>
              <w:spacing w:after="0"/>
              <w:rPr>
                <w:sz w:val="1"/>
                <w:szCs w:val="1"/>
                <w:color w:val="auto"/>
              </w:rPr>
            </w:pPr>
          </w:p>
        </w:tc>
      </w:tr>
      <w:tr>
        <w:trPr>
          <w:trHeight w:val="270"/>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7,260,931</w:t>
            </w:r>
          </w:p>
        </w:tc>
        <w:tc>
          <w:tcPr>
            <w:tcW w:w="100" w:type="dxa"/>
            <w:vAlign w:val="bottom"/>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7,879,238</w:t>
            </w:r>
          </w:p>
        </w:tc>
        <w:tc>
          <w:tcPr>
            <w:tcW w:w="0" w:type="dxa"/>
            <w:vAlign w:val="bottom"/>
          </w:tcPr>
          <w:p>
            <w:pPr>
              <w:spacing w:after="0"/>
              <w:rPr>
                <w:sz w:val="1"/>
                <w:szCs w:val="1"/>
                <w:color w:val="auto"/>
              </w:rPr>
            </w:pPr>
          </w:p>
        </w:tc>
      </w:tr>
      <w:tr>
        <w:trPr>
          <w:trHeight w:val="21"/>
        </w:trPr>
        <w:tc>
          <w:tcPr>
            <w:tcW w:w="8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145,746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229,084</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84,867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63,322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10,586</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774,108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634,567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1,014,960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937,559</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78,845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81,336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Common stock warrant liability</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181,392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140,590</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1,993,113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1,991,840</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360,770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378,212</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3,629,080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3,529,537</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420" w:type="dxa"/>
            <w:vAlign w:val="bottom"/>
            <w:gridSpan w:val="2"/>
          </w:tcPr>
          <w:p>
            <w:pPr>
              <w:ind w:left="20"/>
              <w:spacing w:after="0"/>
              <w:rPr>
                <w:sz w:val="20"/>
                <w:szCs w:val="20"/>
                <w:color w:val="auto"/>
              </w:rPr>
            </w:pPr>
            <w:r>
              <w:rPr>
                <w:rFonts w:ascii="Arial" w:cs="Arial" w:eastAsia="Arial" w:hAnsi="Arial"/>
                <w:sz w:val="18"/>
                <w:szCs w:val="18"/>
                <w:color w:val="auto"/>
                <w:w w:val="94"/>
              </w:rPr>
              <w:t>Common stock, par value $0.0001; 15,000,000,000 shares authorized as of March 31, 2023 and December 31,</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ind w:left="360"/>
              <w:spacing w:after="0"/>
              <w:rPr>
                <w:sz w:val="20"/>
                <w:szCs w:val="20"/>
                <w:color w:val="auto"/>
              </w:rPr>
            </w:pPr>
            <w:r>
              <w:rPr>
                <w:rFonts w:ascii="Arial" w:cs="Arial" w:eastAsia="Arial" w:hAnsi="Arial"/>
                <w:sz w:val="18"/>
                <w:szCs w:val="18"/>
                <w:color w:val="auto"/>
                <w:w w:val="99"/>
              </w:rPr>
              <w:t>2022; 1,834,242,999 and 1,830,172,561 shares issued and 1,833,385,174 and 1,829,314,736 shares</w:t>
            </w:r>
          </w:p>
        </w:tc>
        <w:tc>
          <w:tcPr>
            <w:tcW w:w="22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outstanding as of March 31, 2023 and December 31, 2022, respectively</w:t>
            </w: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11,809,781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11,752,138</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Treasury stock, at cost, 857,825 shares at March 31, 2023 and December 31, 2022</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(20,716)</w:t>
            </w: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(8,149,860)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(7,370,332)</w:t>
            </w:r>
          </w:p>
        </w:tc>
        <w:tc>
          <w:tcPr>
            <w:tcW w:w="0" w:type="dxa"/>
            <w:vAlign w:val="bottom"/>
          </w:tcPr>
          <w:p>
            <w:pPr>
              <w:spacing w:after="0"/>
              <w:rPr>
                <w:sz w:val="1"/>
                <w:szCs w:val="1"/>
                <w:color w:val="auto"/>
              </w:rPr>
            </w:pPr>
          </w:p>
        </w:tc>
      </w:tr>
      <w:tr>
        <w:trPr>
          <w:trHeight w:val="40"/>
        </w:trPr>
        <w:tc>
          <w:tcPr>
            <w:tcW w:w="8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3,631,851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4,349,701</w:t>
            </w:r>
          </w:p>
        </w:tc>
        <w:tc>
          <w:tcPr>
            <w:tcW w:w="0" w:type="dxa"/>
            <w:vAlign w:val="bottom"/>
          </w:tcPr>
          <w:p>
            <w:pPr>
              <w:spacing w:after="0"/>
              <w:rPr>
                <w:sz w:val="1"/>
                <w:szCs w:val="1"/>
                <w:color w:val="auto"/>
              </w:rPr>
            </w:pPr>
          </w:p>
        </w:tc>
      </w:tr>
      <w:tr>
        <w:trPr>
          <w:trHeight w:val="277"/>
        </w:trPr>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7,260,931</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7,879,238</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8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31750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41"/>
        </w:trPr>
        <w:tc>
          <w:tcPr>
            <w:tcW w:w="8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7"/>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57,675</w:t>
            </w:r>
          </w:p>
        </w:tc>
      </w:tr>
      <w:tr>
        <w:trPr>
          <w:trHeight w:val="270"/>
        </w:trPr>
        <w:tc>
          <w:tcPr>
            <w:tcW w:w="8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854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245,970</w:t>
            </w:r>
          </w:p>
        </w:tc>
      </w:tr>
      <w:tr>
        <w:trPr>
          <w:trHeight w:val="41"/>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186,076</w:t>
            </w:r>
          </w:p>
        </w:tc>
      </w:tr>
      <w:tr>
        <w:trPr>
          <w:trHeight w:val="243"/>
        </w:trPr>
        <w:tc>
          <w:tcPr>
            <w:tcW w:w="854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223,159</w:t>
            </w:r>
          </w:p>
        </w:tc>
      </w:tr>
      <w:tr>
        <w:trPr>
          <w:trHeight w:val="40"/>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540" w:type="dxa"/>
            <w:vAlign w:val="bottom"/>
          </w:tcPr>
          <w:p>
            <w:pPr>
              <w:ind w:left="440"/>
              <w:spacing w:after="0"/>
              <w:rPr>
                <w:sz w:val="20"/>
                <w:szCs w:val="20"/>
                <w:color w:val="auto"/>
              </w:rPr>
            </w:pPr>
            <w:r>
              <w:rPr>
                <w:rFonts w:ascii="Arial" w:cs="Arial" w:eastAsia="Arial" w:hAnsi="Arial"/>
                <w:sz w:val="17"/>
                <w:szCs w:val="17"/>
                <w:color w:val="auto"/>
              </w:rPr>
              <w:t>Total cost and expenses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921,593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655,205</w:t>
            </w:r>
          </w:p>
        </w:tc>
      </w:tr>
      <w:tr>
        <w:trPr>
          <w:trHeight w:val="40"/>
        </w:trPr>
        <w:tc>
          <w:tcPr>
            <w:tcW w:w="8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8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5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(772,161)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(597,530)</w:t>
            </w:r>
          </w:p>
        </w:tc>
      </w:tr>
      <w:tr>
        <w:trPr>
          <w:trHeight w:val="41"/>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8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5"/>
        </w:trPr>
        <w:tc>
          <w:tcPr>
            <w:tcW w:w="854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common stock warrant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523,330</w:t>
            </w:r>
          </w:p>
        </w:tc>
      </w:tr>
      <w:tr>
        <w:trPr>
          <w:trHeight w:val="243"/>
        </w:trPr>
        <w:tc>
          <w:tcPr>
            <w:tcW w:w="85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(7,719)</w:t>
            </w:r>
          </w:p>
        </w:tc>
      </w:tr>
      <w:tr>
        <w:trPr>
          <w:trHeight w:val="243"/>
        </w:trPr>
        <w:tc>
          <w:tcPr>
            <w:tcW w:w="8540" w:type="dxa"/>
            <w:vAlign w:val="bottom"/>
          </w:tcPr>
          <w:p>
            <w:pPr>
              <w:ind w:left="140"/>
              <w:spacing w:after="0"/>
              <w:rPr>
                <w:sz w:val="20"/>
                <w:szCs w:val="20"/>
                <w:color w:val="auto"/>
              </w:rPr>
            </w:pPr>
            <w:r>
              <w:rPr>
                <w:rFonts w:ascii="Arial" w:cs="Arial" w:eastAsia="Arial" w:hAnsi="Arial"/>
                <w:sz w:val="17"/>
                <w:szCs w:val="17"/>
                <w:color w:val="auto"/>
              </w:rPr>
              <w:t>Other income, net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40"/>
        </w:trPr>
        <w:tc>
          <w:tcPr>
            <w:tcW w:w="8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77"/>
        </w:trPr>
        <w:tc>
          <w:tcPr>
            <w:tcW w:w="8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(expense), net</w:t>
            </w: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516,567</w:t>
            </w:r>
          </w:p>
        </w:tc>
      </w:tr>
      <w:tr>
        <w:trPr>
          <w:trHeight w:val="237"/>
        </w:trPr>
        <w:tc>
          <w:tcPr>
            <w:tcW w:w="8540" w:type="dxa"/>
            <w:vAlign w:val="bottom"/>
          </w:tcPr>
          <w:p>
            <w:pPr>
              <w:ind w:left="20"/>
              <w:spacing w:after="0"/>
              <w:rPr>
                <w:sz w:val="20"/>
                <w:szCs w:val="20"/>
                <w:color w:val="auto"/>
              </w:rPr>
            </w:pPr>
            <w:r>
              <w:rPr>
                <w:rFonts w:ascii="Arial" w:cs="Arial" w:eastAsia="Arial" w:hAnsi="Arial"/>
                <w:sz w:val="17"/>
                <w:szCs w:val="17"/>
                <w:color w:val="auto"/>
              </w:rPr>
              <w:t>Loss before provision for income taxes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(779,399)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(80,963)</w:t>
            </w:r>
          </w:p>
        </w:tc>
      </w:tr>
      <w:tr>
        <w:trPr>
          <w:trHeight w:val="40"/>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71"/>
        </w:trPr>
        <w:tc>
          <w:tcPr>
            <w:tcW w:w="854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16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(779,528)</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(81,286)</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02"/>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common stockholders, basic</w:t>
            </w: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8540" w:type="dxa"/>
            <w:vAlign w:val="bottom"/>
          </w:tcPr>
          <w:p>
            <w:pPr>
              <w:ind w:left="140"/>
              <w:spacing w:after="0"/>
              <w:rPr>
                <w:sz w:val="20"/>
                <w:szCs w:val="20"/>
                <w:color w:val="auto"/>
              </w:rPr>
            </w:pPr>
            <w:r>
              <w:rPr>
                <w:rFonts w:ascii="Arial" w:cs="Arial" w:eastAsia="Arial" w:hAnsi="Arial"/>
                <w:sz w:val="17"/>
                <w:szCs w:val="17"/>
                <w:color w:val="auto"/>
              </w:rPr>
              <w:t>Change in fair value of dilutive warrants</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(523,330)</w:t>
            </w:r>
          </w:p>
        </w:tc>
      </w:tr>
      <w:tr>
        <w:trPr>
          <w:trHeight w:val="40"/>
        </w:trPr>
        <w:tc>
          <w:tcPr>
            <w:tcW w:w="8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common stockholders,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(604,616)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attributable to common stockholders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4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2"/>
              </w:rPr>
              <w:t>1,831,725,009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2"/>
              </w:rPr>
              <w:t>1,654,322,379</w:t>
            </w:r>
          </w:p>
        </w:tc>
      </w:tr>
      <w:tr>
        <w:trPr>
          <w:trHeight w:val="40"/>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8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1,831,725,009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1,681,545,859</w:t>
            </w:r>
          </w:p>
        </w:tc>
      </w:tr>
      <w:tr>
        <w:trPr>
          <w:trHeight w:val="256"/>
        </w:trPr>
        <w:tc>
          <w:tcPr>
            <w:tcW w:w="8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attributable to common stockholders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40"/>
              <w:spacing w:after="0"/>
              <w:rPr>
                <w:sz w:val="20"/>
                <w:szCs w:val="20"/>
                <w:color w:val="auto"/>
              </w:rPr>
            </w:pPr>
            <w:r>
              <w:rPr>
                <w:rFonts w:ascii="Arial" w:cs="Arial" w:eastAsia="Arial" w:hAnsi="Arial"/>
                <w:sz w:val="17"/>
                <w:szCs w:val="17"/>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40"/>
        </w:trPr>
        <w:tc>
          <w:tcPr>
            <w:tcW w:w="8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8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56"/>
        </w:trPr>
        <w:tc>
          <w:tcPr>
            <w:tcW w:w="8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140"/>
              <w:spacing w:after="0"/>
              <w:rPr>
                <w:sz w:val="20"/>
                <w:szCs w:val="20"/>
                <w:color w:val="auto"/>
              </w:rPr>
            </w:pPr>
            <w:r>
              <w:rPr>
                <w:rFonts w:ascii="Arial" w:cs="Arial" w:eastAsia="Arial" w:hAnsi="Arial"/>
                <w:sz w:val="17"/>
                <w:szCs w:val="17"/>
                <w:color w:val="auto"/>
              </w:rPr>
              <w:t>Net unrealized gains on investments, net of tax</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85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(775,493)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8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45"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7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31750</wp:posOffset>
            </wp:positionV>
            <wp:extent cx="1560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40"/>
        </w:trPr>
        <w:tc>
          <w:tcPr>
            <w:tcW w:w="8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(779,528)</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(81,286)</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38,242</w:t>
            </w:r>
          </w:p>
        </w:tc>
      </w:tr>
      <w:tr>
        <w:trPr>
          <w:trHeight w:val="41"/>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insurance premium</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4,104</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53,819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174,551</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Inventory and firm purchase commitments write-downs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227,048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96,366</w:t>
            </w:r>
          </w:p>
        </w:tc>
      </w:tr>
      <w:tr>
        <w:trPr>
          <w:trHeight w:val="41"/>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40,802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(523,330)</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Other non-cash items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41"/>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2,281</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(354,154)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(303,022)</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20,523</w:t>
            </w:r>
          </w:p>
        </w:tc>
      </w:tr>
      <w:tr>
        <w:trPr>
          <w:trHeight w:val="41"/>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(49,625)</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(11,175)</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(66,174)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(3,607)</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128,060</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4"/>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37"/>
        </w:trPr>
        <w:tc>
          <w:tcPr>
            <w:tcW w:w="8780" w:type="dxa"/>
            <w:vAlign w:val="bottom"/>
          </w:tcPr>
          <w:p>
            <w:pPr>
              <w:ind w:left="5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(801,264)</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(494,649)</w:t>
            </w:r>
          </w:p>
        </w:tc>
      </w:tr>
      <w:tr>
        <w:trPr>
          <w:trHeight w:val="40"/>
        </w:trPr>
        <w:tc>
          <w:tcPr>
            <w:tcW w:w="8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(241,770)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(185,082)</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(842,538)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Proceeds from maturities of investments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1,041,151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Proceeds from insurance claims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8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77"/>
        </w:trPr>
        <w:tc>
          <w:tcPr>
            <w:tcW w:w="8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(185,082)</w:t>
            </w: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for short-term insurance financing note</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(12,949)</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Payment for finance lease liabilities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w:t>
            </w:r>
          </w:p>
        </w:tc>
      </w:tr>
      <w:tr>
        <w:trPr>
          <w:trHeight w:val="40"/>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4"/>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9,114</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Tax withholding payments for net settlement of employee awards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(182,265)</w:t>
            </w:r>
          </w:p>
        </w:tc>
      </w:tr>
      <w:tr>
        <w:trPr>
          <w:trHeight w:val="41"/>
        </w:trPr>
        <w:tc>
          <w:tcPr>
            <w:tcW w:w="8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77"/>
        </w:trPr>
        <w:tc>
          <w:tcPr>
            <w:tcW w:w="8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(187,301)</w:t>
            </w:r>
          </w:p>
        </w:tc>
      </w:tr>
      <w:tr>
        <w:trPr>
          <w:trHeight w:val="236"/>
        </w:trPr>
        <w:tc>
          <w:tcPr>
            <w:tcW w:w="87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(835,725)</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(867,032)</w:t>
            </w:r>
          </w:p>
        </w:tc>
      </w:tr>
      <w:tr>
        <w:trPr>
          <w:trHeight w:val="41"/>
        </w:trPr>
        <w:tc>
          <w:tcPr>
            <w:tcW w:w="8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cash, cash equivalents, and restricted cash</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1,737,320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6,298,020</w:t>
            </w:r>
          </w:p>
        </w:tc>
      </w:tr>
      <w:tr>
        <w:trPr>
          <w:trHeight w:val="271"/>
        </w:trPr>
        <w:tc>
          <w:tcPr>
            <w:tcW w:w="8780" w:type="dxa"/>
            <w:vAlign w:val="bottom"/>
          </w:tcPr>
          <w:p>
            <w:pPr>
              <w:ind w:left="20"/>
              <w:spacing w:after="0"/>
              <w:rPr>
                <w:sz w:val="20"/>
                <w:szCs w:val="20"/>
                <w:color w:val="auto"/>
              </w:rPr>
            </w:pPr>
            <w:r>
              <w:rPr>
                <w:rFonts w:ascii="Arial" w:cs="Arial" w:eastAsia="Arial" w:hAnsi="Arial"/>
                <w:sz w:val="18"/>
                <w:szCs w:val="18"/>
                <w:color w:val="auto"/>
              </w:rPr>
              <w:t>Ending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901,595</w:t>
            </w:r>
          </w:p>
        </w:tc>
        <w:tc>
          <w:tcPr>
            <w:tcW w:w="8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5,430,988</w:t>
            </w:r>
          </w:p>
        </w:tc>
      </w:tr>
      <w:tr>
        <w:trPr>
          <w:trHeight w:val="27"/>
        </w:trPr>
        <w:tc>
          <w:tcPr>
            <w:tcW w:w="8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783" w:right="33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83" w:right="339" w:bottom="1440" w:gutter="0" w:footer="0" w:header="0"/>
          <w:type w:val="continuous"/>
        </w:sectPr>
      </w:pPr>
    </w:p>
    <w:bookmarkStart w:id="9" w:name="page10"/>
    <w:bookmarkEnd w:id="9"/>
    <w:p>
      <w:pPr>
        <w:jc w:val="center"/>
        <w:ind w:left="3024"/>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left="3024"/>
        <w:spacing w:after="0"/>
        <w:rPr>
          <w:sz w:val="20"/>
          <w:szCs w:val="20"/>
          <w:color w:val="auto"/>
        </w:rPr>
      </w:pPr>
      <w:r>
        <w:rPr>
          <w:rFonts w:ascii="Arial" w:cs="Arial" w:eastAsia="Arial" w:hAnsi="Arial"/>
          <w:sz w:val="16"/>
          <w:szCs w:val="16"/>
          <w:b w:val="1"/>
          <w:bCs w:val="1"/>
          <w:color w:val="auto"/>
        </w:rPr>
        <w:t>Reconciliation of GAAP to Non-GAAP Financials Measures</w:t>
      </w:r>
    </w:p>
    <w:p>
      <w:pPr>
        <w:spacing w:after="0" w:line="32" w:lineRule="exact"/>
        <w:rPr>
          <w:sz w:val="20"/>
          <w:szCs w:val="20"/>
          <w:color w:val="auto"/>
        </w:rPr>
      </w:pPr>
    </w:p>
    <w:p>
      <w:pPr>
        <w:jc w:val="center"/>
        <w:ind w:left="3024"/>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3024"/>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loss (GAAP)</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 of common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EBITDA (non-GAAP)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 used in operating activities (GAAP)</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Free cash flow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52" w:lineRule="exact"/>
        <w:rPr>
          <w:sz w:val="20"/>
          <w:szCs w:val="20"/>
          <w:color w:val="auto"/>
        </w:rPr>
      </w:pPr>
    </w:p>
    <w:p>
      <w:pPr>
        <w:ind w:left="364"/>
        <w:spacing w:after="0"/>
        <w:tabs>
          <w:tab w:leader="none" w:pos="1544"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90" w:lineRule="exact"/>
        <w:rPr>
          <w:sz w:val="20"/>
          <w:szCs w:val="20"/>
          <w:color w:val="auto"/>
        </w:rPr>
      </w:pPr>
    </w:p>
    <w:p>
      <w:pPr>
        <w:ind w:left="4"/>
        <w:spacing w:after="0"/>
        <w:tabs>
          <w:tab w:leader="none" w:pos="344" w:val="left"/>
          <w:tab w:leader="none" w:pos="1644" w:val="left"/>
        </w:tabs>
        <w:rPr>
          <w:sz w:val="20"/>
          <w:szCs w:val="20"/>
          <w:color w:val="auto"/>
        </w:rPr>
      </w:pPr>
      <w:r>
        <w:rPr>
          <w:rFonts w:ascii="Arial" w:cs="Arial" w:eastAsia="Arial" w:hAnsi="Arial"/>
          <w:sz w:val="18"/>
          <w:szCs w:val="18"/>
          <w:b w:val="1"/>
          <w:bCs w:val="1"/>
          <w:color w:val="auto"/>
        </w:rPr>
        <w:t>$</w:t>
        <w:tab/>
        <w:t>(779,528)  $</w:t>
      </w:r>
      <w:r>
        <w:rPr>
          <w:sz w:val="20"/>
          <w:szCs w:val="20"/>
          <w:color w:val="auto"/>
        </w:rPr>
        <w:tab/>
      </w:r>
      <w:r>
        <w:rPr>
          <w:rFonts w:ascii="Arial" w:cs="Arial" w:eastAsia="Arial" w:hAnsi="Arial"/>
          <w:sz w:val="16"/>
          <w:szCs w:val="16"/>
          <w:b w:val="1"/>
          <w:bCs w:val="1"/>
          <w:color w:val="auto"/>
        </w:rPr>
        <w:t>(81,286)</w:t>
      </w:r>
    </w:p>
    <w:p>
      <w:pPr>
        <w:spacing w:after="0" w:line="81" w:lineRule="exact"/>
        <w:rPr>
          <w:sz w:val="20"/>
          <w:szCs w:val="20"/>
          <w:color w:val="auto"/>
        </w:rPr>
      </w:pPr>
    </w:p>
    <w:p>
      <w:pPr>
        <w:ind w:left="624"/>
        <w:spacing w:after="0"/>
        <w:tabs>
          <w:tab w:leader="none" w:pos="1804" w:val="left"/>
        </w:tabs>
        <w:rPr>
          <w:sz w:val="20"/>
          <w:szCs w:val="20"/>
          <w:color w:val="auto"/>
        </w:rPr>
      </w:pPr>
      <w:r>
        <w:rPr>
          <w:rFonts w:ascii="Arial" w:cs="Arial" w:eastAsia="Arial" w:hAnsi="Arial"/>
          <w:sz w:val="18"/>
          <w:szCs w:val="18"/>
          <w:color w:val="auto"/>
        </w:rPr>
        <w:t>7,108</w:t>
      </w:r>
      <w:r>
        <w:rPr>
          <w:sz w:val="20"/>
          <w:szCs w:val="20"/>
          <w:color w:val="auto"/>
        </w:rPr>
        <w:tab/>
      </w:r>
      <w:r>
        <w:rPr>
          <w:rFonts w:ascii="Arial" w:cs="Arial" w:eastAsia="Arial" w:hAnsi="Arial"/>
          <w:sz w:val="18"/>
          <w:szCs w:val="18"/>
          <w:color w:val="auto"/>
        </w:rPr>
        <w:t>7,719</w:t>
      </w:r>
    </w:p>
    <w:p>
      <w:pPr>
        <w:spacing w:after="0" w:line="77" w:lineRule="exact"/>
        <w:rPr>
          <w:sz w:val="20"/>
          <w:szCs w:val="20"/>
          <w:color w:val="auto"/>
        </w:rPr>
      </w:pPr>
    </w:p>
    <w:p>
      <w:pPr>
        <w:ind w:left="464"/>
        <w:spacing w:after="0"/>
        <w:tabs>
          <w:tab w:leader="none" w:pos="2024" w:val="left"/>
        </w:tabs>
        <w:rPr>
          <w:sz w:val="20"/>
          <w:szCs w:val="20"/>
          <w:color w:val="auto"/>
        </w:rPr>
      </w:pPr>
      <w:r>
        <w:rPr>
          <w:rFonts w:ascii="Arial" w:cs="Arial" w:eastAsia="Arial" w:hAnsi="Arial"/>
          <w:sz w:val="18"/>
          <w:szCs w:val="18"/>
          <w:color w:val="auto"/>
        </w:rPr>
        <w:t>(40,005)</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1964" w:hanging="1203"/>
        <w:spacing w:after="0"/>
        <w:tabs>
          <w:tab w:leader="none" w:pos="1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323</w:t>
      </w:r>
    </w:p>
    <w:p>
      <w:pPr>
        <w:spacing w:after="0" w:line="76"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49,838</w:t>
      </w:r>
      <w:r>
        <w:rPr>
          <w:rFonts w:ascii="Arial" w:cs="Arial" w:eastAsia="Arial" w:hAnsi="Arial"/>
          <w:sz w:val="15"/>
          <w:szCs w:val="15"/>
          <w:color w:val="auto"/>
        </w:rPr>
        <w:t>38,242</w:t>
      </w:r>
    </w:p>
    <w:p>
      <w:pPr>
        <w:spacing w:after="0" w:line="76"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40,802</w:t>
      </w:r>
      <w:r>
        <w:rPr>
          <w:rFonts w:ascii="Arial" w:cs="Arial" w:eastAsia="Arial" w:hAnsi="Arial"/>
          <w:sz w:val="16"/>
          <w:szCs w:val="16"/>
          <w:color w:val="auto"/>
        </w:rPr>
        <w:t>(523,330)</w:t>
      </w:r>
    </w:p>
    <w:p>
      <w:pPr>
        <w:spacing w:after="0" w:line="76"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55,262</w:t>
      </w:r>
      <w:r>
        <w:rPr>
          <w:rFonts w:ascii="Arial" w:cs="Arial" w:eastAsia="Arial" w:hAnsi="Arial"/>
          <w:sz w:val="16"/>
          <w:szCs w:val="16"/>
          <w:color w:val="auto"/>
        </w:rPr>
        <w:t>174,551</w:t>
      </w:r>
    </w:p>
    <w:p>
      <w:pPr>
        <w:spacing w:after="0" w:line="77" w:lineRule="exact"/>
        <w:rPr>
          <w:sz w:val="20"/>
          <w:szCs w:val="20"/>
          <w:color w:val="auto"/>
        </w:rPr>
      </w:pPr>
    </w:p>
    <w:p>
      <w:pPr>
        <w:ind w:left="544"/>
        <w:spacing w:after="0"/>
        <w:tabs>
          <w:tab w:leader="none" w:pos="2024" w:val="left"/>
        </w:tabs>
        <w:rPr>
          <w:sz w:val="20"/>
          <w:szCs w:val="20"/>
          <w:color w:val="auto"/>
        </w:rPr>
      </w:pPr>
      <w:r>
        <w:rPr>
          <w:rFonts w:ascii="Arial" w:cs="Arial" w:eastAsia="Arial" w:hAnsi="Arial"/>
          <w:sz w:val="18"/>
          <w:szCs w:val="18"/>
          <w:color w:val="auto"/>
        </w:rPr>
        <w:t>22,496</w:t>
      </w:r>
      <w:r>
        <w:rPr>
          <w:sz w:val="20"/>
          <w:szCs w:val="20"/>
          <w:color w:val="auto"/>
        </w:rPr>
        <w:tab/>
      </w:r>
      <w:r>
        <w:rPr>
          <w:rFonts w:ascii="Arial" w:cs="Arial" w:eastAsia="Arial" w:hAnsi="Arial"/>
          <w:sz w:val="18"/>
          <w:szCs w:val="18"/>
          <w:color w:val="auto"/>
        </w:rPr>
        <w:t>—</w:t>
      </w:r>
    </w:p>
    <w:p>
      <w:pPr>
        <w:spacing w:after="0" w:line="86" w:lineRule="exact"/>
        <w:rPr>
          <w:sz w:val="20"/>
          <w:szCs w:val="20"/>
          <w:color w:val="auto"/>
        </w:rPr>
      </w:pPr>
    </w:p>
    <w:p>
      <w:pPr>
        <w:ind w:left="364" w:hanging="364"/>
        <w:spacing w:after="0"/>
        <w:tabs>
          <w:tab w:leader="none" w:pos="36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(643,898)  $   (383,781)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52" w:lineRule="exact"/>
        <w:rPr>
          <w:sz w:val="20"/>
          <w:szCs w:val="20"/>
          <w:color w:val="auto"/>
        </w:rPr>
      </w:pPr>
    </w:p>
    <w:p>
      <w:pPr>
        <w:ind w:left="364"/>
        <w:spacing w:after="0"/>
        <w:tabs>
          <w:tab w:leader="none" w:pos="1544"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90" w:lineRule="exact"/>
        <w:rPr>
          <w:sz w:val="20"/>
          <w:szCs w:val="20"/>
          <w:color w:val="auto"/>
        </w:rPr>
      </w:pPr>
    </w:p>
    <w:p>
      <w:pPr>
        <w:ind w:left="364" w:hanging="364"/>
        <w:spacing w:after="0"/>
        <w:tabs>
          <w:tab w:leader="none" w:pos="36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(801,264)  $   (494,649)</w:t>
      </w:r>
    </w:p>
    <w:p>
      <w:pPr>
        <w:spacing w:after="0" w:line="80" w:lineRule="exact"/>
        <w:rPr>
          <w:rFonts w:ascii="Arial" w:cs="Arial" w:eastAsia="Arial" w:hAnsi="Arial"/>
          <w:sz w:val="18"/>
          <w:szCs w:val="18"/>
          <w:b w:val="1"/>
          <w:bCs w:val="1"/>
          <w:color w:val="auto"/>
        </w:rPr>
      </w:pPr>
    </w:p>
    <w:p>
      <w:pPr>
        <w:ind w:left="364"/>
        <w:spacing w:after="0"/>
        <w:rPr>
          <w:rFonts w:ascii="Arial" w:cs="Arial" w:eastAsia="Arial" w:hAnsi="Arial"/>
          <w:sz w:val="18"/>
          <w:szCs w:val="18"/>
          <w:b w:val="1"/>
          <w:bCs w:val="1"/>
          <w:color w:val="auto"/>
        </w:rPr>
      </w:pPr>
      <w:r>
        <w:rPr>
          <w:rFonts w:ascii="Arial" w:cs="Arial" w:eastAsia="Arial" w:hAnsi="Arial"/>
          <w:sz w:val="18"/>
          <w:szCs w:val="18"/>
          <w:color w:val="auto"/>
        </w:rPr>
        <w:t>(241,770)</w:t>
      </w:r>
      <w:r>
        <w:rPr>
          <w:rFonts w:ascii="Arial" w:cs="Arial" w:eastAsia="Arial" w:hAnsi="Arial"/>
          <w:sz w:val="16"/>
          <w:szCs w:val="16"/>
          <w:color w:val="auto"/>
        </w:rPr>
        <w:t>(185,082)</w:t>
      </w:r>
    </w:p>
    <w:p>
      <w:pPr>
        <w:spacing w:after="0" w:line="86" w:lineRule="exact"/>
        <w:rPr>
          <w:sz w:val="20"/>
          <w:szCs w:val="20"/>
          <w:color w:val="auto"/>
        </w:rPr>
      </w:pPr>
    </w:p>
    <w:p>
      <w:pPr>
        <w:ind w:left="4"/>
        <w:spacing w:after="0"/>
        <w:tabs>
          <w:tab w:leader="none" w:pos="1544" w:val="left"/>
        </w:tabs>
        <w:rPr>
          <w:sz w:val="20"/>
          <w:szCs w:val="20"/>
          <w:color w:val="auto"/>
        </w:rPr>
      </w:pPr>
      <w:r>
        <w:rPr>
          <w:rFonts w:ascii="Arial" w:cs="Arial" w:eastAsia="Arial" w:hAnsi="Arial"/>
          <w:sz w:val="18"/>
          <w:szCs w:val="18"/>
          <w:b w:val="1"/>
          <w:bCs w:val="1"/>
          <w:color w:val="auto"/>
        </w:rPr>
        <w:t>$  (1,043,034)  $</w:t>
      </w:r>
      <w:r>
        <w:rPr>
          <w:sz w:val="20"/>
          <w:szCs w:val="20"/>
          <w:color w:val="auto"/>
        </w:rPr>
        <w:tab/>
      </w:r>
      <w:r>
        <w:rPr>
          <w:rFonts w:ascii="Arial" w:cs="Arial" w:eastAsia="Arial" w:hAnsi="Arial"/>
          <w:sz w:val="16"/>
          <w:szCs w:val="16"/>
          <w:b w:val="1"/>
          <w:bCs w:val="1"/>
          <w:color w:val="auto"/>
        </w:rPr>
        <w:t>(679,731)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216" w:space="720"/>
            <w:col w:w="2284"/>
          </w:cols>
          <w:pgMar w:left="320" w:top="7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sectPr>
      <w:pgSz w:w="11900" w:h="16838" w:orient="portrait"/>
      <w:cols w:equalWidth="0" w:num="1">
        <w:col w:w="11220"/>
      </w:cols>
      <w:pgMar w:left="320" w:top="78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2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2023-05-08T15:21:32Z</dcterms:created>
  <dcterms:modified xsi:type="dcterms:W3CDTF">2023-05-08T15:21:32Z</dcterms:modified>
</cp:coreProperties>
</file>