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m2314261d1_8k.htm"/>
      <w:bookmarkStart w:id="1" w:name="kstm2314261d1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r>
      <w:r>
        <w:rPr>
          <w:rFonts w:ascii="Times New Roman;Times;Serif" w:hAnsi="Times New Roman;Times;Serif"/>
          <w:b/>
          <w:i w:val="false"/>
          <w:caps w:val="false"/>
          <w:smallCaps w:val="false"/>
          <w:sz w:val="28"/>
        </w:rPr>
        <w:br/>
      </w:r>
      <w:r>
        <w:rPr>
          <w:rFonts w:ascii="Times New Roman;Times;Serif" w:hAnsi="Times New Roman;Times;Serif"/>
          <w:b/>
          <w:i w:val="false"/>
          <w:caps/>
          <w:sz w:val="20"/>
        </w:rPr>
        <w:t>Washington</w:t>
      </w:r>
      <w:r>
        <w:rPr>
          <w:rFonts w:ascii="Times New Roman;Times;Serif" w:hAnsi="Times New Roman;Times;Serif"/>
          <w:b/>
          <w:i w:val="false"/>
          <w:caps w:val="false"/>
          <w:smallCaps w:val="false"/>
          <w:sz w:val="20"/>
        </w:rPr>
        <w:t>, D.C. 20549</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B_edei--DocumentType_c20230427__20"/>
      <w:bookmarkEnd w:id="2"/>
      <w:r>
        <w:rPr>
          <w:rFonts w:ascii="Times New Roman;Times;Serif" w:hAnsi="Times New Roman;Times;Serif"/>
          <w:b/>
          <w:i w:val="false"/>
          <w:caps w:val="false"/>
          <w:smallCaps w:val="false"/>
          <w:sz w:val="36"/>
        </w:rPr>
        <w:t>8-K</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Pursuant to Section 13 </w:t>
      </w:r>
      <w:r>
        <w:rPr>
          <w:rFonts w:ascii="Times New Roman;Times;Serif" w:hAnsi="Times New Roman;Times;Serif"/>
          <w:b/>
          <w:i w:val="false"/>
          <w:caps w:val="false"/>
          <w:smallCaps w:val="false"/>
          <w:sz w:val="24"/>
        </w:rPr>
        <w:t>or</w:t>
      </w:r>
      <w:r>
        <w:rPr>
          <w:rFonts w:ascii="Times New Roman;Times;Serif" w:hAnsi="Times New Roman;Times;Serif"/>
          <w:b/>
          <w:i w:val="false"/>
          <w:caps w:val="false"/>
          <w:smallCaps w:val="false"/>
          <w:sz w:val="24"/>
        </w:rPr>
        <w:t xml:space="preserve"> 15(d) </w:t>
        <w:br/>
        <w:t>of 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April 27, 2023</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3"/>
      <w:bookmarkEnd w:id="4"/>
      <w:r>
        <w:rPr>
          <w:rFonts w:ascii="Times New Roman;Times;Serif" w:hAnsi="Times New Roman;Times;Serif"/>
          <w:b/>
          <w:i w:val="false"/>
          <w:caps w:val="false"/>
          <w:smallCaps w:val="false"/>
          <w:sz w:val="36"/>
        </w:rPr>
        <w:t>Lucid Group,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jc w:val="center"/>
        <w:rPr>
          <w:caps w:val="false"/>
          <w:smallCaps w:val="false"/>
        </w:rPr>
      </w:pPr>
      <w:r>
        <w:rPr>
          <w:caps w:val="false"/>
          <w:smallCaps w:val="false"/>
        </w:rPr>
        <w:t> </w:t>
      </w:r>
    </w:p>
    <w:tbl>
      <w:tblPr>
        <w:tblW w:w="7635" w:type="dxa"/>
        <w:jc w:val="left"/>
        <w:tblInd w:w="0" w:type="dxa"/>
        <w:tblCellMar>
          <w:top w:w="0" w:type="dxa"/>
          <w:left w:w="0" w:type="dxa"/>
          <w:bottom w:w="0" w:type="dxa"/>
          <w:right w:w="0" w:type="dxa"/>
        </w:tblCellMar>
      </w:tblPr>
      <w:tblGrid>
        <w:gridCol w:w="3215"/>
        <w:gridCol w:w="1505"/>
        <w:gridCol w:w="2915"/>
      </w:tblGrid>
      <w:tr>
        <w:trPr/>
        <w:tc>
          <w:tcPr>
            <w:tcW w:w="3215" w:type="dxa"/>
            <w:tcBorders/>
            <w:shd w:fill="auto" w:val="clear"/>
            <w:vAlign w:val="center"/>
          </w:tcPr>
          <w:p>
            <w:pPr>
              <w:pStyle w:val="TableContents"/>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1505" w:type="dxa"/>
            <w:tcBorders/>
            <w:shd w:fill="FFFFFF" w:val="clear"/>
            <w:vAlign w:val="center"/>
          </w:tcPr>
          <w:p>
            <w:pPr>
              <w:pStyle w:val="TableContents"/>
              <w:spacing w:before="0" w:after="283"/>
              <w:jc w:val="center"/>
              <w:rPr>
                <w:rFonts w:ascii="Times New Roman;Times;Serif" w:hAnsi="Times New Roman;Times;Serif"/>
                <w:b/>
                <w:sz w:val="20"/>
              </w:rPr>
            </w:pPr>
            <w:bookmarkStart w:id="6" w:name="xdx_904_edei--EntityFileNumber_c20230427"/>
            <w:bookmarkEnd w:id="6"/>
            <w:r>
              <w:rPr>
                <w:rFonts w:ascii="Times New Roman;Times;Serif" w:hAnsi="Times New Roman;Times;Serif"/>
                <w:b/>
                <w:sz w:val="20"/>
              </w:rPr>
              <w:t>001-39408</w:t>
            </w:r>
          </w:p>
        </w:tc>
        <w:tc>
          <w:tcPr>
            <w:tcW w:w="2915" w:type="dxa"/>
            <w:tcBorders/>
            <w:shd w:fill="auto" w:val="clear"/>
            <w:vAlign w:val="center"/>
          </w:tcPr>
          <w:p>
            <w:pPr>
              <w:pStyle w:val="TableContents"/>
              <w:spacing w:before="0" w:after="283"/>
              <w:jc w:val="center"/>
              <w:rPr>
                <w:rFonts w:ascii="Times New Roman;Times;Serif" w:hAnsi="Times New Roman;Times;Serif"/>
                <w:b/>
                <w:sz w:val="20"/>
              </w:rPr>
            </w:pPr>
            <w:bookmarkStart w:id="7" w:name="xdx_90C_edei--EntityTaxIdentificationNum"/>
            <w:bookmarkEnd w:id="7"/>
            <w:r>
              <w:rPr>
                <w:rFonts w:ascii="Times New Roman;Times;Serif" w:hAnsi="Times New Roman;Times;Serif"/>
                <w:b/>
                <w:sz w:val="20"/>
              </w:rPr>
              <w:t>85-0891392</w:t>
            </w:r>
          </w:p>
        </w:tc>
      </w:tr>
      <w:tr>
        <w:trPr/>
        <w:tc>
          <w:tcPr>
            <w:tcW w:w="32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 )</w:t>
            </w:r>
          </w:p>
        </w:tc>
        <w:tc>
          <w:tcPr>
            <w:tcW w:w="150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 xml:space="preserve">(Commission File </w:t>
              <w:br/>
              <w:t>Number)</w:t>
            </w:r>
          </w:p>
        </w:tc>
        <w:tc>
          <w:tcPr>
            <w:tcW w:w="29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r>
        <w:trPr/>
        <w:tc>
          <w:tcPr>
            <w:tcW w:w="3215" w:type="dxa"/>
            <w:tcBorders/>
            <w:shd w:fill="auto" w:val="clear"/>
            <w:vAlign w:val="center"/>
          </w:tcPr>
          <w:p>
            <w:pPr>
              <w:pStyle w:val="TableContents"/>
              <w:spacing w:before="0" w:after="283"/>
              <w:rPr/>
            </w:pPr>
            <w:r>
              <w:rPr/>
              <w:t> </w:t>
            </w:r>
          </w:p>
        </w:tc>
        <w:tc>
          <w:tcPr>
            <w:tcW w:w="150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7373 Gateway Blvd</w:t>
            </w:r>
          </w:p>
          <w:p>
            <w:pPr>
              <w:pStyle w:val="TableContents"/>
              <w:spacing w:before="0" w:after="0"/>
              <w:ind w:left="0" w:right="0" w:hanging="0"/>
              <w:jc w:val="center"/>
              <w:rPr>
                <w:rFonts w:ascii="Times New Roman;Times;Serif" w:hAnsi="Times New Roman;Times;Serif"/>
                <w:b w:val="false"/>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Newark, </w:t>
            </w:r>
            <w:bookmarkStart w:id="10" w:name="xdx_905_edei--EntityAddressStateOrProvin"/>
            <w:bookmarkEnd w:id="10"/>
            <w:r>
              <w:rPr>
                <w:rFonts w:ascii="Times New Roman;Times;Serif" w:hAnsi="Times New Roman;Times;Serif"/>
                <w:b/>
                <w:i w:val="false"/>
                <w:caps w:val="false"/>
                <w:smallCaps w:val="false"/>
                <w:sz w:val="20"/>
              </w:rPr>
              <w:t>CA</w:t>
            </w:r>
          </w:p>
        </w:tc>
        <w:tc>
          <w:tcPr>
            <w:tcW w:w="1505" w:type="dxa"/>
            <w:tcBorders/>
            <w:shd w:fill="auto" w:val="clear"/>
            <w:vAlign w:val="center"/>
          </w:tcPr>
          <w:p>
            <w:pPr>
              <w:pStyle w:val="TableContents"/>
              <w:spacing w:before="0" w:after="283"/>
              <w:jc w:val="center"/>
              <w:rPr/>
            </w:pPr>
            <w:r>
              <w:rPr/>
              <w:t> </w:t>
            </w:r>
          </w:p>
        </w:tc>
        <w:tc>
          <w:tcPr>
            <w:tcW w:w="2915" w:type="dxa"/>
            <w:tcBorders/>
            <w:shd w:fill="auto" w:val="clear"/>
            <w:vAlign w:val="center"/>
          </w:tcPr>
          <w:p>
            <w:pPr>
              <w:pStyle w:val="TableContents"/>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94560</w:t>
            </w:r>
          </w:p>
        </w:tc>
      </w:tr>
      <w:tr>
        <w:trPr/>
        <w:tc>
          <w:tcPr>
            <w:tcW w:w="32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505" w:type="dxa"/>
            <w:tcBorders/>
            <w:shd w:fill="auto" w:val="clear"/>
            <w:vAlign w:val="center"/>
          </w:tcPr>
          <w:p>
            <w:pPr>
              <w:pStyle w:val="TableContents"/>
              <w:spacing w:before="0" w:after="283"/>
              <w:rPr/>
            </w:pPr>
            <w:r>
              <w:rPr/>
              <w:t> </w:t>
            </w:r>
          </w:p>
        </w:tc>
        <w:tc>
          <w:tcPr>
            <w:tcW w:w="2915" w:type="dxa"/>
            <w:tcBorders/>
            <w:shd w:fill="auto"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ind w:left="0" w:right="0" w:hanging="0"/>
        <w:rPr/>
      </w:pPr>
      <w:r>
        <w:rPr/>
        <w:t> </w:t>
      </w:r>
    </w:p>
    <w:tbl>
      <w:tblPr>
        <w:tblW w:w="5613" w:type="dxa"/>
        <w:jc w:val="left"/>
        <w:tblInd w:w="0" w:type="dxa"/>
        <w:tblCellMar>
          <w:top w:w="0" w:type="dxa"/>
          <w:left w:w="0" w:type="dxa"/>
          <w:bottom w:w="0" w:type="dxa"/>
          <w:right w:w="0" w:type="dxa"/>
        </w:tblCellMar>
      </w:tblPr>
      <w:tblGrid>
        <w:gridCol w:w="1555"/>
        <w:gridCol w:w="1243"/>
        <w:gridCol w:w="1243"/>
        <w:gridCol w:w="1572"/>
      </w:tblGrid>
      <w:tr>
        <w:trPr/>
        <w:tc>
          <w:tcPr>
            <w:tcW w:w="5613" w:type="dxa"/>
            <w:gridSpan w:val="4"/>
            <w:tcBorders/>
            <w:shd w:fill="auto" w:val="clear"/>
            <w:vAlign w:val="center"/>
          </w:tcPr>
          <w:p>
            <w:pPr>
              <w:pStyle w:val="TableContents"/>
              <w:spacing w:before="0" w:after="283"/>
              <w:jc w:val="center"/>
              <w:rPr>
                <w:sz w:val="20"/>
              </w:rPr>
            </w:pPr>
            <w:r>
              <w:rPr>
                <w:sz w:val="20"/>
              </w:rPr>
              <w:t>Registrant’s telephone number, including area code: (</w:t>
            </w:r>
            <w:bookmarkStart w:id="12" w:name="xdx_908_edei--CityAreaCode_c20230427__20"/>
            <w:bookmarkEnd w:id="12"/>
            <w:r>
              <w:rPr>
                <w:sz w:val="20"/>
              </w:rPr>
              <w:t xml:space="preserve">510) </w:t>
            </w:r>
            <w:bookmarkStart w:id="13" w:name="xdx_905_edei--LocalPhoneNumber_c20230427"/>
            <w:bookmarkEnd w:id="13"/>
            <w:r>
              <w:rPr>
                <w:sz w:val="20"/>
              </w:rPr>
              <w:t>648-3553</w:t>
            </w:r>
          </w:p>
        </w:tc>
      </w:tr>
      <w:tr>
        <w:trPr/>
        <w:tc>
          <w:tcPr>
            <w:tcW w:w="5613" w:type="dxa"/>
            <w:gridSpan w:val="4"/>
            <w:tcBorders/>
            <w:shd w:fill="auto" w:val="clear"/>
            <w:vAlign w:val="center"/>
          </w:tcPr>
          <w:p>
            <w:pPr>
              <w:pStyle w:val="TableContents"/>
              <w:spacing w:before="0" w:after="283"/>
              <w:jc w:val="center"/>
              <w:rPr/>
            </w:pPr>
            <w:r>
              <w:rPr/>
              <w:t> </w:t>
            </w:r>
          </w:p>
        </w:tc>
      </w:tr>
      <w:tr>
        <w:trPr/>
        <w:tc>
          <w:tcPr>
            <w:tcW w:w="5613" w:type="dxa"/>
            <w:gridSpan w:val="4"/>
            <w:tcBorders/>
            <w:shd w:fill="auto" w:val="clear"/>
            <w:vAlign w:val="center"/>
          </w:tcPr>
          <w:p>
            <w:pPr>
              <w:pStyle w:val="TableContents"/>
              <w:spacing w:before="0" w:after="283"/>
              <w:jc w:val="center"/>
              <w:rPr>
                <w:sz w:val="20"/>
              </w:rPr>
            </w:pPr>
            <w:r>
              <w:rPr>
                <w:sz w:val="20"/>
              </w:rPr>
              <w:t>(Former name or former address, if changed since last report)</w:t>
            </w:r>
          </w:p>
        </w:tc>
      </w:tr>
      <w:tr>
        <w:trPr/>
        <w:tc>
          <w:tcPr>
            <w:tcW w:w="1555" w:type="dxa"/>
            <w:tcBorders/>
            <w:shd w:fill="auto" w:val="clear"/>
            <w:vAlign w:val="center"/>
          </w:tcPr>
          <w:p>
            <w:pPr>
              <w:pStyle w:val="TableContents"/>
              <w:spacing w:before="0" w:after="283"/>
              <w:rPr/>
            </w:pPr>
            <w:r>
              <w:rPr/>
              <w:t> </w:t>
            </w:r>
          </w:p>
        </w:tc>
        <w:tc>
          <w:tcPr>
            <w:tcW w:w="1243" w:type="dxa"/>
            <w:tcBorders/>
            <w:shd w:fill="auto" w:val="clear"/>
            <w:vAlign w:val="center"/>
          </w:tcPr>
          <w:p>
            <w:pPr>
              <w:pStyle w:val="TableContents"/>
              <w:spacing w:before="0" w:after="283"/>
              <w:rPr/>
            </w:pPr>
            <w:r>
              <w:rPr/>
              <w:t> </w:t>
            </w:r>
          </w:p>
        </w:tc>
        <w:tc>
          <w:tcPr>
            <w:tcW w:w="1243" w:type="dxa"/>
            <w:tcBorders/>
            <w:shd w:fill="auto" w:val="clear"/>
            <w:vAlign w:val="center"/>
          </w:tcPr>
          <w:p>
            <w:pPr>
              <w:pStyle w:val="TableContents"/>
              <w:spacing w:before="0" w:after="283"/>
              <w:rPr/>
            </w:pPr>
            <w:r>
              <w:rPr/>
              <w:t> </w:t>
            </w:r>
          </w:p>
        </w:tc>
        <w:tc>
          <w:tcPr>
            <w:tcW w:w="1572"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4" w:name="xdx_90C_edei--WrittenCommunications_c202"/>
      <w:bookmarkEnd w:id="14"/>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5" w:name="xdx_90A_edei--SolicitingMaterial_c202304"/>
      <w:bookmarkEnd w:id="15"/>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6" w:name="xdx_904_edei--PreCommencementTenderOffer"/>
      <w:bookmarkEnd w:id="16"/>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302" w:right="0" w:hanging="302"/>
        <w:jc w:val="left"/>
        <w:rPr>
          <w:caps w:val="false"/>
          <w:smallCaps w:val="false"/>
        </w:rPr>
      </w:pPr>
      <w:r>
        <w:rPr>
          <w:caps w:val="false"/>
          <w:smallCaps w:val="false"/>
        </w:rPr>
        <w:t> </w:t>
      </w:r>
    </w:p>
    <w:p>
      <w:pPr>
        <w:pStyle w:val="TextBody"/>
        <w:spacing w:before="0" w:after="0"/>
        <w:ind w:left="302" w:right="0" w:hanging="302"/>
        <w:jc w:val="left"/>
        <w:rPr>
          <w:caps w:val="false"/>
          <w:smallCaps w:val="false"/>
        </w:rPr>
      </w:pPr>
      <w:bookmarkStart w:id="17" w:name="xdx_908_edei--PreCommencementIssuerTende"/>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302" w:right="0" w:hanging="302"/>
        <w:jc w:val="both"/>
        <w:rPr>
          <w:caps w:val="false"/>
          <w:smallCaps w:val="false"/>
        </w:rPr>
      </w:pPr>
      <w:r>
        <w:rPr>
          <w:caps w:val="false"/>
          <w:smallCaps w:val="false"/>
        </w:rPr>
        <w:t> </w:t>
      </w:r>
    </w:p>
    <w:tbl>
      <w:tblPr>
        <w:tblW w:w="8835" w:type="dxa"/>
        <w:jc w:val="left"/>
        <w:tblInd w:w="0" w:type="dxa"/>
        <w:tblCellMar>
          <w:top w:w="0" w:type="dxa"/>
          <w:left w:w="0" w:type="dxa"/>
          <w:bottom w:w="28" w:type="dxa"/>
          <w:right w:w="0" w:type="dxa"/>
        </w:tblCellMar>
      </w:tblPr>
      <w:tblGrid>
        <w:gridCol w:w="4280"/>
        <w:gridCol w:w="60"/>
        <w:gridCol w:w="725"/>
        <w:gridCol w:w="60"/>
        <w:gridCol w:w="3710"/>
      </w:tblGrid>
      <w:tr>
        <w:trPr/>
        <w:tc>
          <w:tcPr>
            <w:tcW w:w="428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25"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710"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280" w:type="dxa"/>
            <w:tcBorders/>
            <w:shd w:fill="auto" w:val="clear"/>
            <w:tcMar>
              <w:bottom w:w="0" w:type="dxa"/>
            </w:tcMar>
            <w:vAlign w:val="center"/>
          </w:tcPr>
          <w:p>
            <w:pPr>
              <w:pStyle w:val="TableContents"/>
              <w:spacing w:before="0" w:after="283"/>
              <w:jc w:val="center"/>
              <w:rPr>
                <w:sz w:val="20"/>
              </w:rPr>
            </w:pPr>
            <w:bookmarkStart w:id="18" w:name="xdx_909_edei--Security12bTitle_c20230427"/>
            <w:bookmarkEnd w:id="18"/>
            <w:r>
              <w:rPr>
                <w:sz w:val="20"/>
              </w:rPr>
              <w:t>Class A Common Stock, $0.0001 par value per share</w:t>
            </w:r>
          </w:p>
        </w:tc>
        <w:tc>
          <w:tcPr>
            <w:tcW w:w="60" w:type="dxa"/>
            <w:tcBorders/>
            <w:shd w:fill="auto" w:val="clear"/>
            <w:tcMar>
              <w:bottom w:w="0" w:type="dxa"/>
            </w:tcMar>
            <w:vAlign w:val="center"/>
          </w:tcPr>
          <w:p>
            <w:pPr>
              <w:pStyle w:val="TableContents"/>
              <w:spacing w:before="0" w:after="283"/>
              <w:jc w:val="center"/>
              <w:rPr/>
            </w:pPr>
            <w:r>
              <w:rPr/>
              <w:t> </w:t>
            </w:r>
          </w:p>
        </w:tc>
        <w:tc>
          <w:tcPr>
            <w:tcW w:w="725" w:type="dxa"/>
            <w:tcBorders/>
            <w:shd w:fill="auto" w:val="clear"/>
            <w:tcMar>
              <w:bottom w:w="0" w:type="dxa"/>
            </w:tcMar>
            <w:vAlign w:val="center"/>
          </w:tcPr>
          <w:p>
            <w:pPr>
              <w:pStyle w:val="TableContents"/>
              <w:spacing w:before="0" w:after="283"/>
              <w:jc w:val="center"/>
              <w:rPr>
                <w:sz w:val="20"/>
              </w:rPr>
            </w:pPr>
            <w:bookmarkStart w:id="19" w:name="xdx_90F_edei--TradingSymbol_c20230427__2"/>
            <w:bookmarkEnd w:id="19"/>
            <w:r>
              <w:rPr>
                <w:sz w:val="20"/>
              </w:rPr>
              <w:t>LCID</w:t>
            </w:r>
          </w:p>
        </w:tc>
        <w:tc>
          <w:tcPr>
            <w:tcW w:w="60" w:type="dxa"/>
            <w:tcBorders/>
            <w:shd w:fill="auto" w:val="clear"/>
            <w:tcMar>
              <w:bottom w:w="0" w:type="dxa"/>
            </w:tcMar>
            <w:vAlign w:val="center"/>
          </w:tcPr>
          <w:p>
            <w:pPr>
              <w:pStyle w:val="TableContents"/>
              <w:spacing w:before="0" w:after="283"/>
              <w:jc w:val="center"/>
              <w:rPr/>
            </w:pPr>
            <w:r>
              <w:rPr/>
              <w:t> </w:t>
            </w:r>
          </w:p>
        </w:tc>
        <w:tc>
          <w:tcPr>
            <w:tcW w:w="3710" w:type="dxa"/>
            <w:tcBorders/>
            <w:shd w:fill="auto" w:val="clear"/>
            <w:tcMar>
              <w:bottom w:w="0" w:type="dxa"/>
            </w:tcMar>
            <w:vAlign w:val="center"/>
          </w:tcPr>
          <w:p>
            <w:pPr>
              <w:pStyle w:val="TableContents"/>
              <w:spacing w:before="0" w:after="283"/>
              <w:jc w:val="center"/>
              <w:rPr>
                <w:sz w:val="20"/>
              </w:rPr>
            </w:pPr>
            <w:bookmarkStart w:id="20" w:name="xdx_900_edei--SecurityExchangeName_c2023"/>
            <w:bookmarkEnd w:id="20"/>
            <w:r>
              <w:rPr>
                <w:sz w:val="20"/>
              </w:rPr>
              <w:t>The Nasdaq Stock Market LLC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spacing w:before="0" w:after="0"/>
        <w:ind w:left="0" w:right="0" w:hanging="0"/>
        <w:jc w:val="left"/>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firstLine="360"/>
        <w:jc w:val="center"/>
        <w:rPr>
          <w:caps w:val="false"/>
          <w:smallCaps w:val="false"/>
        </w:rPr>
      </w:pPr>
      <w:r>
        <w:rPr>
          <w:caps w:val="false"/>
          <w:smallCaps w:val="false"/>
        </w:rPr>
        <w:t> </w:t>
      </w:r>
    </w:p>
    <w:p>
      <w:pPr>
        <w:pStyle w:val="TextBody"/>
        <w:spacing w:before="60" w:after="240"/>
        <w:ind w:left="0" w:right="0" w:firstLine="360"/>
        <w:rPr>
          <w:bdr w:val="single" w:sz="8" w:space="1" w:color="000000"/>
        </w:rPr>
      </w:pPr>
      <w:r>
        <w:rPr>
          <w:bdr w:val="single" w:sz="8" w:space="1" w:color="000000"/>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rPr/>
      </w:pPr>
      <w:r>
        <w:rPr/>
        <w:t> </w:t>
      </w:r>
    </w:p>
    <w:p>
      <w:pPr>
        <w:pStyle w:val="TextBody"/>
        <w:rPr/>
      </w:pPr>
      <w:r>
        <w:rPr/>
        <w:t> </w:t>
      </w:r>
    </w:p>
    <w:tbl>
      <w:tblPr>
        <w:tblW w:w="2508" w:type="dxa"/>
        <w:jc w:val="left"/>
        <w:tblInd w:w="0" w:type="dxa"/>
        <w:tblCellMar>
          <w:top w:w="0" w:type="dxa"/>
          <w:left w:w="0" w:type="dxa"/>
          <w:bottom w:w="0" w:type="dxa"/>
          <w:right w:w="0" w:type="dxa"/>
        </w:tblCellMar>
      </w:tblPr>
      <w:tblGrid>
        <w:gridCol w:w="38"/>
        <w:gridCol w:w="1025"/>
        <w:gridCol w:w="1445"/>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b/>
              </w:rPr>
            </w:pPr>
            <w:r>
              <w:rPr>
                <w:b/>
              </w:rPr>
              <w:t>Item 8.01.</w:t>
            </w:r>
          </w:p>
        </w:tc>
        <w:tc>
          <w:tcPr>
            <w:tcW w:w="1445" w:type="dxa"/>
            <w:tcBorders/>
            <w:shd w:fill="auto" w:val="clear"/>
            <w:vAlign w:val="center"/>
          </w:tcPr>
          <w:p>
            <w:pPr>
              <w:pStyle w:val="TableContents"/>
              <w:spacing w:before="0" w:after="283"/>
              <w:rPr>
                <w:b/>
              </w:rPr>
            </w:pPr>
            <w:r>
              <w:rPr>
                <w:b/>
              </w:rPr>
              <w:t>Other Events.</w:t>
            </w:r>
          </w:p>
        </w:tc>
      </w:tr>
    </w:tbl>
    <w:p>
      <w:pPr>
        <w:pStyle w:val="TextBody"/>
        <w:spacing w:before="0" w:after="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3, 2021, Lucid Group,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received a subpoena from the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requesting the production of certain documents in an investigation by the SEC related to the business combination between the Company (f/k/a Churchill Capital Corp IV) and Atieva, Inc. and certain projections and statements. The Company responded and fully cooperated with the SEC in its review.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2023, SEC staff informed the Company that they have concluded the investigation and that they do not intend to recommend an enforcement action by the SEC against the Company.</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4550" w:type="dxa"/>
        <w:jc w:val="left"/>
        <w:tblInd w:w="0" w:type="dxa"/>
        <w:tblCellMar>
          <w:top w:w="0" w:type="dxa"/>
          <w:left w:w="0" w:type="dxa"/>
          <w:bottom w:w="0" w:type="dxa"/>
          <w:right w:w="0" w:type="dxa"/>
        </w:tblCellMar>
      </w:tblPr>
      <w:tblGrid>
        <w:gridCol w:w="665"/>
        <w:gridCol w:w="1295"/>
        <w:gridCol w:w="365"/>
        <w:gridCol w:w="2225"/>
      </w:tblGrid>
      <w:tr>
        <w:trPr/>
        <w:tc>
          <w:tcPr>
            <w:tcW w:w="665" w:type="dxa"/>
            <w:tcBorders/>
            <w:shd w:fill="auto" w:val="clear"/>
            <w:vAlign w:val="center"/>
          </w:tcPr>
          <w:p>
            <w:pPr>
              <w:pStyle w:val="TableContents"/>
              <w:spacing w:before="0" w:after="283"/>
              <w:rPr/>
            </w:pPr>
            <w:r>
              <w:rPr/>
              <w:t>Dated:</w:t>
            </w:r>
          </w:p>
        </w:tc>
        <w:tc>
          <w:tcPr>
            <w:tcW w:w="1295" w:type="dxa"/>
            <w:tcBorders/>
            <w:shd w:fill="auto" w:val="clear"/>
            <w:vAlign w:val="center"/>
          </w:tcPr>
          <w:p>
            <w:pPr>
              <w:pStyle w:val="TableContents"/>
              <w:spacing w:before="0" w:after="283"/>
              <w:rPr/>
            </w:pPr>
            <w:r>
              <w:rPr/>
              <w:t> </w:t>
            </w:r>
            <w:r>
              <w:rPr/>
              <w:t>May 2, 2023</w:t>
            </w:r>
          </w:p>
        </w:tc>
        <w:tc>
          <w:tcPr>
            <w:tcW w:w="2590" w:type="dxa"/>
            <w:gridSpan w:val="2"/>
            <w:tcBorders/>
            <w:shd w:fill="auto" w:val="cle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LUCID GROUP, INC.</w:t>
            </w:r>
          </w:p>
        </w:tc>
      </w:tr>
      <w:tr>
        <w:trPr/>
        <w:tc>
          <w:tcPr>
            <w:tcW w:w="66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left"/>
              <w:rPr/>
            </w:pPr>
            <w:r>
              <w:rPr/>
              <w:t> </w:t>
            </w:r>
          </w:p>
        </w:tc>
        <w:tc>
          <w:tcPr>
            <w:tcW w:w="2225" w:type="dxa"/>
            <w:tcBorders/>
            <w:shd w:fill="auto" w:val="clear"/>
            <w:vAlign w:val="center"/>
          </w:tcPr>
          <w:p>
            <w:pPr>
              <w:pStyle w:val="TableContents"/>
              <w:spacing w:before="0" w:after="283"/>
              <w:jc w:val="both"/>
              <w:rPr/>
            </w:pPr>
            <w:r>
              <w:rPr/>
              <w:t> </w:t>
            </w:r>
          </w:p>
        </w:tc>
      </w:tr>
      <w:tr>
        <w:trPr/>
        <w:tc>
          <w:tcPr>
            <w:tcW w:w="66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left"/>
              <w:rPr/>
            </w:pPr>
            <w:r>
              <w:rPr/>
              <w:t>By:</w:t>
            </w:r>
          </w:p>
        </w:tc>
        <w:tc>
          <w:tcPr>
            <w:tcW w:w="2225" w:type="dxa"/>
            <w:tcBorders>
              <w:bottom w:val="single" w:sz="8" w:space="0" w:color="000000"/>
            </w:tcBorders>
            <w:shd w:fill="auto" w:val="clear"/>
            <w:tcMar>
              <w:bottom w:w="28" w:type="dxa"/>
            </w:tcM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 Sherry House</w:t>
            </w:r>
          </w:p>
        </w:tc>
      </w:tr>
      <w:tr>
        <w:trPr/>
        <w:tc>
          <w:tcPr>
            <w:tcW w:w="66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left"/>
              <w:rPr/>
            </w:pPr>
            <w:r>
              <w:rPr/>
              <w:t> </w:t>
            </w:r>
          </w:p>
        </w:tc>
        <w:tc>
          <w:tcPr>
            <w:tcW w:w="2225" w:type="dxa"/>
            <w:tcBorders/>
            <w:shd w:fill="auto" w:val="clear"/>
            <w:vAlign w:val="center"/>
          </w:tcPr>
          <w:p>
            <w:pPr>
              <w:pStyle w:val="TableContents"/>
              <w:spacing w:before="0" w:after="283"/>
              <w:jc w:val="both"/>
              <w:rPr/>
            </w:pPr>
            <w:r>
              <w:rPr/>
              <w:t>Sherry House</w:t>
            </w:r>
          </w:p>
        </w:tc>
      </w:tr>
      <w:tr>
        <w:trPr/>
        <w:tc>
          <w:tcPr>
            <w:tcW w:w="665" w:type="dxa"/>
            <w:tcBorders/>
            <w:shd w:fill="auto" w:val="clear"/>
            <w:vAlign w:val="center"/>
          </w:tcPr>
          <w:p>
            <w:pPr>
              <w:pStyle w:val="TableContents"/>
              <w:spacing w:before="0" w:after="283"/>
              <w:rPr/>
            </w:pPr>
            <w:r>
              <w:rPr/>
              <w:t> </w:t>
            </w:r>
          </w:p>
        </w:tc>
        <w:tc>
          <w:tcPr>
            <w:tcW w:w="129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jc w:val="left"/>
              <w:rPr/>
            </w:pPr>
            <w:r>
              <w:rPr/>
              <w:t> </w:t>
            </w:r>
          </w:p>
        </w:tc>
        <w:tc>
          <w:tcPr>
            <w:tcW w:w="2225" w:type="dxa"/>
            <w:tcBorders/>
            <w:shd w:fill="auto" w:val="clear"/>
            <w:vAlign w:val="center"/>
          </w:tcPr>
          <w:p>
            <w:pPr>
              <w:pStyle w:val="TableContents"/>
              <w:spacing w:before="0" w:after="283"/>
              <w:jc w:val="both"/>
              <w:rPr/>
            </w:pPr>
            <w:r>
              <w:rPr/>
              <w:t>Chief Financial Officer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454</Words>
  <CharactersWithSpaces>2950</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