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Alnowaiser Turqi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534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2,214,092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time-based vesting of restricted stock units reported on a Form 4 filed on October 27, 2021.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deemed a beneficial owner of 10% of issued and outstanding shares of Class A Common Stock of the Issuer (the "Class A Common Stock") because the reporting person has voting power over 1,659,315,920 shares of Class A Common Stock (the "Ayar Shares") beneficially owned by Ayar Third Investment Company ("Ayar"), a wholly-owned subsidiary of The Public Investment Fund, pursuant to authority delegated to him by the sole manager of Ayar, which Ayar Shares include shares of Class A Common Stock issuable upon conversion of 100,000 shares of Series A Convertible Preferred Stock of the Issuer held by Ayar. The reporting person does not have and disclaims any pecuniary interest in such Ayar Shares.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Turqi Alnowaiser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801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2024-07-25T17:24:20Z</dcterms:created>
  <dcterms:modified xsi:type="dcterms:W3CDTF">2024-07-25T17:24:20Z</dcterms:modified>
</cp:coreProperties>
</file>