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jc w:val="center"/>
        <w:ind w:left="4160" w:right="920" w:hanging="3188"/>
        <w:spacing w:after="0" w:line="476" w:lineRule="auto"/>
        <w:tabs>
          <w:tab w:leader="none" w:pos="1185"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 ended March 31, 2021</w:t>
      </w:r>
    </w:p>
    <w:p>
      <w:pPr>
        <w:spacing w:after="0" w:line="29" w:lineRule="exact"/>
        <w:rPr>
          <w:rFonts w:ascii="MS PGothic" w:cs="MS PGothic" w:eastAsia="MS PGothic" w:hAnsi="MS PGothic"/>
          <w:sz w:val="18"/>
          <w:szCs w:val="18"/>
          <w:color w:val="auto"/>
        </w:rPr>
      </w:pPr>
    </w:p>
    <w:p>
      <w:pPr>
        <w:ind w:left="1140" w:hanging="199"/>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20"/>
        <w:spacing w:after="0"/>
        <w:tabs>
          <w:tab w:leader="none" w:pos="6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001-39408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Churchill Capital Corp IV</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Borders>
              <w:bottom w:val="single" w:sz="8" w:color="auto"/>
            </w:tcBorders>
          </w:tcPr>
          <w:p>
            <w:pPr>
              <w:jc w:val="center"/>
              <w:ind w:left="1250"/>
              <w:spacing w:after="0"/>
              <w:rPr>
                <w:sz w:val="20"/>
                <w:szCs w:val="20"/>
                <w:color w:val="auto"/>
              </w:rPr>
            </w:pPr>
            <w:r>
              <w:rPr>
                <w:rFonts w:ascii="Arial" w:cs="Arial" w:eastAsia="Arial" w:hAnsi="Arial"/>
                <w:sz w:val="18"/>
                <w:szCs w:val="18"/>
                <w:b w:val="1"/>
                <w:bCs w:val="1"/>
                <w:color w:val="auto"/>
                <w:w w:val="91"/>
              </w:rPr>
              <w:t>Delaware</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jc w:val="center"/>
              <w:ind w:right="1610"/>
              <w:spacing w:after="0"/>
              <w:rPr>
                <w:sz w:val="20"/>
                <w:szCs w:val="20"/>
                <w:color w:val="auto"/>
              </w:rPr>
            </w:pPr>
            <w:r>
              <w:rPr>
                <w:rFonts w:ascii="Arial" w:cs="Arial" w:eastAsia="Arial" w:hAnsi="Arial"/>
                <w:sz w:val="18"/>
                <w:szCs w:val="18"/>
                <w:b w:val="1"/>
                <w:bCs w:val="1"/>
                <w:color w:val="auto"/>
                <w:w w:val="89"/>
              </w:rPr>
              <w:t>85-0891392</w:t>
            </w:r>
          </w:p>
        </w:tc>
      </w:tr>
      <w:tr>
        <w:trPr>
          <w:trHeight w:val="195"/>
        </w:trPr>
        <w:tc>
          <w:tcPr>
            <w:tcW w:w="4180" w:type="dxa"/>
            <w:vAlign w:val="bottom"/>
          </w:tcPr>
          <w:p>
            <w:pPr>
              <w:jc w:val="center"/>
              <w:ind w:left="1250"/>
              <w:spacing w:after="0" w:line="195" w:lineRule="exact"/>
              <w:rPr>
                <w:sz w:val="20"/>
                <w:szCs w:val="20"/>
                <w:color w:val="auto"/>
              </w:rPr>
            </w:pPr>
            <w:r>
              <w:rPr>
                <w:rFonts w:ascii="Arial" w:cs="Arial" w:eastAsia="Arial" w:hAnsi="Arial"/>
                <w:sz w:val="18"/>
                <w:szCs w:val="18"/>
                <w:color w:val="auto"/>
                <w:w w:val="92"/>
              </w:rPr>
              <w:t>(State or other jurisdiction of</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800" w:type="dxa"/>
            <w:vAlign w:val="bottom"/>
          </w:tcPr>
          <w:p>
            <w:pPr>
              <w:jc w:val="center"/>
              <w:ind w:right="1610"/>
              <w:spacing w:after="0" w:line="195" w:lineRule="exact"/>
              <w:rPr>
                <w:sz w:val="20"/>
                <w:szCs w:val="20"/>
                <w:color w:val="auto"/>
              </w:rPr>
            </w:pPr>
            <w:r>
              <w:rPr>
                <w:rFonts w:ascii="Arial" w:cs="Arial" w:eastAsia="Arial" w:hAnsi="Arial"/>
                <w:sz w:val="18"/>
                <w:szCs w:val="18"/>
                <w:color w:val="auto"/>
                <w:w w:val="92"/>
              </w:rPr>
              <w:t>(I.R.S. Employer</w:t>
            </w:r>
          </w:p>
        </w:tc>
      </w:tr>
      <w:tr>
        <w:trPr>
          <w:trHeight w:val="230"/>
        </w:trPr>
        <w:tc>
          <w:tcPr>
            <w:tcW w:w="4180" w:type="dxa"/>
            <w:vAlign w:val="bottom"/>
          </w:tcPr>
          <w:p>
            <w:pPr>
              <w:jc w:val="center"/>
              <w:ind w:left="1250"/>
              <w:spacing w:after="0"/>
              <w:rPr>
                <w:sz w:val="20"/>
                <w:szCs w:val="20"/>
                <w:color w:val="auto"/>
              </w:rPr>
            </w:pPr>
            <w:r>
              <w:rPr>
                <w:rFonts w:ascii="Arial" w:cs="Arial" w:eastAsia="Arial" w:hAnsi="Arial"/>
                <w:sz w:val="18"/>
                <w:szCs w:val="18"/>
                <w:color w:val="auto"/>
                <w:w w:val="92"/>
              </w:rPr>
              <w:t>incorporation or organization)</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0" w:type="dxa"/>
            <w:vAlign w:val="bottom"/>
          </w:tcPr>
          <w:p>
            <w:pPr>
              <w:jc w:val="center"/>
              <w:ind w:right="1610"/>
              <w:spacing w:after="0"/>
              <w:rPr>
                <w:sz w:val="20"/>
                <w:szCs w:val="20"/>
                <w:color w:val="auto"/>
              </w:rPr>
            </w:pPr>
            <w:r>
              <w:rPr>
                <w:rFonts w:ascii="Arial" w:cs="Arial" w:eastAsia="Arial" w:hAnsi="Arial"/>
                <w:sz w:val="18"/>
                <w:szCs w:val="18"/>
                <w:color w:val="auto"/>
                <w:w w:val="95"/>
              </w:rPr>
              <w:t>Identification No.)</w:t>
            </w:r>
          </w:p>
        </w:tc>
      </w:tr>
      <w:tr>
        <w:trPr>
          <w:trHeight w:val="454"/>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20" w:type="dxa"/>
            <w:vAlign w:val="bottom"/>
            <w:gridSpan w:val="5"/>
          </w:tcPr>
          <w:p>
            <w:pPr>
              <w:jc w:val="center"/>
              <w:ind w:right="700"/>
              <w:spacing w:after="0"/>
              <w:rPr>
                <w:sz w:val="20"/>
                <w:szCs w:val="20"/>
                <w:color w:val="auto"/>
              </w:rPr>
            </w:pPr>
            <w:r>
              <w:rPr>
                <w:rFonts w:ascii="Arial" w:cs="Arial" w:eastAsia="Arial" w:hAnsi="Arial"/>
                <w:sz w:val="18"/>
                <w:szCs w:val="18"/>
                <w:b w:val="1"/>
                <w:bCs w:val="1"/>
                <w:color w:val="auto"/>
                <w:w w:val="89"/>
              </w:rPr>
              <w:t>640 Fifth Avenue, 12</w:t>
            </w:r>
            <w:r>
              <w:rPr>
                <w:rFonts w:ascii="Arial" w:cs="Arial" w:eastAsia="Arial" w:hAnsi="Arial"/>
                <w:sz w:val="29"/>
                <w:szCs w:val="29"/>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3800" w:type="dxa"/>
            <w:vAlign w:val="bottom"/>
          </w:tcPr>
          <w:p>
            <w:pPr>
              <w:spacing w:after="0"/>
              <w:rPr>
                <w:sz w:val="24"/>
                <w:szCs w:val="24"/>
                <w:color w:val="auto"/>
              </w:rPr>
            </w:pPr>
          </w:p>
        </w:tc>
      </w:tr>
      <w:tr>
        <w:trPr>
          <w:trHeight w:val="220"/>
        </w:trPr>
        <w:tc>
          <w:tcPr>
            <w:tcW w:w="4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20" w:type="dxa"/>
            <w:vAlign w:val="bottom"/>
            <w:gridSpan w:val="5"/>
          </w:tcPr>
          <w:p>
            <w:pPr>
              <w:jc w:val="center"/>
              <w:ind w:right="720"/>
              <w:spacing w:after="0"/>
              <w:rPr>
                <w:sz w:val="20"/>
                <w:szCs w:val="20"/>
                <w:color w:val="auto"/>
              </w:rPr>
            </w:pPr>
            <w:r>
              <w:rPr>
                <w:rFonts w:ascii="Arial" w:cs="Arial" w:eastAsia="Arial" w:hAnsi="Arial"/>
                <w:sz w:val="18"/>
                <w:szCs w:val="18"/>
                <w:b w:val="1"/>
                <w:bCs w:val="1"/>
                <w:color w:val="auto"/>
                <w:w w:val="92"/>
              </w:rPr>
              <w:t>New York, NY 10019</w:t>
            </w:r>
          </w:p>
        </w:tc>
        <w:tc>
          <w:tcPr>
            <w:tcW w:w="3800" w:type="dxa"/>
            <w:vAlign w:val="bottom"/>
          </w:tcPr>
          <w:p>
            <w:pPr>
              <w:spacing w:after="0"/>
              <w:rPr>
                <w:sz w:val="19"/>
                <w:szCs w:val="19"/>
                <w:color w:val="auto"/>
              </w:rPr>
            </w:pPr>
          </w:p>
        </w:tc>
      </w:tr>
      <w:tr>
        <w:trPr>
          <w:trHeight w:val="230"/>
        </w:trPr>
        <w:tc>
          <w:tcPr>
            <w:tcW w:w="4180" w:type="dxa"/>
            <w:vAlign w:val="bottom"/>
          </w:tcPr>
          <w:p>
            <w:pPr>
              <w:spacing w:after="0"/>
              <w:rPr>
                <w:sz w:val="20"/>
                <w:szCs w:val="20"/>
                <w:color w:val="auto"/>
              </w:rPr>
            </w:pPr>
          </w:p>
        </w:tc>
        <w:tc>
          <w:tcPr>
            <w:tcW w:w="3260" w:type="dxa"/>
            <w:vAlign w:val="bottom"/>
            <w:gridSpan w:val="7"/>
          </w:tcPr>
          <w:p>
            <w:pPr>
              <w:jc w:val="center"/>
              <w:ind w:right="36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spacing w:after="0"/>
              <w:rPr>
                <w:sz w:val="20"/>
                <w:szCs w:val="20"/>
                <w:color w:val="auto"/>
              </w:rPr>
            </w:pPr>
          </w:p>
        </w:tc>
      </w:tr>
      <w:tr>
        <w:trPr>
          <w:trHeight w:val="418"/>
        </w:trPr>
        <w:tc>
          <w:tcPr>
            <w:tcW w:w="4180" w:type="dxa"/>
            <w:vAlign w:val="bottom"/>
          </w:tcPr>
          <w:p>
            <w:pPr>
              <w:spacing w:after="0"/>
              <w:rPr>
                <w:sz w:val="24"/>
                <w:szCs w:val="24"/>
                <w:color w:val="auto"/>
              </w:rPr>
            </w:pPr>
          </w:p>
        </w:tc>
        <w:tc>
          <w:tcPr>
            <w:tcW w:w="2580" w:type="dxa"/>
            <w:vAlign w:val="bottom"/>
            <w:gridSpan w:val="5"/>
          </w:tcPr>
          <w:p>
            <w:pPr>
              <w:jc w:val="center"/>
              <w:ind w:left="210"/>
              <w:spacing w:after="0"/>
              <w:rPr>
                <w:sz w:val="20"/>
                <w:szCs w:val="20"/>
                <w:color w:val="auto"/>
              </w:rPr>
            </w:pPr>
            <w:r>
              <w:rPr>
                <w:rFonts w:ascii="Arial" w:cs="Arial" w:eastAsia="Arial" w:hAnsi="Arial"/>
                <w:sz w:val="18"/>
                <w:szCs w:val="18"/>
                <w:b w:val="1"/>
                <w:bCs w:val="1"/>
                <w:color w:val="auto"/>
                <w:w w:val="90"/>
              </w:rPr>
              <w:t>(212) 380-7500</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230"/>
        </w:trPr>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700"/>
              <w:spacing w:after="0"/>
              <w:rPr>
                <w:sz w:val="20"/>
                <w:szCs w:val="20"/>
                <w:color w:val="auto"/>
              </w:rPr>
            </w:pPr>
            <w:r>
              <w:rPr>
                <w:rFonts w:ascii="Arial" w:cs="Arial" w:eastAsia="Arial" w:hAnsi="Arial"/>
                <w:sz w:val="18"/>
                <w:szCs w:val="18"/>
                <w:color w:val="auto"/>
                <w:w w:val="90"/>
              </w:rPr>
              <w:t>(Issuer’s telephone number)</w:t>
            </w:r>
          </w:p>
        </w:tc>
        <w:tc>
          <w:tcPr>
            <w:tcW w:w="3800" w:type="dxa"/>
            <w:vAlign w:val="bottom"/>
          </w:tcPr>
          <w:p>
            <w:pPr>
              <w:spacing w:after="0"/>
              <w:rPr>
                <w:sz w:val="20"/>
                <w:szCs w:val="20"/>
                <w:color w:val="auto"/>
              </w:rPr>
            </w:pPr>
          </w:p>
        </w:tc>
      </w:tr>
      <w:tr>
        <w:trPr>
          <w:trHeight w:val="432"/>
        </w:trPr>
        <w:tc>
          <w:tcPr>
            <w:tcW w:w="4180" w:type="dxa"/>
            <w:vAlign w:val="bottom"/>
          </w:tcPr>
          <w:p>
            <w:pPr>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414"/>
        </w:trPr>
        <w:tc>
          <w:tcPr>
            <w:tcW w:w="4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0" w:type="dxa"/>
            <w:vAlign w:val="bottom"/>
          </w:tcPr>
          <w:p>
            <w:pPr>
              <w:jc w:val="center"/>
              <w:ind w:right="37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4180" w:type="dxa"/>
            <w:vAlign w:val="bottom"/>
          </w:tcPr>
          <w:p>
            <w:pPr>
              <w:jc w:val="center"/>
              <w:ind w:left="30"/>
              <w:spacing w:after="0"/>
              <w:rPr>
                <w:sz w:val="20"/>
                <w:szCs w:val="20"/>
                <w:color w:val="auto"/>
              </w:rPr>
            </w:pPr>
            <w:r>
              <w:rPr>
                <w:rFonts w:ascii="Arial" w:cs="Arial" w:eastAsia="Arial" w:hAnsi="Arial"/>
                <w:sz w:val="18"/>
                <w:szCs w:val="18"/>
                <w:b w:val="1"/>
                <w:bCs w:val="1"/>
                <w:color w:val="auto"/>
                <w:w w:val="86"/>
              </w:rPr>
              <w:t>Title of each class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680"/>
              <w:spacing w:after="0"/>
              <w:rPr>
                <w:sz w:val="20"/>
                <w:szCs w:val="20"/>
                <w:color w:val="auto"/>
              </w:rPr>
            </w:pPr>
            <w:r>
              <w:rPr>
                <w:rFonts w:ascii="Arial" w:cs="Arial" w:eastAsia="Arial" w:hAnsi="Arial"/>
                <w:sz w:val="18"/>
                <w:szCs w:val="18"/>
                <w:b w:val="1"/>
                <w:bCs w:val="1"/>
                <w:color w:val="auto"/>
                <w:w w:val="91"/>
              </w:rPr>
              <w:t>Trading Symbol(s)</w:t>
            </w:r>
          </w:p>
        </w:tc>
        <w:tc>
          <w:tcPr>
            <w:tcW w:w="3800" w:type="dxa"/>
            <w:vAlign w:val="bottom"/>
          </w:tcPr>
          <w:p>
            <w:pPr>
              <w:jc w:val="center"/>
              <w:ind w:right="390"/>
              <w:spacing w:after="0"/>
              <w:rPr>
                <w:sz w:val="20"/>
                <w:szCs w:val="20"/>
                <w:color w:val="auto"/>
              </w:rPr>
            </w:pPr>
            <w:r>
              <w:rPr>
                <w:rFonts w:ascii="Arial" w:cs="Arial" w:eastAsia="Arial" w:hAnsi="Arial"/>
                <w:sz w:val="18"/>
                <w:szCs w:val="18"/>
                <w:b w:val="1"/>
                <w:bCs w:val="1"/>
                <w:color w:val="auto"/>
                <w:w w:val="87"/>
              </w:rPr>
              <w:t>registered</w:t>
            </w:r>
          </w:p>
        </w:tc>
      </w:tr>
      <w:tr>
        <w:trPr>
          <w:trHeight w:val="195"/>
        </w:trPr>
        <w:tc>
          <w:tcPr>
            <w:tcW w:w="4180" w:type="dxa"/>
            <w:vAlign w:val="bottom"/>
            <w:tcBorders>
              <w:top w:val="single" w:sz="8" w:color="auto"/>
            </w:tcBorders>
          </w:tcPr>
          <w:p>
            <w:pPr>
              <w:jc w:val="center"/>
              <w:ind w:left="30"/>
              <w:spacing w:after="0" w:line="195" w:lineRule="exact"/>
              <w:rPr>
                <w:sz w:val="20"/>
                <w:szCs w:val="20"/>
                <w:color w:val="auto"/>
              </w:rPr>
            </w:pPr>
            <w:r>
              <w:rPr>
                <w:rFonts w:ascii="Arial" w:cs="Arial" w:eastAsia="Arial" w:hAnsi="Arial"/>
                <w:sz w:val="18"/>
                <w:szCs w:val="18"/>
                <w:color w:val="auto"/>
                <w:w w:val="90"/>
              </w:rPr>
              <w:t>Units, each consisting of one share of Class A common</w:t>
            </w:r>
          </w:p>
        </w:tc>
        <w:tc>
          <w:tcPr>
            <w:tcW w:w="1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3800" w:type="dxa"/>
            <w:vAlign w:val="bottom"/>
            <w:tcBorders>
              <w:top w:val="single" w:sz="8" w:color="auto"/>
            </w:tcBorders>
          </w:tcPr>
          <w:p>
            <w:pPr>
              <w:spacing w:after="0"/>
              <w:rPr>
                <w:sz w:val="16"/>
                <w:szCs w:val="16"/>
                <w:color w:val="auto"/>
              </w:rPr>
            </w:pPr>
          </w:p>
        </w:tc>
      </w:tr>
      <w:tr>
        <w:trPr>
          <w:trHeight w:val="216"/>
        </w:trPr>
        <w:tc>
          <w:tcPr>
            <w:tcW w:w="4180" w:type="dxa"/>
            <w:vAlign w:val="bottom"/>
          </w:tcPr>
          <w:p>
            <w:pPr>
              <w:jc w:val="center"/>
              <w:spacing w:after="0"/>
              <w:rPr>
                <w:sz w:val="20"/>
                <w:szCs w:val="20"/>
                <w:color w:val="auto"/>
              </w:rPr>
            </w:pPr>
            <w:r>
              <w:rPr>
                <w:rFonts w:ascii="Arial" w:cs="Arial" w:eastAsia="Arial" w:hAnsi="Arial"/>
                <w:sz w:val="18"/>
                <w:szCs w:val="18"/>
                <w:color w:val="auto"/>
                <w:w w:val="90"/>
              </w:rPr>
              <w:t>stock, $0.0001 par</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700"/>
              <w:spacing w:after="0"/>
              <w:rPr>
                <w:sz w:val="20"/>
                <w:szCs w:val="20"/>
                <w:color w:val="auto"/>
              </w:rPr>
            </w:pPr>
            <w:r>
              <w:rPr>
                <w:rFonts w:ascii="Arial" w:cs="Arial" w:eastAsia="Arial" w:hAnsi="Arial"/>
                <w:sz w:val="18"/>
                <w:szCs w:val="18"/>
                <w:color w:val="auto"/>
                <w:w w:val="94"/>
              </w:rPr>
              <w:t>CCIV.U</w:t>
            </w:r>
          </w:p>
        </w:tc>
        <w:tc>
          <w:tcPr>
            <w:tcW w:w="3800" w:type="dxa"/>
            <w:vAlign w:val="bottom"/>
          </w:tcPr>
          <w:p>
            <w:pPr>
              <w:jc w:val="center"/>
              <w:ind w:right="370"/>
              <w:spacing w:after="0"/>
              <w:rPr>
                <w:sz w:val="20"/>
                <w:szCs w:val="20"/>
                <w:color w:val="auto"/>
              </w:rPr>
            </w:pPr>
            <w:r>
              <w:rPr>
                <w:rFonts w:ascii="Arial" w:cs="Arial" w:eastAsia="Arial" w:hAnsi="Arial"/>
                <w:sz w:val="18"/>
                <w:szCs w:val="18"/>
                <w:color w:val="auto"/>
                <w:w w:val="90"/>
              </w:rPr>
              <w:t>The New York Stock Exchange</w:t>
            </w:r>
          </w:p>
        </w:tc>
      </w:tr>
      <w:tr>
        <w:trPr>
          <w:trHeight w:val="216"/>
        </w:trPr>
        <w:tc>
          <w:tcPr>
            <w:tcW w:w="4180" w:type="dxa"/>
            <w:vAlign w:val="bottom"/>
          </w:tcPr>
          <w:p>
            <w:pPr>
              <w:jc w:val="center"/>
              <w:ind w:left="30"/>
              <w:spacing w:after="0"/>
              <w:rPr>
                <w:sz w:val="20"/>
                <w:szCs w:val="20"/>
                <w:color w:val="auto"/>
              </w:rPr>
            </w:pPr>
            <w:r>
              <w:rPr>
                <w:rFonts w:ascii="Arial" w:cs="Arial" w:eastAsia="Arial" w:hAnsi="Arial"/>
                <w:sz w:val="18"/>
                <w:szCs w:val="18"/>
                <w:color w:val="auto"/>
                <w:w w:val="91"/>
              </w:rPr>
              <w:t>value, and one-fifth of one warrant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0" w:type="dxa"/>
            <w:vAlign w:val="bottom"/>
          </w:tcPr>
          <w:p>
            <w:pPr>
              <w:spacing w:after="0"/>
              <w:rPr>
                <w:sz w:val="18"/>
                <w:szCs w:val="18"/>
                <w:color w:val="auto"/>
              </w:rPr>
            </w:pPr>
          </w:p>
        </w:tc>
      </w:tr>
      <w:tr>
        <w:trPr>
          <w:trHeight w:val="216"/>
        </w:trPr>
        <w:tc>
          <w:tcPr>
            <w:tcW w:w="4180" w:type="dxa"/>
            <w:vAlign w:val="bottom"/>
          </w:tcPr>
          <w:p>
            <w:pPr>
              <w:jc w:val="center"/>
              <w:ind w:left="30"/>
              <w:spacing w:after="0"/>
              <w:rPr>
                <w:sz w:val="20"/>
                <w:szCs w:val="20"/>
                <w:color w:val="auto"/>
              </w:rPr>
            </w:pPr>
            <w:r>
              <w:rPr>
                <w:rFonts w:ascii="Arial" w:cs="Arial" w:eastAsia="Arial" w:hAnsi="Arial"/>
                <w:sz w:val="18"/>
                <w:szCs w:val="18"/>
                <w:color w:val="auto"/>
                <w:w w:val="89"/>
              </w:rPr>
              <w:t>Shares of Class A common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gridSpan w:val="5"/>
          </w:tcPr>
          <w:p>
            <w:pPr>
              <w:jc w:val="center"/>
              <w:ind w:right="680"/>
              <w:spacing w:after="0"/>
              <w:rPr>
                <w:sz w:val="20"/>
                <w:szCs w:val="20"/>
                <w:color w:val="auto"/>
              </w:rPr>
            </w:pPr>
            <w:r>
              <w:rPr>
                <w:rFonts w:ascii="Arial" w:cs="Arial" w:eastAsia="Arial" w:hAnsi="Arial"/>
                <w:sz w:val="18"/>
                <w:szCs w:val="18"/>
                <w:color w:val="auto"/>
              </w:rPr>
              <w:t>CCIV</w:t>
            </w:r>
          </w:p>
        </w:tc>
        <w:tc>
          <w:tcPr>
            <w:tcW w:w="3800" w:type="dxa"/>
            <w:vAlign w:val="bottom"/>
          </w:tcPr>
          <w:p>
            <w:pPr>
              <w:jc w:val="center"/>
              <w:ind w:right="370"/>
              <w:spacing w:after="0"/>
              <w:rPr>
                <w:sz w:val="20"/>
                <w:szCs w:val="20"/>
                <w:color w:val="auto"/>
              </w:rPr>
            </w:pPr>
            <w:r>
              <w:rPr>
                <w:rFonts w:ascii="Arial" w:cs="Arial" w:eastAsia="Arial" w:hAnsi="Arial"/>
                <w:sz w:val="18"/>
                <w:szCs w:val="18"/>
                <w:color w:val="auto"/>
                <w:w w:val="90"/>
              </w:rPr>
              <w:t>The New York Stock Exchange</w:t>
            </w:r>
          </w:p>
        </w:tc>
      </w:tr>
      <w:tr>
        <w:trPr>
          <w:trHeight w:val="230"/>
        </w:trPr>
        <w:tc>
          <w:tcPr>
            <w:tcW w:w="4180" w:type="dxa"/>
            <w:vAlign w:val="bottom"/>
          </w:tcPr>
          <w:p>
            <w:pPr>
              <w:jc w:val="center"/>
              <w:ind w:left="10"/>
              <w:spacing w:after="0"/>
              <w:rPr>
                <w:sz w:val="20"/>
                <w:szCs w:val="20"/>
                <w:color w:val="auto"/>
              </w:rPr>
            </w:pPr>
            <w:r>
              <w:rPr>
                <w:rFonts w:ascii="Arial" w:cs="Arial" w:eastAsia="Arial" w:hAnsi="Arial"/>
                <w:sz w:val="18"/>
                <w:szCs w:val="18"/>
                <w:color w:val="auto"/>
                <w:w w:val="89"/>
              </w:rPr>
              <w:t>Warrants included as part of the units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5"/>
          </w:tcPr>
          <w:p>
            <w:pPr>
              <w:jc w:val="center"/>
              <w:ind w:right="680"/>
              <w:spacing w:after="0"/>
              <w:rPr>
                <w:sz w:val="20"/>
                <w:szCs w:val="20"/>
                <w:color w:val="auto"/>
              </w:rPr>
            </w:pPr>
            <w:r>
              <w:rPr>
                <w:rFonts w:ascii="Arial" w:cs="Arial" w:eastAsia="Arial" w:hAnsi="Arial"/>
                <w:sz w:val="18"/>
                <w:szCs w:val="18"/>
                <w:color w:val="auto"/>
                <w:w w:val="98"/>
              </w:rPr>
              <w:t>CCIV WS</w:t>
            </w:r>
          </w:p>
        </w:tc>
        <w:tc>
          <w:tcPr>
            <w:tcW w:w="3800" w:type="dxa"/>
            <w:vAlign w:val="bottom"/>
          </w:tcPr>
          <w:p>
            <w:pPr>
              <w:jc w:val="center"/>
              <w:ind w:right="370"/>
              <w:spacing w:after="0"/>
              <w:rPr>
                <w:sz w:val="20"/>
                <w:szCs w:val="20"/>
                <w:color w:val="auto"/>
              </w:rPr>
            </w:pPr>
            <w:r>
              <w:rPr>
                <w:rFonts w:ascii="Arial" w:cs="Arial" w:eastAsia="Arial" w:hAnsi="Arial"/>
                <w:sz w:val="18"/>
                <w:szCs w:val="18"/>
                <w:color w:val="auto"/>
                <w:w w:val="90"/>
              </w:rPr>
              <w:t>The New York Stock Exchange</w:t>
            </w:r>
          </w:p>
        </w:tc>
      </w:tr>
    </w:tbl>
    <w:p>
      <w:pPr>
        <w:spacing w:after="0" w:line="202" w:lineRule="exact"/>
        <w:rPr>
          <w:sz w:val="24"/>
          <w:szCs w:val="24"/>
          <w:color w:val="auto"/>
        </w:rPr>
      </w:pPr>
    </w:p>
    <w:p>
      <w:pPr>
        <w:jc w:val="both"/>
        <w:spacing w:after="0" w:line="234" w:lineRule="exact"/>
        <w:rPr>
          <w:sz w:val="20"/>
          <w:szCs w:val="20"/>
          <w:color w:val="auto"/>
        </w:rPr>
      </w:pPr>
      <w:r>
        <w:rPr>
          <w:rFonts w:ascii="Arial" w:cs="Arial" w:eastAsia="Arial" w:hAnsi="Arial"/>
          <w:sz w:val="16"/>
          <w:szCs w:val="16"/>
          <w:color w:val="auto"/>
        </w:rPr>
        <w:t xml:space="preserve">Check whether the issuer (1) filed all reports required to be filed by Section 13 or 15(d) of the Exchange Act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2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16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16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As of May 19, 2021, there were 207,000,000 shares of Class A common stock, $0.0001 par value and 51,750,000 shares of Class B common stock,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657225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60" w:type="dxa"/>
            <w:vAlign w:val="bottom"/>
            <w:gridSpan w:val="8"/>
          </w:tcPr>
          <w:p>
            <w:pPr>
              <w:ind w:left="420"/>
              <w:spacing w:after="0"/>
              <w:rPr>
                <w:sz w:val="20"/>
                <w:szCs w:val="20"/>
                <w:color w:val="auto"/>
              </w:rPr>
            </w:pPr>
            <w:r>
              <w:rPr>
                <w:rFonts w:ascii="Arial" w:cs="Arial" w:eastAsia="Arial" w:hAnsi="Arial"/>
                <w:sz w:val="18"/>
                <w:szCs w:val="18"/>
                <w:b w:val="1"/>
                <w:bCs w:val="1"/>
                <w:color w:val="auto"/>
              </w:rPr>
              <w:t>Churchill Capital Corp IV</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14"/>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0" w:type="dxa"/>
            <w:vAlign w:val="bottom"/>
            <w:gridSpan w:val="9"/>
          </w:tcPr>
          <w:p>
            <w:pPr>
              <w:jc w:val="center"/>
              <w:ind w:right="2080"/>
              <w:spacing w:after="0"/>
              <w:rPr>
                <w:sz w:val="20"/>
                <w:szCs w:val="20"/>
                <w:color w:val="auto"/>
              </w:rPr>
            </w:pPr>
            <w:r>
              <w:rPr>
                <w:rFonts w:ascii="Arial" w:cs="Arial" w:eastAsia="Arial" w:hAnsi="Arial"/>
                <w:sz w:val="18"/>
                <w:szCs w:val="18"/>
                <w:b w:val="1"/>
                <w:bCs w:val="1"/>
                <w:color w:val="auto"/>
                <w:w w:val="98"/>
              </w:rPr>
              <w:t>FORM 10-Q FOR THE QUARTER ENDED MARCH 31, 2021</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60" w:type="dxa"/>
            <w:vAlign w:val="bottom"/>
            <w:gridSpan w:val="8"/>
          </w:tcPr>
          <w:p>
            <w:pPr>
              <w:jc w:val="center"/>
              <w:ind w:right="318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32"/>
        </w:trPr>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306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Page</w:t>
            </w:r>
          </w:p>
        </w:tc>
      </w:tr>
      <w:tr>
        <w:trPr>
          <w:trHeight w:val="156"/>
        </w:trPr>
        <w:tc>
          <w:tcPr>
            <w:tcW w:w="10240" w:type="dxa"/>
            <w:vAlign w:val="bottom"/>
            <w:gridSpan w:val="20"/>
            <w:shd w:val="clear" w:color="auto" w:fill="CCEEFF"/>
          </w:tcPr>
          <w:p>
            <w:pPr>
              <w:spacing w:after="0" w:line="156" w:lineRule="exact"/>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r>
      <w:tr>
        <w:trPr>
          <w:trHeight w:val="34"/>
        </w:trPr>
        <w:tc>
          <w:tcPr>
            <w:tcW w:w="1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98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3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4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CCEEFF"/>
            </w:tcBorders>
            <w:shd w:val="clear" w:color="auto" w:fill="CCEEFF"/>
          </w:tcPr>
          <w:p>
            <w:pPr>
              <w:spacing w:after="0"/>
              <w:rPr>
                <w:sz w:val="2"/>
                <w:szCs w:val="2"/>
                <w:color w:val="auto"/>
              </w:rPr>
            </w:pPr>
          </w:p>
        </w:tc>
        <w:tc>
          <w:tcPr>
            <w:tcW w:w="306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r>
      <w:tr>
        <w:trPr>
          <w:trHeight w:val="176"/>
        </w:trPr>
        <w:tc>
          <w:tcPr>
            <w:tcW w:w="160" w:type="dxa"/>
            <w:vAlign w:val="bottom"/>
          </w:tcPr>
          <w:p>
            <w:pPr>
              <w:spacing w:after="0"/>
              <w:rPr>
                <w:sz w:val="15"/>
                <w:szCs w:val="15"/>
                <w:color w:val="auto"/>
              </w:rPr>
            </w:pPr>
          </w:p>
        </w:tc>
        <w:tc>
          <w:tcPr>
            <w:tcW w:w="10080" w:type="dxa"/>
            <w:vAlign w:val="bottom"/>
            <w:gridSpan w:val="19"/>
          </w:tcPr>
          <w:p>
            <w:pPr>
              <w:ind w:left="20"/>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40" w:type="dxa"/>
            <w:vAlign w:val="bottom"/>
            <w:gridSpan w:val="10"/>
            <w:shd w:val="clear" w:color="auto" w:fill="CCEEFF"/>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(Unaudited)</w:t>
              </w:r>
            </w:hyperlink>
          </w:p>
        </w:tc>
        <w:tc>
          <w:tcPr>
            <w:tcW w:w="6060" w:type="dxa"/>
            <w:vAlign w:val="bottom"/>
            <w:gridSpan w:val="8"/>
            <w:shd w:val="clear" w:color="auto" w:fill="CCEEFF"/>
          </w:tcPr>
          <w:p>
            <w:pPr>
              <w:spacing w:after="0"/>
              <w:rPr>
                <w:sz w:val="15"/>
                <w:szCs w:val="15"/>
                <w:color w:val="auto"/>
              </w:rPr>
            </w:pPr>
          </w:p>
        </w:tc>
        <w:tc>
          <w:tcPr>
            <w:tcW w:w="600" w:type="dxa"/>
            <w:vAlign w:val="bottom"/>
            <w:gridSpan w:val="4"/>
            <w:shd w:val="clear" w:color="auto" w:fill="CCEEFF"/>
          </w:tcPr>
          <w:p>
            <w:pPr>
              <w:jc w:val="center"/>
              <w:ind w:left="310"/>
              <w:spacing w:after="0" w:line="176"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40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900" w:type="dxa"/>
            <w:vAlign w:val="bottom"/>
            <w:gridSpan w:val="18"/>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 of Operations (Unaudited)</w:t>
              </w:r>
            </w:hyperlink>
          </w:p>
        </w:tc>
        <w:tc>
          <w:tcPr>
            <w:tcW w:w="600" w:type="dxa"/>
            <w:vAlign w:val="bottom"/>
            <w:gridSpan w:val="4"/>
          </w:tcPr>
          <w:p>
            <w:pPr>
              <w:jc w:val="center"/>
              <w:ind w:left="31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40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80" w:type="dxa"/>
            <w:vAlign w:val="bottom"/>
            <w:gridSpan w:val="16"/>
            <w:shd w:val="clear" w:color="auto" w:fill="CCEEFF"/>
          </w:tcPr>
          <w:p>
            <w:pPr>
              <w:spacing w:after="0" w:line="17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Changes in Stockholders’ Equity (Unaudited)</w:t>
              </w:r>
            </w:hyperlink>
          </w:p>
        </w:tc>
        <w:tc>
          <w:tcPr>
            <w:tcW w:w="3820" w:type="dxa"/>
            <w:vAlign w:val="bottom"/>
            <w:gridSpan w:val="2"/>
            <w:shd w:val="clear" w:color="auto" w:fill="CCEEFF"/>
          </w:tcPr>
          <w:p>
            <w:pPr>
              <w:spacing w:after="0"/>
              <w:rPr>
                <w:sz w:val="15"/>
                <w:szCs w:val="15"/>
                <w:color w:val="auto"/>
              </w:rPr>
            </w:pPr>
          </w:p>
        </w:tc>
        <w:tc>
          <w:tcPr>
            <w:tcW w:w="600" w:type="dxa"/>
            <w:vAlign w:val="bottom"/>
            <w:gridSpan w:val="4"/>
            <w:shd w:val="clear" w:color="auto" w:fill="CCEEFF"/>
          </w:tcPr>
          <w:p>
            <w:pPr>
              <w:jc w:val="center"/>
              <w:ind w:left="31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40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80" w:type="dxa"/>
            <w:vAlign w:val="bottom"/>
            <w:gridSpan w:val="1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Cash Flows (Unaudited)</w:t>
              </w:r>
            </w:hyperlink>
          </w:p>
        </w:tc>
        <w:tc>
          <w:tcPr>
            <w:tcW w:w="3820" w:type="dxa"/>
            <w:vAlign w:val="bottom"/>
            <w:gridSpan w:val="2"/>
          </w:tcPr>
          <w:p>
            <w:pPr>
              <w:spacing w:after="0"/>
              <w:rPr>
                <w:sz w:val="15"/>
                <w:szCs w:val="15"/>
                <w:color w:val="auto"/>
              </w:rPr>
            </w:pPr>
          </w:p>
        </w:tc>
        <w:tc>
          <w:tcPr>
            <w:tcW w:w="600" w:type="dxa"/>
            <w:vAlign w:val="bottom"/>
            <w:gridSpan w:val="4"/>
          </w:tcPr>
          <w:p>
            <w:pPr>
              <w:jc w:val="center"/>
              <w:ind w:left="310"/>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4</w:t>
              </w:r>
            </w:hyperlink>
          </w:p>
        </w:tc>
        <w:tc>
          <w:tcPr>
            <w:tcW w:w="40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900" w:type="dxa"/>
            <w:vAlign w:val="bottom"/>
            <w:gridSpan w:val="14"/>
            <w:shd w:val="clear" w:color="auto" w:fill="CCEEFF"/>
          </w:tcPr>
          <w:p>
            <w:pPr>
              <w:spacing w:after="0" w:line="17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5000" w:type="dxa"/>
            <w:vAlign w:val="bottom"/>
            <w:gridSpan w:val="4"/>
            <w:shd w:val="clear" w:color="auto" w:fill="CCEEFF"/>
          </w:tcPr>
          <w:p>
            <w:pPr>
              <w:spacing w:after="0"/>
              <w:rPr>
                <w:sz w:val="15"/>
                <w:szCs w:val="15"/>
                <w:color w:val="auto"/>
              </w:rPr>
            </w:pPr>
          </w:p>
        </w:tc>
        <w:tc>
          <w:tcPr>
            <w:tcW w:w="600" w:type="dxa"/>
            <w:vAlign w:val="bottom"/>
            <w:gridSpan w:val="4"/>
            <w:shd w:val="clear" w:color="auto" w:fill="CCEEFF"/>
          </w:tcPr>
          <w:p>
            <w:pPr>
              <w:jc w:val="center"/>
              <w:ind w:left="310"/>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40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19"/>
          </w:tcPr>
          <w:p>
            <w:pPr>
              <w:ind w:left="20"/>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Item 2. Management’s Discussion and Analysis of Financial Condition and Results of Operations</w:t>
              </w:r>
            </w:hyperlink>
          </w:p>
        </w:tc>
        <w:tc>
          <w:tcPr>
            <w:tcW w:w="1000" w:type="dxa"/>
            <w:vAlign w:val="bottom"/>
            <w:gridSpan w:val="5"/>
          </w:tcPr>
          <w:p>
            <w:pPr>
              <w:jc w:val="center"/>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16</w:t>
              </w:r>
            </w:hyperlink>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0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3. Quantitative and Qualitative Disclosures Regarding Market Risk</w:t>
              </w:r>
            </w:hyperlink>
          </w:p>
        </w:tc>
        <w:tc>
          <w:tcPr>
            <w:tcW w:w="10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19</w:t>
              </w:r>
            </w:hyperlink>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20" w:type="dxa"/>
            <w:vAlign w:val="bottom"/>
            <w:gridSpan w:val="16"/>
          </w:tcPr>
          <w:p>
            <w:pPr>
              <w:ind w:left="2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Controls and Procedures</w:t>
              </w:r>
            </w:hyperlink>
          </w:p>
        </w:tc>
        <w:tc>
          <w:tcPr>
            <w:tcW w:w="4860" w:type="dxa"/>
            <w:vAlign w:val="bottom"/>
            <w:gridSpan w:val="3"/>
          </w:tcPr>
          <w:p>
            <w:pPr>
              <w:spacing w:after="0"/>
              <w:rPr>
                <w:sz w:val="15"/>
                <w:szCs w:val="15"/>
                <w:color w:val="auto"/>
              </w:rPr>
            </w:pPr>
          </w:p>
        </w:tc>
        <w:tc>
          <w:tcPr>
            <w:tcW w:w="1000" w:type="dxa"/>
            <w:vAlign w:val="bottom"/>
            <w:gridSpan w:val="5"/>
          </w:tcPr>
          <w:p>
            <w:pPr>
              <w:jc w:val="center"/>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19</w:t>
              </w:r>
            </w:hyperlink>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Part II. Other Information</w:t>
              </w:r>
            </w:hyperlink>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r>
      <w:tr>
        <w:trPr>
          <w:trHeight w:val="20"/>
        </w:trPr>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0080" w:type="dxa"/>
            <w:vAlign w:val="bottom"/>
            <w:gridSpan w:val="19"/>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1. Legal Proceedings</w:t>
              </w:r>
            </w:hyperlink>
          </w:p>
        </w:tc>
        <w:tc>
          <w:tcPr>
            <w:tcW w:w="1000" w:type="dxa"/>
            <w:vAlign w:val="bottom"/>
            <w:gridSpan w:val="5"/>
          </w:tcPr>
          <w:p>
            <w:pPr>
              <w:jc w:val="cente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21</w:t>
              </w:r>
            </w:hyperlink>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600" w:type="dxa"/>
            <w:vAlign w:val="bottom"/>
            <w:gridSpan w:val="4"/>
            <w:shd w:val="clear" w:color="auto" w:fill="CCEEFF"/>
          </w:tcPr>
          <w:p>
            <w:pPr>
              <w:ind w:left="20"/>
              <w:spacing w:after="0" w:line="17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1A. Risk Factors</w:t>
              </w:r>
            </w:hyperlink>
          </w:p>
        </w:tc>
        <w:tc>
          <w:tcPr>
            <w:tcW w:w="8480" w:type="dxa"/>
            <w:vAlign w:val="bottom"/>
            <w:gridSpan w:val="15"/>
            <w:shd w:val="clear" w:color="auto" w:fill="CCEEFF"/>
          </w:tcPr>
          <w:p>
            <w:pPr>
              <w:spacing w:after="0"/>
              <w:rPr>
                <w:sz w:val="15"/>
                <w:szCs w:val="15"/>
                <w:color w:val="auto"/>
              </w:rPr>
            </w:pPr>
          </w:p>
        </w:tc>
        <w:tc>
          <w:tcPr>
            <w:tcW w:w="10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21</w:t>
              </w:r>
            </w:hyperlink>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0080" w:type="dxa"/>
            <w:vAlign w:val="bottom"/>
            <w:gridSpan w:val="19"/>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2. Unregistered Sales of Equity Securities and Use of Proceeds</w:t>
              </w:r>
            </w:hyperlink>
          </w:p>
        </w:tc>
        <w:tc>
          <w:tcPr>
            <w:tcW w:w="1000" w:type="dxa"/>
            <w:vAlign w:val="bottom"/>
            <w:gridSpan w:val="5"/>
          </w:tcPr>
          <w:p>
            <w:pPr>
              <w:jc w:val="cente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21</w:t>
              </w:r>
            </w:hyperlink>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10080" w:type="dxa"/>
            <w:vAlign w:val="bottom"/>
            <w:gridSpan w:val="19"/>
            <w:shd w:val="clear" w:color="auto" w:fill="CCEEFF"/>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3. Defaults Upon Senior Securities</w:t>
              </w:r>
            </w:hyperlink>
          </w:p>
        </w:tc>
        <w:tc>
          <w:tcPr>
            <w:tcW w:w="10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21</w:t>
              </w:r>
            </w:hyperlink>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2880" w:type="dxa"/>
            <w:vAlign w:val="bottom"/>
            <w:gridSpan w:val="10"/>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4. Mine Safety Disclosures</w:t>
              </w:r>
            </w:hyperlink>
          </w:p>
        </w:tc>
        <w:tc>
          <w:tcPr>
            <w:tcW w:w="7200" w:type="dxa"/>
            <w:vAlign w:val="bottom"/>
            <w:gridSpan w:val="9"/>
          </w:tcPr>
          <w:p>
            <w:pPr>
              <w:spacing w:after="0"/>
              <w:rPr>
                <w:sz w:val="15"/>
                <w:szCs w:val="15"/>
                <w:color w:val="auto"/>
              </w:rPr>
            </w:pPr>
          </w:p>
        </w:tc>
        <w:tc>
          <w:tcPr>
            <w:tcW w:w="1000" w:type="dxa"/>
            <w:vAlign w:val="bottom"/>
            <w:gridSpan w:val="5"/>
          </w:tcPr>
          <w:p>
            <w:pPr>
              <w:jc w:val="cente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21</w:t>
              </w:r>
            </w:hyperlink>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1880" w:type="dxa"/>
            <w:vAlign w:val="bottom"/>
            <w:gridSpan w:val="6"/>
            <w:shd w:val="clear" w:color="auto" w:fill="CCEEFF"/>
          </w:tcPr>
          <w:p>
            <w:pPr>
              <w:ind w:left="20"/>
              <w:spacing w:after="0" w:line="17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Item 5. Other Information</w:t>
              </w:r>
            </w:hyperlink>
          </w:p>
        </w:tc>
        <w:tc>
          <w:tcPr>
            <w:tcW w:w="8200" w:type="dxa"/>
            <w:vAlign w:val="bottom"/>
            <w:gridSpan w:val="13"/>
            <w:shd w:val="clear" w:color="auto" w:fill="CCEEFF"/>
          </w:tcPr>
          <w:p>
            <w:pPr>
              <w:spacing w:after="0"/>
              <w:rPr>
                <w:sz w:val="15"/>
                <w:szCs w:val="15"/>
                <w:color w:val="auto"/>
              </w:rPr>
            </w:pPr>
          </w:p>
        </w:tc>
        <w:tc>
          <w:tcPr>
            <w:tcW w:w="10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21</w:t>
              </w:r>
            </w:hyperlink>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1880" w:type="dxa"/>
            <w:vAlign w:val="bottom"/>
            <w:gridSpan w:val="6"/>
          </w:tcPr>
          <w:p>
            <w:pPr>
              <w:ind w:left="2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 Exhibits</w:t>
              </w:r>
            </w:hyperlink>
          </w:p>
        </w:tc>
        <w:tc>
          <w:tcPr>
            <w:tcW w:w="8200" w:type="dxa"/>
            <w:vAlign w:val="bottom"/>
            <w:gridSpan w:val="13"/>
          </w:tcPr>
          <w:p>
            <w:pPr>
              <w:spacing w:after="0"/>
              <w:rPr>
                <w:sz w:val="15"/>
                <w:szCs w:val="15"/>
                <w:color w:val="auto"/>
              </w:rPr>
            </w:pPr>
          </w:p>
        </w:tc>
        <w:tc>
          <w:tcPr>
            <w:tcW w:w="1000" w:type="dxa"/>
            <w:vAlign w:val="bottom"/>
            <w:gridSpan w:val="5"/>
          </w:tcPr>
          <w:p>
            <w:pPr>
              <w:jc w:val="center"/>
              <w:spacing w:after="0" w:line="176"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21</w:t>
              </w:r>
            </w:hyperlink>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1024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Part III. Signatures</w:t>
              </w:r>
            </w:hyperlink>
          </w:p>
        </w:tc>
        <w:tc>
          <w:tcPr>
            <w:tcW w:w="1000" w:type="dxa"/>
            <w:vAlign w:val="bottom"/>
            <w:gridSpan w:val="5"/>
            <w:shd w:val="clear" w:color="auto" w:fill="CCEEFF"/>
          </w:tcPr>
          <w:p>
            <w:pPr>
              <w:jc w:val="center"/>
              <w:spacing w:after="0" w:line="17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22</w:t>
              </w:r>
            </w:hyperlink>
          </w:p>
        </w:tc>
      </w:tr>
      <w:tr>
        <w:trPr>
          <w:trHeight w:val="675"/>
        </w:trPr>
        <w:tc>
          <w:tcPr>
            <w:tcW w:w="1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306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jc w:val="center"/>
              <w:ind w:left="277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380" w:type="dxa"/>
            <w:vAlign w:val="bottom"/>
          </w:tcPr>
          <w:p>
            <w:pPr>
              <w:spacing w:after="0"/>
              <w:rPr>
                <w:sz w:val="20"/>
                <w:szCs w:val="20"/>
                <w:color w:val="auto"/>
              </w:rPr>
            </w:pPr>
            <w:r>
              <w:rPr>
                <w:rFonts w:ascii="Arial" w:cs="Arial" w:eastAsia="Arial" w:hAnsi="Arial"/>
                <w:sz w:val="18"/>
                <w:szCs w:val="18"/>
                <w:b w:val="1"/>
                <w:bCs w:val="1"/>
                <w:color w:val="auto"/>
              </w:rPr>
              <w:t>Item 1. Interim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380" w:type="dxa"/>
            <w:vAlign w:val="bottom"/>
          </w:tcPr>
          <w:p>
            <w:pPr>
              <w:jc w:val="center"/>
              <w:ind w:left="2770"/>
              <w:spacing w:after="0"/>
              <w:rPr>
                <w:sz w:val="20"/>
                <w:szCs w:val="20"/>
                <w:color w:val="auto"/>
              </w:rPr>
            </w:pPr>
            <w:r>
              <w:rPr>
                <w:rFonts w:ascii="Arial" w:cs="Arial" w:eastAsia="Arial" w:hAnsi="Arial"/>
                <w:sz w:val="18"/>
                <w:szCs w:val="18"/>
                <w:b w:val="1"/>
                <w:bCs w:val="1"/>
                <w:color w:val="auto"/>
              </w:rPr>
              <w:t>CHURCHILL CAPITAL CORP IV</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380" w:type="dxa"/>
            <w:vAlign w:val="bottom"/>
          </w:tcPr>
          <w:p>
            <w:pPr>
              <w:jc w:val="center"/>
              <w:ind w:left="27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8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2"/>
          </w:tcPr>
          <w:p>
            <w:pPr>
              <w:jc w:val="center"/>
              <w:ind w:right="261"/>
              <w:spacing w:after="0"/>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r>
      <w:tr>
        <w:trPr>
          <w:trHeight w:val="241"/>
        </w:trPr>
        <w:tc>
          <w:tcPr>
            <w:tcW w:w="8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92"/>
              </w:rPr>
              <w:t>(unaudited)</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2,068,115</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3,592,857</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845,672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937,786</w:t>
            </w:r>
          </w:p>
        </w:tc>
        <w:tc>
          <w:tcPr>
            <w:tcW w:w="80" w:type="dxa"/>
            <w:vAlign w:val="bottom"/>
          </w:tcPr>
          <w:p>
            <w:pPr>
              <w:spacing w:after="0"/>
              <w:rPr>
                <w:sz w:val="18"/>
                <w:szCs w:val="18"/>
                <w:color w:val="auto"/>
              </w:rPr>
            </w:pPr>
          </w:p>
        </w:tc>
      </w:tr>
      <w:tr>
        <w:trPr>
          <w:trHeight w:val="209"/>
        </w:trPr>
        <w:tc>
          <w:tcPr>
            <w:tcW w:w="83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2,913,787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4,530,643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 held in Trust Account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2,070,267,288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2,070,086,006</w:t>
            </w:r>
          </w:p>
        </w:tc>
        <w:tc>
          <w:tcPr>
            <w:tcW w:w="80" w:type="dxa"/>
            <w:vAlign w:val="bottom"/>
            <w:shd w:val="clear" w:color="auto" w:fill="CCEEFF"/>
          </w:tcPr>
          <w:p>
            <w:pPr>
              <w:spacing w:after="0"/>
              <w:rPr>
                <w:sz w:val="18"/>
                <w:szCs w:val="18"/>
                <w:color w:val="auto"/>
              </w:rPr>
            </w:pPr>
          </w:p>
        </w:tc>
      </w:tr>
      <w:tr>
        <w:trPr>
          <w:trHeight w:val="263"/>
        </w:trPr>
        <w:tc>
          <w:tcPr>
            <w:tcW w:w="8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2,073,181,075</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2,074,616,649</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8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1,419,919</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1,446,951</w:t>
            </w: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105,000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81,422</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ind w:left="180"/>
              <w:spacing w:after="0"/>
              <w:rPr>
                <w:sz w:val="20"/>
                <w:szCs w:val="20"/>
                <w:color w:val="auto"/>
              </w:rPr>
            </w:pPr>
            <w:r>
              <w:rPr>
                <w:rFonts w:ascii="Arial" w:cs="Arial" w:eastAsia="Arial" w:hAnsi="Arial"/>
                <w:sz w:val="18"/>
                <w:szCs w:val="18"/>
                <w:color w:val="auto"/>
              </w:rPr>
              <w:t>Convertible promissory note – related party, net of discount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1,824,919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1,528,373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1,012,266,538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142,200,500</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72,450,000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72,450,000</w:t>
            </w:r>
          </w:p>
        </w:tc>
        <w:tc>
          <w:tcPr>
            <w:tcW w:w="80" w:type="dxa"/>
            <w:vAlign w:val="bottom"/>
          </w:tcPr>
          <w:p>
            <w:pPr>
              <w:spacing w:after="0"/>
              <w:rPr>
                <w:sz w:val="18"/>
                <w:szCs w:val="18"/>
                <w:color w:val="auto"/>
              </w:rPr>
            </w:pP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1,086,541,457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216,178,873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A common stock subject to possible redemption, 207,000,000 and 185,343,777 shares at redemption value at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 of March 31, 2021 and December 31, 2020,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3"/>
              </w:rPr>
              <w:t>2,070,000,000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1,853,437,770</w:t>
            </w:r>
          </w:p>
        </w:tc>
        <w:tc>
          <w:tcPr>
            <w:tcW w:w="80" w:type="dxa"/>
            <w:vAlign w:val="bottom"/>
            <w:shd w:val="clear" w:color="auto" w:fill="CCEEFF"/>
          </w:tcPr>
          <w:p>
            <w:pPr>
              <w:spacing w:after="0"/>
              <w:rPr>
                <w:sz w:val="20"/>
                <w:szCs w:val="20"/>
                <w:color w:val="auto"/>
              </w:rPr>
            </w:pPr>
          </w:p>
        </w:tc>
      </w:tr>
      <w:tr>
        <w:trPr>
          <w:trHeight w:val="209"/>
        </w:trPr>
        <w:tc>
          <w:tcPr>
            <w:tcW w:w="8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Class A common stock, $0.0001 par value; 400,000,000 shares authorized; 0 and 21,656,223 shares issued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outstanding (excluding 207,000,000 and 185,343,777 shares subject to possible redemption) at March 31, 2021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2020, respectively</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2,166</w:t>
            </w:r>
          </w:p>
        </w:tc>
        <w:tc>
          <w:tcPr>
            <w:tcW w:w="80" w:type="dxa"/>
            <w:vAlign w:val="bottom"/>
            <w:shd w:val="clear" w:color="auto" w:fill="CCEEFF"/>
          </w:tcPr>
          <w:p>
            <w:pPr>
              <w:spacing w:after="0"/>
              <w:rPr>
                <w:sz w:val="20"/>
                <w:szCs w:val="20"/>
                <w:color w:val="auto"/>
              </w:rPr>
            </w:pPr>
          </w:p>
        </w:tc>
      </w:tr>
      <w:tr>
        <w:trPr>
          <w:trHeight w:val="202"/>
        </w:trPr>
        <w:tc>
          <w:tcPr>
            <w:tcW w:w="8380" w:type="dxa"/>
            <w:vAlign w:val="bottom"/>
          </w:tcPr>
          <w:p>
            <w:pPr>
              <w:spacing w:after="0" w:line="201" w:lineRule="exact"/>
              <w:rPr>
                <w:sz w:val="20"/>
                <w:szCs w:val="20"/>
                <w:color w:val="auto"/>
              </w:rPr>
            </w:pPr>
            <w:r>
              <w:rPr>
                <w:rFonts w:ascii="Arial" w:cs="Arial" w:eastAsia="Arial" w:hAnsi="Arial"/>
                <w:sz w:val="18"/>
                <w:szCs w:val="18"/>
                <w:color w:val="auto"/>
                <w:w w:val="98"/>
              </w:rPr>
              <w:t>Class B common stock, $0.0001 par value; 100,000,000 shares authorized; 51,750,000 shares issued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380" w:type="dxa"/>
            <w:vAlign w:val="bottom"/>
          </w:tcPr>
          <w:p>
            <w:pPr>
              <w:ind w:left="180"/>
              <w:spacing w:after="0"/>
              <w:rPr>
                <w:sz w:val="20"/>
                <w:szCs w:val="20"/>
                <w:color w:val="auto"/>
              </w:rPr>
            </w:pPr>
            <w:r>
              <w:rPr>
                <w:rFonts w:ascii="Arial" w:cs="Arial" w:eastAsia="Arial" w:hAnsi="Arial"/>
                <w:sz w:val="18"/>
                <w:szCs w:val="18"/>
                <w:color w:val="auto"/>
              </w:rPr>
              <w:t>outstanding at March 31, 2021 and December 31, 2020, respectively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right"/>
              <w:ind w:right="141"/>
              <w:spacing w:after="0"/>
              <w:rPr>
                <w:sz w:val="20"/>
                <w:szCs w:val="20"/>
                <w:color w:val="auto"/>
              </w:rPr>
            </w:pPr>
            <w:r>
              <w:rPr>
                <w:rFonts w:ascii="Arial" w:cs="Arial" w:eastAsia="Arial" w:hAnsi="Arial"/>
                <w:sz w:val="18"/>
                <w:szCs w:val="18"/>
                <w:color w:val="auto"/>
              </w:rPr>
              <w:t>5,175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5,175</w:t>
            </w:r>
          </w:p>
        </w:tc>
        <w:tc>
          <w:tcPr>
            <w:tcW w:w="80" w:type="dxa"/>
            <w:vAlign w:val="bottom"/>
          </w:tcPr>
          <w:p>
            <w:pPr>
              <w:spacing w:after="0"/>
              <w:rPr>
                <w:sz w:val="20"/>
                <w:szCs w:val="20"/>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68,460,540</w:t>
            </w:r>
          </w:p>
        </w:tc>
        <w:tc>
          <w:tcPr>
            <w:tcW w:w="8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81"/>
              <w:spacing w:after="0"/>
              <w:rPr>
                <w:sz w:val="20"/>
                <w:szCs w:val="20"/>
                <w:color w:val="auto"/>
              </w:rPr>
            </w:pPr>
            <w:r>
              <w:rPr>
                <w:rFonts w:ascii="Arial" w:cs="Arial" w:eastAsia="Arial" w:hAnsi="Arial"/>
                <w:sz w:val="18"/>
                <w:szCs w:val="18"/>
                <w:color w:val="auto"/>
                <w:w w:val="89"/>
              </w:rPr>
              <w:t>(1,083,365,557)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(63,467,875)</w:t>
            </w: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(1,083,360,382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3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2,073,181,075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2,074,616,649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3,089,824</w:t>
            </w:r>
          </w:p>
        </w:tc>
        <w:tc>
          <w:tcPr>
            <w:tcW w:w="0" w:type="dxa"/>
            <w:vAlign w:val="bottom"/>
          </w:tcPr>
          <w:p>
            <w:pPr>
              <w:spacing w:after="0"/>
              <w:rPr>
                <w:sz w:val="1"/>
                <w:szCs w:val="1"/>
                <w:color w:val="auto"/>
              </w:rPr>
            </w:pPr>
          </w:p>
        </w:tc>
      </w:tr>
      <w:tr>
        <w:trPr>
          <w:trHeight w:val="209"/>
        </w:trPr>
        <w:tc>
          <w:tcPr>
            <w:tcW w:w="9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(3,089,824</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liabilities</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(812,374,402)</w:t>
            </w:r>
          </w:p>
        </w:tc>
        <w:tc>
          <w:tcPr>
            <w:tcW w:w="0" w:type="dxa"/>
            <w:vAlign w:val="bottom"/>
          </w:tcPr>
          <w:p>
            <w:pPr>
              <w:spacing w:after="0"/>
              <w:rPr>
                <w:sz w:val="1"/>
                <w:szCs w:val="1"/>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Interest expense - excess fair value of conversion liability</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(56,191,636)</w:t>
            </w:r>
          </w:p>
        </w:tc>
        <w:tc>
          <w:tcPr>
            <w:tcW w:w="0" w:type="dxa"/>
            <w:vAlign w:val="bottom"/>
          </w:tcPr>
          <w:p>
            <w:pPr>
              <w:spacing w:after="0"/>
              <w:rPr>
                <w:sz w:val="1"/>
                <w:szCs w:val="1"/>
                <w:color w:val="auto"/>
              </w:rPr>
            </w:pPr>
          </w:p>
        </w:tc>
      </w:tr>
      <w:tr>
        <w:trPr>
          <w:trHeight w:val="216"/>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 amortization of debt discount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Interest earned on marketable securities held in Trust Account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177,326</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on marketable securities held in Trust Account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09"/>
        </w:trPr>
        <w:tc>
          <w:tcPr>
            <w:tcW w:w="96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expense, net</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(868,684,756</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9"/>
        </w:trPr>
        <w:tc>
          <w:tcPr>
            <w:tcW w:w="9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ind w:left="180"/>
              <w:spacing w:after="0"/>
              <w:rPr>
                <w:sz w:val="20"/>
                <w:szCs w:val="20"/>
                <w:color w:val="auto"/>
              </w:rPr>
            </w:pPr>
            <w:r>
              <w:rPr>
                <w:rFonts w:ascii="Arial" w:cs="Arial" w:eastAsia="Arial" w:hAnsi="Arial"/>
                <w:sz w:val="18"/>
                <w:szCs w:val="18"/>
                <w:color w:val="auto"/>
              </w:rPr>
              <w:t>Loss before provision for income taxes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8"/>
              </w:rPr>
              <w:t>(871,774,580)</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(23,578)</w:t>
            </w:r>
          </w:p>
        </w:tc>
        <w:tc>
          <w:tcPr>
            <w:tcW w:w="0" w:type="dxa"/>
            <w:vAlign w:val="bottom"/>
          </w:tcPr>
          <w:p>
            <w:pPr>
              <w:spacing w:after="0"/>
              <w:rPr>
                <w:sz w:val="1"/>
                <w:szCs w:val="1"/>
                <w:color w:val="auto"/>
              </w:rPr>
            </w:pPr>
          </w:p>
        </w:tc>
      </w:tr>
      <w:tr>
        <w:trPr>
          <w:trHeight w:val="263"/>
        </w:trPr>
        <w:tc>
          <w:tcPr>
            <w:tcW w:w="9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(871,798,158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9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9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Class A common stock subject to redemption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196,306,266</w:t>
            </w:r>
          </w:p>
        </w:tc>
        <w:tc>
          <w:tcPr>
            <w:tcW w:w="0" w:type="dxa"/>
            <w:vAlign w:val="bottom"/>
          </w:tcPr>
          <w:p>
            <w:pPr>
              <w:spacing w:after="0"/>
              <w:rPr>
                <w:sz w:val="1"/>
                <w:szCs w:val="1"/>
                <w:color w:val="auto"/>
              </w:rPr>
            </w:pPr>
          </w:p>
        </w:tc>
      </w:tr>
      <w:tr>
        <w:trPr>
          <w:trHeight w:val="197"/>
        </w:trPr>
        <w:tc>
          <w:tcPr>
            <w:tcW w:w="9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9680" w:type="dxa"/>
            <w:vAlign w:val="bottom"/>
          </w:tcPr>
          <w:p>
            <w:pPr>
              <w:spacing w:after="0"/>
              <w:rPr>
                <w:sz w:val="20"/>
                <w:szCs w:val="20"/>
                <w:color w:val="auto"/>
              </w:rPr>
            </w:pPr>
            <w:r>
              <w:rPr>
                <w:rFonts w:ascii="Arial" w:cs="Arial" w:eastAsia="Arial" w:hAnsi="Arial"/>
                <w:sz w:val="18"/>
                <w:szCs w:val="18"/>
                <w:b w:val="1"/>
                <w:bCs w:val="1"/>
                <w:color w:val="auto"/>
              </w:rPr>
              <w:t>Basic and diluted net income per share, Class A common stock subject to redemption</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197"/>
        </w:trPr>
        <w:tc>
          <w:tcPr>
            <w:tcW w:w="9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968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1"/>
              <w:spacing w:after="0"/>
              <w:rPr>
                <w:sz w:val="20"/>
                <w:szCs w:val="20"/>
                <w:color w:val="auto"/>
              </w:rPr>
            </w:pPr>
            <w:r>
              <w:rPr>
                <w:rFonts w:ascii="Arial" w:cs="Arial" w:eastAsia="Arial" w:hAnsi="Arial"/>
                <w:sz w:val="18"/>
                <w:szCs w:val="18"/>
                <w:color w:val="auto"/>
              </w:rPr>
              <w:t>65,318,734</w:t>
            </w:r>
          </w:p>
        </w:tc>
        <w:tc>
          <w:tcPr>
            <w:tcW w:w="0" w:type="dxa"/>
            <w:vAlign w:val="bottom"/>
          </w:tcPr>
          <w:p>
            <w:pPr>
              <w:spacing w:after="0"/>
              <w:rPr>
                <w:sz w:val="1"/>
                <w:szCs w:val="1"/>
                <w:color w:val="auto"/>
              </w:rPr>
            </w:pPr>
          </w:p>
        </w:tc>
      </w:tr>
      <w:tr>
        <w:trPr>
          <w:trHeight w:val="197"/>
        </w:trPr>
        <w:tc>
          <w:tcPr>
            <w:tcW w:w="96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68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 Non-redeemable common stock</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rPr>
              <w:t>(13.35)</w:t>
            </w:r>
          </w:p>
        </w:tc>
        <w:tc>
          <w:tcPr>
            <w:tcW w:w="0" w:type="dxa"/>
            <w:vAlign w:val="bottom"/>
          </w:tcPr>
          <w:p>
            <w:pPr>
              <w:spacing w:after="0"/>
              <w:rPr>
                <w:sz w:val="1"/>
                <w:szCs w:val="1"/>
                <w:color w:val="auto"/>
              </w:rPr>
            </w:pPr>
          </w:p>
        </w:tc>
      </w:tr>
      <w:tr>
        <w:trPr>
          <w:trHeight w:val="20"/>
        </w:trPr>
        <w:tc>
          <w:tcPr>
            <w:tcW w:w="9680" w:type="dxa"/>
            <w:vAlign w:val="bottom"/>
            <w:vMerge w:val="restart"/>
          </w:tcPr>
          <w:p>
            <w:pPr>
              <w:ind w:left="1780"/>
              <w:spacing w:after="0"/>
              <w:rPr>
                <w:sz w:val="20"/>
                <w:szCs w:val="20"/>
                <w:color w:val="auto"/>
              </w:rPr>
            </w:pPr>
            <w:r>
              <w:rPr>
                <w:rFonts w:ascii="Arial" w:cs="Arial" w:eastAsia="Arial" w:hAnsi="Arial"/>
                <w:sz w:val="18"/>
                <w:szCs w:val="18"/>
                <w:color w:val="auto"/>
                <w:w w:val="91"/>
              </w:rPr>
              <w:t>The accompanying notes are an integral part of the unaudited condensed consolidated financial statements.</w:t>
            </w: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480" w:type="dxa"/>
            <w:vAlign w:val="bottom"/>
            <w:gridSpan w:val="3"/>
          </w:tcPr>
          <w:p>
            <w:pPr>
              <w:jc w:val="right"/>
              <w:ind w:right="7"/>
              <w:spacing w:after="0"/>
              <w:rPr>
                <w:sz w:val="20"/>
                <w:szCs w:val="20"/>
                <w:color w:val="auto"/>
              </w:rPr>
            </w:pPr>
            <w:r>
              <w:rPr>
                <w:rFonts w:ascii="Arial" w:cs="Arial" w:eastAsia="Arial" w:hAnsi="Arial"/>
                <w:sz w:val="18"/>
                <w:szCs w:val="18"/>
                <w:b w:val="1"/>
                <w:bCs w:val="1"/>
                <w:color w:val="auto"/>
              </w:rPr>
              <w:t>Class A</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Class B</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r>
      <w:tr>
        <w:trPr>
          <w:trHeight w:val="234"/>
        </w:trPr>
        <w:tc>
          <w:tcPr>
            <w:tcW w:w="1880" w:type="dxa"/>
            <w:vAlign w:val="bottom"/>
          </w:tcPr>
          <w:p>
            <w:pPr>
              <w:spacing w:after="0"/>
              <w:rPr>
                <w:sz w:val="20"/>
                <w:szCs w:val="20"/>
                <w:color w:val="auto"/>
              </w:rPr>
            </w:pPr>
          </w:p>
        </w:tc>
        <w:tc>
          <w:tcPr>
            <w:tcW w:w="26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Common Stock</w:t>
            </w:r>
          </w:p>
        </w:tc>
        <w:tc>
          <w:tcPr>
            <w:tcW w:w="26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Common Stock</w:t>
            </w:r>
          </w:p>
        </w:tc>
        <w:tc>
          <w:tcPr>
            <w:tcW w:w="10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Paid-in</w:t>
            </w:r>
          </w:p>
        </w:tc>
        <w:tc>
          <w:tcPr>
            <w:tcW w:w="1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Accumulated</w:t>
            </w: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0"/>
              </w:rPr>
              <w:t>Stockholders’</w:t>
            </w:r>
          </w:p>
        </w:tc>
      </w:tr>
      <w:tr>
        <w:trPr>
          <w:trHeight w:val="223"/>
        </w:trPr>
        <w:tc>
          <w:tcPr>
            <w:tcW w:w="1880" w:type="dxa"/>
            <w:vAlign w:val="bottom"/>
          </w:tcPr>
          <w:p>
            <w:pPr>
              <w:spacing w:after="0"/>
              <w:rPr>
                <w:sz w:val="19"/>
                <w:szCs w:val="19"/>
                <w:color w:val="auto"/>
              </w:rPr>
            </w:pPr>
          </w:p>
        </w:tc>
        <w:tc>
          <w:tcPr>
            <w:tcW w:w="132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32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9"/>
                <w:szCs w:val="19"/>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Deficit</w:t>
            </w:r>
          </w:p>
        </w:tc>
        <w:tc>
          <w:tcPr>
            <w:tcW w:w="100" w:type="dxa"/>
            <w:vAlign w:val="bottom"/>
          </w:tcPr>
          <w:p>
            <w:pPr>
              <w:spacing w:after="0"/>
              <w:rPr>
                <w:sz w:val="19"/>
                <w:szCs w:val="19"/>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Equity</w:t>
            </w:r>
          </w:p>
        </w:tc>
      </w:tr>
      <w:tr>
        <w:trPr>
          <w:trHeight w:val="178"/>
        </w:trPr>
        <w:tc>
          <w:tcPr>
            <w:tcW w:w="1880" w:type="dxa"/>
            <w:vAlign w:val="bottom"/>
            <w:tcBorders>
              <w:top w:val="single" w:sz="8" w:color="CCEEFF"/>
            </w:tcBorders>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9"/>
              </w:rPr>
              <w:t>Balance — January 1,</w:t>
            </w: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21,656,223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2,166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51,750,000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68,460,540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(63,467,875)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r>
      <w:tr>
        <w:trPr>
          <w:trHeight w:val="216"/>
        </w:trPr>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value of</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subject to redemption</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(21,656,223)</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(68,460,540)</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(148,099,524)</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(216,562,230)</w:t>
            </w:r>
          </w:p>
        </w:tc>
      </w:tr>
      <w:tr>
        <w:trPr>
          <w:trHeight w:val="216"/>
        </w:trPr>
        <w:tc>
          <w:tcPr>
            <w:tcW w:w="18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(871,798,158)</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(871,798,158)</w:t>
            </w:r>
          </w:p>
        </w:tc>
      </w:tr>
      <w:tr>
        <w:trPr>
          <w:trHeight w:val="210"/>
        </w:trPr>
        <w:tc>
          <w:tcPr>
            <w:tcW w:w="188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8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 March 31,</w:t>
            </w: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1"/>
        </w:trPr>
        <w:tc>
          <w:tcPr>
            <w:tcW w:w="18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2021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51,750,000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5,175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1"/>
              </w:rPr>
              <w:t>(1,083,365,557)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1"/>
              </w:rPr>
              <w:t>(1,083,360,382)</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ind w:left="1820" w:right="1160"/>
        <w:spacing w:after="0" w:line="263" w:lineRule="auto"/>
        <w:rPr>
          <w:sz w:val="20"/>
          <w:szCs w:val="20"/>
          <w:color w:val="auto"/>
        </w:rPr>
      </w:pPr>
      <w:r>
        <w:rPr>
          <w:rFonts w:ascii="Arial" w:cs="Arial" w:eastAsia="Arial" w:hAnsi="Arial"/>
          <w:sz w:val="18"/>
          <w:szCs w:val="18"/>
          <w:b w:val="1"/>
          <w:bCs w:val="1"/>
          <w:color w:val="auto"/>
        </w:rPr>
        <w:t>CHURCHILL CAPITAL CORP IV CONDENSED CONSOLIDATED STATEMENT OF CASH FLOWS THREE MONTHS ENDED MARCH 31, 2021 (UNAUDITED)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Change in fair value of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expense - excess fair value of conversion liability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Interest earned on marketable securities held in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Unrealized gain on marketable securities held in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Accounts payable and accrued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taxes payable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promissory note – related party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right="4120"/>
        <w:spacing w:after="0" w:line="307" w:lineRule="auto"/>
        <w:rPr>
          <w:sz w:val="20"/>
          <w:szCs w:val="20"/>
          <w:color w:val="auto"/>
        </w:rPr>
      </w:pPr>
      <w:r>
        <w:rPr>
          <w:rFonts w:ascii="Arial" w:cs="Arial" w:eastAsia="Arial" w:hAnsi="Arial"/>
          <w:sz w:val="18"/>
          <w:szCs w:val="18"/>
          <w:color w:val="auto"/>
        </w:rPr>
        <w:t>Change in value of Class A common stock subject to possible redemption Initial classification of conversion option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(871,798,158)</w:t>
      </w:r>
    </w:p>
    <w:p>
      <w:pPr>
        <w:spacing w:after="0" w:line="22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812,374,402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56,191,636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300,000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(177,326)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(3,956)</w:t>
      </w:r>
    </w:p>
    <w:p>
      <w:pPr>
        <w:spacing w:after="0" w:line="211" w:lineRule="exact"/>
        <w:rPr>
          <w:sz w:val="20"/>
          <w:szCs w:val="20"/>
          <w:color w:val="auto"/>
        </w:rPr>
      </w:pPr>
    </w:p>
    <w:p>
      <w:pPr>
        <w:jc w:val="center"/>
        <w:ind w:left="-299"/>
        <w:spacing w:after="0"/>
        <w:rPr>
          <w:sz w:val="20"/>
          <w:szCs w:val="20"/>
          <w:color w:val="auto"/>
        </w:rPr>
      </w:pPr>
      <w:r>
        <w:rPr>
          <w:rFonts w:ascii="Arial" w:cs="Arial" w:eastAsia="Arial" w:hAnsi="Arial"/>
          <w:sz w:val="18"/>
          <w:szCs w:val="18"/>
          <w:color w:val="auto"/>
        </w:rPr>
        <w:t>92,114</w:t>
      </w:r>
    </w:p>
    <w:p>
      <w:pPr>
        <w:spacing w:after="0" w:line="23" w:lineRule="exact"/>
        <w:rPr>
          <w:sz w:val="20"/>
          <w:szCs w:val="20"/>
          <w:color w:val="auto"/>
        </w:rPr>
      </w:pPr>
    </w:p>
    <w:p>
      <w:pPr>
        <w:jc w:val="center"/>
        <w:ind w:left="-299"/>
        <w:spacing w:after="0"/>
        <w:rPr>
          <w:sz w:val="20"/>
          <w:szCs w:val="20"/>
          <w:color w:val="auto"/>
        </w:rPr>
      </w:pPr>
      <w:r>
        <w:rPr>
          <w:rFonts w:ascii="Arial" w:cs="Arial" w:eastAsia="Arial" w:hAnsi="Arial"/>
          <w:sz w:val="16"/>
          <w:szCs w:val="16"/>
          <w:color w:val="auto"/>
        </w:rPr>
        <w:t>(27,032)</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23,578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(3,024,742)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7797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1,500,000</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1,500,000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7797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(1,524,742)</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3,592,857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22225</wp:posOffset>
            </wp:positionV>
            <wp:extent cx="7797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37" w:lineRule="exact"/>
        <w:rPr>
          <w:sz w:val="20"/>
          <w:szCs w:val="20"/>
          <w:color w:val="auto"/>
        </w:rPr>
      </w:pPr>
    </w:p>
    <w:p>
      <w:pPr>
        <w:ind w:left="520" w:hanging="517"/>
        <w:spacing w:after="0"/>
        <w:tabs>
          <w:tab w:leader="none" w:pos="52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2,068,115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7797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340" w:hanging="337"/>
        <w:spacing w:after="0"/>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color w:val="auto"/>
        </w:rPr>
        <w:t>216,562,230</w:t>
      </w:r>
    </w:p>
    <w:p>
      <w:pPr>
        <w:spacing w:after="0" w:line="61" w:lineRule="exact"/>
        <w:rPr>
          <w:rFonts w:ascii="Arial" w:cs="Arial" w:eastAsia="Arial" w:hAnsi="Arial"/>
          <w:sz w:val="17"/>
          <w:szCs w:val="17"/>
          <w:color w:val="auto"/>
        </w:rPr>
      </w:pPr>
    </w:p>
    <w:p>
      <w:pPr>
        <w:ind w:left="420" w:hanging="417"/>
        <w:spacing w:after="0"/>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57,691,636</w:t>
      </w:r>
    </w:p>
    <w:p>
      <w:pPr>
        <w:sectPr>
          <w:pgSz w:w="11900" w:h="16838" w:orient="portrait"/>
          <w:cols w:equalWidth="0" w:num="2">
            <w:col w:w="9440" w:space="460"/>
            <w:col w:w="1300"/>
          </w:cols>
          <w:pgMar w:left="320" w:top="904" w:right="3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Churchill Capital Corp IV (formerly known as Annetta Acquisition Corp) (the “Company”) was incorporated in Delaware on April 30, 2020. The Company was formed for the purpose of effecting a merger, capital stock exchange, asset acquisition, stock purchase, reorganization or similar business combination with one or more businesses (the “Business Combination”).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one subsidiary, Air Merger Sub, Inc., a direct, wholly-owned subsidiary of the Company incorporated in Delaware on February 19, 2021 (“Merger Sub”) (see Note 6).</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March 31, 2021, the Company had not commenced any operations. All activity for the period from April 30, 2020 (inception) through March 31, 2021 relates to the Company’s formation and the initial public offering (“Initial Public Offering”), identifying a target company for a Business Combination, and activities in connection with the proposed acquisition of Atieva, Inc., d/b/a Lucid Motors, an exempted company incorporated with limited liability under the laws of the Cayman Islands (“Atieva”) (see Note 6). The Company will not generate any operating revenues until after the completion of its initial Business Combination, at the earliest. The Company will generate non-operating income in the form of interest income from the proceeds derived from the Initial Public Offering.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registration statements for the Company’s Initial Public Offering were declared effective on July 29, 2020. On August 3, 2020, the Company consummated the Initial Public Offering of 207,000,000 units (the “Units” and, with respect to the shares of Class A common stock included in the Units sold, the “Public Shares”), which includes the full exercise by the underwriters of the over-allotment option to purchase an additional 27,000,000 Units, at $10.00 per Unit, generating gross proceeds of $2,070,000,000, which is described in Note 3.</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42,850,000 warrants (the “Private Placement Warrants”) at a price of $1.00 per Private Placement Warrant in a private placement to Churchill Sponsor IV LLC, (the “Sponsor”), generating gross proceeds of $42,850,000 which is described in Note 4.</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Transaction costs amounted to $109,714,885, consisting of $36,403,600 of underwriting fees, $72,450,000 of deferred underwriting fees and $861,285 of other offering costs.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Following the closing of the Initial Public Offering on August 3, 2020, an amount of $2,070,000,000 ($10.00 per Unit) from the net proceeds of the sale of the Units in the Initial Public Offering and the sale of the Private Placement Warrants was placed in a trust account (the “Trust Account”) located in the United States and invested only in U.S. government securities, within the meaning set forth in Section 2(a)(16) of the Investment Company Act of 1940, as amended (the “Investment Company Act”), with a maturity of 185 days or less or in any open-ended investment company that holds itself out as a money market fund selected by the Company meeting the conditions of Rule 2a-7 of the Investment Company Act, as determined by the Company, until the earlier of: (i) the completion of a Business Combination or (ii) the distribution of the Trust Account, as described below, except that interest earned on the Trust Account can be released to the Company to fund working capital requirements, subject to an annual limit of $1,000,000 and/or to pay its tax obligations.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There is no assurance that the Company will be able to complete a Business Combination successfully. The Company’s initial Business Combination must be with one or more target businesses that together have a fair market value equal to at least 80% of the balance in the Trust Account (excluding taxes payable on interest income earned from the Trust Account and the deferred underwriting commissions) at the time of the agreement to enter into the initial Business Combination.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$10.00 per Public Share, plus any pro rata interest, net of amounts withdrawn for working capital requirements, subject to an annual limit of $1,000,000 and/or to pay its taxes (“permitted withdrawals”)). The per-share amount to be distributed to public stockholders who redeem their Public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will proceed with a Business Combination if the Company has net tangible assets of at least $5,000,001 upon such consummation of a Business Combination and, if the Company seeks stockholder approval, a majority of the shares voted are voted in favor of the Business Combination. If a stockholder vote is not required by law or stock exchange requirements and the Company does not decide to hold a stockholder vote for business or other legal reasons, the Company will, pursuant to its Amended and Restated Certificate of Incorporation (the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legal reasons, the Company will offer to redeem shares in conjunction with a proxy solicitation pursuant to the proxy rules and not pursuant to the tender offer rules. If the Company seeks stockholder approval in connection with a Business Combination, the Company’s Sponsor and its permitted transferees will agree to vote their Founder Shares (as defined in Note 6) 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ectPr>
          <w:pgSz w:w="11900" w:h="16838" w:orient="portrait"/>
          <w:cols w:equalWidth="0" w:num="1">
            <w:col w:w="11240"/>
          </w:cols>
          <w:pgMar w:left="320" w:top="1120" w:right="339" w:bottom="0" w:gutter="0" w:footer="0" w:header="0"/>
        </w:sectPr>
      </w:pPr>
    </w:p>
    <w:bookmarkStart w:id="7" w:name="page8"/>
    <w:bookmarkEnd w:id="7"/>
    <w:p>
      <w:pPr>
        <w:jc w:val="center"/>
        <w:ind w:right="59"/>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15240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Sponsor has agreed (a) to waive its redemption rights with respect to its Founder Shares and Public Shares held by it in connection with the completion of a Business Combination, (b) to waive its rights to liquidating distributions from the Trust Account with respect to its Founder Shares if the Company fails to consummate a Business Combination within the Combination Window (as defined below) and (c)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with the opportunity to redeem their shares in conjunction with any such amendment.</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the Company is unable to complete a Business Combination by August 3, 2022 (or November 3, 2022 if the Company has an executed letter of intent, agreement in principle or definitive agreement for a Business Combination by August 3, 2022) (the “Combination Window”),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(net of permitted withdrawals and up to $100,000 to pay dissolution expenses), divided by the number of then outstanding Public Shares, which redemption will completely extinguish public stockholders’ rights as stockholders (including the right to receive further liquidating distributions, if any), subject to applicable law, and</w:t>
      </w:r>
    </w:p>
    <w:p>
      <w:pPr>
        <w:spacing w:after="0" w:line="4" w:lineRule="exact"/>
        <w:rPr>
          <w:sz w:val="20"/>
          <w:szCs w:val="20"/>
          <w:color w:val="auto"/>
        </w:rPr>
      </w:pPr>
    </w:p>
    <w:p>
      <w:pPr>
        <w:jc w:val="both"/>
        <w:ind w:firstLine="8"/>
        <w:spacing w:after="0" w:line="273" w:lineRule="auto"/>
        <w:tabs>
          <w:tab w:leader="none" w:pos="325"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Window.</w:t>
      </w:r>
    </w:p>
    <w:p>
      <w:pPr>
        <w:spacing w:after="0" w:line="1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Sponsor has agreed to waive its right to liquidating distributions from the Trust Account with respect to the Founder Shares if the Company fails to complete a Business Combination within the Combination Window. However, if the Sponsor acquires Public Shares in or after the Initial Public Offering, such Public Shares will be entitled to liquidating distributions from the Trust Account if the Company fails to complete a Business Combination within the Combination Window. The underwriters have agreed to waive their rights to their deferred underwriting commission (see Note 7) held in the Trust Account in the event the Company does not complete a Business Combination within the Combination Window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protect the amounts held in the Trust Account, the Sponsor has agreed to be liable to the Company if and to the extent any claims by a third party (other than the Company’s independent registered public accounting firm) for services rendered or products sold to the Company, or a prospective target business with which the Company has entered into a written letter of intent, confidentiality or similar agreement, reduce the amount of funds in the Trust Account to below (i) $10.00 per Public Share or (ii) the amount per Public Share held in the Trust Account as of the liquidation of the Trust Account, if less than $10.00 per Public Share due to reductions in the value of the trust assets, in each case net of permitted withdrawals. This liability will not apply with respect to any claims by a third party who executed a waiver of any and all rights to seek access to the Trust Account or to any claims under the Company’s indemnity of the underwriters of the Initial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third-party claims.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principally financed its operations from inception using proceeds from the sale of its equity securities to its shareholders prior to the Initial Public Offering and such amount of proceeds from the Initial Public Offering that were placed in an account outside of the Trust Account for working capital purposes. As of March 31, 2021, approximately $267,000 of the amount on deposit in the Trust Account represented interest income, which is available to pay the Company's tax obligations and for permitted withdrawals. Until the consummation of a Business Combination, the Company will be using the funds not held in the Trust Account for identifying and evaluating prospective acquisition candidates, performing due diligence on prospective target businesses, paying for travel expenditures, selecting the target business to acquire, and structuring, negotiating and consummating the Business Combination.</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may need to raise additional capital through loans or additional investments from its Sponsor, stockholders, officers, directors, or third parties. The Company's officers, directors and Sponsor may, but are not obligated to, loan the Company funds, from time to time or at any time, in whatever amount they deem reasonable in their sole discretion, to meet the Company's working capital needs. Accordingly, the Company may not be able to obtain additional financing. If the Company is unable to raise additional capital, it may be required to take additional measures to conserve liquidity, which could include, but not necessarily be limited to, curtailing operations, suspending the pursuit of a potential transaction, and reducing overhead expenses. The Company cannot provide any assurance that new financing will be available to it on commercially acceptable terms, if at all. The Company believes it will have sufficient cash to meet its needs for a reasonable period of time, which is considered to be one year from the issuance date of the condensed consolidated financial statements.</w:t>
      </w:r>
    </w:p>
    <w:p>
      <w:pPr>
        <w:spacing w:after="0" w:line="400"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7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accompanying unaudited condensed consolidated financial statements should be read in conjunction with the Company’s Annual Report on Form 10-K/A for the fiscal year ended December 31, 2020, as filed with the SEC on May 14, 2021. The interim results for the three months ended March 31, 2021 are not necessarily indicative of the results to be expected for the year ending December 31, 2021 or for any future periods.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the condensed consolidated financial statements in conformity with GAAP requires the Company’s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37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2021 and December 31, 2020, substantially all of the assets held in the Trust Account were held in U.S. Treasury Bills. From inception to March 31, 2021, the Company withdrew $450,000 of interest earned on the Trust Account for working capital purposes, of which no amounts were withdrawn during the three months ended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conversion options embedded in convertible notes in accordance with ASC 815. ASC 815 generally requires companies to bifurcate conversion options embedded in convertible notes from their host instruments and to account for them as free standing derivative financial instruments.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the terms of convertible debt issued to determine whether there are embedded derivative instruments, including embedded conversion options, which are required to be bifurcated and accounted for separately as derivative financial instruments. In circumstances where the host instrument contains more than one embedded derivative instrument, including the conversion option, that is required to be bifurcated, the bifurcated derivative instruments are accounted for as a single, compound derivative instrument.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Bifurcated embedded derivatives are initially recorded at fair value and are then revalued at each reporting date with changes in the fair value reported as non-operating income or expense. When the equity or convertible debt instruments contain embedded derivative instruments that are to be bifurcated and accounted for as liabilities, the total proceeds received are first allocated to the fair value of all the bifurcated derivative instruments. The remaining proceeds, if any, are then allocated to the host instruments themselves, usually resulting in those instruments being recorded at a discount from their face value. The discount from the face value of the convertible debt, together with the stated interest on the instrument, is amortized over the life of the instrument through periodic charges to interest 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accounts for debt and equity issuances as either equity-classified or liability-classified instruments based on an assessment of the instruments specific terms and applicable authoritative guidance in Financial Accounting Standards Board (“FASB”) Accounting Standards Codification (“ASC”) 480, Distinguishing Liabilities from Equity (“ASC 480”) and ASC 815, Derivatives and Hedging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holders could potentially require “net cash settlement” in a circumstance outside of the Company’s control, among other conditions for equity classification. This assessment, which requires the use of professional judgment, is conducted at the time of issuance of the instruments and as of each subsequent quarterly period end date while the instruments are outstanding.</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as a derivative liability at their initial fair value on the date of issuance, and each balance sheet date thereafter. Changes in the estimated fair value of the instruments are recognized as a non-cash gain or loss on the condensed consolidated statements of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its Class A common stock subject to possible redemption in accordance with the guidance in ASC 480. Shares of Class A common stock subject to mandatory redemption is classified as a liability instrument and is measured at fair value. Conditionally redeemable common stock (including common stock that features redemption rights that is either within the control of the holder or subject to redemption upon the occurrence of uncertain events not solely within the Company’s control) is classified as temporary equity. At all other times, common stock is classified as stockholders’ equity. The Company’s Class A common stock features certain redemption rights that are considered to be outside of the Company’s control and subject to occurrence of uncertain future events. Accordingly, Class A common stock subject to possible redemption is presented at redemption value as temporary equity, outside of the stockholders’ equity section of the Company’s condensed consolidated balance sheets.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 As of March 31, 2021 and December 31, 2020, the Company had a deferred tax asset of approximately $1,228,000 and $594,000 respectively, which had a full valuation allowance recorded against it of approximately $1,228,000 and $594,000, respectively.</w:t>
      </w:r>
    </w:p>
    <w:p>
      <w:pPr>
        <w:spacing w:after="0" w:line="16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ASC 740 prescribes a recognition threshold and a measurement attribute for the financial statements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2021 and December 31, 2020. The Company is currently not</w:t>
      </w:r>
    </w:p>
    <w:p>
      <w:pPr>
        <w:sectPr>
          <w:pgSz w:w="11900" w:h="16936" w:orient="portrait"/>
          <w:cols w:equalWidth="0" w:num="1">
            <w:col w:w="11240"/>
          </w:cols>
          <w:pgMar w:left="320" w:top="904" w:right="339" w:bottom="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aware of any issues under review that could result in significant payments, accruals or material deviation from its position. The Company is subject to income tax examinations by major taxing authorities since inception.</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currently taxable income primarily consists of interest income on the Trust Account. The Company’s general and administrative costs are generally considered start-up costs and are not currently deductible. During the three months ended March 31, 2021, the Company recorded $23,578 of income tax expense. The Company’s effective tax rate for the three months ended March 31, 2021 was approximately 0%, which differs from the expected income tax rate primarily due to the permanent differences associated with the change in the fair value of the derivative liabilities and start-up costs (discussed above) which are not currently deductible.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income (loss) per share is computed by dividing net income by the weighted-average number of shares of common stock outstanding during the period. The Company has not considered the effect of the warrants sold in the Initial Public Offering and private placement to purchase an aggregate of 84,250,000 shares of common stock in the calculation of diluted loss per share, since the inclusion of such warrants would be anti-dilutive.</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Company’s statement of operations includes a presentation of income (loss) per share for Class A common stock subject to possible redemption in a manner similar to the two-class method of income (loss) per share. Net income (loss) per share, basic and diluted, for Class A common stock subject to possible redemption is calculated by dividing the proportionate share of income or loss on marketable securities held by the Trust Account the weighted average number of Class A common stock subject to possible redemption outstanding since original issuance.</w:t>
      </w:r>
    </w:p>
    <w:p>
      <w:pPr>
        <w:spacing w:after="0" w:line="17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income (loss) per share, basic and diluted, for non-redeemable common stock is calculated by dividing the net income (loss), adjusted for income or loss on marketable securities attributable to Class A common stock subject to possible redemption, by the weighted average number of non-redeemable common stock outstanding for the period.</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Non-redeemable common stock includes Founder Shares and non-redeemable shares of common stock as these shares do not have any redemption features. Non-redeemable common stock participates in the income or loss on marketable securities based on non-redeemable shares’ proportionate interest.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20" w:type="dxa"/>
            <w:vAlign w:val="bottom"/>
          </w:tcPr>
          <w:p>
            <w:pPr>
              <w:spacing w:after="0"/>
              <w:rPr>
                <w:sz w:val="20"/>
                <w:szCs w:val="20"/>
                <w:color w:val="auto"/>
              </w:rPr>
            </w:pPr>
            <w:r>
              <w:rPr>
                <w:rFonts w:ascii="Arial" w:cs="Arial" w:eastAsia="Arial" w:hAnsi="Arial"/>
                <w:sz w:val="18"/>
                <w:szCs w:val="18"/>
                <w:color w:val="auto"/>
                <w:w w:val="93"/>
              </w:rPr>
              <w:t>The following table reflects the calculation of basic and diluted net income (loss) per share (in dollars, except per share amounts):</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3"/>
          </w:tcPr>
          <w:p>
            <w:pPr>
              <w:jc w:val="center"/>
              <w:ind w:right="21"/>
              <w:spacing w:after="0"/>
              <w:rPr>
                <w:sz w:val="20"/>
                <w:szCs w:val="20"/>
                <w:color w:val="auto"/>
              </w:rPr>
            </w:pPr>
            <w:r>
              <w:rPr>
                <w:rFonts w:ascii="Arial" w:cs="Arial" w:eastAsia="Arial" w:hAnsi="Arial"/>
                <w:sz w:val="18"/>
                <w:szCs w:val="18"/>
                <w:b w:val="1"/>
                <w:bCs w:val="1"/>
                <w:color w:val="auto"/>
                <w:w w:val="91"/>
              </w:rPr>
              <w:t>Three Months</w:t>
            </w:r>
          </w:p>
        </w:tc>
        <w:tc>
          <w:tcPr>
            <w:tcW w:w="0" w:type="dxa"/>
            <w:vAlign w:val="bottom"/>
          </w:tcPr>
          <w:p>
            <w:pPr>
              <w:spacing w:after="0"/>
              <w:rPr>
                <w:sz w:val="1"/>
                <w:szCs w:val="1"/>
                <w:color w:val="auto"/>
              </w:rPr>
            </w:pPr>
          </w:p>
        </w:tc>
      </w:tr>
      <w:tr>
        <w:trPr>
          <w:trHeight w:val="216"/>
        </w:trPr>
        <w:tc>
          <w:tcPr>
            <w:tcW w:w="9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01"/>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9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81"/>
              <w:spacing w:after="0"/>
              <w:rPr>
                <w:sz w:val="20"/>
                <w:szCs w:val="20"/>
                <w:color w:val="auto"/>
              </w:rPr>
            </w:pPr>
            <w:r>
              <w:rPr>
                <w:rFonts w:ascii="Arial" w:cs="Arial" w:eastAsia="Arial" w:hAnsi="Arial"/>
                <w:sz w:val="18"/>
                <w:szCs w:val="18"/>
                <w:b w:val="1"/>
                <w:bCs w:val="1"/>
                <w:color w:val="auto"/>
                <w:w w:val="96"/>
              </w:rPr>
              <w:t>March 31,</w:t>
            </w:r>
          </w:p>
        </w:tc>
        <w:tc>
          <w:tcPr>
            <w:tcW w:w="0" w:type="dxa"/>
            <w:vAlign w:val="bottom"/>
          </w:tcPr>
          <w:p>
            <w:pPr>
              <w:spacing w:after="0"/>
              <w:rPr>
                <w:sz w:val="1"/>
                <w:szCs w:val="1"/>
                <w:color w:val="auto"/>
              </w:rPr>
            </w:pPr>
          </w:p>
        </w:tc>
      </w:tr>
      <w:tr>
        <w:trPr>
          <w:trHeight w:val="234"/>
        </w:trPr>
        <w:tc>
          <w:tcPr>
            <w:tcW w:w="962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6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Class A common stock subject to possible redemption</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Numerator: Earnings allocable to Class A common stock subject to possible redemption</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177,326</w:t>
            </w:r>
          </w:p>
        </w:tc>
        <w:tc>
          <w:tcPr>
            <w:tcW w:w="0" w:type="dxa"/>
            <w:vAlign w:val="bottom"/>
          </w:tcPr>
          <w:p>
            <w:pPr>
              <w:spacing w:after="0"/>
              <w:rPr>
                <w:sz w:val="1"/>
                <w:szCs w:val="1"/>
                <w:color w:val="auto"/>
              </w:rPr>
            </w:pPr>
          </w:p>
        </w:tc>
      </w:tr>
      <w:tr>
        <w:trPr>
          <w:trHeight w:val="216"/>
        </w:trPr>
        <w:tc>
          <w:tcPr>
            <w:tcW w:w="9620" w:type="dxa"/>
            <w:vAlign w:val="bottom"/>
          </w:tcPr>
          <w:p>
            <w:pPr>
              <w:ind w:left="340"/>
              <w:spacing w:after="0"/>
              <w:rPr>
                <w:sz w:val="20"/>
                <w:szCs w:val="20"/>
                <w:color w:val="auto"/>
              </w:rPr>
            </w:pPr>
            <w:r>
              <w:rPr>
                <w:rFonts w:ascii="Arial" w:cs="Arial" w:eastAsia="Arial" w:hAnsi="Arial"/>
                <w:sz w:val="18"/>
                <w:szCs w:val="18"/>
                <w:color w:val="auto"/>
              </w:rPr>
              <w:t>Unrealized gain on investments held in Trust Account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color w:val="auto"/>
              </w:rPr>
              <w:t>3,956</w:t>
            </w: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Company’s portion available to be withdrawn to pay taxes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(73,578)</w:t>
            </w:r>
          </w:p>
        </w:tc>
        <w:tc>
          <w:tcPr>
            <w:tcW w:w="0" w:type="dxa"/>
            <w:vAlign w:val="bottom"/>
          </w:tcPr>
          <w:p>
            <w:pPr>
              <w:spacing w:after="0"/>
              <w:rPr>
                <w:sz w:val="1"/>
                <w:szCs w:val="1"/>
                <w:color w:val="auto"/>
              </w:rPr>
            </w:pPr>
          </w:p>
        </w:tc>
      </w:tr>
      <w:tr>
        <w:trPr>
          <w:trHeight w:val="230"/>
        </w:trPr>
        <w:tc>
          <w:tcPr>
            <w:tcW w:w="9620" w:type="dxa"/>
            <w:vAlign w:val="bottom"/>
          </w:tcPr>
          <w:p>
            <w:pPr>
              <w:ind w:left="340"/>
              <w:spacing w:after="0"/>
              <w:rPr>
                <w:sz w:val="20"/>
                <w:szCs w:val="20"/>
                <w:color w:val="auto"/>
              </w:rPr>
            </w:pPr>
            <w:r>
              <w:rPr>
                <w:rFonts w:ascii="Arial" w:cs="Arial" w:eastAsia="Arial" w:hAnsi="Arial"/>
                <w:sz w:val="18"/>
                <w:szCs w:val="18"/>
                <w:color w:val="auto"/>
              </w:rPr>
              <w:t>Less: Company’s portion available to be withdrawn for working capital purposes</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(107,704)</w:t>
            </w:r>
          </w:p>
        </w:tc>
        <w:tc>
          <w:tcPr>
            <w:tcW w:w="0" w:type="dxa"/>
            <w:vAlign w:val="bottom"/>
          </w:tcPr>
          <w:p>
            <w:pPr>
              <w:spacing w:after="0"/>
              <w:rPr>
                <w:sz w:val="1"/>
                <w:szCs w:val="1"/>
                <w:color w:val="auto"/>
              </w:rPr>
            </w:pPr>
          </w:p>
        </w:tc>
      </w:tr>
      <w:tr>
        <w:trPr>
          <w:trHeight w:val="223"/>
        </w:trPr>
        <w:tc>
          <w:tcPr>
            <w:tcW w:w="96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allocable to Class A common stock subject to possible redemption</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20" w:type="dxa"/>
            <w:vAlign w:val="bottom"/>
            <w:vMerge w:val="restart"/>
          </w:tcPr>
          <w:p>
            <w:pPr>
              <w:spacing w:after="0"/>
              <w:rPr>
                <w:sz w:val="20"/>
                <w:szCs w:val="20"/>
                <w:color w:val="auto"/>
              </w:rPr>
            </w:pPr>
            <w:r>
              <w:rPr>
                <w:rFonts w:ascii="Arial" w:cs="Arial" w:eastAsia="Arial" w:hAnsi="Arial"/>
                <w:sz w:val="18"/>
                <w:szCs w:val="18"/>
                <w:color w:val="auto"/>
              </w:rPr>
              <w:t>Denominator: Weighted Average Class A common stock subject to possible redemption</w:t>
            </w: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weighted average shares outstanding, Class A common stock subject to possible redemption</w:t>
            </w: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196,306,266</w:t>
            </w:r>
          </w:p>
        </w:tc>
        <w:tc>
          <w:tcPr>
            <w:tcW w:w="0" w:type="dxa"/>
            <w:vAlign w:val="bottom"/>
          </w:tcPr>
          <w:p>
            <w:pPr>
              <w:spacing w:after="0"/>
              <w:rPr>
                <w:sz w:val="1"/>
                <w:szCs w:val="1"/>
                <w:color w:val="auto"/>
              </w:rPr>
            </w:pPr>
          </w:p>
        </w:tc>
      </w:tr>
      <w:tr>
        <w:trPr>
          <w:trHeight w:val="20"/>
        </w:trPr>
        <w:tc>
          <w:tcPr>
            <w:tcW w:w="9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Basic and diluted net income per share, Class A common stock subject to possible redemption</w:t>
            </w: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62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96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620" w:type="dxa"/>
            <w:vAlign w:val="bottom"/>
          </w:tcPr>
          <w:p>
            <w:pPr>
              <w:spacing w:after="0"/>
              <w:rPr>
                <w:sz w:val="20"/>
                <w:szCs w:val="20"/>
                <w:color w:val="auto"/>
              </w:rPr>
            </w:pPr>
            <w:r>
              <w:rPr>
                <w:rFonts w:ascii="Arial" w:cs="Arial" w:eastAsia="Arial" w:hAnsi="Arial"/>
                <w:sz w:val="18"/>
                <w:szCs w:val="18"/>
                <w:i w:val="1"/>
                <w:iCs w:val="1"/>
                <w:color w:val="auto"/>
              </w:rPr>
              <w:t>Non-Redeemable Common Stock</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Numerator: Net Loss minus Net Earnings</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20" w:type="dxa"/>
            <w:vAlign w:val="bottom"/>
          </w:tcPr>
          <w:p>
            <w:pPr>
              <w:ind w:left="180"/>
              <w:spacing w:after="0"/>
              <w:rPr>
                <w:sz w:val="20"/>
                <w:szCs w:val="20"/>
                <w:color w:val="auto"/>
              </w:rPr>
            </w:pPr>
            <w:r>
              <w:rPr>
                <w:rFonts w:ascii="Arial" w:cs="Arial" w:eastAsia="Arial" w:hAnsi="Arial"/>
                <w:sz w:val="18"/>
                <w:szCs w:val="18"/>
                <w:color w:val="auto"/>
              </w:rPr>
              <w:t>Net loss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w w:val="99"/>
              </w:rPr>
              <w:t>(871,798,158)</w:t>
            </w:r>
          </w:p>
        </w:tc>
        <w:tc>
          <w:tcPr>
            <w:tcW w:w="0" w:type="dxa"/>
            <w:vAlign w:val="bottom"/>
          </w:tcPr>
          <w:p>
            <w:pPr>
              <w:spacing w:after="0"/>
              <w:rPr>
                <w:sz w:val="1"/>
                <w:szCs w:val="1"/>
                <w:color w:val="auto"/>
              </w:rPr>
            </w:pPr>
          </w:p>
        </w:tc>
      </w:tr>
      <w:tr>
        <w:trPr>
          <w:trHeight w:val="229"/>
        </w:trPr>
        <w:tc>
          <w:tcPr>
            <w:tcW w:w="9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allocable to Class A common stock subject to possible redemption</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9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Non-Redeemable Net Loss</w:t>
            </w:r>
          </w:p>
        </w:tc>
        <w:tc>
          <w:tcPr>
            <w:tcW w:w="2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(871,798,158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9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Weighted Average Non-redeemable Common stock</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9620" w:type="dxa"/>
            <w:vAlign w:val="bottom"/>
          </w:tcPr>
          <w:p>
            <w:pPr>
              <w:spacing w:after="0"/>
              <w:rPr>
                <w:sz w:val="20"/>
                <w:szCs w:val="20"/>
                <w:color w:val="auto"/>
              </w:rPr>
            </w:pPr>
            <w:r>
              <w:rPr>
                <w:rFonts w:ascii="Arial" w:cs="Arial" w:eastAsia="Arial" w:hAnsi="Arial"/>
                <w:sz w:val="18"/>
                <w:szCs w:val="18"/>
                <w:color w:val="auto"/>
              </w:rPr>
              <w:t>Basic and diluted weighted average shares outstanding, Non-redeemable Common stock</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65,318,734</w:t>
            </w:r>
          </w:p>
        </w:tc>
        <w:tc>
          <w:tcPr>
            <w:tcW w:w="0" w:type="dxa"/>
            <w:vAlign w:val="bottom"/>
          </w:tcPr>
          <w:p>
            <w:pPr>
              <w:spacing w:after="0"/>
              <w:rPr>
                <w:sz w:val="1"/>
                <w:szCs w:val="1"/>
                <w:color w:val="auto"/>
              </w:rPr>
            </w:pPr>
          </w:p>
        </w:tc>
      </w:tr>
      <w:tr>
        <w:trPr>
          <w:trHeight w:val="197"/>
        </w:trPr>
        <w:tc>
          <w:tcPr>
            <w:tcW w:w="96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Basic and diluted net loss per share, Non-redeemable Common stock</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(13.35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9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accompanying condensed consolidated balance sheets, primarily due to their short-term nature, except for the Company’s derivative instruments (see Note 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adopted ASU 2020-06 on January 1, 2021. The adoption of ASU 2020-06 did not have an impact on the Company’s financial statements.</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PUBLIC OFFERING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Initial Public Offering, the Company sold 207,000,000 Units, which includes the full exercise by the underwriters of their option to purchase an additional 27,000,000 Units, at $10.00 per Unit. Each Unit consists of one share of Class A common stock and one-fifth of one redeemable warrant (“Public Warrant”). Each whole Public Warrant entitles the holder to purchase one share of Class A common stock at a price of $11.50 per share, subject to adjustment (see Note 8). The Units sold in the Initial Public Offering comprise an aggregate of 207,000,000 shares of Class A common stock and 41,400,000 Public Warrants.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42,850,000 Private Placement Warrants at a price of $1.00 per Private Placement Warrant, for an aggregate purchase price of $42,850,000. Each Private Placement Warrant is exercisable to purchase one share of Class A common stock at a price of $11.50 per share. The proceeds from the Private Placement Warrants were added to the proceeds from the Initial Public Offering held in the Trust Account. If the Company does not complete a Business Combination within the Combination Window, the proceeds of the sale of the Private Placement Warrants will be used to fund the redemption of the Public Shares (subject to the requirements of applicable law) and the Private Placement Warrants will expire worthless. There will be no redemption rights or liquidating distributions from the Trust Account with respect to the Private Placement Warrants.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May 22, 2020, the Sponsor purchased 21,562,500 shares of the Company’s Class B common stock for an aggregate price of $25,000 (the “Founder Shares”). On July 14, 2020, the Company effected a stock dividend of one-third of a share of Class B common stock for each outstanding share of Class B common stock, on July 27, 2020, the Company effected a stock dividend of 0.50 to 1 share of Class B common stock for each outstanding share of Class B common stock and on July 30, 2020, the Company effected a stock dividend of 0.20 to 1 share of Class B common stock for each outstanding share of Class B common stock, resulting in 51,750,000 shares of Class B common stock being issued and outstanding. All share and per-share amounts have been retroactively restated to reflect the stock dividends. The Founder Shares included an aggregate of up to 6,750,000 shares subject to forfeiture to the extent that the underwriters’ over-allotment option was not exercised in full or in part, so that the Sponsor would own, on an as-converted basis, 20% of the Company’s issued and outstanding shares after the Initial Public Offering. As a result of the underwriters’ election to fully exercise their over-allotment option, 6,750,000 Founder Shares are no longer subject to forfeiture.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its Founder Shares until the earlier to occur of: (A) one year after the completion of a Business Combination or (B) the date on which the Company completes a liquidation, merger, stock exchange, reorganization or similar transaction after a Business Combination that results in all of the Company’s stockholders having the right to exchange their shares of common stock for cash, securities or other property. Notwithstanding the foregoing, if the closing price of the Class A common stock equals or exceeds $12.00 per share (as adjusted for stock splits, stock dividends, reorganizations, recapitalizations and the like) for any 20 trading days within any 30-trading day period commencing at least 150 days after a Business Combination, the Founder Shares will be released from the lock-up.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entered into an agreement whereby, commencing on July 30, 2020 through the earlier of the Company’s consummation of a Business Combination and its liquidation, the Company will pay an affiliate of the Sponsor a total of $50,000 per month for office space, administrative and support services. For the three months ended March 31, 2021, the Company incurred and paid $150,000 in fees for these services.</w:t>
      </w:r>
    </w:p>
    <w:p>
      <w:pPr>
        <w:spacing w:after="0" w:line="37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Fee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may engage M. Klein and Company, LLC, an affiliate of the Sponsor, or another affiliate of the Sponsor, as its lead financial advisor in connection with a Business Combination and may pay such affiliate a customary financial advisory fee in an amount that constitutes a market standard financial advisory fee for comparable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Promissory Note — Related Party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13, 2020, the Sponsor agreed to loan the Company an aggregate of up to $600,000 to cover expenses related to the Initial Public Offering pursuant to a promissory note (the “Promissory Note”). The Promissory Note was non-interest bearing and payable on the earlier of December 31, 2021 or the completion of the Initial Public Offering. The borrowings outstanding under the note in the amount of $550,000 were repaid upon the consummation of the Initial Public Offering on August 3,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order to finance transaction costs in connection with a Business Combination, the Sponsor, an affiliate of the Sponsor, or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In the event that a Business Combination does not close, the Company may use a portion of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$1,500,000 of such Working Capital Loans may be convertible into warrants at a price of $1.00 per warrant. The warrants would be identical to the Private Placement Warrants.</w:t>
      </w:r>
    </w:p>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22, 2021, the Company entered into a convertible promissory note with the Sponsor pursuant to which the Sponsor agreed to loan the Company up to an aggregate principal amount of $1,500,000 (the “Convertible Promissory Note”). The Convertible Promissory Note is non-interest bearing and payable on the earlier of the date on which the Company consummates a Business Combination or the date that the winding up of the Company is effective. If the Company does not consummate a Business Combination, the Company may use a portion of any funds held outside the Trust Account to repay the Promissory Note; however, no proceeds from the Trust Account may be used for such repayment. Up to $1,500,000 of the Convertible Promissory Note may be converted into warrants at a price of $1.00 per warrant at the option of the Sponsor. The warrants would be identical to the Private Placement Warrants. As of March 31, 2021, the outstanding balance under the Convertible Promissory Note amounted to an aggregate of $1,500,000.</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assessed the provisions of the Convertible Promissory Note under ASC 470-20. The derivative component of the obligation is initially valued and classified as a derivative liability. The excess of the fair value of the derivative liability over the principal in the amount of $56,191,636 was recorded as interest expense in the accompanying condensed statement of operations. The conversion option was valued using the Black-Scholes option pricing formula, which is considered to be a Level 3 fair value measurement and based on the following assumptions (see Note 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February 22,</w:t>
            </w:r>
          </w:p>
        </w:tc>
      </w:tr>
      <w:tr>
        <w:trPr>
          <w:trHeight w:val="216"/>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r>
      <w:tr>
        <w:trPr>
          <w:trHeight w:val="216"/>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3"/>
              </w:rPr>
              <w:t>March 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(Initial</w:t>
            </w:r>
          </w:p>
        </w:tc>
      </w:tr>
      <w:tr>
        <w:trPr>
          <w:trHeight w:val="234"/>
        </w:trPr>
        <w:tc>
          <w:tcPr>
            <w:tcW w:w="6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Measurement)</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Underlying warrant value</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Exercise price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Holding period</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Risk-free rate</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0.03%</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r>
      <w:tr>
        <w:trPr>
          <w:trHeight w:val="230"/>
        </w:trPr>
        <w:tc>
          <w:tcPr>
            <w:tcW w:w="6560" w:type="dxa"/>
            <w:vAlign w:val="bottom"/>
          </w:tcPr>
          <w:p>
            <w:pPr>
              <w:spacing w:after="0"/>
              <w:rPr>
                <w:sz w:val="20"/>
                <w:szCs w:val="20"/>
                <w:color w:val="auto"/>
              </w:rPr>
            </w:pPr>
            <w:r>
              <w:rPr>
                <w:rFonts w:ascii="Arial" w:cs="Arial" w:eastAsia="Arial" w:hAnsi="Arial"/>
                <w:sz w:val="18"/>
                <w:szCs w:val="18"/>
                <w:color w:val="auto"/>
              </w:rPr>
              <w:t>Dividend yield</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418"/>
        </w:trPr>
        <w:tc>
          <w:tcPr>
            <w:tcW w:w="6560" w:type="dxa"/>
            <w:vAlign w:val="bottom"/>
          </w:tcPr>
          <w:p>
            <w:pPr>
              <w:spacing w:after="0"/>
              <w:rPr>
                <w:sz w:val="20"/>
                <w:szCs w:val="20"/>
                <w:color w:val="auto"/>
              </w:rPr>
            </w:pPr>
            <w:r>
              <w:rPr>
                <w:rFonts w:ascii="Arial" w:cs="Arial" w:eastAsia="Arial" w:hAnsi="Arial"/>
                <w:sz w:val="18"/>
                <w:szCs w:val="18"/>
                <w:color w:val="auto"/>
                <w:w w:val="96"/>
              </w:rPr>
              <w:t>The following table presents the change in the fair value of conversion option liability:</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6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Fair value as of January 1, 2021</w:t>
            </w:r>
          </w:p>
        </w:tc>
        <w:tc>
          <w:tcPr>
            <w:tcW w:w="500" w:type="dxa"/>
            <w:vAlign w:val="bottom"/>
            <w:gridSpan w:val="2"/>
            <w:shd w:val="clear" w:color="auto" w:fill="CCEEFF"/>
          </w:tcPr>
          <w:p>
            <w:pPr>
              <w:jc w:val="right"/>
              <w:ind w:right="369"/>
              <w:spacing w:after="0"/>
              <w:rPr>
                <w:sz w:val="20"/>
                <w:szCs w:val="20"/>
                <w:color w:val="auto"/>
              </w:rPr>
            </w:pPr>
            <w:r>
              <w:rPr>
                <w:rFonts w:ascii="Arial" w:cs="Arial" w:eastAsia="Arial" w:hAnsi="Arial"/>
                <w:sz w:val="15"/>
                <w:szCs w:val="15"/>
                <w:color w:val="auto"/>
                <w:w w:val="71"/>
              </w:rPr>
              <w:t>$</w:t>
            </w: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6560" w:type="dxa"/>
            <w:vAlign w:val="bottom"/>
          </w:tcPr>
          <w:p>
            <w:pPr>
              <w:ind w:left="460"/>
              <w:spacing w:after="0"/>
              <w:rPr>
                <w:sz w:val="20"/>
                <w:szCs w:val="20"/>
                <w:color w:val="auto"/>
              </w:rPr>
            </w:pPr>
            <w:r>
              <w:rPr>
                <w:rFonts w:ascii="Arial" w:cs="Arial" w:eastAsia="Arial" w:hAnsi="Arial"/>
                <w:sz w:val="18"/>
                <w:szCs w:val="18"/>
                <w:color w:val="auto"/>
              </w:rPr>
              <w:t>Initial measurement on February 22, 2021</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57,691,636</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9"/>
        </w:trPr>
        <w:tc>
          <w:tcPr>
            <w:tcW w:w="65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(40,517,598)</w:t>
            </w: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6560" w:type="dxa"/>
            <w:vAlign w:val="bottom"/>
          </w:tcPr>
          <w:p>
            <w:pPr>
              <w:ind w:left="460"/>
              <w:spacing w:after="0"/>
              <w:rPr>
                <w:sz w:val="20"/>
                <w:szCs w:val="20"/>
                <w:color w:val="auto"/>
              </w:rPr>
            </w:pPr>
            <w:r>
              <w:rPr>
                <w:rFonts w:ascii="Arial" w:cs="Arial" w:eastAsia="Arial" w:hAnsi="Arial"/>
                <w:sz w:val="18"/>
                <w:szCs w:val="18"/>
                <w:color w:val="auto"/>
              </w:rPr>
              <w:t>Fair value as of March 31, 2021</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0"/>
                <w:szCs w:val="10"/>
                <w:color w:val="auto"/>
                <w:w w:val="71"/>
              </w:rPr>
              <w:t>$</w:t>
            </w:r>
          </w:p>
        </w:tc>
        <w:tc>
          <w:tcPr>
            <w:tcW w:w="12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17,174,038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-599440</wp:posOffset>
            </wp:positionV>
            <wp:extent cx="291465" cy="582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91465" cy="582930"/>
                    </a:xfrm>
                    <a:prstGeom prst="rect">
                      <a:avLst/>
                    </a:prstGeom>
                    <a:noFill/>
                  </pic:spPr>
                </pic:pic>
              </a:graphicData>
            </a:graphic>
          </wp:anchor>
        </w:drawing>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debt discount is being amortized to interest expense as a non-cash charge over the term of the Convertible Promissory Note, which is assumed to be July 2021, the Company's expected Business Combination date. During the three months ended March 31, 2021, the Company recorded $300,000 of interest expense related to the amortization of the debt discount. The remaining balance of the debt discount at March 31, 2021 amounted to $1,200,000.</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Atieva Merger Agreement</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February 22, 2021, we entered into a Merger Agreement with Merger Sub and Atieva (the “Merger Agreement”), relating to a proposed business combination transaction between us and Atieva.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Merger Agreement, Merger Sub will merge with and into Atieva with Atieva being the surviving entity in the merger.</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aggregate consideration to be paid to the shareholders of Atieva will be equal to (a) $11,750,000,000 plus (b) (i) all cash and cash equivalents of Atieva and its subsidiaries less (ii) all indebtedness for borrowed money of Atieva and its subsidiaries, in each case as of two business days prior to the closing date. The consideration to the shareholders of Atieva will be paid entirely in shares of Class A common stock, par value $0.0001 per share, of the Company in an amount equal to $10.00 per share.</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the execution of the Merger Agreement and in order to raise additional proceeds to fund the transactions contemplated therein, the Company entered into the PIPE Subscription Agreements with certain investment funds (“PIPE Investors”). Pursuant to the terms of the PIPE Subscription Agreements, the Company has agreed to issue and sell to the PIPE Investors and the PIPE Investors have agreed to buy 166,666,667 shares of Churchill's Class A common stock at a purchase price of $15.00 per share for an aggregate commitment of $2,500,000,005 (the “PIPE Investment”). The closing of the PIPE Investment is conditioned on all conditions set forth in the Merger Agreement having been satisfied or waived and other customary closing conditions, and the Transactions will be consummated immediately following the closing of the PIPE Investment. The PIPE Subscription Agreements will terminate upon the earlier to occur of (i) the termination of the Merger Agreement and (ii) the mutual written agreement of the parties thereto.</w:t>
      </w:r>
    </w:p>
    <w:p>
      <w:pPr>
        <w:spacing w:after="0" w:line="16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On February 22, 2021, the Company entered into a Voting and Support Agreement with certain of the PIPE Investors owning 204,148,825 shares of Lucid Series D preferred stock and 113,877,589 shares of Lucid Series E preferred stock as of the date of such agreement. Pursuant to the Voting and Support Agreement, such PIPE Investors agreed to vote all of such shares in favor of the adoption and approval of the Merger Agreement and related matters, agreements and transactions as specified in the Voting and Support Agreement, and in opposition to any Acquisition Transaction (as defined in the Merger Agreement) and any and all other proposals that could reasonably be expected to delay, impair, prevent, interfere with, postpone or impede the consummation of the transactions contemplated by the Merger Agreement as specified in the Voting and Support Agreement. The Voting and Support Agreement will automatically terminate upon the earliest of (i) the effective time, (ii) the date of termination of the Merger Agreement in accordance with its terms prior to the effective time of the transactions, (iii) the mutual written consent of the Company and the applicable PIPE Investors and (iv) the time of any modification, amendment or waiver of the Merger Agreement or any other transaction agreement without certain PIPE Investors' consent.</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February 20, 2021, the Company entered into a transactional support agreement with a service provider, pursuant to which the service provider agreed to render certain financial advisory and capital markets advisory services for a potential Business Combination. The Company agreed to pay the service provider a fee of (i) $6,000,000, which is payable upon the consummation of a Business Combination, (ii) $500,000, which is payable upon consummation of the financing and (iii) out-of-pocket expenses not to exceed $125,000 without prior approval. The fee will not be payable in the event the Company does not consummate a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Pursuant to a registration rights agreement entered into on July 29, 2020, the holders of the Founder Shares, Private Placement Warrants and warrants that may be issued upon conversion of Working Capital Loans (and any shares of Class A common stock issuable upon the exercise of the Private Placement Warrants or warrants that may be issued upon conversion of Working Capital Loans and upon conversion of the Founder Shares) will be entitled to registration rights requiring the Company to register such securities for resale (in the case of the Founder Shares, only after conversion to Class A common stock).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and rights to require the Company to register for resale such securities pursuant to Rule 415 under the Securities Act. The Company will bear the expenses incurred in connection with the filing of any such registration statements.</w:t>
      </w:r>
    </w:p>
    <w:p>
      <w:pPr>
        <w:spacing w:after="0" w:line="38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underwriters are entitled to a deferred fee of $0.35 per Unit, or $72,450,000 in the aggregate. The deferred fee will be waived by the underwriters in the event that the Company does not complete a Business Combination, subject to the terms of the underwriting agreement. The underwriters waived the upfront underwriting discount on 19,982,000 Units, resulting in a reduction of the upfront underwriting discount of $3,996,400. In addition, the underwriters reimbursed the Company an aggregate of $1,000,000 for costs incurred in connection with the Initial Public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of March 31, 2021, the Company incurred legal fees of $5,698,477. These fees will only become due and payable upon the consummation of an initial Business Combination (see Note 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is authorized to issue 1,000,000 shares of preferred stock with a par value of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March 31, 2021 and December 31, 2020, there were no shares of preferred stock issued or outstanding.</w:t>
      </w:r>
    </w:p>
    <w:p>
      <w:pPr>
        <w:spacing w:after="0" w:line="18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 The Company is authorized to issue 400,000,000 shares of Class A common stock with a par value of $0.0001 per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Class A common stock are entitled to one vote for each share. At March 31, 2021, there were 0 shares of Class A common stock issued and outstanding, excluding 207,000,000 shares of Class A common stock subject to possible redemption. At December 31, 2020, there were 21,656,223 shares of Class A common stock issued and outstanding, excluding 185,343,777 shares of Class A common stock subject to possible redemption.</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determined the common stock subject to redemption to be equal to the redemption value of approximately $10.00 per share of common stock while also taking into consideration a redemption cannot result in net tangible assets being less than $5,000,001. Upon considering the impact of the PIPE Investment and associated PIPE Subscription Agreements, it was concluded that the redemption value should include all the Public Shares resulting in the common stock subject to possible redemption being equal to $2,070,000,000. This resulted in a measurement adjustment to the initial carrying value of the common stock subject to redemption with the offset recorded to additional paid-in capital and accumulated deficit.</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Class B Common Stock </w:t>
      </w:r>
      <w:r>
        <w:rPr>
          <w:rFonts w:ascii="Arial" w:cs="Arial" w:eastAsia="Arial" w:hAnsi="Arial"/>
          <w:sz w:val="18"/>
          <w:szCs w:val="18"/>
          <w:color w:val="auto"/>
        </w:rPr>
        <w:t>— The Company is authorized to issue 100,000,000 shares of Class B common stock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B common stock are entitled to one vote for each share. At March 31, 2021 and December 31, 2020, there were 51,750,000 shares of Class B common stock issued and outstanding.</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Holders of Class B common stock will have the right to elect all of the Company’s directors prior to a Business Combination. Holders of Class A common stock and Class B common stock will vote together as a single class on all other matters submitted to a vote of stockholders except as required by law.</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shares of Class B common stock will automatically convert into shares of Class A common stock at the time of a Business Combination on a one-for-one basis, subject to adjustment. In the case that additional shares of Class A common stock, or equity-linked securities, are issued or deemed issued in excess of the amounts offered in the Initial Public Offering and related to the closing of a Business Combination, the ratio at which shares of Class B common stock shall convert into shares of Class A common stock will be adjusted (unless the holders of a majority of the outstanding shares of Class B common stock agree to waive such adjustment with respect to any such issuance or deemed issuance) so that the number of shares of Class A common stock issuable upon conversion of all shares of Class B common stock will equal, in the aggregate, on an as-converted basis, 20% of the sum of the total number of all shares of common stock outstanding upon the completion of the Initial Public Offering plus all shares of Class A common stock and equity-linked securities issued or deemed issued in connection with a Business Combination (excluding any shares or equity-linked securities issued, or to be issued, to any seller in a Business Combination in consideration for such seller’s interest in the Business Combination target, any private placement-equivalent warrants issued, or to be issued, to any seller in a Business Combination.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WARRANT LIABILITY</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Public Warrants may only be exercised for a whole number of shares. No fractional warrants will be issued upon separation of the Units and only whole warrants will trade. The Public Warrants will become exercisable on the later of (a) 30 days after the completion of a Business Combination or</w:t>
      </w:r>
    </w:p>
    <w:p>
      <w:pPr>
        <w:ind w:firstLine="8"/>
        <w:spacing w:after="0" w:line="260" w:lineRule="auto"/>
        <w:tabs>
          <w:tab w:leader="none" w:pos="258" w:val="left"/>
        </w:tabs>
        <w:numPr>
          <w:ilvl w:val="0"/>
          <w:numId w:val="5"/>
        </w:numPr>
        <w:rPr>
          <w:rFonts w:ascii="Arial" w:cs="Arial" w:eastAsia="Arial" w:hAnsi="Arial"/>
          <w:sz w:val="18"/>
          <w:szCs w:val="18"/>
          <w:color w:val="auto"/>
        </w:rPr>
      </w:pPr>
      <w:r>
        <w:rPr>
          <w:rFonts w:ascii="Arial" w:cs="Arial" w:eastAsia="Arial" w:hAnsi="Arial"/>
          <w:sz w:val="18"/>
          <w:szCs w:val="18"/>
          <w:color w:val="auto"/>
        </w:rPr>
        <w:t>12 months from the closing of the Initial Public Offering. The Public Warrants will expire five years after the completion of a Business Combination or earlier upon redemption or liquidation.</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will not be obligated to deliver any shares of Class A common stock pursuant to the exercise of a warrant and will have no obligation to settle such warrant exercise unless a registration statement under the Securities Act covering the issuance of the shares of Class A common issuable upon exercise of the warrants is then effective and a current prospectus relating to those shares of Class A common stock is available, subject to the Company satisfying its obligations with respect to registration. No warrant will be exercisable for cash or on a cashless basis, and the Company will not be obligated to issue any shares to holders seeking to exercise their warrants, unless the issuance of the shares upon such exercise is registered or qualified under the securities laws of the state of the exercising holder, or an exemption from registration is available.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agreed that as soon as practicable, but in no event later than 15 business days after the closing of a Business Combination, the Company will use its best efforts to file with the SEC, and within 60 business days following a Business Combination to have declared effective, a registration statement covering the issuance of the shares of Class A common stock issuable upon exercise of the warrants and to maintain a current prospectus relating to those shares of Class A common stock until the warrants expire or are redeemed. Notwithstanding the above, if the Class A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w:t>
      </w:r>
    </w:p>
    <w:p>
      <w:pPr>
        <w:sectPr>
          <w:pgSz w:w="11900" w:h="16926" w:orient="portrait"/>
          <w:cols w:equalWidth="0" w:num="1">
            <w:col w:w="11240"/>
          </w:cols>
          <w:pgMar w:left="320" w:top="904" w:right="339" w:bottom="0" w:gutter="0" w:footer="0" w:header="0"/>
        </w:sectPr>
      </w:pPr>
    </w:p>
    <w:bookmarkStart w:id="17" w:name="page18"/>
    <w:bookmarkEnd w:id="17"/>
    <w:p>
      <w:pPr>
        <w:spacing w:after="0" w:line="277" w:lineRule="auto"/>
        <w:rPr>
          <w:sz w:val="20"/>
          <w:szCs w:val="20"/>
          <w:color w:val="auto"/>
        </w:rPr>
      </w:pPr>
      <w:r>
        <w:rPr>
          <w:rFonts w:ascii="Arial" w:cs="Arial" w:eastAsia="Arial" w:hAnsi="Arial"/>
          <w:sz w:val="18"/>
          <w:szCs w:val="18"/>
          <w:color w:val="auto"/>
        </w:rPr>
        <w:t>a registration statement, but will use its reasonable best efforts to qualify the shares under applicable blue sky laws to the extent an exemption is not available.</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Public Warrants:</w:t>
      </w:r>
    </w:p>
    <w:p>
      <w:pPr>
        <w:spacing w:after="0" w:line="225" w:lineRule="exact"/>
        <w:rPr>
          <w:sz w:val="20"/>
          <w:szCs w:val="20"/>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80" w:hanging="335"/>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or the 30-day redemption period, to each warrant holder; and</w:t>
      </w:r>
    </w:p>
    <w:p>
      <w:pPr>
        <w:spacing w:after="0" w:line="225" w:lineRule="exact"/>
        <w:rPr>
          <w:rFonts w:ascii="Arial" w:cs="Arial" w:eastAsia="Arial" w:hAnsi="Arial"/>
          <w:sz w:val="18"/>
          <w:szCs w:val="18"/>
          <w:color w:val="auto"/>
        </w:rPr>
      </w:pPr>
    </w:p>
    <w:p>
      <w:pPr>
        <w:ind w:left="680" w:right="100" w:hanging="335"/>
        <w:spacing w:after="0" w:line="308"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if, and only if, the closing price of the Company’s Class A common stock equals or exceeds $18.00 per share for any 20 trading days within a 30-trading day period ending on the third trading day prior to the date on which we send the notice of redemption to the warrant holders.</w:t>
      </w:r>
    </w:p>
    <w:p>
      <w:pPr>
        <w:spacing w:after="0" w:line="1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the warrants will not be adjusted for issuance of Class A common stock at a price below its exercise price. Additionally, in no event will the Company be required to net cash settle the warrants. If the Company is unable to complete a Business Combination within the Combination Window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Placement Warrants will not be transferable, assignable or salable until 30 days after the completion of a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192" w:lineRule="exact"/>
        <w:rPr>
          <w:sz w:val="20"/>
          <w:szCs w:val="20"/>
          <w:color w:val="auto"/>
        </w:rPr>
      </w:pPr>
    </w:p>
    <w:p>
      <w:pPr>
        <w:ind w:left="1260" w:right="20" w:hanging="904"/>
        <w:spacing w:after="0" w:line="308" w:lineRule="auto"/>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146" w:lineRule="exact"/>
        <w:rPr>
          <w:sz w:val="20"/>
          <w:szCs w:val="20"/>
          <w:color w:val="auto"/>
        </w:rPr>
      </w:pPr>
    </w:p>
    <w:p>
      <w:pPr>
        <w:ind w:left="1260" w:right="20" w:hanging="904"/>
        <w:spacing w:after="0" w:line="277" w:lineRule="auto"/>
        <w:tabs>
          <w:tab w:leader="none" w:pos="12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170" w:lineRule="exact"/>
        <w:rPr>
          <w:sz w:val="20"/>
          <w:szCs w:val="20"/>
          <w:color w:val="auto"/>
        </w:rPr>
      </w:pPr>
    </w:p>
    <w:p>
      <w:pPr>
        <w:ind w:left="340"/>
        <w:spacing w:after="0"/>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CHURCHILL CAPITAL CORP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presents information about the Company’s assets and liabilities that are measured at fair value on a recurring basis at March 31, 2021 and December 31, 2020 and indicates the fair value hierarchy of the valuation inputs the Company utilized to determine such fair value: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6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480" w:type="dxa"/>
            <w:vAlign w:val="bottom"/>
            <w:gridSpan w:val="2"/>
          </w:tcPr>
          <w:p>
            <w:pPr>
              <w:ind w:left="420"/>
              <w:spacing w:after="0"/>
              <w:rPr>
                <w:sz w:val="20"/>
                <w:szCs w:val="20"/>
                <w:color w:val="auto"/>
              </w:rPr>
            </w:pPr>
            <w:r>
              <w:rPr>
                <w:rFonts w:ascii="Arial" w:cs="Arial" w:eastAsia="Arial" w:hAnsi="Arial"/>
                <w:sz w:val="18"/>
                <w:szCs w:val="18"/>
                <w:b w:val="1"/>
                <w:bCs w:val="1"/>
                <w:color w:val="auto"/>
              </w:rPr>
              <w:t>Level</w:t>
            </w: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134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6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Marketable securities held in Trust Account</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$ 2,070,267,288</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$ 2,070,086,006</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Warrant liability – Public Warrants</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461,610,000</w:t>
            </w:r>
          </w:p>
        </w:tc>
        <w:tc>
          <w:tcPr>
            <w:tcW w:w="1440" w:type="dxa"/>
            <w:vAlign w:val="bottom"/>
            <w:gridSpan w:val="3"/>
          </w:tcPr>
          <w:p>
            <w:pPr>
              <w:jc w:val="right"/>
              <w:ind w:right="100"/>
              <w:spacing w:after="0"/>
              <w:rPr>
                <w:sz w:val="20"/>
                <w:szCs w:val="20"/>
                <w:color w:val="auto"/>
              </w:rPr>
            </w:pPr>
            <w:r>
              <w:rPr>
                <w:rFonts w:ascii="Arial" w:cs="Arial" w:eastAsia="Arial" w:hAnsi="Arial"/>
                <w:sz w:val="18"/>
                <w:szCs w:val="18"/>
                <w:color w:val="auto"/>
              </w:rPr>
              <w:t>62,928,000</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12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533,482,500</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79,272,500</w:t>
            </w:r>
          </w:p>
        </w:tc>
      </w:tr>
      <w:tr>
        <w:trPr>
          <w:trHeight w:val="230"/>
        </w:trPr>
        <w:tc>
          <w:tcPr>
            <w:tcW w:w="6980" w:type="dxa"/>
            <w:vAlign w:val="bottom"/>
            <w:gridSpan w:val="2"/>
          </w:tcPr>
          <w:p>
            <w:pPr>
              <w:spacing w:after="0"/>
              <w:rPr>
                <w:sz w:val="20"/>
                <w:szCs w:val="20"/>
                <w:color w:val="auto"/>
              </w:rPr>
            </w:pPr>
            <w:r>
              <w:rPr>
                <w:rFonts w:ascii="Arial" w:cs="Arial" w:eastAsia="Arial" w:hAnsi="Arial"/>
                <w:sz w:val="18"/>
                <w:szCs w:val="18"/>
                <w:color w:val="auto"/>
              </w:rPr>
              <w:t>Conversion option liability</w:t>
            </w: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17,174,038</w:t>
            </w:r>
          </w:p>
        </w:tc>
        <w:tc>
          <w:tcPr>
            <w:tcW w:w="1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derivative instruments were accounted for as liabilities in accordance with ASC 815-40 and are measured at fair value at inception and on a recurring basis, with changes in fair value recorded in the condensed consolidated statement of operations.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Private Placement Warrants were valued using a modified Black Scholes model, which is considered to be a Level 3 fair value measurement. Subsequent to the Public Warrants detachment from the Units, the Public Warrants are valued based on quoted market price, under ticker CCIV.WS, which is a Level 1 fair value.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December 31, 2020, the estimated fair value of the Private Placement Warrants was determined using a Black-Scholes valuation and based on the following significant inputs: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8"/>
              </w:rPr>
              <w:t>March 31,</w:t>
            </w:r>
          </w:p>
        </w:tc>
        <w:tc>
          <w:tcPr>
            <w:tcW w:w="1280" w:type="dxa"/>
            <w:vAlign w:val="bottom"/>
            <w:gridSpan w:val="7"/>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140" w:type="dxa"/>
            <w:vAlign w:val="bottom"/>
          </w:tcPr>
          <w:p>
            <w:pPr>
              <w:spacing w:after="0"/>
              <w:rPr>
                <w:sz w:val="20"/>
                <w:szCs w:val="20"/>
                <w:color w:val="auto"/>
              </w:rPr>
            </w:pPr>
          </w:p>
        </w:tc>
        <w:tc>
          <w:tcPr>
            <w:tcW w:w="596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Stock price</w:t>
            </w:r>
          </w:p>
        </w:tc>
        <w:tc>
          <w:tcPr>
            <w:tcW w:w="76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10.01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Probability of completing a Business Combination</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Term</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60" w:type="dxa"/>
            <w:vAlign w:val="bottom"/>
          </w:tcPr>
          <w:p>
            <w:pPr>
              <w:spacing w:after="0"/>
              <w:rPr>
                <w:sz w:val="20"/>
                <w:szCs w:val="20"/>
                <w:color w:val="auto"/>
              </w:rPr>
            </w:pPr>
            <w:r>
              <w:rPr>
                <w:rFonts w:ascii="Arial" w:cs="Arial" w:eastAsia="Arial" w:hAnsi="Arial"/>
                <w:sz w:val="18"/>
                <w:szCs w:val="18"/>
                <w:color w:val="auto"/>
              </w:rPr>
              <w:t>Risk-free rate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0.97%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0.50%</w:t>
            </w:r>
          </w:p>
        </w:tc>
        <w:tc>
          <w:tcPr>
            <w:tcW w:w="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 w:type="dxa"/>
            <w:vAlign w:val="bottom"/>
            <w:shd w:val="clear" w:color="auto" w:fill="CCEEFF"/>
          </w:tcPr>
          <w:p>
            <w:pPr>
              <w:spacing w:after="0"/>
              <w:rPr>
                <w:sz w:val="18"/>
                <w:szCs w:val="18"/>
                <w:color w:val="auto"/>
              </w:rPr>
            </w:pPr>
          </w:p>
        </w:tc>
      </w:tr>
      <w:tr>
        <w:trPr>
          <w:trHeight w:val="432"/>
        </w:trPr>
        <w:tc>
          <w:tcPr>
            <w:tcW w:w="7100" w:type="dxa"/>
            <w:vAlign w:val="bottom"/>
            <w:gridSpan w:val="2"/>
          </w:tcPr>
          <w:p>
            <w:pPr>
              <w:spacing w:after="0"/>
              <w:rPr>
                <w:sz w:val="20"/>
                <w:szCs w:val="20"/>
                <w:color w:val="auto"/>
              </w:rPr>
            </w:pPr>
            <w:r>
              <w:rPr>
                <w:rFonts w:ascii="Arial" w:cs="Arial" w:eastAsia="Arial" w:hAnsi="Arial"/>
                <w:sz w:val="18"/>
                <w:szCs w:val="18"/>
                <w:color w:val="auto"/>
                <w:w w:val="99"/>
              </w:rPr>
              <w:t>The following table presents the changes in the fair value of the Level 3 warrant liabilities: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5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Private</w:t>
            </w:r>
          </w:p>
        </w:tc>
      </w:tr>
      <w:tr>
        <w:trPr>
          <w:trHeight w:val="216"/>
        </w:trPr>
        <w:tc>
          <w:tcPr>
            <w:tcW w:w="114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8"/>
              </w:rPr>
              <w:t>Placement</w:t>
            </w:r>
          </w:p>
        </w:tc>
      </w:tr>
      <w:tr>
        <w:trPr>
          <w:trHeight w:val="234"/>
        </w:trPr>
        <w:tc>
          <w:tcPr>
            <w:tcW w:w="114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4"/>
              </w:rPr>
              <w:t>Warrants</w:t>
            </w:r>
          </w:p>
        </w:tc>
      </w:tr>
      <w:tr>
        <w:trPr>
          <w:trHeight w:val="209"/>
        </w:trPr>
        <w:tc>
          <w:tcPr>
            <w:tcW w:w="7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January 1, 2021</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79,272,500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Change in fair value</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w w:val="97"/>
              </w:rPr>
              <w:t>454,210,000</w:t>
            </w:r>
          </w:p>
        </w:tc>
        <w:tc>
          <w:tcPr>
            <w:tcW w:w="20" w:type="dxa"/>
            <w:vAlign w:val="bottom"/>
          </w:tcPr>
          <w:p>
            <w:pPr>
              <w:spacing w:after="0"/>
              <w:rPr>
                <w:sz w:val="19"/>
                <w:szCs w:val="19"/>
                <w:color w:val="auto"/>
              </w:rPr>
            </w:pPr>
          </w:p>
        </w:tc>
      </w:tr>
      <w:tr>
        <w:trPr>
          <w:trHeight w:val="223"/>
        </w:trPr>
        <w:tc>
          <w:tcPr>
            <w:tcW w:w="7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533,482,500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consolidated financial statements were issued. Based upon this review, the Company did not identify any subsequent events that would have required adjustment or disclosure in the condensed consolidated financial statements other than the following: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28, 2021, the Company and the Sponsor amended the agreement relating to administrative and support services to provide that the Company will not be required to pay the $50,000 per month fee under the agreement from and after July 1, 2021.</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20" w:name="page21"/>
    <w:bookmarkEnd w:id="20"/>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References in this report (the “Quarterly Report”) to “we,” “us” or the “Company” refer to Churchill Capital Corp IV References to our “management” or our “management team” refer to our officers and directors, and references to the “Sponsor” refer to Churchill Sponsor IV LLC. The following discussion and analysis of the Company’s financial condition and results of operations should be read in conjunction with the financial statements and the notes thereto contained elsewhere in this Quarterly Report. Certain information contained in the discussion and analysis set forth below includes forward-looking statements that involve risks and uncertainties.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Quarterly Report includes “forward-looking statements” within the meaning of Section 27A of the Securities Act of 1933 and Section 21E of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completion of the Proposed Business Combination (as defined below),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including that the conditions of the Proposed Business Combination are not satisfied. For information identifying important factors that could cause actual results to differ materially from those anticipated in the forward-looking statements, please refer to the Risk Factors section of the Company’s Annual Report on Form 10-K/A for the fiscal year ended December 31, 2020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blank check company formed under the laws of the State of Delaware on for the purpose of effecting a merger, share exchange, asset acquisition, stock purchase, recapitalization, reorganization or other similar business combination with one or more businesses or entities. We intend to effectuate our Business Combination using cash from the proceeds of the Initial Public Offering and the sale of the Private Placement Warrants, our capital stock, debt or a combination of cash, stock and debt.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22, 2021, we entered into a Merger Agreement with Merger Sub and Atieva (the “Merger Agreement”), relating to a proposed business combination transaction between us and Atieva.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Merger Agreement, Merger Sub will merge with and into Atieva with Atieva being the surviving entity in the merger.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aggregate consideration to be paid to the shareholders of Atieva will be equal to (a) $11,750,000,000 plus (b) (i) all cash and cash equivalents of Atieva and its subsidiaries less (ii) all indebtedness for borrowed money of Atieva and its subsidiaries, in each case as of two business days prior to the closing date. The consideration to the shareholders of Atieva will be paid entirely in shares of Class A common stock, par value $0.0001 per share, of the Company in an amount equal to $10.00 per share.</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execution of the Merger Agreement and in order to raise additional proceeds to fund the transactions contemplated therein, the Company entered into the PIPE Subscription Agreements with certain investment funds (“PIPE Investors”). Pursuant to the terms of the PIPE Subscription Agreements, the Company has agreed to issue and sell to the PIPE Investors and the PIPE Investors have agreed to buy 166,666,667 shares of Churchill's Class A common stock at a purchase price of $15.00 per share for an aggregate commitment of $2,500,000,005 (the “PIPE Investment”). The closing of the PIPE Investment is conditioned on all conditions set forth in the Merger Agreement having been satisfied or waived and other customary closing conditions, and the Transactions will be consummated immediately following the closing of the PIPE Investment. The PIPE Subscription Agreements will terminate upon the earlier to occur of (i) the termination of the Merger Agreement and (ii) the mutual written agreement of the parties thereto.</w:t>
      </w:r>
    </w:p>
    <w:p>
      <w:pPr>
        <w:spacing w:after="0" w:line="16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February 22, 2021, the Company entered into a Voting and Support Agreement with certain of the PIPE Investors owning 204,148,825 shares of Lucid Series D preferred stock and 113,877,589 shares of Lucid Series E preferred stock as of the date of such agreement. Pursuant to the Voting and Support Agreement, such PIPE Investors agreed to vote all of such shares in favor of the adoption and approval of the Merger Agreement and related matters, agreements and transactions, and in opposition to any Acquisition Transaction (as defined in the Merger Agreement) and any and all other proposals that could reasonably be expected to delay, impair, prevent, interfere with, postpone or impede the consummation of the transactions contemplated by the Merger Agreement. The Voting and Support Agreement will automatically terminate upon the earliest of (i) the effective time, (ii) the date of termination of the Merger Agreement in accordance with its terms prior to the effective time of the transactions, (iii) the mutual written consent of the Company and the applicable PIPE Investors and (iv) the time of any modification, amendment or waiver of the Merger Agreement or any other transaction agreement without certain PIPE Investors' consent.</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February 20, 2021, we entered into a transactional support agreement with a service provider, pursuant to which the service provider agreed to render certain financial advisory and capital markets advisory services for a potential Business Combination. We agreed to pay the service provider a fee of</w:t>
      </w:r>
    </w:p>
    <w:p>
      <w:pPr>
        <w:ind w:firstLine="8"/>
        <w:spacing w:after="0" w:line="260" w:lineRule="auto"/>
        <w:tabs>
          <w:tab w:leader="none" w:pos="221" w:val="left"/>
        </w:tabs>
        <w:numPr>
          <w:ilvl w:val="0"/>
          <w:numId w:val="7"/>
        </w:numPr>
        <w:rPr>
          <w:rFonts w:ascii="Arial" w:cs="Arial" w:eastAsia="Arial" w:hAnsi="Arial"/>
          <w:sz w:val="18"/>
          <w:szCs w:val="18"/>
          <w:color w:val="auto"/>
        </w:rPr>
      </w:pPr>
      <w:r>
        <w:rPr>
          <w:rFonts w:ascii="Arial" w:cs="Arial" w:eastAsia="Arial" w:hAnsi="Arial"/>
          <w:sz w:val="18"/>
          <w:szCs w:val="18"/>
          <w:color w:val="auto"/>
        </w:rPr>
        <w:t>$6,000,000, which is payable upon the consummation of a Business Combination, (ii) $500,000, which is payable upon consummation of the financing and (iii) out-of-pocket expenses not to exceed $125,000 without prior approval.</w:t>
      </w:r>
    </w:p>
    <w:p>
      <w:pPr>
        <w:spacing w:after="0" w:line="18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February 22, 2021, we entered into a convertible promissory note with the Sponsor pursuant to which the Sponsor agreed to loan us up to an aggregate principal amount of $1,500,000 (the “Convertible Promissory Note”). The Convertible Promissory Note is non-interest bearing and payable on the earlier of (i) the date of which we consummate a Business Combination or (ii) the date that the winding up of the Company. If we do not consummate a Business</w:t>
      </w:r>
    </w:p>
    <w:p>
      <w:pPr>
        <w:sectPr>
          <w:pgSz w:w="11900" w:h="16944" w:orient="portrait"/>
          <w:cols w:equalWidth="0" w:num="1">
            <w:col w:w="11240"/>
          </w:cols>
          <w:pgMar w:left="320" w:top="904" w:right="339" w:bottom="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8"/>
          <w:szCs w:val="18"/>
          <w:color w:val="auto"/>
        </w:rPr>
        <w:t>Combination, we may use a portion of any funds held outside the Trust Account to repay the Convertible Promissory Note; however, no proceeds from the Trust Account may be used for such repayment. Up to $1,500,000 of the Convertible Promissory Note may be converted into warrants at a price of $1.00 per warrant at the option of the Sponsor. The warrants would be identical to the Private Placement Warrants. We borrowed an aggregate of $1,500,000 on February 22, 2021.</w:t>
      </w:r>
    </w:p>
    <w:p>
      <w:pPr>
        <w:spacing w:after="0" w:line="39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neither engaged in any operations nor generated any revenues to date. Our only activities through March 31, 2021 were organizational activities, those necessary to prepare for the Initial Public Offering, identifying a target for our Business Combination, and activities in connection with the proposed acquisition of Atieva. We do not expect to generate any operating revenues until after the completion of our Business Combination. We generate non-operating income in the form of interest income on marketable securities held in the Trust Account. We incur expenses as a result of being a public company (for legal, financial reporting, accounting and auditing compliance), as well as for due diligence expenses.</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March 31, 2021, we had a net loss of $871,798,158, which consists of operating costs of $3,089,824, change in the fair value of derivative liabilities of $812,374,402, interest expense - excess fair value of conversion liability of $56,191,636, a non-cash charge to interest expense associated with the amortization of the debt discount of $300,000 and a provision for income taxes of $23,578, offset by interest income on marketable securities held in the Trust Account of $177,326 and an unrealized gain on marketable securities held in our Trust Account of $3,956.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On August 3, 2020, we consummated the Initial Public Offering of 207,000,000 Units, which includes the full exercise by the underwriters of the over-allotment option, at $10.00 per unit, generating gross proceeds of $2,070,000,000. Simultaneously with the closing of the Initial Public Offering, we consummated the sale of 42,850,000 Private Placement Warrants to the Sponsor at a price of $1.00 per warrant, generating gross proceeds of $42,850,000.</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Initial Public Offering, the exercise of the over-allotment option and the sale of the Private Placement Warrants, a total of $2,070,000,000 was placed in the Trust Account. We incurred $109,714,885 in transaction costs, including $36,403,600 of underwriting fees, $72,450,000 of deferred underwriting fees and $861,285 of other costs.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March 31, 2021, cash used in operating activities was $3,024,742. Net loss of $871,798,158 was affected by a change in the fair value of derivative liabilities of $812,374,402, interest expense - excess fair value of conversion liability of $56,191,636, a non-cash charge to interest expense associated with the amortization of the debt discount of $300,000 and a deferred tax provision of $23,578, interest income on marketable securities held in the Trust Account of $177,326 and an unrealized gain on marketable securities held in our Trust Account of $3,956.</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March 31, 2021, we had cash and marketable securities held in the trust account of $2,070,267,288. We intend to use substantially all of the funds held in the Trust Account, including any amounts representing interest earned on the Trust Account (less permitted withdrawals, deferred underwriting commissions and income taxes payable), to complete our Business Combination. We may withdraw interest for working capital requirement and to pay franchise and income taxes. Through March 31, 2021, we withdrew $450,000 of interest earned on the Trust Account for working capital purpose, of which no amounts were withdrawn during the three months ended March 31, 2021. To the extent that our capital stock or debt is used, in whole or in part, as consideration to complete our Business Combination, the remaining proceeds held in the Trust Account will be used as working capital to finance the operations of the target business or businesses, make other acquisitions and pursue our growth strategies.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2021, we had cash of $2,068,115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the initial stockholders or their affiliates may, but are not obligated to, loan us funds as may be required. If we complete a Business Combination, we would repay such loaned amounts.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identical to the Private Placement Warrants, at a price of $1.00 per warrant at the option of the lender.</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22, 2021, we entered into the Convertible Promissory Note. The Convertible Promissory Note is non-interest bearing and payable on the earlier of (i) the date of which we consummate a Business Combination or (ii) the date that the winding up of the Company. If we do not consummate a Business Combination, we may use a portion of any funds held outside the Trust Account to repay the Convertible Promissory Note; however, no proceeds from the Trust Account may be used for such repayment. Up to $1,500,000 of the Convertible Promissory Note may be converted into warrants at a price of $1.00 per warrant at the option of the Sponsor. The warrants would be identical to the Private Placement Warrants. We borrowed an aggregate of $1,500,000 on February 22, 2021.</w:t>
      </w:r>
    </w:p>
    <w:p>
      <w:pPr>
        <w:spacing w:after="0" w:line="19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monitor the adequacy of our working capital in order to meet the expenditures required for operating our business prior to our initial Business Combination.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spacing w:after="0" w:line="270" w:lineRule="auto"/>
        <w:rPr>
          <w:sz w:val="20"/>
          <w:szCs w:val="20"/>
          <w:color w:val="auto"/>
        </w:rPr>
      </w:pPr>
      <w:r>
        <w:rPr>
          <w:rFonts w:ascii="Arial" w:cs="Arial" w:eastAsia="Arial" w:hAnsi="Arial"/>
          <w:sz w:val="17"/>
          <w:szCs w:val="17"/>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Business Combination. Moreover, we may need to obtain additional financing either to complete our Business Combination or because we become obligated to redeem a significant number of our public shares upon consummation of our Business Combination, in which case we may issue additional securities or incur debt in connection with such Business Combination. Subject to compliance with applicable securities laws, we would only complete such financing simultaneously with the completion of our Business Combination. If we are unable to complete our Business Combination because we do not have sufficient funds available to us, we will be forced to cease operations and liquidate the Trust Account. In addition, following our Business Combination, if cash on hand is insufficient, we may need to obtain additional financing in order to meet our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March 31,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do not have any long-term debt, capital lease obligations, operating lease obligations or long-term liabilities, other than an agreement to pay an affiliate of the Sponsor a monthly fee of $50,000 for office space, administrative and support services to the Company. We began incurring these fees on July 30, 2020 and will continue to incur these fees monthly until the earlier of the completion of the Business Combination and our liquidation.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are entitled to a deferred fee of $72,450,000 in the aggregate. The deferred fee will be waived by the underwriters in the event that we do not complete a Business Combination, subject to the terms of the underwriting agreement. The underwriters waived the upfront underwriting discount on 19,982,000 Units, resulting in a reduction of the upfront underwriting discount of $3,996,400. In addition, the underwriters reimbursed us an aggregate of $1,000,000 for costs incurred in connection with the Initial Public Offering.</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22, 2021, we entered into the Convertible Promissory Note. The Convertible Promissory Note is non-interest bearing and payable on the earlier of (i) the date of which we consummate a Business Combination or (ii) the date that the winding up of the Company. If we do not consummate a Business Combination, we may use a portion of any funds held outside the Trust Account to repay the Convertible Promissory Note; however, no proceeds from the Trust Account may be used for such repayment. Up to $1,500,000 of the Convertible Promissory Note may be converted into warrants at a price of $1.00 per warrant at the option of the Sponsor. The warrants would be identical to the Private Placement Warrants. We borrowed an aggregate of $1,500,000 on February 22, 2021.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conversion options embedded in convertible notes in accordance with ASC 815. ASC 815 generally requires companies to bifurcate conversion options embedded in convertible notes from their host instruments and to account for them as free standing derivative financial instruments.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reviews the terms of convertible debt issued to determine whether there are embedded derivative instruments, including embedded conversion options, which are required to be bifurcated and accounted for separately as derivative financial instruments. In circumstances where the host instrument contains more than one embedded derivative instrument, including the conversion option, that is required to be bifurcated, the bifurcated derivative instruments are accounted for as a single, compound derivative instrument.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Bifurcated embedded derivatives are initially recorded at fair value and are then revalued at each reporting date with changes in the fair value reported as non-operating income or expense. When the equity or convertible debt instruments contain embedded derivative instruments that are to be bifurcated and accounted for as liabilities, the total proceeds received are first allocated to the fair value of all the bifurcated derivative instruments. The remaining proceeds, if any, are then allocated to the host instruments themselves, usually resulting in those instruments being recorded at a discount from their face value. The discount from the face value of the convertible debt, together with the stated interest on the instrument, is amortized over the life of the instrument through periodic charges to interest expense.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account for debt and equity issuances as either equity-classified or liability-classified instruments based on an assessment of the instruments specific terms and applicable authoritative guidance in Financial Accounting Standards Board (“FASB”) Accounting Standards Codification (“ASC”) 480, Distinguishing Liabilities from Equity (“ASC 480”) and ASC 815, Derivatives and Hedging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our own common stock and whether the holders could potentially require “net cash settlement” in a circumstance outside of our control, among other conditions for equity classification. This assessment, which requires the use of professional judgment, is conducted at the time of issuance of the instruments and as of each subsequent quarterly period end date while the instruments are outstanding.</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issued or modified instruments that meet all of the criteria for equity classification, the instruments are required to be recorded as a component of additional paid-in capital at the time of issuance. For issued or modified instruments that do not meet all the criteria for equity classification, the instruments are required to be recorded as a derivative liability at their initial fair value on the date of issuance, and each balance sheet date thereafter. Changes in the estimated fair value of the instruments are recognized as a non-cash gain or loss on the statements of operations.</w:t>
      </w:r>
    </w:p>
    <w:p>
      <w:pPr>
        <w:sectPr>
          <w:pgSz w:w="11900" w:h="16838" w:orient="portrait"/>
          <w:cols w:equalWidth="0" w:num="1">
            <w:col w:w="11240"/>
          </w:cols>
          <w:pgMar w:left="320" w:top="908" w:right="339" w:bottom="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account for our Class A common stock subject to possible conversion in accordance with the guidance in ASC 480. Shares of Class A common stock subject to mandatory redemption is classified as a liability instrument and measured at fair value. Conditionally redeemable common stock (including common stock that features redemption rights that are either within the control of the holder or subject to redemption upon the occurrence of uncertain events not solely within our control) is classified as temporary equity. At all other times, common stock is classified as stockholders’ equity. Our Class A common stock features certain redemption rights that are considered to be outside of our control and subject to occurrence of uncertain future events. Accordingly, Class A common stock subject to possible redemption is presented at redemption value as temporary equity, outside of the stockholders’ equity section of our balance sheets.</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Net Income (Loss) Per Share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apply the two-class method in calculating earnings per share. Net income (loss) per share, basic and diluted for Class A redeemable common stock is calculated by dividing the interest income earned on the Trust Account, net of applicable taxes, by the weighted average number of shares of Class A redeemable common stock outstanding for the period. Net loss per share, basic and diluted for non-redeemable common stock is calculated by dividing net loss less income attributable to Class A redeemable common stock, by the weighted average number of shares of non-redeemable common stock outstanding for the period presented.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August 2020, the Financial Accounting Standards Board (“FASB”) issued Accounting Standards Update (“ASU”) 2020-06, Debt —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We adopted ASU 2020-06 on January 1, 2021. The adoption of ASU 2020-06 did not have an impact on our financial statements.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condensed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for smaller reporting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Restatement Background</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12, 2021, the Acting Director of the Division of Corporation Finance and Acting Chief Accountant of the SEC together issued a public statement (the “SEC Warrant Accounting Statement”) on accounting and reporting considerations for warrants issued by special purpose acquisition companies (“SPACs”). The SEC Warrant Accounting Statement discussed “certain features of warrants issued in SPAC transactions” that “may be common across many entities.” The SEC Warrant Accounting Statement indicated that when one or more of such features is included in a warrant, the warrant “should be classified as a liability measured at fair value, with changes in fair value each period reported in earnings.”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warrant agreement governing the Company’s warrants includes a provision that provides for potential changes to the settlement amounts dependent on the characteristics of the holder of the warrant. Upon review of the statement,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 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w:t>
      </w:r>
    </w:p>
    <w:p>
      <w:pPr>
        <w:spacing w:after="0" w:line="1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previously classified the public warrants and private placement warrants issued in connection with the Company’s initial public offering (the “Warrants”) as equity instruments. Upon further consideration of the rules and guidance, management of the Company concluded that the Warrants are precluded from equity classification. As a result, the Warrants should be recorded as liabilities on the balance sheet and measured at fair value at inception and on a recurring basis in accordance with ASC 820, Fair Value Measurement, with changes in fair value recognized in the statement of operations.</w:t>
      </w:r>
    </w:p>
    <w:p>
      <w:pPr>
        <w:spacing w:after="0" w:line="1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14, 2021, the Company's management and the Audit Committee of the Company's board of directors, after consultation with management and a discussion with Marcum LLP, the Company's independent registered public accounting firm, concluded that its financial statements for the year-ended December 31, 2020; as of August 3, 2020; for the period from April 30, 2020 (inception) through December 31, 2020; and as of and for the period ended September 30, 2020 (collectively, the “Non-Reliance Periods”) should no longer be relied upon based on the correction of an error as described above and such financial statements were restated</w:t>
      </w:r>
      <w:r>
        <w:rPr>
          <w:rFonts w:ascii="Arial" w:cs="Arial" w:eastAsia="Arial" w:hAnsi="Arial"/>
          <w:sz w:val="18"/>
          <w:szCs w:val="18"/>
          <w:b w:val="1"/>
          <w:bCs w:val="1"/>
          <w:color w:val="auto"/>
        </w:rPr>
        <w:t>.</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March 31, 2021. Based upon their evaluation, our Chief Executive Officer and Chief Financial Officer concluded that, due to the events that led to the Company’s restatement of its financial statements described above and accounting and disclosure of certain other complex debt and equity instruments, as of March 31, 2021, a material weakness existed and our disclosure controls and procedures (as defined in Rules 13a-15(e) and 15d-15(e) under the Exchange Act) were not effective.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of 2021 covered by this Quarterly Report on Form 10-Q that has materially affected, or is reasonably likely to materially affect, our internal control over financial reporting. In light of the Restatement,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Factors that could cause our actual results to differ materially from those in this Quarterly Report are any of the risks described in the Company’s Amendment No. 1 to its Annual Report on Form 10-K/A filed on May 14, 2021 with the SEC.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the Company’s Amendment No. 1 to its Annual Report on Form 10-K/A filed on May 14, 2021 with the SEC.</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4"/>
          </w:tcPr>
          <w:p>
            <w:pPr>
              <w:jc w:val="center"/>
              <w:ind w:right="500"/>
              <w:spacing w:after="0"/>
              <w:rPr>
                <w:sz w:val="20"/>
                <w:szCs w:val="20"/>
                <w:color w:val="auto"/>
              </w:rPr>
            </w:pPr>
            <w:r>
              <w:rPr>
                <w:rFonts w:ascii="Arial" w:cs="Arial" w:eastAsia="Arial" w:hAnsi="Arial"/>
                <w:sz w:val="18"/>
                <w:szCs w:val="18"/>
                <w:b w:val="1"/>
                <w:bCs w:val="1"/>
                <w:color w:val="auto"/>
                <w:w w:val="82"/>
              </w:rPr>
              <w:t>No.</w:t>
            </w:r>
          </w:p>
        </w:tc>
        <w:tc>
          <w:tcPr>
            <w:tcW w:w="4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80" w:type="dxa"/>
            <w:vAlign w:val="bottom"/>
            <w:gridSpan w:val="4"/>
          </w:tcPr>
          <w:p>
            <w:pPr>
              <w:ind w:left="1180"/>
              <w:spacing w:after="0"/>
              <w:rPr>
                <w:sz w:val="20"/>
                <w:szCs w:val="20"/>
                <w:color w:val="auto"/>
              </w:rPr>
            </w:pPr>
            <w:r>
              <w:rPr>
                <w:rFonts w:ascii="Arial" w:cs="Arial" w:eastAsia="Arial" w:hAnsi="Arial"/>
                <w:sz w:val="18"/>
                <w:szCs w:val="18"/>
                <w:b w:val="1"/>
                <w:bCs w:val="1"/>
                <w:color w:val="auto"/>
              </w:rPr>
              <w:t>Description of Exhibit</w:t>
            </w:r>
          </w:p>
        </w:tc>
      </w:tr>
      <w:tr>
        <w:trPr>
          <w:trHeight w:val="169"/>
        </w:trPr>
        <w:tc>
          <w:tcPr>
            <w:tcW w:w="660" w:type="dxa"/>
            <w:vAlign w:val="bottom"/>
            <w:tcBorders>
              <w:top w:val="single" w:sz="8" w:color="auto"/>
            </w:tcBorders>
            <w:gridSpan w:val="3"/>
          </w:tcPr>
          <w:p>
            <w:pPr>
              <w:jc w:val="center"/>
              <w:ind w:left="270"/>
              <w:spacing w:after="0" w:line="169" w:lineRule="exact"/>
              <w:rPr>
                <w:rFonts w:ascii="Arial" w:cs="Arial" w:eastAsia="Arial" w:hAnsi="Arial"/>
                <w:sz w:val="18"/>
                <w:szCs w:val="18"/>
                <w:color w:val="0000EE"/>
                <w:w w:val="87"/>
              </w:rPr>
            </w:pPr>
            <w:hyperlink r:id="rId51">
              <w:r>
                <w:rPr>
                  <w:rFonts w:ascii="Arial" w:cs="Arial" w:eastAsia="Arial" w:hAnsi="Arial"/>
                  <w:sz w:val="18"/>
                  <w:szCs w:val="18"/>
                  <w:color w:val="0000EE"/>
                  <w:w w:val="87"/>
                </w:rPr>
                <w:t>2.</w:t>
              </w:r>
              <w:r>
                <w:rPr>
                  <w:rFonts w:ascii="Arial" w:cs="Arial" w:eastAsia="Arial" w:hAnsi="Arial"/>
                  <w:sz w:val="18"/>
                  <w:szCs w:val="18"/>
                  <w:u w:val="single" w:color="auto"/>
                  <w:color w:val="0000EE"/>
                  <w:w w:val="87"/>
                </w:rPr>
                <w:t>1</w:t>
              </w:r>
            </w:hyperlink>
          </w:p>
        </w:tc>
        <w:tc>
          <w:tcPr>
            <w:tcW w:w="4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100" w:type="dxa"/>
            <w:vAlign w:val="bottom"/>
            <w:tcBorders>
              <w:top w:val="single" w:sz="8" w:color="auto"/>
            </w:tcBorders>
            <w:gridSpan w:val="9"/>
          </w:tcPr>
          <w:p>
            <w:pPr>
              <w:spacing w:after="0" w:line="169"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Agreement and Plan of Merger, dated as of February 22, 2021, by and among Churchill Capital Corp IV, Air Merger Sub, Inc., and Atieva,</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51">
              <w:r>
                <w:rPr>
                  <w:rFonts w:ascii="Arial" w:cs="Arial" w:eastAsia="Arial" w:hAnsi="Arial"/>
                  <w:sz w:val="18"/>
                  <w:szCs w:val="18"/>
                  <w:color w:val="0000EE"/>
                  <w:w w:val="91"/>
                </w:rPr>
                <w:t>Inc. (incorporated by reference to Exhibit 2.1 of the Company’s Current Report on Form 8-K filed on February 22, 2021).</w:t>
              </w:r>
            </w:hyperlink>
          </w:p>
        </w:tc>
        <w:tc>
          <w:tcPr>
            <w:tcW w:w="13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0" w:type="dxa"/>
            <w:vAlign w:val="bottom"/>
            <w:gridSpan w:val="2"/>
          </w:tcPr>
          <w:p>
            <w:pPr>
              <w:spacing w:after="0"/>
              <w:rPr>
                <w:sz w:val="17"/>
                <w:szCs w:val="17"/>
                <w:color w:val="auto"/>
              </w:rPr>
            </w:pPr>
          </w:p>
        </w:tc>
        <w:tc>
          <w:tcPr>
            <w:tcW w:w="300" w:type="dxa"/>
            <w:vAlign w:val="bottom"/>
            <w:gridSpan w:val="2"/>
          </w:tcPr>
          <w:p>
            <w:pPr>
              <w:jc w:val="center"/>
              <w:ind w:right="40"/>
              <w:spacing w:after="0" w:line="196" w:lineRule="exact"/>
              <w:rPr>
                <w:rFonts w:ascii="Arial" w:cs="Arial" w:eastAsia="Arial" w:hAnsi="Arial"/>
                <w:sz w:val="18"/>
                <w:szCs w:val="18"/>
                <w:color w:val="0000EE"/>
                <w:w w:val="74"/>
              </w:rPr>
            </w:pPr>
            <w:hyperlink r:id="rId52">
              <w:r>
                <w:rPr>
                  <w:rFonts w:ascii="Arial" w:cs="Arial" w:eastAsia="Arial" w:hAnsi="Arial"/>
                  <w:sz w:val="18"/>
                  <w:szCs w:val="18"/>
                  <w:color w:val="0000EE"/>
                  <w:w w:val="74"/>
                </w:rPr>
                <w:t>10.</w:t>
              </w:r>
              <w:r>
                <w:rPr>
                  <w:rFonts w:ascii="Arial" w:cs="Arial" w:eastAsia="Arial" w:hAnsi="Arial"/>
                  <w:sz w:val="18"/>
                  <w:szCs w:val="18"/>
                  <w:u w:val="single" w:color="auto"/>
                  <w:color w:val="0000EE"/>
                  <w:w w:val="74"/>
                </w:rPr>
                <w:t>1</w:t>
              </w:r>
            </w:hyperlink>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w w:val="94"/>
              </w:rPr>
            </w:pPr>
            <w:hyperlink r:id="rId52">
              <w:r>
                <w:rPr>
                  <w:rFonts w:ascii="Arial" w:cs="Arial" w:eastAsia="Arial" w:hAnsi="Arial"/>
                  <w:sz w:val="18"/>
                  <w:szCs w:val="18"/>
                  <w:color w:val="0000EE"/>
                  <w:w w:val="94"/>
                </w:rPr>
                <w:t>Investor Rights Agreement, dated as of February 22, 2021, by and among Churchill Capital Corp IV, Ayar Third Investment Company,</w:t>
              </w:r>
            </w:hyperlink>
          </w:p>
        </w:tc>
      </w:tr>
      <w:tr>
        <w:trPr>
          <w:trHeight w:val="20"/>
        </w:trPr>
        <w:tc>
          <w:tcPr>
            <w:tcW w:w="3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50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Churchill Sponsor IV LLC and the other parties named therein (incorporated by reference to Exhibit 10.0 of the Company’s Current Report</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on Form 8-K filed on February 22, 2021).</w:t>
              </w:r>
            </w:hyperlink>
          </w:p>
        </w:tc>
        <w:tc>
          <w:tcPr>
            <w:tcW w:w="706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0" w:type="dxa"/>
            <w:vAlign w:val="bottom"/>
            <w:gridSpan w:val="2"/>
          </w:tcPr>
          <w:p>
            <w:pPr>
              <w:spacing w:after="0"/>
              <w:rPr>
                <w:sz w:val="17"/>
                <w:szCs w:val="17"/>
                <w:color w:val="auto"/>
              </w:rPr>
            </w:pPr>
          </w:p>
        </w:tc>
        <w:tc>
          <w:tcPr>
            <w:tcW w:w="300" w:type="dxa"/>
            <w:vAlign w:val="bottom"/>
            <w:gridSpan w:val="2"/>
          </w:tcPr>
          <w:p>
            <w:pPr>
              <w:jc w:val="center"/>
              <w:ind w:right="40"/>
              <w:spacing w:after="0" w:line="196" w:lineRule="exact"/>
              <w:rPr>
                <w:rFonts w:ascii="Arial" w:cs="Arial" w:eastAsia="Arial" w:hAnsi="Arial"/>
                <w:sz w:val="18"/>
                <w:szCs w:val="18"/>
                <w:color w:val="0000EE"/>
                <w:w w:val="74"/>
              </w:rPr>
            </w:pPr>
            <w:hyperlink r:id="rId53">
              <w:r>
                <w:rPr>
                  <w:rFonts w:ascii="Arial" w:cs="Arial" w:eastAsia="Arial" w:hAnsi="Arial"/>
                  <w:sz w:val="18"/>
                  <w:szCs w:val="18"/>
                  <w:color w:val="0000EE"/>
                  <w:w w:val="74"/>
                </w:rPr>
                <w:t>10.</w:t>
              </w:r>
              <w:r>
                <w:rPr>
                  <w:rFonts w:ascii="Arial" w:cs="Arial" w:eastAsia="Arial" w:hAnsi="Arial"/>
                  <w:sz w:val="18"/>
                  <w:szCs w:val="18"/>
                  <w:u w:val="single" w:color="auto"/>
                  <w:color w:val="0000EE"/>
                  <w:w w:val="74"/>
                </w:rPr>
                <w:t>2</w:t>
              </w:r>
            </w:hyperlink>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w w:val="97"/>
              </w:rPr>
            </w:pPr>
            <w:hyperlink r:id="rId53">
              <w:r>
                <w:rPr>
                  <w:rFonts w:ascii="Arial" w:cs="Arial" w:eastAsia="Arial" w:hAnsi="Arial"/>
                  <w:sz w:val="18"/>
                  <w:szCs w:val="18"/>
                  <w:color w:val="0000EE"/>
                  <w:w w:val="97"/>
                </w:rPr>
                <w:t>Form of Subscription Agreement (incorporated by reference to Exhibit 10.2 of the Company’s Current Report on Form 8-K filed on</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53">
              <w:r>
                <w:rPr>
                  <w:rFonts w:ascii="Arial" w:cs="Arial" w:eastAsia="Arial" w:hAnsi="Arial"/>
                  <w:sz w:val="18"/>
                  <w:szCs w:val="18"/>
                  <w:color w:val="0000EE"/>
                  <w:w w:val="89"/>
                </w:rPr>
                <w:t>February 22, 2021).</w:t>
              </w:r>
            </w:hyperlink>
          </w:p>
        </w:tc>
        <w:tc>
          <w:tcPr>
            <w:tcW w:w="864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00" w:type="dxa"/>
            <w:vAlign w:val="bottom"/>
            <w:gridSpan w:val="4"/>
          </w:tcPr>
          <w:p>
            <w:pPr>
              <w:jc w:val="center"/>
              <w:ind w:left="210"/>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10.</w:t>
              </w:r>
              <w:r>
                <w:rPr>
                  <w:rFonts w:ascii="Arial" w:cs="Arial" w:eastAsia="Arial" w:hAnsi="Arial"/>
                  <w:sz w:val="18"/>
                  <w:szCs w:val="18"/>
                  <w:u w:val="single" w:color="auto"/>
                  <w:color w:val="0000EE"/>
                  <w:w w:val="91"/>
                </w:rPr>
                <w:t>3</w:t>
              </w:r>
            </w:hyperlink>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w w:val="91"/>
              </w:rPr>
            </w:pPr>
            <w:hyperlink r:id="rId54">
              <w:r>
                <w:rPr>
                  <w:rFonts w:ascii="Arial" w:cs="Arial" w:eastAsia="Arial" w:hAnsi="Arial"/>
                  <w:sz w:val="18"/>
                  <w:szCs w:val="18"/>
                  <w:color w:val="0000EE"/>
                  <w:w w:val="91"/>
                </w:rPr>
                <w:t>Amended and Restated Sponsor Agreement, dated as of February 22, 2021, by and among Churchill Capital Corp IV, Churchill Sponsor IV</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top w:val="single" w:sz="8" w:color="0000EE"/>
            </w:tcBorders>
            <w:gridSpan w:val="9"/>
          </w:tcPr>
          <w:p>
            <w:pPr>
              <w:spacing w:after="0" w:line="196" w:lineRule="exact"/>
              <w:rPr>
                <w:rFonts w:ascii="Arial" w:cs="Arial" w:eastAsia="Arial" w:hAnsi="Arial"/>
                <w:sz w:val="18"/>
                <w:szCs w:val="18"/>
                <w:color w:val="0000EE"/>
                <w:w w:val="95"/>
              </w:rPr>
            </w:pPr>
            <w:hyperlink r:id="rId54">
              <w:r>
                <w:rPr>
                  <w:rFonts w:ascii="Arial" w:cs="Arial" w:eastAsia="Arial" w:hAnsi="Arial"/>
                  <w:sz w:val="18"/>
                  <w:szCs w:val="18"/>
                  <w:color w:val="0000EE"/>
                  <w:w w:val="95"/>
                </w:rPr>
                <w:t>LLC, and the Insiders (incorporated by reference to Exhibit 10.3 of the Company’s Current Report on Form 8-K filed on February 22,</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54">
              <w:r>
                <w:rPr>
                  <w:rFonts w:ascii="Arial" w:cs="Arial" w:eastAsia="Arial" w:hAnsi="Arial"/>
                  <w:sz w:val="18"/>
                  <w:szCs w:val="18"/>
                  <w:color w:val="0000EE"/>
                  <w:w w:val="86"/>
                </w:rPr>
                <w:t>2021).</w:t>
              </w:r>
            </w:hyperlink>
          </w:p>
        </w:tc>
        <w:tc>
          <w:tcPr>
            <w:tcW w:w="40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45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3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400" w:type="dxa"/>
            <w:vAlign w:val="bottom"/>
            <w:gridSpan w:val="2"/>
          </w:tcPr>
          <w:p>
            <w:pPr>
              <w:spacing w:after="0"/>
              <w:rPr>
                <w:sz w:val="17"/>
                <w:szCs w:val="17"/>
                <w:color w:val="auto"/>
              </w:rPr>
            </w:pPr>
          </w:p>
        </w:tc>
        <w:tc>
          <w:tcPr>
            <w:tcW w:w="300" w:type="dxa"/>
            <w:vAlign w:val="bottom"/>
            <w:gridSpan w:val="2"/>
          </w:tcPr>
          <w:p>
            <w:pPr>
              <w:jc w:val="center"/>
              <w:ind w:right="40"/>
              <w:spacing w:after="0" w:line="196" w:lineRule="exact"/>
              <w:rPr>
                <w:rFonts w:ascii="Arial" w:cs="Arial" w:eastAsia="Arial" w:hAnsi="Arial"/>
                <w:sz w:val="18"/>
                <w:szCs w:val="18"/>
                <w:color w:val="0000EE"/>
                <w:w w:val="74"/>
              </w:rPr>
            </w:pPr>
            <w:hyperlink r:id="rId55">
              <w:r>
                <w:rPr>
                  <w:rFonts w:ascii="Arial" w:cs="Arial" w:eastAsia="Arial" w:hAnsi="Arial"/>
                  <w:sz w:val="18"/>
                  <w:szCs w:val="18"/>
                  <w:color w:val="0000EE"/>
                  <w:w w:val="74"/>
                </w:rPr>
                <w:t>10.</w:t>
              </w:r>
              <w:r>
                <w:rPr>
                  <w:rFonts w:ascii="Arial" w:cs="Arial" w:eastAsia="Arial" w:hAnsi="Arial"/>
                  <w:sz w:val="18"/>
                  <w:szCs w:val="18"/>
                  <w:u w:val="single" w:color="auto"/>
                  <w:color w:val="0000EE"/>
                  <w:w w:val="74"/>
                </w:rPr>
                <w:t>4</w:t>
              </w:r>
            </w:hyperlink>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w w:val="93"/>
              </w:rPr>
            </w:pPr>
            <w:hyperlink r:id="rId55">
              <w:r>
                <w:rPr>
                  <w:rFonts w:ascii="Arial" w:cs="Arial" w:eastAsia="Arial" w:hAnsi="Arial"/>
                  <w:sz w:val="18"/>
                  <w:szCs w:val="18"/>
                  <w:color w:val="0000EE"/>
                  <w:w w:val="93"/>
                </w:rPr>
                <w:t>Promissory Note, dated as of February 22, 2021, by and between Churchill Capital Corp IV and Churchill Sponsor IV LLC (incorporated</w:t>
              </w:r>
            </w:hyperlink>
          </w:p>
        </w:tc>
      </w:tr>
      <w:tr>
        <w:trPr>
          <w:trHeight w:val="196"/>
        </w:trPr>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by reference to Exhibit 10.4 of the Company’s Current Report on Form 8-K filed on February 22, 2021).</w:t>
              </w:r>
            </w:hyperlink>
          </w:p>
        </w:tc>
        <w:tc>
          <w:tcPr>
            <w:tcW w:w="20" w:type="dxa"/>
            <w:vAlign w:val="bottom"/>
          </w:tcPr>
          <w:p>
            <w:pPr>
              <w:spacing w:after="0"/>
              <w:rPr>
                <w:sz w:val="17"/>
                <w:szCs w:val="17"/>
                <w:color w:val="auto"/>
              </w:rPr>
            </w:pPr>
          </w:p>
        </w:tc>
      </w:tr>
      <w:tr>
        <w:trPr>
          <w:trHeight w:val="20"/>
        </w:trPr>
        <w:tc>
          <w:tcPr>
            <w:tcW w:w="3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5460" w:type="dxa"/>
            <w:vAlign w:val="bottom"/>
            <w:gridSpan w:val="2"/>
            <w:shd w:val="clear" w:color="auto" w:fill="0000EE"/>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gridSpan w:val="5"/>
          </w:tcPr>
          <w:p>
            <w:pPr>
              <w:jc w:val="center"/>
              <w:ind w:right="20"/>
              <w:spacing w:after="0" w:line="196" w:lineRule="exact"/>
              <w:rPr>
                <w:rFonts w:ascii="Arial" w:cs="Arial" w:eastAsia="Arial" w:hAnsi="Arial"/>
                <w:sz w:val="18"/>
                <w:szCs w:val="18"/>
                <w:color w:val="0000EE"/>
                <w:w w:val="95"/>
              </w:rPr>
            </w:pPr>
            <w:hyperlink w:anchor="page30">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1*</w:t>
              </w:r>
            </w:hyperlink>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Principal Executive Officer Pursuant to Securities Exchange Act Rules 13a-14(a), as adopted Pursuant to Section 302 of the</w:t>
              </w:r>
            </w:hyperlink>
          </w:p>
        </w:tc>
      </w:tr>
      <w:tr>
        <w:trPr>
          <w:trHeight w:val="196"/>
        </w:trPr>
        <w:tc>
          <w:tcPr>
            <w:tcW w:w="3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0">
              <w:r>
                <w:rPr>
                  <w:rFonts w:ascii="Arial" w:cs="Arial" w:eastAsia="Arial" w:hAnsi="Arial"/>
                  <w:sz w:val="18"/>
                  <w:szCs w:val="18"/>
                  <w:color w:val="0000EE"/>
                  <w:w w:val="90"/>
                </w:rPr>
                <w:t>Sarbanes-Oxley Act of 2002</w:t>
              </w:r>
            </w:hyperlink>
          </w:p>
        </w:tc>
        <w:tc>
          <w:tcPr>
            <w:tcW w:w="8040" w:type="dxa"/>
            <w:vAlign w:val="bottom"/>
            <w:tcBorders>
              <w:top w:val="single" w:sz="8" w:color="0000EE"/>
            </w:tcBorders>
            <w:gridSpan w:val="5"/>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720" w:type="dxa"/>
            <w:vAlign w:val="bottom"/>
            <w:gridSpan w:val="4"/>
          </w:tcPr>
          <w:p>
            <w:pPr>
              <w:jc w:val="center"/>
              <w:ind w:right="320"/>
              <w:spacing w:after="0" w:line="196" w:lineRule="exact"/>
              <w:rPr>
                <w:rFonts w:ascii="Arial" w:cs="Arial" w:eastAsia="Arial" w:hAnsi="Arial"/>
                <w:sz w:val="18"/>
                <w:szCs w:val="18"/>
                <w:color w:val="0000EE"/>
                <w:w w:val="95"/>
              </w:rPr>
            </w:pPr>
            <w:hyperlink w:anchor="page31">
              <w:r>
                <w:rPr>
                  <w:rFonts w:ascii="Arial" w:cs="Arial" w:eastAsia="Arial" w:hAnsi="Arial"/>
                  <w:sz w:val="18"/>
                  <w:szCs w:val="18"/>
                  <w:color w:val="0000EE"/>
                  <w:w w:val="95"/>
                </w:rPr>
                <w:t>31.</w:t>
              </w:r>
              <w:r>
                <w:rPr>
                  <w:rFonts w:ascii="Arial" w:cs="Arial" w:eastAsia="Arial" w:hAnsi="Arial"/>
                  <w:sz w:val="18"/>
                  <w:szCs w:val="18"/>
                  <w:u w:val="single" w:color="auto"/>
                  <w:color w:val="0000EE"/>
                  <w:w w:val="95"/>
                </w:rPr>
                <w:t>2*</w:t>
              </w:r>
            </w:hyperlink>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Principal Financial Officer Pursuant to Securities Exchange Act Rules 13a-14(a), as adopted Pursuant to Section 302 of the</w:t>
              </w:r>
            </w:hyperlink>
          </w:p>
        </w:tc>
      </w:tr>
      <w:tr>
        <w:trPr>
          <w:trHeight w:val="196"/>
        </w:trPr>
        <w:tc>
          <w:tcPr>
            <w:tcW w:w="3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Sarbanes-Oxley Act of 2002</w:t>
              </w:r>
            </w:hyperlink>
          </w:p>
        </w:tc>
        <w:tc>
          <w:tcPr>
            <w:tcW w:w="802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00" w:type="dxa"/>
            <w:vAlign w:val="bottom"/>
          </w:tcPr>
          <w:p>
            <w:pPr>
              <w:spacing w:after="0"/>
              <w:rPr>
                <w:sz w:val="17"/>
                <w:szCs w:val="17"/>
                <w:color w:val="auto"/>
              </w:rPr>
            </w:pPr>
          </w:p>
        </w:tc>
        <w:tc>
          <w:tcPr>
            <w:tcW w:w="720" w:type="dxa"/>
            <w:vAlign w:val="bottom"/>
            <w:gridSpan w:val="4"/>
          </w:tcPr>
          <w:p>
            <w:pPr>
              <w:jc w:val="center"/>
              <w:ind w:right="320"/>
              <w:spacing w:after="0" w:line="196" w:lineRule="exact"/>
              <w:rPr>
                <w:rFonts w:ascii="Arial" w:cs="Arial" w:eastAsia="Arial" w:hAnsi="Arial"/>
                <w:sz w:val="18"/>
                <w:szCs w:val="18"/>
                <w:color w:val="0000EE"/>
                <w:w w:val="95"/>
              </w:rPr>
            </w:pPr>
            <w:hyperlink w:anchor="page32">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1*</w:t>
              </w:r>
            </w:hyperlink>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r>
      <w:tr>
        <w:trPr>
          <w:trHeight w:val="196"/>
        </w:trPr>
        <w:tc>
          <w:tcPr>
            <w:tcW w:w="3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r>
      <w:tr>
        <w:trPr>
          <w:trHeight w:val="20"/>
        </w:trPr>
        <w:tc>
          <w:tcPr>
            <w:tcW w:w="10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720" w:type="dxa"/>
            <w:vAlign w:val="bottom"/>
            <w:gridSpan w:val="4"/>
          </w:tcPr>
          <w:p>
            <w:pPr>
              <w:jc w:val="center"/>
              <w:ind w:right="320"/>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32.</w:t>
              </w:r>
              <w:r>
                <w:rPr>
                  <w:rFonts w:ascii="Arial" w:cs="Arial" w:eastAsia="Arial" w:hAnsi="Arial"/>
                  <w:sz w:val="18"/>
                  <w:szCs w:val="18"/>
                  <w:u w:val="single" w:color="auto"/>
                  <w:color w:val="0000EE"/>
                  <w:w w:val="95"/>
                </w:rPr>
                <w:t>2*</w:t>
              </w:r>
            </w:hyperlink>
          </w:p>
        </w:tc>
        <w:tc>
          <w:tcPr>
            <w:tcW w:w="120" w:type="dxa"/>
            <w:vAlign w:val="bottom"/>
          </w:tcPr>
          <w:p>
            <w:pPr>
              <w:spacing w:after="0"/>
              <w:rPr>
                <w:sz w:val="17"/>
                <w:szCs w:val="17"/>
                <w:color w:val="auto"/>
              </w:rPr>
            </w:pPr>
          </w:p>
        </w:tc>
        <w:tc>
          <w:tcPr>
            <w:tcW w:w="10100" w:type="dxa"/>
            <w:vAlign w:val="bottom"/>
            <w:gridSpan w:val="9"/>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Principal Financial Officer Pursuant to 18 U.S.C. Section 1350, as adopted Pursuant to Section 906 of the Sarbanes-Oxley</w:t>
              </w:r>
            </w:hyperlink>
          </w:p>
        </w:tc>
      </w:tr>
      <w:tr>
        <w:trPr>
          <w:trHeight w:val="196"/>
        </w:trPr>
        <w:tc>
          <w:tcPr>
            <w:tcW w:w="30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Act of 2002</w:t>
              </w:r>
            </w:hyperlink>
          </w:p>
        </w:tc>
        <w:tc>
          <w:tcPr>
            <w:tcW w:w="20" w:type="dxa"/>
            <w:vAlign w:val="bottom"/>
          </w:tcPr>
          <w:p>
            <w:pPr>
              <w:spacing w:after="0"/>
              <w:rPr>
                <w:sz w:val="17"/>
                <w:szCs w:val="17"/>
                <w:color w:val="auto"/>
              </w:rPr>
            </w:pPr>
          </w:p>
        </w:tc>
      </w:tr>
      <w:tr>
        <w:trPr>
          <w:trHeight w:val="20"/>
        </w:trPr>
        <w:tc>
          <w:tcPr>
            <w:tcW w:w="1140" w:type="dxa"/>
            <w:vAlign w:val="bottom"/>
            <w:gridSpan w:val="6"/>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9240" w:type="dxa"/>
            <w:vAlign w:val="bottom"/>
            <w:gridSpan w:val="7"/>
          </w:tcPr>
          <w:p>
            <w:pPr>
              <w:spacing w:after="0" w:line="20" w:lineRule="exact"/>
              <w:rPr>
                <w:sz w:val="1"/>
                <w:szCs w:val="1"/>
                <w:color w:val="auto"/>
              </w:rPr>
            </w:pPr>
          </w:p>
        </w:tc>
      </w:tr>
      <w:tr>
        <w:trPr>
          <w:trHeight w:val="222"/>
        </w:trPr>
        <w:tc>
          <w:tcPr>
            <w:tcW w:w="1140" w:type="dxa"/>
            <w:vAlign w:val="bottom"/>
            <w:gridSpan w:val="6"/>
          </w:tcPr>
          <w:p>
            <w:pPr>
              <w:jc w:val="center"/>
              <w:ind w:right="120"/>
              <w:spacing w:after="0"/>
              <w:rPr>
                <w:sz w:val="20"/>
                <w:szCs w:val="20"/>
                <w:color w:val="auto"/>
              </w:rPr>
            </w:pPr>
            <w:r>
              <w:rPr>
                <w:rFonts w:ascii="Arial" w:cs="Arial" w:eastAsia="Arial" w:hAnsi="Arial"/>
                <w:sz w:val="18"/>
                <w:szCs w:val="18"/>
                <w:color w:val="auto"/>
                <w:w w:val="97"/>
              </w:rPr>
              <w:t>101.INS*</w:t>
            </w:r>
          </w:p>
        </w:tc>
        <w:tc>
          <w:tcPr>
            <w:tcW w:w="1010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1140" w:type="dxa"/>
            <w:vAlign w:val="bottom"/>
            <w:gridSpan w:val="6"/>
          </w:tcPr>
          <w:p>
            <w:pPr>
              <w:jc w:val="center"/>
              <w:ind w:right="140"/>
              <w:spacing w:after="0"/>
              <w:rPr>
                <w:sz w:val="20"/>
                <w:szCs w:val="20"/>
                <w:color w:val="auto"/>
              </w:rPr>
            </w:pPr>
            <w:r>
              <w:rPr>
                <w:rFonts w:ascii="Arial" w:cs="Arial" w:eastAsia="Arial" w:hAnsi="Arial"/>
                <w:sz w:val="18"/>
                <w:szCs w:val="18"/>
                <w:color w:val="auto"/>
                <w:w w:val="94"/>
              </w:rPr>
              <w:t>101.SCH*</w:t>
            </w:r>
          </w:p>
        </w:tc>
        <w:tc>
          <w:tcPr>
            <w:tcW w:w="101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40" w:type="dxa"/>
            <w:vAlign w:val="bottom"/>
            <w:gridSpan w:val="6"/>
          </w:tcPr>
          <w:p>
            <w:pPr>
              <w:jc w:val="center"/>
              <w:ind w:right="140"/>
              <w:spacing w:after="0"/>
              <w:rPr>
                <w:sz w:val="20"/>
                <w:szCs w:val="20"/>
                <w:color w:val="auto"/>
              </w:rPr>
            </w:pPr>
            <w:r>
              <w:rPr>
                <w:rFonts w:ascii="Arial" w:cs="Arial" w:eastAsia="Arial" w:hAnsi="Arial"/>
                <w:sz w:val="18"/>
                <w:szCs w:val="18"/>
                <w:color w:val="auto"/>
                <w:w w:val="98"/>
              </w:rPr>
              <w:t>101.CAL*</w:t>
            </w:r>
          </w:p>
        </w:tc>
        <w:tc>
          <w:tcPr>
            <w:tcW w:w="101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40" w:type="dxa"/>
            <w:vAlign w:val="bottom"/>
            <w:gridSpan w:val="6"/>
          </w:tcPr>
          <w:p>
            <w:pPr>
              <w:jc w:val="center"/>
              <w:ind w:right="120"/>
              <w:spacing w:after="0"/>
              <w:rPr>
                <w:sz w:val="20"/>
                <w:szCs w:val="20"/>
                <w:color w:val="auto"/>
              </w:rPr>
            </w:pPr>
            <w:r>
              <w:rPr>
                <w:rFonts w:ascii="Arial" w:cs="Arial" w:eastAsia="Arial" w:hAnsi="Arial"/>
                <w:sz w:val="18"/>
                <w:szCs w:val="18"/>
                <w:color w:val="auto"/>
                <w:w w:val="94"/>
              </w:rPr>
              <w:t>101.DEF*</w:t>
            </w:r>
          </w:p>
        </w:tc>
        <w:tc>
          <w:tcPr>
            <w:tcW w:w="101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40" w:type="dxa"/>
            <w:vAlign w:val="bottom"/>
            <w:gridSpan w:val="6"/>
          </w:tcPr>
          <w:p>
            <w:pPr>
              <w:jc w:val="center"/>
              <w:ind w:right="140"/>
              <w:spacing w:after="0"/>
              <w:rPr>
                <w:sz w:val="20"/>
                <w:szCs w:val="20"/>
                <w:color w:val="auto"/>
              </w:rPr>
            </w:pPr>
            <w:r>
              <w:rPr>
                <w:rFonts w:ascii="Arial" w:cs="Arial" w:eastAsia="Arial" w:hAnsi="Arial"/>
                <w:sz w:val="18"/>
                <w:szCs w:val="18"/>
                <w:color w:val="auto"/>
                <w:w w:val="99"/>
              </w:rPr>
              <w:t>101.LAB*</w:t>
            </w:r>
          </w:p>
        </w:tc>
        <w:tc>
          <w:tcPr>
            <w:tcW w:w="1010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30"/>
        </w:trPr>
        <w:tc>
          <w:tcPr>
            <w:tcW w:w="1140" w:type="dxa"/>
            <w:vAlign w:val="bottom"/>
            <w:gridSpan w:val="6"/>
          </w:tcPr>
          <w:p>
            <w:pPr>
              <w:jc w:val="center"/>
              <w:ind w:right="120"/>
              <w:spacing w:after="0"/>
              <w:rPr>
                <w:sz w:val="20"/>
                <w:szCs w:val="20"/>
                <w:color w:val="auto"/>
              </w:rPr>
            </w:pPr>
            <w:r>
              <w:rPr>
                <w:rFonts w:ascii="Arial" w:cs="Arial" w:eastAsia="Arial" w:hAnsi="Arial"/>
                <w:sz w:val="18"/>
                <w:szCs w:val="18"/>
                <w:color w:val="auto"/>
                <w:w w:val="93"/>
              </w:rPr>
              <w:t>101.PRE*</w:t>
            </w:r>
          </w:p>
        </w:tc>
        <w:tc>
          <w:tcPr>
            <w:tcW w:w="101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spacing w:after="0"/>
        <w:tabs>
          <w:tab w:leader="none" w:pos="2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200" w:lineRule="exact"/>
        <w:rPr>
          <w:sz w:val="20"/>
          <w:szCs w:val="20"/>
          <w:color w:val="auto"/>
        </w:rPr>
      </w:pPr>
    </w:p>
    <w:p>
      <w:pPr>
        <w:spacing w:after="0" w:line="234"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066"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89"/>
        <w:spacing w:after="0" w:line="277" w:lineRule="auto"/>
        <w:rPr>
          <w:sz w:val="20"/>
          <w:szCs w:val="20"/>
          <w:color w:val="auto"/>
        </w:rPr>
      </w:pPr>
      <w:r>
        <w:rPr>
          <w:rFonts w:ascii="Arial" w:cs="Arial" w:eastAsia="Arial" w:hAnsi="Arial"/>
          <w:sz w:val="18"/>
          <w:szCs w:val="18"/>
          <w:color w:val="auto"/>
        </w:rPr>
        <w:t>In accordance with the requirements of the Exchange Act, the registrant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2"/>
          </w:tcPr>
          <w:p>
            <w:pPr>
              <w:ind w:left="2080"/>
              <w:spacing w:after="0"/>
              <w:rPr>
                <w:sz w:val="20"/>
                <w:szCs w:val="20"/>
                <w:color w:val="auto"/>
              </w:rPr>
            </w:pPr>
            <w:r>
              <w:rPr>
                <w:rFonts w:ascii="Arial" w:cs="Arial" w:eastAsia="Arial" w:hAnsi="Arial"/>
                <w:sz w:val="18"/>
                <w:szCs w:val="18"/>
                <w:b w:val="1"/>
                <w:bCs w:val="1"/>
                <w:color w:val="auto"/>
              </w:rPr>
              <w:t>CHURCHILL CAPITAL CORP IV</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28, 2021</w:t>
            </w:r>
          </w:p>
        </w:tc>
        <w:tc>
          <w:tcPr>
            <w:tcW w:w="2680" w:type="dxa"/>
            <w:vAlign w:val="bottom"/>
          </w:tcPr>
          <w:p>
            <w:pPr>
              <w:ind w:left="20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Klein</w:t>
            </w:r>
          </w:p>
        </w:tc>
      </w:tr>
      <w:tr>
        <w:trPr>
          <w:trHeight w:val="195"/>
        </w:trPr>
        <w:tc>
          <w:tcPr>
            <w:tcW w:w="3520" w:type="dxa"/>
            <w:vAlign w:val="bottom"/>
          </w:tcPr>
          <w:p>
            <w:pPr>
              <w:spacing w:after="0"/>
              <w:rPr>
                <w:sz w:val="16"/>
                <w:szCs w:val="16"/>
                <w:color w:val="auto"/>
              </w:rPr>
            </w:pPr>
          </w:p>
        </w:tc>
        <w:tc>
          <w:tcPr>
            <w:tcW w:w="268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Michael Klein</w:t>
            </w:r>
          </w:p>
        </w:tc>
      </w:tr>
      <w:tr>
        <w:trPr>
          <w:trHeight w:val="216"/>
        </w:trPr>
        <w:tc>
          <w:tcPr>
            <w:tcW w:w="3520" w:type="dxa"/>
            <w:vAlign w:val="bottom"/>
          </w:tcPr>
          <w:p>
            <w:pPr>
              <w:spacing w:after="0"/>
              <w:rPr>
                <w:sz w:val="18"/>
                <w:szCs w:val="18"/>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Chairman of the Board of Directors</w:t>
            </w:r>
          </w:p>
        </w:tc>
      </w:tr>
      <w:tr>
        <w:trPr>
          <w:trHeight w:val="230"/>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May 28, 2021</w:t>
            </w:r>
          </w:p>
        </w:tc>
        <w:tc>
          <w:tcPr>
            <w:tcW w:w="2680" w:type="dxa"/>
            <w:vAlign w:val="bottom"/>
          </w:tcPr>
          <w:p>
            <w:pPr>
              <w:ind w:left="20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Jay Taragin</w:t>
            </w:r>
          </w:p>
        </w:tc>
      </w:tr>
      <w:tr>
        <w:trPr>
          <w:trHeight w:val="195"/>
        </w:trPr>
        <w:tc>
          <w:tcPr>
            <w:tcW w:w="3520" w:type="dxa"/>
            <w:vAlign w:val="bottom"/>
          </w:tcPr>
          <w:p>
            <w:pPr>
              <w:spacing w:after="0"/>
              <w:rPr>
                <w:sz w:val="16"/>
                <w:szCs w:val="16"/>
                <w:color w:val="auto"/>
              </w:rPr>
            </w:pPr>
          </w:p>
        </w:tc>
        <w:tc>
          <w:tcPr>
            <w:tcW w:w="2680" w:type="dxa"/>
            <w:vAlign w:val="bottom"/>
          </w:tcPr>
          <w:p>
            <w:pPr>
              <w:ind w:left="208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Jay Taragin</w:t>
            </w:r>
          </w:p>
        </w:tc>
      </w:tr>
      <w:tr>
        <w:trPr>
          <w:trHeight w:val="216"/>
        </w:trPr>
        <w:tc>
          <w:tcPr>
            <w:tcW w:w="3520" w:type="dxa"/>
            <w:vAlign w:val="bottom"/>
          </w:tcPr>
          <w:p>
            <w:pPr>
              <w:spacing w:after="0"/>
              <w:rPr>
                <w:sz w:val="18"/>
                <w:szCs w:val="18"/>
                <w:color w:val="auto"/>
              </w:rPr>
            </w:pPr>
          </w:p>
        </w:tc>
        <w:tc>
          <w:tcPr>
            <w:tcW w:w="2680" w:type="dxa"/>
            <w:vAlign w:val="bottom"/>
          </w:tcPr>
          <w:p>
            <w:pPr>
              <w:ind w:left="20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w w:val="98"/>
              </w:rPr>
              <w:t>(Principal  Executive  Officer,  Principal  Accounting  Officer  and</w:t>
            </w:r>
          </w:p>
        </w:tc>
      </w:tr>
      <w:tr>
        <w:trPr>
          <w:trHeight w:val="230"/>
        </w:trPr>
        <w:tc>
          <w:tcPr>
            <w:tcW w:w="35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Michael Klein, certify that:</w:t>
      </w:r>
    </w:p>
    <w:p>
      <w:pPr>
        <w:spacing w:after="0" w:line="225" w:lineRule="exact"/>
        <w:rPr>
          <w:sz w:val="20"/>
          <w:szCs w:val="20"/>
          <w:color w:val="auto"/>
        </w:rPr>
      </w:pPr>
    </w:p>
    <w:p>
      <w:pPr>
        <w:ind w:left="580" w:hanging="572"/>
        <w:spacing w:after="0"/>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Churchill Capital Corp IV;</w:t>
      </w:r>
    </w:p>
    <w:p>
      <w:pPr>
        <w:spacing w:after="0" w:line="225" w:lineRule="exact"/>
        <w:rPr>
          <w:rFonts w:ascii="Arial" w:cs="Arial" w:eastAsia="Arial" w:hAnsi="Arial"/>
          <w:sz w:val="18"/>
          <w:szCs w:val="18"/>
          <w:color w:val="auto"/>
        </w:rPr>
      </w:pPr>
    </w:p>
    <w:p>
      <w:pPr>
        <w:jc w:val="both"/>
        <w:ind w:left="580" w:right="20" w:hanging="572"/>
        <w:spacing w:after="0" w:line="263"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20" w:hanging="572"/>
        <w:spacing w:after="0" w:line="308" w:lineRule="auto"/>
        <w:tabs>
          <w:tab w:leader="none" w:pos="58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20" w:hanging="572"/>
        <w:spacing w:after="0" w:line="291"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w:t>
      </w:r>
    </w:p>
    <w:p>
      <w:pPr>
        <w:ind w:left="5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140" w:right="20" w:hanging="565"/>
        <w:spacing w:after="0" w:line="263"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1140" w:hanging="565"/>
        <w:spacing w:after="0"/>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140" w:right="20" w:hanging="565"/>
        <w:spacing w:after="0" w:line="342" w:lineRule="auto"/>
        <w:tabs>
          <w:tab w:leader="none" w:pos="114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40" w:right="20" w:hanging="565"/>
        <w:spacing w:after="0" w:line="263"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20" w:hanging="572"/>
        <w:spacing w:after="0" w:line="342" w:lineRule="auto"/>
        <w:tabs>
          <w:tab w:leader="none" w:pos="5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20" w:hanging="565"/>
        <w:spacing w:after="0" w:line="308" w:lineRule="auto"/>
        <w:tabs>
          <w:tab w:leader="none" w:pos="114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right="20" w:hanging="565"/>
        <w:spacing w:after="0" w:line="277" w:lineRule="auto"/>
        <w:tabs>
          <w:tab w:leader="none" w:pos="114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Klein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Jay Taragin, certify that:</w:t>
      </w:r>
    </w:p>
    <w:p>
      <w:pPr>
        <w:spacing w:after="0" w:line="225" w:lineRule="exact"/>
        <w:rPr>
          <w:sz w:val="20"/>
          <w:szCs w:val="20"/>
          <w:color w:val="auto"/>
        </w:rPr>
      </w:pPr>
    </w:p>
    <w:p>
      <w:pPr>
        <w:ind w:left="580" w:hanging="57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Churchill Capital Corp IV;</w:t>
      </w:r>
    </w:p>
    <w:p>
      <w:pPr>
        <w:spacing w:after="0" w:line="225" w:lineRule="exact"/>
        <w:rPr>
          <w:rFonts w:ascii="Arial" w:cs="Arial" w:eastAsia="Arial" w:hAnsi="Arial"/>
          <w:sz w:val="18"/>
          <w:szCs w:val="18"/>
          <w:color w:val="auto"/>
        </w:rPr>
      </w:pPr>
    </w:p>
    <w:p>
      <w:pPr>
        <w:jc w:val="both"/>
        <w:ind w:left="580" w:right="20" w:hanging="572"/>
        <w:spacing w:after="0" w:line="263"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20" w:hanging="572"/>
        <w:spacing w:after="0" w:line="308" w:lineRule="auto"/>
        <w:tabs>
          <w:tab w:leader="none" w:pos="5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80" w:right="20" w:hanging="572"/>
        <w:spacing w:after="0" w:line="291"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internal control over financial reporting (as defined in Exchange Act Rules</w:t>
      </w:r>
    </w:p>
    <w:p>
      <w:pPr>
        <w:ind w:left="58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10" w:lineRule="exact"/>
        <w:rPr>
          <w:rFonts w:ascii="Arial" w:cs="Arial" w:eastAsia="Arial" w:hAnsi="Arial"/>
          <w:sz w:val="16"/>
          <w:szCs w:val="16"/>
          <w:color w:val="auto"/>
        </w:rPr>
      </w:pPr>
    </w:p>
    <w:p>
      <w:pPr>
        <w:jc w:val="both"/>
        <w:ind w:left="1140" w:right="20" w:hanging="565"/>
        <w:spacing w:after="0" w:line="263"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83" w:lineRule="exact"/>
        <w:rPr>
          <w:rFonts w:ascii="Arial" w:cs="Arial" w:eastAsia="Arial" w:hAnsi="Arial"/>
          <w:sz w:val="18"/>
          <w:szCs w:val="18"/>
          <w:color w:val="auto"/>
        </w:rPr>
      </w:pPr>
    </w:p>
    <w:p>
      <w:pPr>
        <w:ind w:left="1140" w:hanging="565"/>
        <w:spacing w:after="0"/>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[Omitted];</w:t>
      </w:r>
    </w:p>
    <w:p>
      <w:pPr>
        <w:spacing w:after="0" w:line="225" w:lineRule="exact"/>
        <w:rPr>
          <w:rFonts w:ascii="Arial" w:cs="Arial" w:eastAsia="Arial" w:hAnsi="Arial"/>
          <w:sz w:val="18"/>
          <w:szCs w:val="18"/>
          <w:color w:val="auto"/>
        </w:rPr>
      </w:pPr>
    </w:p>
    <w:p>
      <w:pPr>
        <w:ind w:left="1140" w:right="20" w:hanging="565"/>
        <w:spacing w:after="0" w:line="342" w:lineRule="auto"/>
        <w:tabs>
          <w:tab w:leader="none" w:pos="114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40" w:right="20" w:hanging="565"/>
        <w:spacing w:after="0" w:line="263"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20" w:hanging="572"/>
        <w:spacing w:after="0" w:line="342"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20" w:hanging="565"/>
        <w:spacing w:after="0" w:line="308" w:lineRule="auto"/>
        <w:tabs>
          <w:tab w:leader="none" w:pos="114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right="20" w:hanging="565"/>
        <w:spacing w:after="0" w:line="277" w:lineRule="auto"/>
        <w:tabs>
          <w:tab w:leader="none" w:pos="11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28, 2021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Jay Taragin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Accounting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Churchill Capital Corp IV (the “Company”) on Form 10-Q for the quarterly period ended March 31, 2021, as filed with the Securities and Exchange Commission (the “Report”), I, Michael Klein, Chairman of the Board of Directors of the Company, certify, pursuant to 18 U.S.C. §1350, as adopted pursuant to §906 of the Sarbanes-Oxley Act of 2002, that, to the best of my knowledge:</w:t>
      </w:r>
    </w:p>
    <w:p>
      <w:pPr>
        <w:spacing w:after="0" w:line="165" w:lineRule="exact"/>
        <w:rPr>
          <w:sz w:val="20"/>
          <w:szCs w:val="20"/>
          <w:color w:val="auto"/>
        </w:rPr>
      </w:pPr>
    </w:p>
    <w:p>
      <w:pPr>
        <w:ind w:left="460" w:hanging="223"/>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40" w:firstLine="237"/>
        <w:spacing w:after="0" w:line="500" w:lineRule="auto"/>
        <w:tabs>
          <w:tab w:leader="none" w:pos="4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May 28,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Michael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Michael Klein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Chairman of the Board of Directors</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of Churchill Capital Corp IV (the “Company”) on Form 10-Q for the quarterly period ended March 31, 2021, as filed with the Securities and Exchange Commission (the “Report”), I, Jay Taragin, Chief Financial Officer of the Company, certify, pursuant to 18 U.S.C. §1350, as adopted pursuant to §906 of the Sarbanes-Oxley Act of 2002, that, to the best of my knowledge:</w:t>
      </w:r>
    </w:p>
    <w:p>
      <w:pPr>
        <w:spacing w:after="0" w:line="184" w:lineRule="exact"/>
        <w:rPr>
          <w:sz w:val="20"/>
          <w:szCs w:val="20"/>
          <w:color w:val="auto"/>
        </w:rPr>
      </w:pPr>
    </w:p>
    <w:p>
      <w:pPr>
        <w:ind w:left="460" w:hanging="223"/>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340" w:firstLine="237"/>
        <w:spacing w:after="0" w:line="500" w:lineRule="auto"/>
        <w:tabs>
          <w:tab w:leader="none" w:pos="45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May 28, 2021</w:t>
      </w:r>
    </w:p>
    <w:p>
      <w:pPr>
        <w:spacing w:after="0" w:line="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Jay Taragin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(Principal Accounting Officer and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lvl w:ilvl="1">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Roman"/>
      <w:start w:val="3"/>
    </w:lvl>
  </w:abstractNum>
  <w:abstractNum w:abstractNumId="4">
    <w:nsid w:val="7545E146"/>
    <w:multiLevelType w:val="hybridMultilevel"/>
    <w:lvl w:ilvl="0">
      <w:lvlJc w:val="left"/>
      <w:lvlText w:val="(%1)"/>
      <w:numFmt w:val="lowerLetter"/>
      <w:start w:val="2"/>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Roman"/>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51" Type="http://schemas.openxmlformats.org/officeDocument/2006/relationships/hyperlink" Target="https://www.sec.gov/Archives/edgar/data/1811210/000110465921026357/tm217491d2_ex2-1.htm" TargetMode="External"/><Relationship Id="rId52" Type="http://schemas.openxmlformats.org/officeDocument/2006/relationships/hyperlink" Target="https://www.sec.gov/Archives/edgar/data/1811210/000110465921026357/tm217491d2_ex10-1.htm" TargetMode="External"/><Relationship Id="rId53" Type="http://schemas.openxmlformats.org/officeDocument/2006/relationships/hyperlink" Target="https://www.sec.gov/Archives/edgar/data/1811210/000110465921026357/tm217491d2_ex10-2.htm" TargetMode="External"/><Relationship Id="rId54" Type="http://schemas.openxmlformats.org/officeDocument/2006/relationships/hyperlink" Target="https://www.sec.gov/Archives/edgar/data/1811210/000110465921026357/tm217491d2_ex10-3.htm" TargetMode="External"/><Relationship Id="rId55" Type="http://schemas.openxmlformats.org/officeDocument/2006/relationships/hyperlink" Target="https://www.sec.gov/Archives/edgar/data/1811210/000110465921026357/tm217491d2_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2021-06-01T05:37:13Z</dcterms:created>
  <dcterms:modified xsi:type="dcterms:W3CDTF">2021-06-01T05:37:13Z</dcterms:modified>
</cp:coreProperties>
</file>