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73" w:lineRule="exact"/>
        <w:rPr>
          <w:sz w:val="24"/>
          <w:szCs w:val="24"/>
          <w:color w:val="auto"/>
        </w:rPr>
      </w:pPr>
    </w:p>
    <w:p>
      <w:pPr>
        <w:ind w:left="7540"/>
        <w:spacing w:after="0"/>
        <w:rPr>
          <w:sz w:val="20"/>
          <w:szCs w:val="20"/>
          <w:color w:val="auto"/>
        </w:rPr>
      </w:pPr>
      <w:r>
        <w:rPr>
          <w:rFonts w:ascii="Arial" w:cs="Arial" w:eastAsia="Arial" w:hAnsi="Arial"/>
          <w:sz w:val="12"/>
          <w:szCs w:val="12"/>
          <w:b w:val="1"/>
          <w:bCs w:val="1"/>
          <w:color w:val="auto"/>
        </w:rPr>
        <w:t> Filed Pursuant to Rule 424(b)(5)</w:t>
      </w:r>
    </w:p>
    <w:p>
      <w:pPr>
        <w:spacing w:after="0" w:line="27" w:lineRule="exact"/>
        <w:rPr>
          <w:sz w:val="24"/>
          <w:szCs w:val="24"/>
          <w:color w:val="auto"/>
        </w:rPr>
      </w:pPr>
    </w:p>
    <w:p>
      <w:pPr>
        <w:ind w:left="7800"/>
        <w:spacing w:after="0"/>
        <w:rPr>
          <w:sz w:val="20"/>
          <w:szCs w:val="20"/>
          <w:color w:val="auto"/>
        </w:rPr>
      </w:pPr>
      <w:r>
        <w:rPr>
          <w:rFonts w:ascii="Arial" w:cs="Arial" w:eastAsia="Arial" w:hAnsi="Arial"/>
          <w:sz w:val="12"/>
          <w:szCs w:val="12"/>
          <w:b w:val="1"/>
          <w:bCs w:val="1"/>
          <w:color w:val="auto"/>
        </w:rPr>
        <w:t> Registration No. 333-267147​</w:t>
      </w:r>
    </w:p>
    <w:p>
      <w:pPr>
        <w:spacing w:after="0" w:line="224" w:lineRule="exact"/>
        <w:rPr>
          <w:sz w:val="24"/>
          <w:szCs w:val="24"/>
          <w:color w:val="auto"/>
        </w:rPr>
      </w:pPr>
    </w:p>
    <w:p>
      <w:pPr>
        <w:ind w:left="1260"/>
        <w:spacing w:after="0"/>
        <w:rPr>
          <w:sz w:val="20"/>
          <w:szCs w:val="20"/>
          <w:color w:val="auto"/>
        </w:rPr>
      </w:pPr>
      <w:r>
        <w:rPr>
          <w:rFonts w:ascii="Arial" w:cs="Arial" w:eastAsia="Arial" w:hAnsi="Arial"/>
          <w:sz w:val="14"/>
          <w:szCs w:val="14"/>
          <w:b w:val="1"/>
          <w:bCs w:val="1"/>
          <w:color w:val="auto"/>
        </w:rPr>
        <w:t>PROSPECTUS SUPPLEMENT</w:t>
      </w:r>
    </w:p>
    <w:p>
      <w:pPr>
        <w:spacing w:after="0" w:line="25" w:lineRule="exact"/>
        <w:rPr>
          <w:sz w:val="24"/>
          <w:szCs w:val="24"/>
          <w:color w:val="auto"/>
        </w:rPr>
      </w:pPr>
    </w:p>
    <w:p>
      <w:pPr>
        <w:ind w:left="1260"/>
        <w:spacing w:after="0"/>
        <w:rPr>
          <w:sz w:val="20"/>
          <w:szCs w:val="20"/>
          <w:color w:val="auto"/>
        </w:rPr>
      </w:pPr>
      <w:r>
        <w:rPr>
          <w:rFonts w:ascii="Arial" w:cs="Arial" w:eastAsia="Arial" w:hAnsi="Arial"/>
          <w:sz w:val="14"/>
          <w:szCs w:val="14"/>
          <w:b w:val="1"/>
          <w:bCs w:val="1"/>
          <w:color w:val="auto"/>
        </w:rPr>
        <w:t>(To Prospectus Dated September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1640205</wp:posOffset>
            </wp:positionH>
            <wp:positionV relativeFrom="paragraph">
              <wp:posOffset>128270</wp:posOffset>
            </wp:positionV>
            <wp:extent cx="354012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0125" cy="231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840"/>
        <w:spacing w:after="0"/>
        <w:rPr>
          <w:sz w:val="20"/>
          <w:szCs w:val="20"/>
          <w:color w:val="auto"/>
        </w:rPr>
      </w:pPr>
      <w:r>
        <w:rPr>
          <w:rFonts w:ascii="Arial" w:cs="Arial" w:eastAsia="Arial" w:hAnsi="Arial"/>
          <w:sz w:val="29"/>
          <w:szCs w:val="29"/>
          <w:b w:val="1"/>
          <w:bCs w:val="1"/>
          <w:color w:val="auto"/>
        </w:rPr>
        <w:t>Lucid Group, Inc.</w:t>
      </w:r>
    </w:p>
    <w:p>
      <w:pPr>
        <w:spacing w:after="0" w:line="108"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$600,000,000</w:t>
      </w:r>
    </w:p>
    <w:p>
      <w:pPr>
        <w:spacing w:after="0" w:line="118"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123190</wp:posOffset>
            </wp:positionV>
            <wp:extent cx="1234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4" w:lineRule="exact"/>
        <w:rPr>
          <w:sz w:val="24"/>
          <w:szCs w:val="24"/>
          <w:color w:val="auto"/>
        </w:rPr>
      </w:pPr>
    </w:p>
    <w:p>
      <w:pPr>
        <w:ind w:left="1260" w:right="599" w:firstLine="360"/>
        <w:spacing w:after="0" w:line="259" w:lineRule="auto"/>
        <w:rPr>
          <w:sz w:val="20"/>
          <w:szCs w:val="20"/>
          <w:color w:val="auto"/>
        </w:rPr>
      </w:pPr>
      <w:r>
        <w:rPr>
          <w:rFonts w:ascii="Arial" w:cs="Arial" w:eastAsia="Arial" w:hAnsi="Arial"/>
          <w:sz w:val="14"/>
          <w:szCs w:val="14"/>
          <w:color w:val="auto"/>
        </w:rPr>
        <w:t>This prospectus supplement and the accompanying prospectus relate to the issuance and sale from time to time of shares of our Class A common stock, par value $0.0001 per share (the “common stock”), through BofA Securities, Barclays Capital Inc., Inc. and Citigroup Global Markets Inc. (each, a “Manager” and together, the “Managers”), pursuant to the terms of an Equity Distribution Agreement dated November 8, 2022 (the “Equity Distribution Agreement”). In accordance with the terms of the Equity Distribution Agreement, we may offer and sell, from time to time, shares of our common stock having an aggregate offering price of up to $600 million.</w:t>
      </w:r>
    </w:p>
    <w:p>
      <w:pPr>
        <w:spacing w:after="0" w:line="51" w:lineRule="exact"/>
        <w:rPr>
          <w:sz w:val="24"/>
          <w:szCs w:val="24"/>
          <w:color w:val="auto"/>
        </w:rPr>
      </w:pPr>
    </w:p>
    <w:p>
      <w:pPr>
        <w:ind w:left="1260" w:right="439" w:firstLine="360"/>
        <w:spacing w:after="0" w:line="260" w:lineRule="auto"/>
        <w:rPr>
          <w:sz w:val="20"/>
          <w:szCs w:val="20"/>
          <w:color w:val="auto"/>
        </w:rPr>
      </w:pPr>
      <w:r>
        <w:rPr>
          <w:rFonts w:ascii="Arial" w:cs="Arial" w:eastAsia="Arial" w:hAnsi="Arial"/>
          <w:sz w:val="14"/>
          <w:szCs w:val="14"/>
          <w:color w:val="auto"/>
        </w:rPr>
        <w:t>Sales, if any, of common stock under the Equity Distribution Agreement may be made in ordinary brokers’ transactions, to or through a market maker, in privately negotiated transactions, in block trades, in transactions that are deemed to be “at the market offerings” as defined in Rule 415 under the Securities Act or through a combination of any such methods of sale. The Managers may also sell our common stock by any other method permitted by law. Subject to the terms and conditions of the Equity Distribution Agreement, the Managers will act as our sales agents using their commercially reasonable efforts consistent with their normal sales and trading practices. The Managers are not required to sell any specific amount. The Managers may also purchase shares of our common stock as principal.</w:t>
      </w:r>
    </w:p>
    <w:p>
      <w:pPr>
        <w:spacing w:after="0" w:line="48" w:lineRule="exact"/>
        <w:rPr>
          <w:sz w:val="24"/>
          <w:szCs w:val="24"/>
          <w:color w:val="auto"/>
        </w:rPr>
      </w:pPr>
    </w:p>
    <w:p>
      <w:pPr>
        <w:ind w:left="1260" w:right="419" w:firstLine="360"/>
        <w:spacing w:after="0" w:line="259" w:lineRule="auto"/>
        <w:rPr>
          <w:sz w:val="20"/>
          <w:szCs w:val="20"/>
          <w:color w:val="auto"/>
        </w:rPr>
      </w:pPr>
      <w:r>
        <w:rPr>
          <w:rFonts w:ascii="Arial" w:cs="Arial" w:eastAsia="Arial" w:hAnsi="Arial"/>
          <w:sz w:val="14"/>
          <w:szCs w:val="14"/>
          <w:color w:val="auto"/>
        </w:rPr>
        <w:t>We will pay each Manager a commission that will not exceed, but may be lower than, 2.0% of the gross sales price per share of common stock sold through such Manager under the Equity Distribution Agreement. We have also agreed to reimburse the Managers for certain of their expenses. In connection with the sale of the shares of common stock on our behalf, each of the Managers may be deemed to be an “underwriter” within the meaning of the Securities Act of 1933, as amended, or the Securities Act, and the compensation paid to each of the Managers may be deemed to be underwriting commissions or discounts. The Managers have agreed to reimburse us for certain expenses incurred in connection with this offering. See “Plan of Distribution.”</w:t>
      </w:r>
    </w:p>
    <w:p>
      <w:pPr>
        <w:spacing w:after="0" w:line="51" w:lineRule="exact"/>
        <w:rPr>
          <w:sz w:val="24"/>
          <w:szCs w:val="24"/>
          <w:color w:val="auto"/>
        </w:rPr>
      </w:pPr>
    </w:p>
    <w:p>
      <w:pPr>
        <w:ind w:left="1260" w:right="459" w:firstLine="360"/>
        <w:spacing w:after="0" w:line="256" w:lineRule="auto"/>
        <w:rPr>
          <w:sz w:val="20"/>
          <w:szCs w:val="20"/>
          <w:color w:val="auto"/>
        </w:rPr>
      </w:pPr>
      <w:r>
        <w:rPr>
          <w:rFonts w:ascii="Arial" w:cs="Arial" w:eastAsia="Arial" w:hAnsi="Arial"/>
          <w:sz w:val="14"/>
          <w:szCs w:val="14"/>
          <w:color w:val="auto"/>
        </w:rPr>
        <w:t>In addition, we have entered into an agreement (the “Subscription Agreement”) with our majority stockholder and affiliate of the Public Investment Fund (“PIF”), Ayar Third Investment Company (“Ayar”), pursuant to which Ayar has agreed to purchase from us, subject to certain conditions, up to $915 million of shares of our common stock in one or more private placements through at least March 31, 2023. We refer to these private placements collectively as the “Ayar Investment.” The number of shares that Ayar will purchase from us in the Ayar Investment will be equal to the number of shares of our common stock that we actually sell in this offering, multiplied by a ratio, the numerator of which is approximately 60.4%, which is the number of shares of our common stock owned by Ayar as a percentage of the total number of shares of our common stock outstanding as of September 30, 2022, and the denominator of which is approximately 39.6%, rounded down to the nearest whole share. Following the sales in this offering and the sales pursuant to the Subscription Agreement, Ayar is expected to continue to own approximately 60.4% of our outstanding stock. We will settle the Ayar Investment on the last trading day of each calendar quarter based on the number of shares that we actually sold pursuant to this offering during such calendar quarter, at a price per share equal to the weighted average price to the public of the shares that we actually sold in this offering during such calendar quarter. In addition, Ayar has the right, but not the obligation, to enter into a new subscription agreement substantially consistent with the Subscription Agreement in respect of any increase to the aggregate offering price for this offering and/or any new at-the-market offering of our common stock during the term of the Subscription Agreement.</w:t>
      </w:r>
    </w:p>
    <w:p>
      <w:pPr>
        <w:spacing w:after="0" w:line="57" w:lineRule="exact"/>
        <w:rPr>
          <w:sz w:val="24"/>
          <w:szCs w:val="24"/>
          <w:color w:val="auto"/>
        </w:rPr>
      </w:pPr>
    </w:p>
    <w:p>
      <w:pPr>
        <w:ind w:left="1260" w:right="779" w:firstLine="360"/>
        <w:spacing w:after="0" w:line="293" w:lineRule="auto"/>
        <w:rPr>
          <w:sz w:val="20"/>
          <w:szCs w:val="20"/>
          <w:color w:val="auto"/>
        </w:rPr>
      </w:pPr>
      <w:r>
        <w:rPr>
          <w:rFonts w:ascii="Arial" w:cs="Arial" w:eastAsia="Arial" w:hAnsi="Arial"/>
          <w:sz w:val="14"/>
          <w:szCs w:val="14"/>
          <w:color w:val="auto"/>
        </w:rPr>
        <w:t>The Ayar Investment is not a part of this offering, and is in addition to the $600 million of shares that we may sell under the Equity Distribution Agreement. We will not pay the Managers any commissions on the Ayar Investment.</w:t>
      </w:r>
    </w:p>
    <w:p>
      <w:pPr>
        <w:spacing w:after="0" w:line="25" w:lineRule="exact"/>
        <w:rPr>
          <w:sz w:val="24"/>
          <w:szCs w:val="24"/>
          <w:color w:val="auto"/>
        </w:rPr>
      </w:pPr>
    </w:p>
    <w:p>
      <w:pPr>
        <w:ind w:left="1260" w:right="599" w:firstLine="360"/>
        <w:spacing w:after="0" w:line="293" w:lineRule="auto"/>
        <w:rPr>
          <w:sz w:val="20"/>
          <w:szCs w:val="20"/>
          <w:color w:val="auto"/>
        </w:rPr>
      </w:pPr>
      <w:r>
        <w:rPr>
          <w:rFonts w:ascii="Arial" w:cs="Arial" w:eastAsia="Arial" w:hAnsi="Arial"/>
          <w:sz w:val="14"/>
          <w:szCs w:val="14"/>
          <w:color w:val="auto"/>
        </w:rPr>
        <w:t>Our common stock is listed on the Nasdaq Global Select Market (“Nasdaq”) under the symbol “LCID.” On November 7, 2022, the last reported sale price of our common stock on Nasdaq was $13.85 per share.</w:t>
      </w:r>
    </w:p>
    <w:p>
      <w:pPr>
        <w:spacing w:after="0" w:line="21" w:lineRule="exact"/>
        <w:rPr>
          <w:sz w:val="24"/>
          <w:szCs w:val="24"/>
          <w:color w:val="auto"/>
        </w:rPr>
      </w:pPr>
    </w:p>
    <w:p>
      <w:pPr>
        <w:jc w:val="both"/>
        <w:ind w:left="1260" w:right="699" w:firstLine="360"/>
        <w:spacing w:after="0" w:line="270" w:lineRule="auto"/>
        <w:rPr>
          <w:sz w:val="20"/>
          <w:szCs w:val="20"/>
          <w:color w:val="auto"/>
        </w:rPr>
      </w:pPr>
      <w:r>
        <w:rPr>
          <w:rFonts w:ascii="Arial" w:cs="Arial" w:eastAsia="Arial" w:hAnsi="Arial"/>
          <w:sz w:val="14"/>
          <w:szCs w:val="14"/>
          <w:b w:val="1"/>
          <w:bCs w:val="1"/>
          <w:color w:val="auto"/>
        </w:rPr>
        <w:t xml:space="preserve">Investing in our common stock involves certain risks. You should review carefully the risks and uncertainties described under the heading “Risk Factors” beginning on page </w:t>
      </w:r>
      <w:r>
        <w:rPr>
          <w:rFonts w:ascii="Arial" w:cs="Arial" w:eastAsia="Arial" w:hAnsi="Arial"/>
          <w:sz w:val="14"/>
          <w:szCs w:val="14"/>
          <w:b w:val="1"/>
          <w:bCs w:val="1"/>
          <w:u w:val="single" w:color="auto"/>
          <w:color w:val="0000EE"/>
        </w:rPr>
        <w:t>S-9</w:t>
      </w:r>
      <w:r>
        <w:rPr>
          <w:rFonts w:ascii="Arial" w:cs="Arial" w:eastAsia="Arial" w:hAnsi="Arial"/>
          <w:sz w:val="14"/>
          <w:szCs w:val="14"/>
          <w:b w:val="1"/>
          <w:bCs w:val="1"/>
          <w:color w:val="auto"/>
        </w:rPr>
        <w:t xml:space="preserve"> of this prospectus supplement and in the documents incorporated by reference into this prospectus supplement.</w:t>
      </w:r>
    </w:p>
    <w:p>
      <w:pPr>
        <w:spacing w:after="0" w:line="41" w:lineRule="exact"/>
        <w:rPr>
          <w:sz w:val="24"/>
          <w:szCs w:val="24"/>
          <w:color w:val="auto"/>
        </w:rPr>
      </w:pPr>
    </w:p>
    <w:p>
      <w:pPr>
        <w:ind w:left="1260" w:right="539" w:firstLine="360"/>
        <w:spacing w:after="0" w:line="267" w:lineRule="auto"/>
        <w:rPr>
          <w:sz w:val="20"/>
          <w:szCs w:val="20"/>
          <w:color w:val="auto"/>
        </w:rPr>
      </w:pPr>
      <w:r>
        <w:rPr>
          <w:rFonts w:ascii="Arial" w:cs="Arial" w:eastAsia="Arial" w:hAnsi="Arial"/>
          <w:sz w:val="14"/>
          <w:szCs w:val="14"/>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43" w:lineRule="exact"/>
        <w:rPr>
          <w:sz w:val="24"/>
          <w:szCs w:val="24"/>
          <w:color w:val="auto"/>
        </w:rPr>
      </w:pPr>
    </w:p>
    <w:p>
      <w:pPr>
        <w:ind w:left="1260" w:right="459" w:firstLine="360"/>
        <w:spacing w:after="0" w:line="293" w:lineRule="auto"/>
        <w:rPr>
          <w:sz w:val="20"/>
          <w:szCs w:val="20"/>
          <w:color w:val="auto"/>
        </w:rPr>
      </w:pPr>
      <w:r>
        <w:rPr>
          <w:rFonts w:ascii="Arial" w:cs="Arial" w:eastAsia="Arial" w:hAnsi="Arial"/>
          <w:sz w:val="14"/>
          <w:szCs w:val="14"/>
          <w:color w:val="auto"/>
        </w:rPr>
        <w:t>Sales of our common stock as contemplated in this prospectus supplement will be settled through the facilities of The Depository Trust Company or by such other means as we and the Managers may agree.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122555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8" w:lineRule="exact"/>
        <w:rPr>
          <w:sz w:val="24"/>
          <w:szCs w:val="24"/>
          <w:color w:val="auto"/>
        </w:rPr>
      </w:pPr>
    </w:p>
    <w:p>
      <w:pPr>
        <w:ind w:left="1620"/>
        <w:spacing w:after="0"/>
        <w:tabs>
          <w:tab w:leader="none" w:pos="1980" w:val="left"/>
          <w:tab w:leader="none" w:pos="4000" w:val="left"/>
          <w:tab w:leader="none" w:pos="4900" w:val="left"/>
          <w:tab w:leader="none" w:pos="6560" w:val="left"/>
          <w:tab w:leader="none" w:pos="7400" w:val="left"/>
          <w:tab w:leader="none" w:pos="9080" w:val="left"/>
        </w:tabs>
        <w:rPr>
          <w:sz w:val="20"/>
          <w:szCs w:val="20"/>
          <w:color w:val="auto"/>
        </w:rPr>
      </w:pPr>
      <w:r>
        <w:rPr>
          <w:rFonts w:ascii="Arial" w:cs="Arial" w:eastAsia="Arial" w:hAnsi="Arial"/>
          <w:sz w:val="25"/>
          <w:szCs w:val="25"/>
          <w:b w:val="1"/>
          <w:bCs w:val="1"/>
          <w:color w:val="auto"/>
        </w:rPr>
        <w:t>​</w:t>
        <w:tab/>
        <w:t>BofA Securities</w:t>
      </w:r>
      <w:r>
        <w:rPr>
          <w:sz w:val="20"/>
          <w:szCs w:val="20"/>
          <w:color w:val="auto"/>
        </w:rPr>
        <w:tab/>
      </w:r>
      <w:r>
        <w:rPr>
          <w:rFonts w:ascii="Arial" w:cs="Arial" w:eastAsia="Arial" w:hAnsi="Arial"/>
          <w:sz w:val="25"/>
          <w:szCs w:val="25"/>
          <w:b w:val="1"/>
          <w:bCs w:val="1"/>
          <w:color w:val="auto"/>
        </w:rPr>
        <w:t>​ ​</w:t>
      </w:r>
      <w:r>
        <w:rPr>
          <w:sz w:val="20"/>
          <w:szCs w:val="20"/>
          <w:color w:val="auto"/>
        </w:rPr>
        <w:tab/>
      </w: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 ​</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132080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p>
      <w:pPr>
        <w:spacing w:after="0" w:line="338" w:lineRule="exact"/>
        <w:rPr>
          <w:sz w:val="24"/>
          <w:szCs w:val="24"/>
          <w:color w:val="auto"/>
        </w:rPr>
      </w:pPr>
    </w:p>
    <w:p>
      <w:pPr>
        <w:ind w:left="4800"/>
        <w:spacing w:after="0"/>
        <w:rPr>
          <w:sz w:val="20"/>
          <w:szCs w:val="20"/>
          <w:color w:val="auto"/>
        </w:rPr>
      </w:pPr>
      <w:r>
        <w:rPr>
          <w:rFonts w:ascii="Arial" w:cs="Arial" w:eastAsia="Arial" w:hAnsi="Arial"/>
          <w:sz w:val="13"/>
          <w:szCs w:val="13"/>
          <w:color w:val="auto"/>
        </w:rPr>
        <w:t>November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86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 Supplement</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Ayar Investment</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Prospectus</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Frequently Used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Depositary Shares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Purchase Contracts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United States Federal Income Tax Consequences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7"/>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6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0"/>
                <w:szCs w:val="10"/>
                <w:b w:val="1"/>
                <w:bCs w:val="1"/>
                <w:color w:val="auto"/>
                <w:w w:val="74"/>
              </w:rPr>
              <w:t xml:space="preserve">Page </w:t>
            </w:r>
            <w:r>
              <w:rPr>
                <w:rFonts w:ascii="Arial" w:cs="Arial" w:eastAsia="Arial" w:hAnsi="Arial"/>
                <w:sz w:val="16"/>
                <w:szCs w:val="16"/>
                <w:b w:val="1"/>
                <w:bCs w:val="1"/>
                <w:color w:val="auto"/>
                <w:w w:val="74"/>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4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0"/>
        </w:trPr>
        <w:tc>
          <w:tcPr>
            <w:tcW w:w="140" w:type="dxa"/>
            <w:vAlign w:val="bottom"/>
          </w:tcPr>
          <w:p>
            <w:pPr>
              <w:ind w:left="40"/>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ind w:left="20"/>
              <w:spacing w:after="0" w:line="18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78"/>
              </w:rPr>
              <w:t>S-1</w:t>
            </w:r>
          </w:p>
        </w:tc>
        <w:tc>
          <w:tcPr>
            <w:tcW w:w="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78"/>
              </w:rPr>
              <w:t>S-2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78"/>
              </w:rPr>
              <w:t>S-3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78"/>
              </w:rPr>
              <w:t>S-5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0000EE"/>
                <w:w w:val="78"/>
              </w:rPr>
              <w:t>S-9</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0"/>
                <w:szCs w:val="10"/>
                <w:color w:val="auto"/>
                <w:w w:val="75"/>
              </w:rPr>
              <w:t>​</w:t>
            </w:r>
            <w:r>
              <w:rPr>
                <w:rFonts w:ascii="Arial" w:cs="Arial" w:eastAsia="Arial" w:hAnsi="Arial"/>
                <w:sz w:val="10"/>
                <w:szCs w:val="10"/>
                <w:color w:val="0000EE"/>
                <w:w w:val="75"/>
              </w:rPr>
              <w:t>S-13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0"/>
                <w:szCs w:val="10"/>
                <w:color w:val="auto"/>
                <w:w w:val="75"/>
              </w:rPr>
              <w:t>​</w:t>
            </w:r>
            <w:r>
              <w:rPr>
                <w:rFonts w:ascii="Arial" w:cs="Arial" w:eastAsia="Arial" w:hAnsi="Arial"/>
                <w:sz w:val="10"/>
                <w:szCs w:val="10"/>
                <w:color w:val="0000EE"/>
                <w:w w:val="75"/>
              </w:rPr>
              <w:t>S-14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0"/>
                <w:szCs w:val="10"/>
                <w:color w:val="auto"/>
                <w:w w:val="75"/>
              </w:rPr>
              <w:t>​</w:t>
            </w:r>
            <w:r>
              <w:rPr>
                <w:rFonts w:ascii="Arial" w:cs="Arial" w:eastAsia="Arial" w:hAnsi="Arial"/>
                <w:sz w:val="10"/>
                <w:szCs w:val="10"/>
                <w:color w:val="0000EE"/>
                <w:w w:val="75"/>
              </w:rPr>
              <w:t>S-15</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0"/>
                <w:szCs w:val="10"/>
                <w:color w:val="auto"/>
                <w:w w:val="75"/>
              </w:rPr>
              <w:t>​</w:t>
            </w:r>
            <w:r>
              <w:rPr>
                <w:rFonts w:ascii="Arial" w:cs="Arial" w:eastAsia="Arial" w:hAnsi="Arial"/>
                <w:sz w:val="10"/>
                <w:szCs w:val="10"/>
                <w:color w:val="0000EE"/>
                <w:w w:val="75"/>
              </w:rPr>
              <w:t>S-17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0"/>
                <w:szCs w:val="10"/>
                <w:color w:val="auto"/>
                <w:w w:val="75"/>
              </w:rPr>
              <w:t>​</w:t>
            </w:r>
            <w:r>
              <w:rPr>
                <w:rFonts w:ascii="Arial" w:cs="Arial" w:eastAsia="Arial" w:hAnsi="Arial"/>
                <w:sz w:val="10"/>
                <w:szCs w:val="10"/>
                <w:color w:val="0000EE"/>
                <w:w w:val="75"/>
              </w:rPr>
              <w:t>S-22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80" w:type="dxa"/>
            <w:vAlign w:val="bottom"/>
            <w:gridSpan w:val="3"/>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color w:val="0000EE"/>
              </w:rPr>
              <w:t>S-22</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gridSpan w:val="2"/>
          </w:tcPr>
          <w:p>
            <w:pPr>
              <w:spacing w:after="0" w:line="20" w:lineRule="exact"/>
              <w:rPr>
                <w:sz w:val="1"/>
                <w:szCs w:val="1"/>
                <w:color w:val="auto"/>
              </w:rPr>
            </w:pPr>
          </w:p>
        </w:tc>
        <w:tc>
          <w:tcPr>
            <w:tcW w:w="1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3"/>
          </w:tcPr>
          <w:p>
            <w:pPr>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18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0000EE"/>
              </w:rPr>
              <w:t>i</w:t>
            </w:r>
            <w:r>
              <w:rPr>
                <w:rFonts w:ascii="Arial" w:cs="Arial" w:eastAsia="Arial" w:hAnsi="Arial"/>
                <w:sz w:val="18"/>
                <w:szCs w:val="18"/>
                <w:color w:val="0000EE"/>
              </w:rPr>
              <w:t xml:space="preserve"> </w:t>
            </w:r>
            <w:r>
              <w:rPr>
                <w:rFonts w:ascii="Arial" w:cs="Arial" w:eastAsia="Arial" w:hAnsi="Arial"/>
                <w:sz w:val="18"/>
                <w:szCs w:val="18"/>
                <w:b w:val="1"/>
                <w:bCs w:val="1"/>
                <w:color w:val="000000"/>
              </w:rPr>
              <w:t>​</w:t>
            </w:r>
          </w:p>
        </w:tc>
        <w:tc>
          <w:tcPr>
            <w:tcW w:w="0" w:type="dxa"/>
            <w:vAlign w:val="bottom"/>
          </w:tcPr>
          <w:p>
            <w:pPr>
              <w:spacing w:after="0"/>
              <w:rPr>
                <w:sz w:val="1"/>
                <w:szCs w:val="1"/>
                <w:color w:val="auto"/>
              </w:rPr>
            </w:pPr>
          </w:p>
        </w:tc>
      </w:tr>
      <w:tr>
        <w:trPr>
          <w:trHeight w:val="190"/>
        </w:trPr>
        <w:tc>
          <w:tcPr>
            <w:tcW w:w="1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260" w:type="dxa"/>
            <w:vAlign w:val="bottom"/>
          </w:tcPr>
          <w:p>
            <w:pPr>
              <w:ind w:left="60"/>
              <w:spacing w:after="0" w:line="183" w:lineRule="exact"/>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line="170" w:lineRule="exact"/>
              <w:rPr>
                <w:sz w:val="20"/>
                <w:szCs w:val="20"/>
                <w:color w:val="auto"/>
              </w:rPr>
            </w:pPr>
            <w:r>
              <w:rPr>
                <w:rFonts w:ascii="Arial" w:cs="Arial" w:eastAsia="Arial" w:hAnsi="Arial"/>
                <w:sz w:val="18"/>
                <w:szCs w:val="18"/>
                <w:color w:val="0000EE"/>
                <w:w w:val="91"/>
              </w:rPr>
              <w:t>iv</w:t>
            </w:r>
          </w:p>
        </w:tc>
        <w:tc>
          <w:tcPr>
            <w:tcW w:w="6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rPr>
              <w:t>v</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3"/>
                <w:szCs w:val="13"/>
                <w:color w:val="auto"/>
                <w:w w:val="78"/>
              </w:rPr>
              <w:t>​</w:t>
            </w:r>
            <w:r>
              <w:rPr>
                <w:rFonts w:ascii="Arial" w:cs="Arial" w:eastAsia="Arial" w:hAnsi="Arial"/>
                <w:sz w:val="13"/>
                <w:szCs w:val="13"/>
                <w:color w:val="0000EE"/>
                <w:w w:val="78"/>
              </w:rPr>
              <w:t>viii</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rPr>
              <w:t>1</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rPr>
              <w:t>3</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rPr>
              <w:t>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10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18</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26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27</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28</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29</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30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35</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40</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46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71"/>
              </w:rPr>
              <w:t>47</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2">
            <w:col w:w="8160" w:space="720"/>
            <w:col w:w="999"/>
          </w:cols>
          <w:pgMar w:left="580" w:top="131"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ABOUT THIS PROSPECTUS SUPPLEMENT</w:t>
      </w:r>
    </w:p>
    <w:p>
      <w:pPr>
        <w:spacing w:after="0" w:line="162" w:lineRule="exact"/>
        <w:rPr>
          <w:sz w:val="20"/>
          <w:szCs w:val="20"/>
          <w:color w:val="auto"/>
        </w:rPr>
      </w:pPr>
    </w:p>
    <w:p>
      <w:pPr>
        <w:ind w:left="1260" w:right="459" w:firstLine="360"/>
        <w:spacing w:after="0" w:line="272"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Under this prospectus supplement we may offer shares of our common stock having an aggregate offering price of up to $600 million from time to time at prices and on terms to be determined by market conditions at the time of offering. The second part is the accompanying prospectus, which provides more general information, some of which may not apply to this offering.</w:t>
      </w:r>
    </w:p>
    <w:p>
      <w:pPr>
        <w:spacing w:after="0" w:line="110" w:lineRule="exact"/>
        <w:rPr>
          <w:sz w:val="20"/>
          <w:szCs w:val="20"/>
          <w:color w:val="auto"/>
        </w:rPr>
      </w:pPr>
    </w:p>
    <w:p>
      <w:pPr>
        <w:ind w:left="1260" w:right="879" w:firstLine="360"/>
        <w:spacing w:after="0" w:line="263" w:lineRule="auto"/>
        <w:rPr>
          <w:sz w:val="20"/>
          <w:szCs w:val="20"/>
          <w:color w:val="auto"/>
        </w:rPr>
      </w:pPr>
      <w:r>
        <w:rPr>
          <w:rFonts w:ascii="Arial" w:cs="Arial" w:eastAsia="Arial" w:hAnsi="Arial"/>
          <w:sz w:val="18"/>
          <w:szCs w:val="18"/>
          <w:color w:val="auto"/>
        </w:rPr>
        <w:t>You should read both this prospectus supplement and the accompanying prospectus, together with additional information described under the heading “Where You Can Find More Information” in this prospectus supplement and the accompanying prospectus.</w:t>
      </w:r>
    </w:p>
    <w:p>
      <w:pPr>
        <w:spacing w:after="0" w:line="103"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116"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Neither we nor the Managers have authorized anyone to provide you with information that is in addition to or different from the information included or incorporated by reference into this prospectus supplement or the accompanying prospectus. Neither we nor the Managers are making an offer of these securities in any jurisdiction where such offer is not permitted.</w:t>
      </w:r>
    </w:p>
    <w:p>
      <w:pPr>
        <w:spacing w:after="0" w:line="119"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You should not assume that the information in this prospectus supplement, the accompanying prospectus or any documents incorporated by reference is accurate as of any date other than the date of the applicable document. Since the respective dates of this prospectus supplement, the accompanying prospectus and the documents incorporated by reference into this prospectus supplement and the accompanying prospectus, our business, financial condition, results of operations and prospects may have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have filed with the SEC a registration statement on Form S-3 under the Securities Act relating to the common stock offered by this prospectus supplement. This prospectus supplement and the accompanying prospectus are a part of that registration statement, which includes additional information not contained in this prospectus supplement or the accompanying prospectus.</w:t>
      </w:r>
    </w:p>
    <w:p>
      <w:pPr>
        <w:spacing w:after="0" w:line="119"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90"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9" w:lineRule="exact"/>
        <w:rPr>
          <w:sz w:val="20"/>
          <w:szCs w:val="20"/>
          <w:color w:val="auto"/>
        </w:rPr>
      </w:pPr>
    </w:p>
    <w:p>
      <w:pPr>
        <w:ind w:left="1800" w:right="41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w:t>
      </w:r>
      <w:hyperlink r:id="rId31">
        <w:r>
          <w:rPr>
            <w:rFonts w:ascii="Arial" w:cs="Arial" w:eastAsia="Arial" w:hAnsi="Arial"/>
            <w:sz w:val="18"/>
            <w:szCs w:val="18"/>
            <w:u w:val="single" w:color="auto"/>
            <w:color w:val="0000EE"/>
          </w:rPr>
          <w:t>December 31, 2021</w:t>
        </w:r>
      </w:hyperlink>
      <w:r>
        <w:rPr>
          <w:rFonts w:ascii="Arial" w:cs="Arial" w:eastAsia="Arial" w:hAnsi="Arial"/>
          <w:sz w:val="18"/>
          <w:szCs w:val="18"/>
          <w:color w:val="auto"/>
        </w:rPr>
        <w:t>, filed with the SEC on February 28, 2022;</w:t>
      </w:r>
    </w:p>
    <w:p>
      <w:pPr>
        <w:spacing w:after="0" w:line="62" w:lineRule="exact"/>
        <w:rPr>
          <w:rFonts w:ascii="Arial" w:cs="Arial" w:eastAsia="Arial" w:hAnsi="Arial"/>
          <w:sz w:val="18"/>
          <w:szCs w:val="18"/>
          <w:color w:val="auto"/>
        </w:rPr>
      </w:pPr>
    </w:p>
    <w:p>
      <w:pPr>
        <w:ind w:left="1800" w:right="759" w:hanging="180"/>
        <w:spacing w:after="0" w:line="263"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2022, June 30, 2022 and September 30, 2022, filed with the SEC on </w:t>
      </w:r>
      <w:hyperlink r:id="rId32">
        <w:r>
          <w:rPr>
            <w:rFonts w:ascii="Arial" w:cs="Arial" w:eastAsia="Arial" w:hAnsi="Arial"/>
            <w:sz w:val="18"/>
            <w:szCs w:val="18"/>
            <w:u w:val="single" w:color="auto"/>
            <w:color w:val="0000EE"/>
          </w:rPr>
          <w:t>May 5, 2022</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EE"/>
          </w:rPr>
          <w:t>August 3,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34">
        <w:r>
          <w:rPr>
            <w:rFonts w:ascii="Arial" w:cs="Arial" w:eastAsia="Arial" w:hAnsi="Arial"/>
            <w:sz w:val="18"/>
            <w:szCs w:val="18"/>
            <w:u w:val="single" w:color="auto"/>
            <w:color w:val="0000EE"/>
          </w:rPr>
          <w:t>November 8, 2022</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800" w:right="719" w:hanging="180"/>
        <w:spacing w:after="0" w:line="263"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information specifically incorporated by reference into our Annual Report on Form 10-K for the fiscal year ended </w:t>
      </w:r>
      <w:hyperlink r:id="rId31">
        <w:r>
          <w:rPr>
            <w:rFonts w:ascii="Arial" w:cs="Arial" w:eastAsia="Arial" w:hAnsi="Arial"/>
            <w:sz w:val="18"/>
            <w:szCs w:val="18"/>
            <w:u w:val="single" w:color="auto"/>
            <w:color w:val="0000EE"/>
          </w:rPr>
          <w:t>December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from our Definitive Proxy Statement on </w:t>
      </w:r>
      <w:hyperlink r:id="rId35">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April 28, 2022;</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36">
        <w:r>
          <w:rPr>
            <w:rFonts w:ascii="Arial" w:cs="Arial" w:eastAsia="Arial" w:hAnsi="Arial"/>
            <w:sz w:val="18"/>
            <w:szCs w:val="18"/>
            <w:u w:val="single" w:color="auto"/>
            <w:color w:val="0000EE"/>
          </w:rPr>
          <w:t xml:space="preserve">April 26, 2022, </w:t>
        </w:r>
      </w:hyperlink>
      <w:hyperlink r:id="rId37">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 xml:space="preserve">2, 2022, </w:t>
        </w:r>
      </w:hyperlink>
      <w:hyperlink r:id="rId38">
        <w:r>
          <w:rPr>
            <w:rFonts w:ascii="Arial" w:cs="Arial" w:eastAsia="Arial" w:hAnsi="Arial"/>
            <w:sz w:val="18"/>
            <w:szCs w:val="18"/>
            <w:u w:val="single" w:color="auto"/>
            <w:color w:val="auto"/>
          </w:rPr>
          <w:t xml:space="preserve">June </w:t>
        </w:r>
        <w:r>
          <w:rPr>
            <w:rFonts w:ascii="Arial" w:cs="Arial" w:eastAsia="Arial" w:hAnsi="Arial"/>
            <w:sz w:val="18"/>
            <w:szCs w:val="18"/>
            <w:u w:val="single" w:color="auto"/>
            <w:color w:val="0000EE"/>
          </w:rPr>
          <w:t>13, 2022,</w:t>
        </w:r>
      </w:hyperlink>
      <w:r>
        <w:rPr>
          <w:rFonts w:ascii="Arial" w:cs="Arial" w:eastAsia="Arial" w:hAnsi="Arial"/>
          <w:sz w:val="18"/>
          <w:szCs w:val="18"/>
          <w:color w:val="auto"/>
        </w:rPr>
        <w:t xml:space="preserve"> and </w:t>
      </w:r>
      <w:hyperlink r:id="rId39">
        <w:r>
          <w:rPr>
            <w:rFonts w:ascii="Arial" w:cs="Arial" w:eastAsia="Arial" w:hAnsi="Arial"/>
            <w:sz w:val="18"/>
            <w:szCs w:val="18"/>
            <w:u w:val="single" w:color="auto"/>
            <w:color w:val="0000EE"/>
          </w:rPr>
          <w:t>June 15, 2022</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description of our securities contained in our Registration Statement on </w:t>
      </w:r>
      <w:hyperlink r:id="rId40">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001-39408), filed with the SEC on July 23, 2021, including any amendments or reports filed for the purpose of updating such description.</w:t>
      </w:r>
    </w:p>
    <w:p>
      <w:pPr>
        <w:spacing w:after="0" w:line="116" w:lineRule="exact"/>
        <w:rPr>
          <w:rFonts w:ascii="Arial" w:cs="Arial" w:eastAsia="Arial" w:hAnsi="Arial"/>
          <w:sz w:val="18"/>
          <w:szCs w:val="18"/>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If the information set forth in this prospectus supplement differs from the information set forth in the accompanying prospectus or the information contained in any document incorporated by reference herein or therein, the information contained in the most recently dated document shall control.</w:t>
      </w:r>
    </w:p>
    <w:p>
      <w:pPr>
        <w:spacing w:after="0" w:line="116" w:lineRule="exact"/>
        <w:rPr>
          <w:rFonts w:ascii="Arial" w:cs="Arial" w:eastAsia="Arial" w:hAnsi="Arial"/>
          <w:sz w:val="18"/>
          <w:szCs w:val="18"/>
          <w:color w:val="auto"/>
        </w:rPr>
      </w:pPr>
    </w:p>
    <w:p>
      <w:pPr>
        <w:ind w:left="1260" w:right="499" w:firstLine="360"/>
        <w:spacing w:after="0" w:line="252" w:lineRule="auto"/>
        <w:rPr>
          <w:sz w:val="20"/>
          <w:szCs w:val="20"/>
          <w:color w:val="auto"/>
        </w:rPr>
      </w:pPr>
      <w:r>
        <w:rPr>
          <w:rFonts w:ascii="Arial" w:cs="Arial" w:eastAsia="Arial" w:hAnsi="Arial"/>
          <w:sz w:val="18"/>
          <w:szCs w:val="18"/>
          <w:color w:val="auto"/>
        </w:rPr>
        <w:t>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 However, we will not send you exhibits to these documents, unless those exhibits have been specifically incorporated by reference into this prospectus supplement. The information contained on, or that may be accessed through, our website is not part of, and is not incorporated into, this prospectus supplement or the registration statement of which it forms a part.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220"/>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7"/>
          <w:szCs w:val="17"/>
          <w:color w:val="auto"/>
        </w:rPr>
        <w:t>This prospectus supplement and the accompanying prospectus and the documents incorporated by reference into this prospectus supplement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as amended (the “Securities Act”), and Section 21E of the Securities Exchange Act of 1934, as amended (the “Exchange Act”). These forward -looking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supplement and the documents incorporated by reference into this prospectus supplement and the accompanying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our financial and operating outlook, future market launches and international expansion, including our planned manufacturing facility in Saudi Arabia and related timing and value to Lucid, and our needs for additional financing. Such forward -looking statements are based on available current market material and our current expectations, beliefs and forecasts concerning future developments. Factors that may impact such forward-looking statements include:</w:t>
      </w:r>
    </w:p>
    <w:p>
      <w:pPr>
        <w:spacing w:after="0" w:line="83" w:lineRule="exact"/>
        <w:rPr>
          <w:sz w:val="20"/>
          <w:szCs w:val="20"/>
          <w:color w:val="auto"/>
        </w:rPr>
      </w:pPr>
    </w:p>
    <w:p>
      <w:pPr>
        <w:ind w:left="1800" w:right="4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 including the ongoing conflict between Russia and Ukraine;</w:t>
      </w:r>
    </w:p>
    <w:p>
      <w:pPr>
        <w:spacing w:after="0" w:line="62" w:lineRule="exact"/>
        <w:rPr>
          <w:rFonts w:ascii="Arial" w:cs="Arial" w:eastAsia="Arial" w:hAnsi="Arial"/>
          <w:sz w:val="18"/>
          <w:szCs w:val="18"/>
          <w:color w:val="auto"/>
        </w:rPr>
      </w:pPr>
    </w:p>
    <w:p>
      <w:pPr>
        <w:ind w:left="1800" w:right="1059" w:hanging="180"/>
        <w:spacing w:after="0" w:line="286"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03"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03"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659" w:hanging="180"/>
        <w:spacing w:after="0" w:line="308"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global COVID-19 pandemic on our supply chain, projected results of operations, financial performance or other financial metrics, or on any of the foregoing risks; and</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in this prospectus supplement or our other filings with the SEC.</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forward-looking statements contained in this prospectus supplement and the documents incorporated by reference into this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supplement.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supplement.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1565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5516245" cy="815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This summary highlights selected information and does not contain all of the information that is</w:t>
      </w:r>
    </w:p>
    <w:p>
      <w:pPr>
        <w:spacing w:after="0" w:line="12" w:lineRule="exact"/>
        <w:rPr>
          <w:sz w:val="20"/>
          <w:szCs w:val="20"/>
          <w:color w:val="auto"/>
        </w:rPr>
      </w:pPr>
    </w:p>
    <w:p>
      <w:pPr>
        <w:ind w:left="1280" w:right="419"/>
        <w:spacing w:after="0" w:line="244" w:lineRule="auto"/>
        <w:rPr>
          <w:sz w:val="20"/>
          <w:szCs w:val="20"/>
          <w:color w:val="auto"/>
        </w:rPr>
      </w:pPr>
      <w:r>
        <w:rPr>
          <w:rFonts w:ascii="Arial" w:cs="Arial" w:eastAsia="Arial" w:hAnsi="Arial"/>
          <w:sz w:val="18"/>
          <w:szCs w:val="18"/>
          <w:i w:val="1"/>
          <w:iCs w:val="1"/>
          <w:color w:val="auto"/>
        </w:rPr>
        <w:t>important to you. This summary is qualified in its entirety by the more detailed information included in or incorporated by reference into this prospectus supplement and the accompanying prospectus. Before making your investment decision with respect to our securities, you should carefully read this entire prospectus supplement, the accompanying prospectus and the documents incorporated by reference that are described in “Where You Can Find More Information.”</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Mission</w:t>
      </w:r>
    </w:p>
    <w:p>
      <w:pPr>
        <w:spacing w:after="0" w:line="162" w:lineRule="exact"/>
        <w:rPr>
          <w:sz w:val="20"/>
          <w:szCs w:val="20"/>
          <w:color w:val="auto"/>
        </w:rPr>
      </w:pPr>
    </w:p>
    <w:p>
      <w:pPr>
        <w:ind w:left="1280" w:right="499" w:firstLine="360"/>
        <w:spacing w:after="0" w:line="291"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w:t>
      </w:r>
    </w:p>
    <w:p>
      <w:pPr>
        <w:spacing w:after="0" w:line="14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About Lucid</w:t>
      </w:r>
    </w:p>
    <w:p>
      <w:pPr>
        <w:spacing w:after="0" w:line="162"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Lucid is a technology and automotive company that is setting new standards with its advanced luxury electric vehicles (EVs). Today, Lucid (i) designs, engineers, builds and sells electric vehicles, EV powertrains and battery systems in-house using our own equipment and factory, (ii) offers a refined customer experience at our own geographically distributed retail and service locations and through direct-to-consumer online and retail sales and (iii) boasts a strong product roadmap of future vehicle programs and technologies. Our focus on in-house technological innovation, vertical integration, and a “clean -sheet” approach to engineering and design have led to the development of our groundbreaking electric vehicle, the Lucid Air.</w:t>
      </w:r>
    </w:p>
    <w:p>
      <w:pPr>
        <w:spacing w:after="0" w:line="119" w:lineRule="exact"/>
        <w:rPr>
          <w:sz w:val="20"/>
          <w:szCs w:val="20"/>
          <w:color w:val="auto"/>
        </w:rPr>
      </w:pPr>
    </w:p>
    <w:p>
      <w:pPr>
        <w:ind w:left="1280" w:right="499" w:firstLine="360"/>
        <w:spacing w:after="0" w:line="244"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with industry-leading EPA-accredited range of more than 500 miles on a single charge (depending on vehicle configuration). This range is enabled by an efficient, powerful powertrain that Lucid developed and builds in-house through vertically integrated manufacturing capacity. Our Space Concept underpins the Lucid Air’s design, merging a spacious interior with a smaller exterior profile that is reminiscent of a high-performance sports car. This achievement is enabled by our miniaturized drive-train components, which also result in increased storage capacity.</w:t>
      </w:r>
    </w:p>
    <w:p>
      <w:pPr>
        <w:spacing w:after="0" w:line="120" w:lineRule="exact"/>
        <w:rPr>
          <w:sz w:val="20"/>
          <w:szCs w:val="20"/>
          <w:color w:val="auto"/>
        </w:rPr>
      </w:pPr>
    </w:p>
    <w:p>
      <w:pPr>
        <w:ind w:left="1280" w:right="419" w:firstLine="360"/>
        <w:spacing w:after="0" w:line="244" w:lineRule="auto"/>
        <w:rPr>
          <w:sz w:val="20"/>
          <w:szCs w:val="20"/>
          <w:color w:val="auto"/>
        </w:rPr>
      </w:pPr>
      <w:r>
        <w:rPr>
          <w:rFonts w:ascii="Arial" w:cs="Arial" w:eastAsia="Arial" w:hAnsi="Arial"/>
          <w:sz w:val="18"/>
          <w:szCs w:val="18"/>
          <w:color w:val="auto"/>
        </w:rPr>
        <w:t>The Lucid Air is manufactured at our greenfield electric vehicle manufacturing facility in Casa Grande, Arizona, Advanced Manufacturing Plant-1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w:t>
      </w:r>
    </w:p>
    <w:p>
      <w:pPr>
        <w:spacing w:after="0" w:line="120"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We began delivering the Lucid Air to customers in October 2021. We expect to launch additional</w:t>
      </w:r>
    </w:p>
    <w:p>
      <w:pPr>
        <w:spacing w:after="0" w:line="23" w:lineRule="exact"/>
        <w:rPr>
          <w:sz w:val="20"/>
          <w:szCs w:val="20"/>
          <w:color w:val="auto"/>
        </w:rPr>
      </w:pPr>
    </w:p>
    <w:p>
      <w:pPr>
        <w:ind w:left="1280" w:right="439"/>
        <w:spacing w:after="0" w:line="241" w:lineRule="auto"/>
        <w:rPr>
          <w:sz w:val="20"/>
          <w:szCs w:val="20"/>
          <w:color w:val="auto"/>
        </w:rPr>
      </w:pPr>
      <w:r>
        <w:rPr>
          <w:rFonts w:ascii="Arial" w:cs="Arial" w:eastAsia="Arial" w:hAnsi="Arial"/>
          <w:sz w:val="18"/>
          <w:szCs w:val="18"/>
          <w:color w:val="auto"/>
        </w:rPr>
        <w:t>vehicles over the coming decade. We have commenced design and engineering work for Project Gravity, a luxury sports utility vehicle that is expected to leverage many of the technological advancements and learnings from the Lucid Air. After the Lucid Air and Project Gravity, we plan to leverage our technological and manufacturing advancements to develop and manufacture progressively more affordable vehicles in higher volumes.</w:t>
      </w:r>
    </w:p>
    <w:p>
      <w:pPr>
        <w:spacing w:after="0" w:line="18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80" w:right="399" w:firstLine="360"/>
        <w:spacing w:after="0" w:line="245" w:lineRule="auto"/>
        <w:rPr>
          <w:sz w:val="20"/>
          <w:szCs w:val="20"/>
          <w:color w:val="auto"/>
        </w:rPr>
      </w:pPr>
      <w:r>
        <w:rPr>
          <w:rFonts w:ascii="Arial" w:cs="Arial" w:eastAsia="Arial" w:hAnsi="Arial"/>
          <w:sz w:val="18"/>
          <w:szCs w:val="18"/>
          <w:color w:val="auto"/>
        </w:rPr>
        <w:t>Lucid Group, Inc. is a Delaware corporation. Our principal executive offices are located at 7373 Gateway Blvd. Newark, CA 94560 and our telephone number at that address is (510) 648-3553. Our website is located at https://www.lucidmotors.com. We do not incorporate the information contained on, or accessible through, our corporate website into this prospectus supplement, and you should not consider it part of this prospectus supplement.</w:t>
      </w:r>
    </w:p>
    <w:p>
      <w:pPr>
        <w:spacing w:after="0" w:line="118" w:lineRule="exact"/>
        <w:rPr>
          <w:sz w:val="20"/>
          <w:szCs w:val="20"/>
          <w:color w:val="auto"/>
        </w:rPr>
      </w:pPr>
    </w:p>
    <w:p>
      <w:pPr>
        <w:ind w:left="1280" w:right="719" w:firstLine="360"/>
        <w:spacing w:after="0" w:line="245" w:lineRule="auto"/>
        <w:rPr>
          <w:sz w:val="20"/>
          <w:szCs w:val="20"/>
          <w:color w:val="auto"/>
        </w:rPr>
      </w:pPr>
      <w:r>
        <w:rPr>
          <w:rFonts w:ascii="Arial" w:cs="Arial" w:eastAsia="Arial" w:hAnsi="Arial"/>
          <w:sz w:val="18"/>
          <w:szCs w:val="18"/>
          <w:color w:val="auto"/>
        </w:rPr>
        <w:t>Lucid Group, Inc. was formerly a special acquisition company known as Churchill Capital Corp IV. (“Churchill”). On July 23, 2021 (the “Closing Date”), Churchill consummated a merger (the “De-SPAC Merger”) pursuant to the Agreement and Plan of Merger, dated as of February 22, 2021 (the “Merger Agreement”), by and among Churchill, Atieva, Inc., d/b/a Lucid Motors, an exempted company incorporated</w:t>
      </w:r>
    </w:p>
    <w:p>
      <w:pPr>
        <w:sectPr>
          <w:pgSz w:w="11900" w:h="16838" w:orient="portrait"/>
          <w:cols w:equalWidth="0" w:num="1">
            <w:col w:w="9879"/>
          </w:cols>
          <w:pgMar w:left="580" w:top="131" w:right="1440" w:bottom="1440" w:gutter="0" w:footer="0" w:header="0"/>
        </w:sectPr>
      </w:pPr>
    </w:p>
    <w:p>
      <w:pPr>
        <w:spacing w:after="0" w:line="388"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281305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659"/>
        <w:spacing w:after="0" w:line="257" w:lineRule="auto"/>
        <w:rPr>
          <w:sz w:val="20"/>
          <w:szCs w:val="20"/>
          <w:color w:val="auto"/>
        </w:rPr>
      </w:pPr>
      <w:r>
        <w:rPr>
          <w:rFonts w:ascii="Arial" w:cs="Arial" w:eastAsia="Arial" w:hAnsi="Arial"/>
          <w:sz w:val="18"/>
          <w:szCs w:val="18"/>
          <w:color w:val="auto"/>
        </w:rPr>
        <w:t>with limited liability under the laws of the Cayman Islands (“Legacy Lucid”) and Air Merger Sub, Inc., a wholly-owned subsidiary of Churchill (“Merger Sub”). Pursuant to the Merger Agreement, Merger Sub merged with and into Legacy Lucid, with Legacy Lucid being the surviving company in the De-SPAC Merger and a wholly-owned subsidiary of Churchill. On the Closing Date, and in connection with the Closing, Churchill changed its name to Lucid Group, Inc.</w:t>
      </w:r>
    </w:p>
    <w:p>
      <w:pPr>
        <w:spacing w:after="0" w:line="120" w:lineRule="exact"/>
        <w:rPr>
          <w:sz w:val="20"/>
          <w:szCs w:val="20"/>
          <w:color w:val="auto"/>
        </w:rPr>
      </w:pPr>
    </w:p>
    <w:p>
      <w:pPr>
        <w:ind w:left="1280" w:right="419" w:firstLine="360"/>
        <w:spacing w:after="0" w:line="272" w:lineRule="auto"/>
        <w:rPr>
          <w:sz w:val="20"/>
          <w:szCs w:val="20"/>
          <w:color w:val="auto"/>
        </w:rPr>
      </w:pPr>
      <w:r>
        <w:rPr>
          <w:rFonts w:ascii="Arial" w:cs="Arial" w:eastAsia="Arial" w:hAnsi="Arial"/>
          <w:sz w:val="17"/>
          <w:szCs w:val="17"/>
          <w:color w:val="auto"/>
        </w:rPr>
        <w:t>The De-SPAC Merger was accounted for as a reverse recapitalization in accordance with GAAP. Under this method of accounting, Churchill was treated as the “acquired” company for financial reporting purposes. Accordingly, for accounting purposes, our financial statements represent a continuation of the financial statements of Legacy Lucid with the De-SPAC Merger treated as the equivalent of Legacy Lucid issuing shares for the net assets of Churchill, accompanied by a recapitalization. The net assets of Churchill are stated at historical cost, with no goodwill or other intangible assets recorded. Operations prior to the De-SPAC Merger are reported as those of Legacy Lucid.</w:t>
      </w:r>
    </w:p>
    <w:p>
      <w:pPr>
        <w:spacing w:after="0" w:line="110" w:lineRule="exact"/>
        <w:rPr>
          <w:sz w:val="20"/>
          <w:szCs w:val="20"/>
          <w:color w:val="auto"/>
        </w:rPr>
      </w:pPr>
    </w:p>
    <w:p>
      <w:pPr>
        <w:ind w:left="1280" w:right="679" w:firstLine="360"/>
        <w:spacing w:after="0" w:line="259" w:lineRule="auto"/>
        <w:rPr>
          <w:sz w:val="20"/>
          <w:szCs w:val="20"/>
          <w:color w:val="auto"/>
        </w:rPr>
      </w:pPr>
      <w:r>
        <w:rPr>
          <w:rFonts w:ascii="Arial" w:cs="Arial" w:eastAsia="Arial" w:hAnsi="Arial"/>
          <w:sz w:val="18"/>
          <w:szCs w:val="18"/>
          <w:color w:val="auto"/>
        </w:rPr>
        <w:t>Unless the context otherwise requires, all references in this prospectus supplement to “Lucid,” the “Company,” “we,” “us,” “our,” and other similar terms refer to Legacy Lucid and its subsidiaries prior to the consummation of the De-SPAC Merger, and Lucid Group, Inc., a Delaware corporation, and its subsidiaries after the consummation of the De-SPAC Merger.</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Controlled Company Exemption</w:t>
      </w:r>
    </w:p>
    <w:p>
      <w:pPr>
        <w:spacing w:after="0" w:line="148" w:lineRule="exact"/>
        <w:rPr>
          <w:sz w:val="20"/>
          <w:szCs w:val="20"/>
          <w:color w:val="auto"/>
        </w:rPr>
      </w:pPr>
    </w:p>
    <w:p>
      <w:pPr>
        <w:ind w:left="1280" w:right="399" w:firstLine="360"/>
        <w:spacing w:after="0" w:line="255" w:lineRule="auto"/>
        <w:rPr>
          <w:sz w:val="20"/>
          <w:szCs w:val="20"/>
          <w:color w:val="auto"/>
        </w:rPr>
      </w:pPr>
      <w:r>
        <w:rPr>
          <w:rFonts w:ascii="Arial" w:cs="Arial" w:eastAsia="Arial" w:hAnsi="Arial"/>
          <w:sz w:val="18"/>
          <w:szCs w:val="18"/>
          <w:color w:val="auto"/>
        </w:rPr>
        <w:t>As of September 30, 2022, our majority stockholder, Ayar, owned approximately 60.4%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 Ayar is an affiliate of PIF.</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THE OFFERING</w:t>
      </w:r>
    </w:p>
    <w:p>
      <w:pPr>
        <w:spacing w:after="0" w:line="162" w:lineRule="exact"/>
        <w:rPr>
          <w:sz w:val="20"/>
          <w:szCs w:val="20"/>
          <w:color w:val="auto"/>
        </w:rPr>
      </w:pPr>
    </w:p>
    <w:p>
      <w:pPr>
        <w:ind w:left="1280" w:right="559" w:firstLine="360"/>
        <w:spacing w:after="0" w:line="263" w:lineRule="auto"/>
        <w:rPr>
          <w:sz w:val="20"/>
          <w:szCs w:val="20"/>
          <w:color w:val="auto"/>
        </w:rPr>
      </w:pPr>
      <w:r>
        <w:rPr>
          <w:rFonts w:ascii="Arial" w:cs="Arial" w:eastAsia="Arial" w:hAnsi="Arial"/>
          <w:sz w:val="18"/>
          <w:szCs w:val="18"/>
          <w:i w:val="1"/>
          <w:iCs w:val="1"/>
          <w:color w:val="auto"/>
        </w:rPr>
        <w:t>The following is a brief summary of certain terms of this offering. For a more complete description of the terms of the common stock offered hereby, see the “Description of Capital Stock” section of the accompanying prospectus.</w:t>
      </w:r>
    </w:p>
    <w:p>
      <w:pPr>
        <w:spacing w:after="0" w:line="116" w:lineRule="exact"/>
        <w:rPr>
          <w:sz w:val="20"/>
          <w:szCs w:val="20"/>
          <w:color w:val="auto"/>
        </w:rPr>
      </w:pPr>
    </w:p>
    <w:p>
      <w:pPr>
        <w:ind w:left="1280" w:right="459" w:firstLine="360"/>
        <w:spacing w:after="0" w:line="257" w:lineRule="auto"/>
        <w:rPr>
          <w:sz w:val="20"/>
          <w:szCs w:val="20"/>
          <w:color w:val="auto"/>
        </w:rPr>
      </w:pPr>
      <w:r>
        <w:rPr>
          <w:rFonts w:ascii="Arial" w:cs="Arial" w:eastAsia="Arial" w:hAnsi="Arial"/>
          <w:sz w:val="18"/>
          <w:szCs w:val="18"/>
          <w:i w:val="1"/>
          <w:iCs w:val="1"/>
          <w:color w:val="auto"/>
        </w:rPr>
        <w:t xml:space="preserve">Any investment in our common stock involves a high degree of risk. You should carefully consider the information set forth under “Risk Factors” beginning on page </w:t>
      </w:r>
      <w:r>
        <w:rPr>
          <w:rFonts w:ascii="Arial" w:cs="Arial" w:eastAsia="Arial" w:hAnsi="Arial"/>
          <w:sz w:val="18"/>
          <w:szCs w:val="18"/>
          <w:i w:val="1"/>
          <w:iCs w:val="1"/>
          <w:u w:val="single" w:color="auto"/>
          <w:color w:val="0000EE"/>
        </w:rPr>
        <w:t>S-9</w:t>
      </w:r>
      <w:r>
        <w:rPr>
          <w:rFonts w:ascii="Arial" w:cs="Arial" w:eastAsia="Arial" w:hAnsi="Arial"/>
          <w:sz w:val="18"/>
          <w:szCs w:val="18"/>
          <w:i w:val="1"/>
          <w:iCs w:val="1"/>
          <w:color w:val="auto"/>
        </w:rPr>
        <w:t xml:space="preserve"> of this prospectus supplement and “Risk Factors” in our most recent Annual Report on Form 10-K, as updated by our subsequent Quarterly Reports on Form 10-Q, and the other information included or incorporated by reference in this prospectus supplement and the accompanying prospectus.</w:t>
      </w:r>
    </w:p>
    <w:p>
      <w:pPr>
        <w:spacing w:after="0" w:line="76"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Lucid Group, Inc., a Delaware corporation.</w:t>
      </w:r>
    </w:p>
    <w:p>
      <w:pPr>
        <w:spacing w:after="0" w:line="117"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b w:val="1"/>
          <w:bCs w:val="1"/>
          <w:color w:val="auto"/>
        </w:rPr>
        <w:t>Common stock offered by us</w:t>
      </w:r>
      <w:r>
        <w:rPr>
          <w:sz w:val="20"/>
          <w:szCs w:val="20"/>
          <w:color w:val="auto"/>
        </w:rPr>
        <w:tab/>
      </w:r>
      <w:r>
        <w:rPr>
          <w:rFonts w:ascii="Arial" w:cs="Arial" w:eastAsia="Arial" w:hAnsi="Arial"/>
          <w:sz w:val="16"/>
          <w:szCs w:val="16"/>
          <w:color w:val="auto"/>
        </w:rPr>
        <w:t>Shares of our common stock having an aggregate offering</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price of up to $600 million.</w:t>
      </w:r>
    </w:p>
    <w:p>
      <w:pPr>
        <w:spacing w:after="0" w:line="99" w:lineRule="exact"/>
        <w:rPr>
          <w:sz w:val="20"/>
          <w:szCs w:val="20"/>
          <w:color w:val="auto"/>
        </w:rPr>
      </w:pPr>
    </w:p>
    <w:p>
      <w:pPr>
        <w:ind w:left="1280"/>
        <w:spacing w:after="0"/>
        <w:tabs>
          <w:tab w:leader="none" w:pos="4720" w:val="left"/>
        </w:tabs>
        <w:rPr>
          <w:sz w:val="20"/>
          <w:szCs w:val="20"/>
          <w:color w:val="auto"/>
        </w:rPr>
      </w:pPr>
      <w:r>
        <w:rPr>
          <w:rFonts w:ascii="Arial" w:cs="Arial" w:eastAsia="Arial" w:hAnsi="Arial"/>
          <w:sz w:val="18"/>
          <w:szCs w:val="18"/>
          <w:b w:val="1"/>
          <w:bCs w:val="1"/>
          <w:color w:val="auto"/>
        </w:rPr>
        <w:t>Ayar Investment</w:t>
      </w:r>
      <w:r>
        <w:rPr>
          <w:sz w:val="20"/>
          <w:szCs w:val="20"/>
          <w:color w:val="auto"/>
        </w:rPr>
        <w:tab/>
      </w:r>
      <w:r>
        <w:rPr>
          <w:rFonts w:ascii="Arial" w:cs="Arial" w:eastAsia="Arial" w:hAnsi="Arial"/>
          <w:sz w:val="17"/>
          <w:szCs w:val="17"/>
          <w:color w:val="auto"/>
        </w:rPr>
        <w:t>On November 8, 2022, we entered into the Subscription</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Agreement with our majority stockholder and affiliate of PIF,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Ayar, pursuant to which Ayar has agreed to purchase from us,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subject to certain conditions, up to $915 million of shares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our common stock in one or more private placements through</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at least March 31, 2023. We refer to these private placements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collectively as the “Ayar Investment.” The number of shares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that Ayar will purchase from us in the Ayar Investment will be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equal to the number of shares of our common stock that we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actually sell in this offering, multiplied by a ratio,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numerator of which is approximately 60.4%, which is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number of shares of our common stock owned by Ayar as</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 percentage of the total number of shares of our common</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stock outstanding as of September 30, 2022, and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denominator of which is approximately 39.6%, rounded down</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to the nearest whole share. Following the sales in this offering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and the sales pursuant to the Subscription Agreement, Ayar is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expected to continue to own approximately 60.4% of our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outstanding stock. We will settle the Ayar Investment on the</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last trading day of each calendar quarter based on the number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of shares that we actually sold pursuant to this offering during</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such calendar quarter, at a price per share equal to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weighted average price to the public of the shares that we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actually sold in this offering during such calendar quarter.</w:t>
      </w:r>
    </w:p>
    <w:p>
      <w:pPr>
        <w:spacing w:after="0" w:line="130"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In addition, Ayar has the right, but not the obligation, to enter</w:t>
      </w:r>
    </w:p>
    <w:p>
      <w:pPr>
        <w:spacing w:after="0" w:line="35"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into a new subscription agreement substantially consistent</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with the Subscription Agreement in respect of any increase to</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the aggregate offering price for this offering and/or any new</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at-the-market offering of our common stock during the term of</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Subscription Agreement.</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Ayar Investment is not a part of this offering, and is in</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addition to the $600 million of shares that we may sell under</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Equity Distribution Agreement. We will not pay the</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Managers any commissions on the Ayar Investment.</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The shares of our common stock purchased by Ayar in the</w:t>
      </w:r>
    </w:p>
    <w:p>
      <w:pPr>
        <w:spacing w:after="0" w:line="23" w:lineRule="exact"/>
        <w:rPr>
          <w:sz w:val="20"/>
          <w:szCs w:val="20"/>
          <w:color w:val="auto"/>
        </w:rPr>
      </w:pPr>
    </w:p>
    <w:p>
      <w:pPr>
        <w:ind w:left="4740"/>
        <w:spacing w:after="0"/>
        <w:rPr>
          <w:sz w:val="20"/>
          <w:szCs w:val="20"/>
          <w:color w:val="auto"/>
        </w:rPr>
      </w:pPr>
      <w:r>
        <w:rPr>
          <w:rFonts w:ascii="Arial" w:cs="Arial" w:eastAsia="Arial" w:hAnsi="Arial"/>
          <w:sz w:val="17"/>
          <w:szCs w:val="17"/>
          <w:color w:val="auto"/>
        </w:rPr>
        <w:t>Ayar Investment will be subject to our existing investor rights</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agreement, as amended in connection with the Ayar</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Investment. See “Ayar Investment.”</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281305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053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516245" cy="805370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460" w:hanging="179"/>
        <w:spacing w:after="0" w:line="266" w:lineRule="auto"/>
        <w:rPr>
          <w:sz w:val="20"/>
          <w:szCs w:val="20"/>
          <w:color w:val="auto"/>
        </w:rPr>
      </w:pPr>
      <w:r>
        <w:rPr>
          <w:rFonts w:ascii="Arial" w:cs="Arial" w:eastAsia="Arial" w:hAnsi="Arial"/>
          <w:sz w:val="18"/>
          <w:szCs w:val="18"/>
          <w:b w:val="1"/>
          <w:bCs w:val="1"/>
          <w:color w:val="auto"/>
        </w:rPr>
        <w:t>Common stock to be outstanding after this offering and the Ayar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Manner of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460" w:right="180" w:hanging="179"/>
        <w:spacing w:after="0" w:line="375" w:lineRule="auto"/>
        <w:rPr>
          <w:sz w:val="20"/>
          <w:szCs w:val="20"/>
          <w:color w:val="auto"/>
        </w:rPr>
      </w:pPr>
      <w:r>
        <w:rPr>
          <w:rFonts w:ascii="Arial" w:cs="Arial" w:eastAsia="Arial" w:hAnsi="Arial"/>
          <w:sz w:val="15"/>
          <w:szCs w:val="15"/>
          <w:b w:val="1"/>
          <w:bCs w:val="1"/>
          <w:color w:val="auto"/>
        </w:rPr>
        <w:t>Nasdaq Global Select Market ticker symbol for common stock</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left="540"/>
        <w:spacing w:after="0"/>
        <w:rPr>
          <w:sz w:val="20"/>
          <w:szCs w:val="20"/>
          <w:color w:val="auto"/>
        </w:rPr>
      </w:pPr>
      <w:r>
        <w:rPr>
          <w:rFonts w:ascii="Arial" w:cs="Arial" w:eastAsia="Arial" w:hAnsi="Arial"/>
          <w:sz w:val="15"/>
          <w:szCs w:val="15"/>
          <w:b w:val="1"/>
          <w:bCs w:val="1"/>
          <w:color w:val="auto"/>
        </w:rPr>
        <w:t>Transfer agent and registrar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39"/>
        <w:spacing w:after="0" w:line="270" w:lineRule="auto"/>
        <w:rPr>
          <w:sz w:val="20"/>
          <w:szCs w:val="20"/>
          <w:color w:val="auto"/>
        </w:rPr>
      </w:pPr>
      <w:r>
        <w:rPr>
          <w:rFonts w:ascii="Arial" w:cs="Arial" w:eastAsia="Arial" w:hAnsi="Arial"/>
          <w:sz w:val="17"/>
          <w:szCs w:val="17"/>
          <w:color w:val="auto"/>
        </w:rPr>
        <w:t>Up to 1,789,124,233 shares (as more fully described in the notes below), assuming sales of 42,911,913 shares of our common stock in this offering and an additional 66,064,982 shares of our common stock in the Ayar Investment at an offering price of $13.85 per share, which was the last reported sale price of our common stock on Nasdaq on November 7, 2022. The actual number of shares issued will depend upon the extent to which we determine to issue shares in this offering and the sales prices at which we sell stock.</w:t>
      </w:r>
    </w:p>
    <w:p>
      <w:pPr>
        <w:spacing w:after="0" w:line="73" w:lineRule="exact"/>
        <w:rPr>
          <w:sz w:val="20"/>
          <w:szCs w:val="20"/>
          <w:color w:val="auto"/>
        </w:rPr>
      </w:pPr>
    </w:p>
    <w:p>
      <w:pPr>
        <w:ind w:right="399"/>
        <w:spacing w:after="0" w:line="253" w:lineRule="auto"/>
        <w:rPr>
          <w:sz w:val="20"/>
          <w:szCs w:val="20"/>
          <w:color w:val="auto"/>
        </w:rPr>
      </w:pPr>
      <w:r>
        <w:rPr>
          <w:rFonts w:ascii="Arial" w:cs="Arial" w:eastAsia="Arial" w:hAnsi="Arial"/>
          <w:sz w:val="18"/>
          <w:szCs w:val="18"/>
          <w:color w:val="auto"/>
        </w:rPr>
        <w:t>Sales may be made from time to time through our Managers. Sales, if any, of common stock under the Equity Distribution Agreement may be made in ordinary brokers’ transactions, to or through a market maker, on or through Nasdaq or any other market venue where the securities may be traded, in the over-the-counter market, in privately negotiated transactions, in block trades, in transactions that are deemed to be “at the market offerings” as defined in Rule 415 under the Securities Act or through a combination of any such methods of sale. See “Plan of Distribution.”</w:t>
      </w:r>
    </w:p>
    <w:p>
      <w:pPr>
        <w:spacing w:after="0" w:line="86" w:lineRule="exact"/>
        <w:rPr>
          <w:sz w:val="20"/>
          <w:szCs w:val="20"/>
          <w:color w:val="auto"/>
        </w:rPr>
      </w:pPr>
    </w:p>
    <w:p>
      <w:pPr>
        <w:ind w:right="599"/>
        <w:spacing w:after="0" w:line="257" w:lineRule="auto"/>
        <w:rPr>
          <w:sz w:val="20"/>
          <w:szCs w:val="20"/>
          <w:color w:val="auto"/>
        </w:rPr>
      </w:pPr>
      <w:r>
        <w:rPr>
          <w:rFonts w:ascii="Arial" w:cs="Arial" w:eastAsia="Arial" w:hAnsi="Arial"/>
          <w:sz w:val="18"/>
          <w:szCs w:val="18"/>
          <w:color w:val="auto"/>
        </w:rPr>
        <w:t xml:space="preserve">We intend to use the net proceeds from the sale of our common stock in this offering and the Ayar Investment for general corporate purposes, which may include capital expenditures and working capital. See “Use of Proceeds” on page </w:t>
      </w:r>
      <w:r>
        <w:rPr>
          <w:rFonts w:ascii="Arial" w:cs="Arial" w:eastAsia="Arial" w:hAnsi="Arial"/>
          <w:sz w:val="18"/>
          <w:szCs w:val="18"/>
          <w:u w:val="single" w:color="auto"/>
          <w:color w:val="0000EE"/>
        </w:rPr>
        <w:t>S-13</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“LCID.”</w:t>
      </w:r>
    </w:p>
    <w:p>
      <w:pPr>
        <w:spacing w:after="0" w:line="117" w:lineRule="exact"/>
        <w:rPr>
          <w:sz w:val="20"/>
          <w:szCs w:val="20"/>
          <w:color w:val="auto"/>
        </w:rPr>
      </w:pPr>
    </w:p>
    <w:p>
      <w:pPr>
        <w:ind w:right="419"/>
        <w:spacing w:after="0" w:line="254" w:lineRule="auto"/>
        <w:rPr>
          <w:sz w:val="20"/>
          <w:szCs w:val="20"/>
          <w:color w:val="auto"/>
        </w:rPr>
      </w:pPr>
      <w:r>
        <w:rPr>
          <w:rFonts w:ascii="Arial" w:cs="Arial" w:eastAsia="Arial" w:hAnsi="Arial"/>
          <w:sz w:val="18"/>
          <w:szCs w:val="18"/>
          <w:color w:val="auto"/>
        </w:rPr>
        <w:t>Investing in our common stock involves risk. See “Risk Factors” in this prospectus supplement and “Risk Factors” in our Quarterly Report on Form 10-Q for the three months ended September 30, 2022, and the other information included or incorporated by reference into this prospectus supplement and the accompanying prospectus for a discussion of factors you should carefully consider before deciding to invest in our common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Equiniti Trust Company.</w:t>
      </w:r>
    </w:p>
    <w:p>
      <w:pPr>
        <w:spacing w:after="0" w:line="158" w:lineRule="exact"/>
        <w:rPr>
          <w:sz w:val="20"/>
          <w:szCs w:val="20"/>
          <w:color w:val="auto"/>
        </w:rPr>
      </w:pPr>
    </w:p>
    <w:p>
      <w:pPr>
        <w:sectPr>
          <w:pgSz w:w="11900" w:h="16838" w:orient="portrait"/>
          <w:cols w:equalWidth="0" w:num="2">
            <w:col w:w="4100" w:space="640"/>
            <w:col w:w="5139"/>
          </w:cols>
          <w:pgMar w:left="580" w:top="131" w:right="1440" w:bottom="1440" w:gutter="0" w:footer="0" w:header="0"/>
          <w:type w:val="continuous"/>
        </w:sectPr>
      </w:pPr>
    </w:p>
    <w:p>
      <w:pPr>
        <w:ind w:left="1280" w:right="499" w:firstLine="360"/>
        <w:spacing w:after="0" w:line="259" w:lineRule="auto"/>
        <w:rPr>
          <w:sz w:val="20"/>
          <w:szCs w:val="20"/>
          <w:color w:val="auto"/>
        </w:rPr>
      </w:pPr>
      <w:r>
        <w:rPr>
          <w:rFonts w:ascii="Arial" w:cs="Arial" w:eastAsia="Arial" w:hAnsi="Arial"/>
          <w:sz w:val="18"/>
          <w:szCs w:val="18"/>
          <w:color w:val="auto"/>
        </w:rPr>
        <w:t>Unless we specifically state otherwise or the context otherwise requires, the information above is as of September 30, 2022, does not give effect to any awards of stock options or restricted stock units (“RSUs”) after September 30, 2022 or the exercise of warrants or stock options or the settlement of RSUs after September 30, 2022, and excludes:</w:t>
      </w:r>
    </w:p>
    <w:p>
      <w:pPr>
        <w:spacing w:after="0" w:line="79" w:lineRule="exact"/>
        <w:rPr>
          <w:sz w:val="20"/>
          <w:szCs w:val="20"/>
          <w:color w:val="auto"/>
        </w:rPr>
      </w:pPr>
    </w:p>
    <w:p>
      <w:pPr>
        <w:ind w:left="1820" w:right="77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44,350,000 shares of our common stock issuable upon the exercise of warrants outstanding as of September 30, 2022, each with an exercise price of $11.50 per share;</w:t>
      </w:r>
    </w:p>
    <w:p>
      <w:pPr>
        <w:spacing w:after="0" w:line="62" w:lineRule="exact"/>
        <w:rPr>
          <w:rFonts w:ascii="Arial" w:cs="Arial" w:eastAsia="Arial" w:hAnsi="Arial"/>
          <w:sz w:val="18"/>
          <w:szCs w:val="18"/>
          <w:color w:val="auto"/>
        </w:rPr>
      </w:pPr>
    </w:p>
    <w:p>
      <w:pPr>
        <w:ind w:left="1820" w:right="419" w:hanging="182"/>
        <w:spacing w:after="0" w:line="308" w:lineRule="auto"/>
        <w:tabs>
          <w:tab w:leader="none" w:pos="1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43,132,157 shares of our common stock issuable upon the exercise of stock options outstanding as of September 30, 2022 with a weighted average exercise price of $1.17 per share;</w:t>
      </w:r>
    </w:p>
    <w:p>
      <w:pPr>
        <w:spacing w:after="0" w:line="38" w:lineRule="exact"/>
        <w:rPr>
          <w:rFonts w:ascii="Arial" w:cs="Arial" w:eastAsia="Arial" w:hAnsi="Arial"/>
          <w:sz w:val="17"/>
          <w:szCs w:val="17"/>
          <w:color w:val="auto"/>
        </w:rPr>
      </w:pPr>
    </w:p>
    <w:p>
      <w:pPr>
        <w:ind w:left="1820" w:hanging="182"/>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39,391,043 shares subject to RSUs outstanding as of September 30, 2022;</w:t>
      </w:r>
    </w:p>
    <w:p>
      <w:pPr>
        <w:spacing w:after="0" w:line="117" w:lineRule="exact"/>
        <w:rPr>
          <w:rFonts w:ascii="Arial" w:cs="Arial" w:eastAsia="Arial" w:hAnsi="Arial"/>
          <w:sz w:val="18"/>
          <w:szCs w:val="18"/>
          <w:color w:val="auto"/>
        </w:rPr>
      </w:pPr>
    </w:p>
    <w:p>
      <w:pPr>
        <w:ind w:left="1820" w:right="479" w:hanging="182"/>
        <w:spacing w:after="0" w:line="342" w:lineRule="auto"/>
        <w:tabs>
          <w:tab w:leader="none" w:pos="1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31,283,219 shares of our common stock reserved for future issuance under our 2021 Stock Incentive Plan including under the ESPP Addendum (the “Incentive Plan”) as of September 30, 2022; and</w:t>
      </w:r>
    </w:p>
    <w:p>
      <w:pPr>
        <w:spacing w:after="0" w:line="15" w:lineRule="exact"/>
        <w:rPr>
          <w:rFonts w:ascii="Arial" w:cs="Arial" w:eastAsia="Arial" w:hAnsi="Arial"/>
          <w:sz w:val="16"/>
          <w:szCs w:val="16"/>
          <w:color w:val="auto"/>
        </w:rPr>
      </w:pPr>
    </w:p>
    <w:p>
      <w:pPr>
        <w:ind w:left="1820" w:right="419" w:hanging="182"/>
        <w:spacing w:after="0" w:line="277"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36,737,785 shares of our common stock issuable upon the conversion of our 1.25% Convertible Senior Notes due 2026 (the “2026 Convertible Notes”).</w:t>
      </w:r>
    </w:p>
    <w:p>
      <w:pPr>
        <w:sectPr>
          <w:pgSz w:w="11900" w:h="16838" w:orient="portrait"/>
          <w:cols w:equalWidth="0" w:num="1">
            <w:col w:w="9879"/>
          </w:cols>
          <w:pgMar w:left="580" w:top="131" w:right="1440" w:bottom="1440" w:gutter="0" w:footer="0" w:header="0"/>
          <w:type w:val="continuous"/>
        </w:sectPr>
      </w:pPr>
    </w:p>
    <w:p>
      <w:pPr>
        <w:spacing w:after="0" w:line="359"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281305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79" w:firstLine="360"/>
        <w:spacing w:after="0" w:line="276" w:lineRule="auto"/>
        <w:rPr>
          <w:sz w:val="20"/>
          <w:szCs w:val="20"/>
          <w:color w:val="auto"/>
        </w:rPr>
      </w:pPr>
      <w:r>
        <w:rPr>
          <w:rFonts w:ascii="Arial" w:cs="Arial" w:eastAsia="Arial" w:hAnsi="Arial"/>
          <w:sz w:val="16"/>
          <w:szCs w:val="16"/>
          <w:i w:val="1"/>
          <w:iCs w:val="1"/>
          <w:color w:val="auto"/>
        </w:rPr>
        <w:t>An investment in our common stock involves a high degree of risk. Before making an investment decision, you should carefully consider the following risk factors, in addition to the risks and uncertainties discussed above under “Special Note Regarding Forward-Looking Statements,” together with the risk factors described in our most recent Annual Report on Form 10- K, Quarterly Report on Form 10-Q, or Current Report on Form 8-K that we have filed with the SEC, as well as the other information contained or incorporated by reference into this prospectus supplement or the accompanying prospectus. The occurrence of one or more of the events or circumstances described in these risk factors, alone or in combination with other events or circumstances, may have an adverse effect on our business, cash flows, financial condition and results of operations. We may face additional risks and uncertainties that are not presently known to us or that we currently deem immaterial, which may also impair our business or financial condition.</w:t>
      </w:r>
    </w:p>
    <w:p>
      <w:pPr>
        <w:spacing w:after="0" w:line="16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29" w:lineRule="exact"/>
        <w:rPr>
          <w:sz w:val="20"/>
          <w:szCs w:val="20"/>
          <w:color w:val="auto"/>
        </w:rPr>
      </w:pPr>
    </w:p>
    <w:p>
      <w:pPr>
        <w:ind w:left="1260" w:right="599"/>
        <w:spacing w:after="0" w:line="381" w:lineRule="auto"/>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may invest or spend the proceeds in ways with which you do not agree and in ways that may not yield a return on your investment.</w:t>
      </w:r>
    </w:p>
    <w:p>
      <w:pPr>
        <w:spacing w:after="0" w:line="19"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You will not have the opportunity, as part of your investment decision, to assess whether the proceeds are being used effectively.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 term U.S. Treasury securities with insignificant rates of return. These investments may not yield a favorable return to our stockholders.</w:t>
      </w:r>
    </w:p>
    <w:p>
      <w:pPr>
        <w:spacing w:after="0" w:line="175" w:lineRule="exact"/>
        <w:rPr>
          <w:sz w:val="20"/>
          <w:szCs w:val="20"/>
          <w:color w:val="auto"/>
        </w:rPr>
      </w:pPr>
    </w:p>
    <w:p>
      <w:pPr>
        <w:ind w:left="1260" w:right="759"/>
        <w:spacing w:after="0" w:line="277" w:lineRule="auto"/>
        <w:rPr>
          <w:sz w:val="20"/>
          <w:szCs w:val="20"/>
          <w:color w:val="auto"/>
        </w:rPr>
      </w:pPr>
      <w:r>
        <w:rPr>
          <w:rFonts w:ascii="Arial" w:cs="Arial" w:eastAsia="Arial" w:hAnsi="Arial"/>
          <w:sz w:val="18"/>
          <w:szCs w:val="18"/>
          <w:b w:val="1"/>
          <w:bCs w:val="1"/>
          <w:i w:val="1"/>
          <w:iCs w:val="1"/>
          <w:color w:val="auto"/>
        </w:rPr>
        <w:t>If you purchase our common stock in this offering, you may incur immediate and substantial dilution in the net tangible book value of your shares.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offering price per share in this offering may exceed the net tangible book value per share of our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common stock outstanding at the time of sale. As of September 30, 2022, assuming that an aggregate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108,976,895 shares of our common stock are sold in this offering and the Ayar Investment at a price of</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$13.85 per share, the last reported sale price of our common stock on Nasdaq on November 7, 2022, for an</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aggregate offering price of approximately $594.3 million and $915.0 million, respectively, after deducting</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commissions and estimated offering expenses payable by us, investors in this offering would experience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immediate dilution of $11.21 per share, representing the difference between our as adjusted net tangible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book value per share of $2.64, after giving effect to this offering and the Ayar Investment, and the assumed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offering price. The actual amount of dilution to investors in this offering will depend on the sales price at</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which we sell stock and our net tangible book value per share at the time of any sale. For a further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description of the dilution that you will experience immediately after this offering and the Ayar Investment,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see the section titled “Dilution.”</w:t>
      </w:r>
    </w:p>
    <w:p>
      <w:pPr>
        <w:spacing w:after="0" w:line="196"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19"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RSUs, or the conversion of our 2026 Convertible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19"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272415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Pursuant to the Investor Rights Agreement, dated as of February 22, 2021, by and among the Company, Churchill Sponsor IV LLC, a Delaware limited liability company (the “Sponsor”), Ayar and certain other parties thereto (the “Investor Rights Agreement”), the Sponsor has agreed to restrictions on the sale or transfer of shares of common stock and warrants held by the Sponsor until January 23, 2023. However, following the expiration of this lock-up period, the Sponsor will not be restricted from selling our securities held by it, other than by applicable securities laws and except pursuant to the terms of the Ayar Investment described under “Ayar Investment” herein.</w:t>
      </w:r>
    </w:p>
    <w:p>
      <w:pPr>
        <w:spacing w:after="0" w:line="120"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94" w:lineRule="exact"/>
        <w:rPr>
          <w:sz w:val="20"/>
          <w:szCs w:val="20"/>
          <w:color w:val="auto"/>
        </w:rPr>
      </w:pPr>
    </w:p>
    <w:p>
      <w:pPr>
        <w:ind w:left="1260" w:right="519"/>
        <w:spacing w:after="0" w:line="261" w:lineRule="auto"/>
        <w:rPr>
          <w:sz w:val="20"/>
          <w:szCs w:val="20"/>
          <w:color w:val="auto"/>
        </w:rPr>
      </w:pPr>
      <w:r>
        <w:rPr>
          <w:rFonts w:ascii="Arial" w:cs="Arial" w:eastAsia="Arial" w:hAnsi="Arial"/>
          <w:sz w:val="18"/>
          <w:szCs w:val="18"/>
          <w:b w:val="1"/>
          <w:bCs w:val="1"/>
          <w:i w:val="1"/>
          <w:iCs w:val="1"/>
          <w:color w:val="auto"/>
        </w:rPr>
        <w:t>The actual number of shares we will issue under the Equity Distribution Agreement and in the Ayar Investment, at any one time or in total, is uncertain.</w:t>
      </w:r>
    </w:p>
    <w:p>
      <w:pPr>
        <w:spacing w:after="0" w:line="103" w:lineRule="exact"/>
        <w:rPr>
          <w:sz w:val="20"/>
          <w:szCs w:val="20"/>
          <w:color w:val="auto"/>
        </w:rPr>
      </w:pPr>
    </w:p>
    <w:p>
      <w:pPr>
        <w:ind w:left="1260" w:right="419" w:firstLine="360"/>
        <w:spacing w:after="0" w:line="260" w:lineRule="auto"/>
        <w:rPr>
          <w:sz w:val="20"/>
          <w:szCs w:val="20"/>
          <w:color w:val="auto"/>
        </w:rPr>
      </w:pPr>
      <w:r>
        <w:rPr>
          <w:rFonts w:ascii="Arial" w:cs="Arial" w:eastAsia="Arial" w:hAnsi="Arial"/>
          <w:sz w:val="17"/>
          <w:szCs w:val="17"/>
          <w:color w:val="auto"/>
        </w:rPr>
        <w:t>Subject to certain limitations in the Equity Distribution Agreement and compliance with applicable law, we have the discretion to deliver a sales notice to the Managers at any time throughout the term of the Equity Distribution Agreement. The number of shares that are sold by the Managers after delivering a sales notice will fluctuate based on the market price of the shares of common stock during the sales period and limits we set with the Managers. Because the price per share of each share sold will fluctuate based on the market price of our common stock during the sales period, it is not possible at this stage to predict the number of shares that will be ultimately issued in this offering. The number of shares that will be ultimately issued in the Ayar Investment will depend on the number of shares ultimately issued in this offering and any other registered offering of our common stock during the term of the Subscription Agreement.</w:t>
      </w:r>
    </w:p>
    <w:p>
      <w:pPr>
        <w:spacing w:after="0" w:line="173" w:lineRule="exact"/>
        <w:rPr>
          <w:sz w:val="20"/>
          <w:szCs w:val="20"/>
          <w:color w:val="auto"/>
        </w:rPr>
      </w:pPr>
    </w:p>
    <w:p>
      <w:pPr>
        <w:ind w:left="1260" w:right="1019"/>
        <w:spacing w:after="0" w:line="261" w:lineRule="auto"/>
        <w:rPr>
          <w:sz w:val="20"/>
          <w:szCs w:val="20"/>
          <w:color w:val="auto"/>
        </w:rPr>
      </w:pPr>
      <w:r>
        <w:rPr>
          <w:rFonts w:ascii="Arial" w:cs="Arial" w:eastAsia="Arial" w:hAnsi="Arial"/>
          <w:sz w:val="18"/>
          <w:szCs w:val="18"/>
          <w:b w:val="1"/>
          <w:bCs w:val="1"/>
          <w:i w:val="1"/>
          <w:iCs w:val="1"/>
          <w:color w:val="auto"/>
        </w:rPr>
        <w:t>The common stock offered hereby will be sold in “at-the-market” offerings, and investors who buy shares at different times will likely pay different prices.</w:t>
      </w:r>
    </w:p>
    <w:p>
      <w:pPr>
        <w:spacing w:after="0" w:line="103" w:lineRule="exact"/>
        <w:rPr>
          <w:sz w:val="20"/>
          <w:szCs w:val="20"/>
          <w:color w:val="auto"/>
        </w:rPr>
      </w:pPr>
    </w:p>
    <w:p>
      <w:pPr>
        <w:ind w:left="1260" w:right="439" w:firstLine="360"/>
        <w:spacing w:after="0" w:line="245" w:lineRule="auto"/>
        <w:rPr>
          <w:sz w:val="20"/>
          <w:szCs w:val="20"/>
          <w:color w:val="auto"/>
        </w:rPr>
      </w:pPr>
      <w:r>
        <w:rPr>
          <w:rFonts w:ascii="Arial" w:cs="Arial" w:eastAsia="Arial" w:hAnsi="Arial"/>
          <w:sz w:val="18"/>
          <w:szCs w:val="18"/>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99" w:lineRule="exact"/>
        <w:rPr>
          <w:sz w:val="20"/>
          <w:szCs w:val="20"/>
          <w:color w:val="auto"/>
        </w:rPr>
      </w:pPr>
    </w:p>
    <w:p>
      <w:pPr>
        <w:jc w:val="both"/>
        <w:ind w:left="1260" w:right="499"/>
        <w:spacing w:after="0" w:line="248"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201" w:lineRule="exact"/>
        <w:rPr>
          <w:sz w:val="20"/>
          <w:szCs w:val="20"/>
          <w:color w:val="auto"/>
        </w:rPr>
      </w:pPr>
    </w:p>
    <w:p>
      <w:pPr>
        <w:ind w:left="1260" w:right="459"/>
        <w:spacing w:after="0" w:line="261" w:lineRule="auto"/>
        <w:rPr>
          <w:sz w:val="20"/>
          <w:szCs w:val="20"/>
          <w:color w:val="auto"/>
        </w:rPr>
      </w:pPr>
      <w:r>
        <w:rPr>
          <w:rFonts w:ascii="Arial" w:cs="Arial" w:eastAsia="Arial" w:hAnsi="Arial"/>
          <w:sz w:val="18"/>
          <w:szCs w:val="18"/>
          <w:b w:val="1"/>
          <w:bCs w:val="1"/>
          <w:i w:val="1"/>
          <w:iCs w:val="1"/>
          <w:color w:val="auto"/>
        </w:rPr>
        <w:t>The price of our common stock is volatile, and this volatility may negatively impact the market price of our common stock.</w:t>
      </w:r>
    </w:p>
    <w:p>
      <w:pPr>
        <w:spacing w:after="0" w:line="103"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7"/>
          <w:szCs w:val="17"/>
          <w:color w:val="auto"/>
        </w:rPr>
        <w:t>The trading price of our common stock has fluctuated substantially. The trading price of our common stock depends on many factors, including those described elsewhere in this “Risk Factors” section, many of which are beyond our control and may not be related to our operating performance. These fluctuations could cause investors to lose all or part of the investment in our common stock since investors might be unable to sell them at or above the price the investor paid for them. Any of the factors listed below could have a material adverse effect on your investment in our common stock and our common stock may trade at prices significantly below the price you paid for it. In such circumstances, the trading price of our common stock may not recover and may experience a further decline.</w:t>
      </w:r>
    </w:p>
    <w:p>
      <w:pPr>
        <w:spacing w:after="0" w:line="3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common stock may include:</w:t>
      </w:r>
    </w:p>
    <w:p>
      <w:pPr>
        <w:spacing w:after="0" w:line="117"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30"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8"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75"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1800" w:right="719" w:hanging="180"/>
        <w:spacing w:after="0" w:line="286" w:lineRule="auto"/>
        <w:tabs>
          <w:tab w:leader="none" w:pos="18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70" w:lineRule="exact"/>
        <w:rPr>
          <w:rFonts w:ascii="Arial" w:cs="Arial" w:eastAsia="Arial" w:hAnsi="Arial"/>
          <w:sz w:val="17"/>
          <w:szCs w:val="17"/>
          <w:color w:val="auto"/>
        </w:rPr>
      </w:pPr>
    </w:p>
    <w:p>
      <w:pPr>
        <w:ind w:left="1800" w:right="439" w:hanging="180"/>
        <w:spacing w:after="0" w:line="263"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pandemics (such as COVID-19), inflation, changes in diplomatic and trade relationships, fluctuations in foreign currency exchange rates, acts of war or terrorism, and natural disasters;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144"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Convertible Notes may impact the market price of our common stock, in particular during any redemption conversion period in connection with a redemption of the 2026 Convertible Notes or any observation period for a conversion of the 2026 Convertible Notes.</w:t>
      </w:r>
    </w:p>
    <w:p>
      <w:pPr>
        <w:spacing w:after="0" w:line="114"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ind w:left="1260" w:right="599"/>
        <w:spacing w:after="0" w:line="311"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81"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As of September 30, 2022, Ayar held approximately 60.4%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03"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699" w:firstLine="360"/>
        <w:spacing w:after="0" w:line="255" w:lineRule="auto"/>
        <w:rPr>
          <w:sz w:val="20"/>
          <w:szCs w:val="20"/>
          <w:color w:val="auto"/>
        </w:rPr>
      </w:pPr>
      <w:r>
        <w:rPr>
          <w:rFonts w:ascii="Arial" w:cs="Arial" w:eastAsia="Arial" w:hAnsi="Arial"/>
          <w:sz w:val="18"/>
          <w:szCs w:val="18"/>
          <w:color w:val="auto"/>
        </w:rPr>
        <w:t>The amount of proceeds from this offering and the Ayar Investment will depend upon the number of shares of our common stock sold in this offering and the price at which they are sold. There can be no assurance that we will be able to sell any shares under or fully utilize the Equity Distribution Agreement with the Managers as a source of financing. We intend to use the net proceeds from this offering and the Ayar Investment for general corporate purposes, which may include, capital expenditures and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9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of September 30, 2022, we had a net tangible book value of approximately $3,211.9 million, or</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$1.91 per share of common stock, based upon 1,680,147,338 shares of common stock outstanding on such</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date. Net tangible book value per share represents the amount of our total tangible assets reduced by the</w:t>
      </w:r>
    </w:p>
    <w:p>
      <w:pPr>
        <w:spacing w:after="0" w:line="1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amount of our total liabilities and divided by the total number of shares of common stock outstanding.</w:t>
      </w:r>
    </w:p>
    <w:p>
      <w:pPr>
        <w:spacing w:after="0" w:line="49"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Dilution in net tangible book value per share to new investors in this offering represents the difference between the amount per share paid by purchasers of shares of common stock in this offering and the net tangible book value per share of common stock immediately after the completion of this offering and the Ayar Investment. After giving effect to the sale of shares of our common stock in this offering and the Ayar Investment in the aggregate amount of $594.3 million and $915.0 million, respectively, at an assumed offering price of $13.85 per share, which was the last reported sales price of our common stock on November 7, 2022, and after deducting estimated commissions and our estimated offering expenses, our net tangible book value as of September 30, 2022 would have been $4,721.2 million, or $2.64 per share of common stock. This represents an immediate increase in net tangible book value of $0.73 per share to existing stockholders and an immediate dilution of $11.21 per share to new investors in our common stock. The following table illustrates this dilution on a per share basis.​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Assumed​</w:t>
            </w:r>
          </w:p>
        </w:tc>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offering price per share</w:t>
            </w:r>
          </w:p>
        </w:tc>
        <w:tc>
          <w:tcPr>
            <w:tcW w:w="6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​​$13.85​</w:t>
            </w:r>
          </w:p>
        </w:tc>
        <w:tc>
          <w:tcPr>
            <w:tcW w:w="60" w:type="dxa"/>
            <w:vAlign w:val="bottom"/>
          </w:tcPr>
          <w:p>
            <w:pPr>
              <w:spacing w:after="0"/>
              <w:rPr>
                <w:sz w:val="17"/>
                <w:szCs w:val="17"/>
                <w:color w:val="auto"/>
              </w:rPr>
            </w:pPr>
          </w:p>
        </w:tc>
      </w:tr>
      <w:tr>
        <w:trPr>
          <w:trHeight w:val="215"/>
        </w:trPr>
        <w:tc>
          <w:tcPr>
            <w:tcW w:w="6860" w:type="dxa"/>
            <w:vAlign w:val="bottom"/>
            <w:gridSpan w:val="3"/>
          </w:tcPr>
          <w:p>
            <w:pPr>
              <w:spacing w:after="0"/>
              <w:rPr>
                <w:sz w:val="20"/>
                <w:szCs w:val="20"/>
                <w:color w:val="auto"/>
              </w:rPr>
            </w:pPr>
            <w:r>
              <w:rPr>
                <w:rFonts w:ascii="Arial" w:cs="Arial" w:eastAsia="Arial" w:hAnsi="Arial"/>
                <w:sz w:val="18"/>
                <w:szCs w:val="18"/>
                <w:color w:val="auto"/>
                <w:w w:val="98"/>
              </w:rPr>
              <w:t>Net tangible book value per share as of September 30, 2022 before giving effect to this</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  offering and the Ayar Investment</w:t>
            </w:r>
          </w:p>
        </w:tc>
        <w:tc>
          <w:tcPr>
            <w:tcW w:w="1020" w:type="dxa"/>
            <w:vAlign w:val="bottom"/>
            <w:gridSpan w:val="5"/>
          </w:tcPr>
          <w:p>
            <w:pPr>
              <w:ind w:left="60"/>
              <w:spacing w:after="0"/>
              <w:rPr>
                <w:sz w:val="20"/>
                <w:szCs w:val="20"/>
                <w:color w:val="auto"/>
              </w:rPr>
            </w:pPr>
            <w:r>
              <w:rPr>
                <w:rFonts w:ascii="Arial" w:cs="Arial" w:eastAsia="Arial" w:hAnsi="Arial"/>
                <w:sz w:val="18"/>
                <w:szCs w:val="18"/>
                <w:color w:val="auto"/>
              </w:rPr>
              <w:t>​ ​​$1.91​​ ​​ ​</w:t>
            </w:r>
          </w:p>
        </w:tc>
        <w:tc>
          <w:tcPr>
            <w:tcW w:w="3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net tangible book value per share attributed to this offering and the Ayar</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Investment</w:t>
            </w:r>
          </w:p>
        </w:tc>
        <w:tc>
          <w:tcPr>
            <w:tcW w:w="102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 ​​ ​0.73​​ ​​ ​</w:t>
            </w:r>
          </w:p>
        </w:tc>
        <w:tc>
          <w:tcPr>
            <w:tcW w:w="32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860" w:type="dxa"/>
            <w:vAlign w:val="bottom"/>
            <w:tcBorders>
              <w:top w:val="single" w:sz="8" w:color="CCEEFF"/>
            </w:tcBorders>
            <w:gridSpan w:val="3"/>
          </w:tcPr>
          <w:p>
            <w:pPr>
              <w:spacing w:after="0"/>
              <w:rPr>
                <w:sz w:val="20"/>
                <w:szCs w:val="20"/>
                <w:color w:val="auto"/>
              </w:rPr>
            </w:pPr>
            <w:r>
              <w:rPr>
                <w:rFonts w:ascii="Arial" w:cs="Arial" w:eastAsia="Arial" w:hAnsi="Arial"/>
                <w:sz w:val="18"/>
                <w:szCs w:val="18"/>
                <w:color w:val="auto"/>
              </w:rPr>
              <w:t>Net tangible book value per share after giving effect to this offering and the Ayar</w:t>
            </w: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6740" w:type="dxa"/>
            <w:vAlign w:val="bottom"/>
            <w:gridSpan w:val="2"/>
          </w:tcPr>
          <w:p>
            <w:pPr>
              <w:ind w:left="60"/>
              <w:spacing w:after="0"/>
              <w:rPr>
                <w:sz w:val="20"/>
                <w:szCs w:val="20"/>
                <w:color w:val="auto"/>
              </w:rPr>
            </w:pPr>
            <w:r>
              <w:rPr>
                <w:rFonts w:ascii="Arial" w:cs="Arial" w:eastAsia="Arial" w:hAnsi="Arial"/>
                <w:sz w:val="18"/>
                <w:szCs w:val="18"/>
                <w:color w:val="auto"/>
              </w:rPr>
              <w:t>Investment</w:t>
            </w:r>
          </w:p>
        </w:tc>
        <w:tc>
          <w:tcPr>
            <w:tcW w:w="64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2.64​</w:t>
            </w:r>
          </w:p>
        </w:tc>
      </w:tr>
      <w:tr>
        <w:trPr>
          <w:trHeight w:val="189"/>
        </w:trPr>
        <w:tc>
          <w:tcPr>
            <w:tcW w:w="686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Dilution per share to new investors in this offering</w:t>
            </w: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11.21</w:t>
            </w:r>
          </w:p>
        </w:tc>
        <w:tc>
          <w:tcPr>
            <w:tcW w:w="60" w:type="dxa"/>
            <w:vAlign w:val="bottom"/>
          </w:tcPr>
          <w:p>
            <w:pPr>
              <w:spacing w:after="0"/>
              <w:rPr>
                <w:sz w:val="16"/>
                <w:szCs w:val="16"/>
                <w:color w:val="auto"/>
              </w:rPr>
            </w:pPr>
          </w:p>
        </w:tc>
      </w:tr>
      <w:tr>
        <w:trPr>
          <w:trHeight w:val="67"/>
        </w:trPr>
        <w:tc>
          <w:tcPr>
            <w:tcW w:w="120" w:type="dxa"/>
            <w:vAlign w:val="bottom"/>
            <w:shd w:val="clear" w:color="auto" w:fill="CCEEFF"/>
          </w:tcPr>
          <w:p>
            <w:pPr>
              <w:spacing w:after="0" w:line="28" w:lineRule="exact"/>
              <w:rPr>
                <w:sz w:val="20"/>
                <w:szCs w:val="20"/>
                <w:color w:val="auto"/>
              </w:rPr>
            </w:pPr>
            <w:r>
              <w:rPr>
                <w:rFonts w:ascii="Arial" w:cs="Arial" w:eastAsia="Arial" w:hAnsi="Arial"/>
                <w:sz w:val="3"/>
                <w:szCs w:val="3"/>
                <w:color w:val="auto"/>
              </w:rPr>
              <w:t>​</w:t>
            </w:r>
          </w:p>
        </w:tc>
        <w:tc>
          <w:tcPr>
            <w:tcW w:w="600" w:type="dxa"/>
            <w:vAlign w:val="bottom"/>
            <w:shd w:val="clear" w:color="auto" w:fill="CCEEFF"/>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3"/>
                <w:szCs w:val="3"/>
                <w:color w:val="auto"/>
              </w:rPr>
              <w:t>​ ​​</w:t>
            </w:r>
          </w:p>
        </w:tc>
        <w:tc>
          <w:tcPr>
            <w:tcW w:w="360" w:type="dxa"/>
            <w:vAlign w:val="bottom"/>
            <w:shd w:val="clear" w:color="auto" w:fill="CCEEFF"/>
          </w:tcPr>
          <w:p>
            <w:pPr>
              <w:spacing w:after="0"/>
              <w:rPr>
                <w:sz w:val="5"/>
                <w:szCs w:val="5"/>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3"/>
                <w:szCs w:val="3"/>
                <w:b w:val="1"/>
                <w:bCs w:val="1"/>
                <w:color w:val="auto"/>
              </w:rPr>
              <w:t>​</w:t>
            </w:r>
            <w:r>
              <w:rPr>
                <w:rFonts w:ascii="Arial" w:cs="Arial" w:eastAsia="Arial" w:hAnsi="Arial"/>
                <w:sz w:val="3"/>
                <w:szCs w:val="3"/>
                <w:color w:val="auto"/>
              </w:rPr>
              <w:t>​ ​​</w:t>
            </w:r>
          </w:p>
        </w:tc>
        <w:tc>
          <w:tcPr>
            <w:tcW w:w="320" w:type="dxa"/>
            <w:vAlign w:val="bottom"/>
            <w:shd w:val="clear" w:color="auto" w:fill="CCEEFF"/>
          </w:tcPr>
          <w:p>
            <w:pPr>
              <w:spacing w:after="0"/>
              <w:rPr>
                <w:sz w:val="5"/>
                <w:szCs w:val="5"/>
                <w:color w:val="auto"/>
              </w:rPr>
            </w:pPr>
          </w:p>
        </w:tc>
        <w:tc>
          <w:tcPr>
            <w:tcW w:w="60" w:type="dxa"/>
            <w:vAlign w:val="bottom"/>
          </w:tcPr>
          <w:p>
            <w:pPr>
              <w:jc w:val="right"/>
              <w:spacing w:after="0"/>
              <w:rPr>
                <w:sz w:val="20"/>
                <w:szCs w:val="20"/>
                <w:color w:val="auto"/>
              </w:rPr>
            </w:pPr>
            <w:r>
              <w:rPr>
                <w:rFonts w:ascii="Arial" w:cs="Arial" w:eastAsia="Arial" w:hAnsi="Arial"/>
                <w:sz w:val="3"/>
                <w:szCs w:val="3"/>
                <w:color w:val="auto"/>
              </w:rPr>
              <w:t>​</w:t>
            </w: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4894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spacing w:after="0" w:line="128"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The table above assumes for illustrative purposes that an aggregate of 42,911,913 shares of our common stock are sold in this offering pursuant to the Equity Distribution Agreement at a price of $13.85 per share, which was the last reported sale price of our common stock on November 7, 2022, for aggregate offering proceeds of $594.3 million, and that an additional 66,064,982 shares of our common stock are sold to Ayar in the Ayar Investment at the assumed offering price for additional aggregate offering proceeds of $915.0 million. However, the shares sold pursuant to the Equity Distribution Agreement, if any, will be sold from time to time at various prices. In addition, the shares sold in the Ayar Investment, if any, will be sold from time to time at a price equal to the weighted average offering price in this offering during the applicable quarter. The information discussed above is illustrative only and will adjust based on the actual offering price and the actual number of shares that are sold pursuant to the Equity Distribution Agreement and the Ayar Investment.</w:t>
      </w:r>
    </w:p>
    <w:p>
      <w:pPr>
        <w:spacing w:after="0" w:line="57" w:lineRule="exact"/>
        <w:rPr>
          <w:sz w:val="20"/>
          <w:szCs w:val="20"/>
          <w:color w:val="auto"/>
        </w:rPr>
      </w:pPr>
    </w:p>
    <w:p>
      <w:pPr>
        <w:jc w:val="both"/>
        <w:ind w:left="1260" w:right="659" w:firstLine="360"/>
        <w:spacing w:after="0" w:line="286" w:lineRule="auto"/>
        <w:rPr>
          <w:sz w:val="20"/>
          <w:szCs w:val="20"/>
          <w:color w:val="auto"/>
        </w:rPr>
      </w:pPr>
      <w:r>
        <w:rPr>
          <w:rFonts w:ascii="Arial" w:cs="Arial" w:eastAsia="Arial" w:hAnsi="Arial"/>
          <w:sz w:val="17"/>
          <w:szCs w:val="17"/>
          <w:color w:val="auto"/>
        </w:rPr>
        <w:t>The above table also does not take into effect further dilution to new investors that could occur upon the exercise of stock options or warrants having a per share exercise price less than the offering price per share in this offering or the vesting of RSUs or the conversion of the 2026 Convertible Notes.</w:t>
      </w:r>
    </w:p>
    <w:p>
      <w:pPr>
        <w:spacing w:after="0" w:line="17"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number of shares of common stock that will be outstanding after this offering is based on 1,680,147,338 shares outstanding as of September 30, 2022 and does not give effect to any awards of stock options or RSUs after September 30, 2022 or the exercise of warrants or stock options or the settlement of RSUs after September 30, 2022, and excludes:</w:t>
      </w:r>
    </w:p>
    <w:p>
      <w:pPr>
        <w:spacing w:after="0" w:line="38" w:lineRule="exact"/>
        <w:rPr>
          <w:sz w:val="20"/>
          <w:szCs w:val="20"/>
          <w:color w:val="auto"/>
        </w:rPr>
      </w:pPr>
    </w:p>
    <w:p>
      <w:pPr>
        <w:ind w:left="1800" w:right="7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44,350,000 shares of our common stock issuable upon the exercise of warrants outstanding as of September 30, 2022, each with an exercise price of $11.50 per share;</w:t>
      </w:r>
    </w:p>
    <w:p>
      <w:pPr>
        <w:spacing w:after="0" w:line="35" w:lineRule="exact"/>
        <w:rPr>
          <w:rFonts w:ascii="Arial" w:cs="Arial" w:eastAsia="Arial" w:hAnsi="Arial"/>
          <w:sz w:val="18"/>
          <w:szCs w:val="18"/>
          <w:color w:val="auto"/>
        </w:rPr>
      </w:pPr>
    </w:p>
    <w:p>
      <w:pPr>
        <w:ind w:left="1800" w:right="439" w:hanging="180"/>
        <w:spacing w:after="0" w:line="306"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43,132,157 shares of our common stock issuable upon the exercise of stock options outstanding as of September 30, 2022 with a weighted average exercise price of $1.17 per share;</w:t>
      </w:r>
    </w:p>
    <w:p>
      <w:pPr>
        <w:spacing w:after="0" w:line="1" w:lineRule="exact"/>
        <w:rPr>
          <w:rFonts w:ascii="Arial" w:cs="Arial" w:eastAsia="Arial" w:hAnsi="Arial"/>
          <w:sz w:val="17"/>
          <w:szCs w:val="17"/>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39,391,043 shares subject to RSUs outstanding as of September 30, 2022;</w:t>
      </w:r>
    </w:p>
    <w:p>
      <w:pPr>
        <w:spacing w:after="0" w:line="76"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31,283,219 shares of our common stock reserved for future issuance under the Incentive Plan as of September 30, 2022; and</w:t>
      </w:r>
    </w:p>
    <w:p>
      <w:pPr>
        <w:spacing w:after="0" w:line="35"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36,737,785 shares of our common stock issuable upon the conversion of 2026 Convertible Notes.</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AYAR INVESTMENT</w:t>
      </w:r>
    </w:p>
    <w:p>
      <w:pPr>
        <w:spacing w:after="0" w:line="162" w:lineRule="exact"/>
        <w:rPr>
          <w:sz w:val="20"/>
          <w:szCs w:val="20"/>
          <w:color w:val="auto"/>
        </w:rPr>
      </w:pPr>
    </w:p>
    <w:p>
      <w:pPr>
        <w:ind w:left="1260" w:right="499" w:firstLine="360"/>
        <w:spacing w:after="0" w:line="269" w:lineRule="auto"/>
        <w:rPr>
          <w:sz w:val="20"/>
          <w:szCs w:val="20"/>
          <w:color w:val="auto"/>
        </w:rPr>
      </w:pPr>
      <w:r>
        <w:rPr>
          <w:rFonts w:ascii="Arial" w:cs="Arial" w:eastAsia="Arial" w:hAnsi="Arial"/>
          <w:sz w:val="17"/>
          <w:szCs w:val="17"/>
          <w:color w:val="auto"/>
        </w:rPr>
        <w:t>On November 8, 2022, we entered into the Subscription Agreement with our majority stockholder and affiliate of PIF, Ayar, pursuant to which Ayar has agreed to purchase from us, subject to certain conditions, up to $915 million of shares of our common stock in one or more private placements through at least March 31, 2023. We refer to these private placements collectively as the “Ayar Investment.” The number of shares that Ayar will purchase from us in the Ayar Investment will be equal to the number of shares of our common stock that we actually sell in this offering or certain other public offerings of common stock through the term of the Subscription Agreement, multiplied by a ratio, the numerator of which is approximately 60.4%, which is the number of shares of our common stock owned by Ayar as a percentage of the total number of shares of our common stock outstanding as of September 30, 2022, and the denominator of which is approximately 39.6%, rounded down to the nearest whole share. Following the sales in this offering and the sales pursuant to the Subscription Agreement, Ayar is expected to continue to own approximately 60.4% of our outstanding stock.</w:t>
      </w:r>
    </w:p>
    <w:p>
      <w:pPr>
        <w:spacing w:after="0" w:line="111"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We will settle the Ayar Investment as it relates to this offering on the last trading day of each calendar quarter based on the number of shares that we actually sold pursuant to this offering during such calendar quarter, at a price per share equal to the weighted average price to the public of the shares that we actually sold in this offering during such calendar quarter. We expect to settle the Ayar Investment as it relates to other applicable public offerings of common stock in six business days after the pricing of the related public offering, at a price per share equal to the price paid by the investors in such offering, provided that the sale price of common stock in such other offering is less than the volume-weighted average sale price of the common stock sold in this offering beginning on the date of the Subscription Agreement and ending on the first date that common stock in such other offering is offered to investors.</w:t>
      </w:r>
    </w:p>
    <w:p>
      <w:pPr>
        <w:spacing w:after="0" w:line="100"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In addition, Ayar has the right, but not the obligation, to enter into a new subscription agreement substantially consistent with the Subscription Agreement in respect of any increase to the aggregate offering price for this offering and/or any new at-the-market offering of our common stock during the term of the Subscription Agreement.</w:t>
      </w:r>
    </w:p>
    <w:p>
      <w:pPr>
        <w:spacing w:after="0" w:line="119" w:lineRule="exact"/>
        <w:rPr>
          <w:sz w:val="20"/>
          <w:szCs w:val="20"/>
          <w:color w:val="auto"/>
        </w:rPr>
      </w:pPr>
    </w:p>
    <w:p>
      <w:pPr>
        <w:jc w:val="both"/>
        <w:ind w:left="1260" w:right="599" w:firstLine="360"/>
        <w:spacing w:after="0" w:line="263" w:lineRule="auto"/>
        <w:rPr>
          <w:sz w:val="20"/>
          <w:szCs w:val="20"/>
          <w:color w:val="auto"/>
        </w:rPr>
      </w:pPr>
      <w:r>
        <w:rPr>
          <w:rFonts w:ascii="Arial" w:cs="Arial" w:eastAsia="Arial" w:hAnsi="Arial"/>
          <w:sz w:val="18"/>
          <w:szCs w:val="18"/>
          <w:color w:val="auto"/>
        </w:rPr>
        <w:t>The Ayar Investment is not a part of this offering, and is in addition to the $600 million of shares that we may sell under the Equity Distribution Agreement. We will not pay the Managers any commissions on the Ayar Investment.</w:t>
      </w:r>
    </w:p>
    <w:p>
      <w:pPr>
        <w:spacing w:after="0" w:line="116"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Ayar has agreed, with certain exceptions, that without our prior written consent, it will not, for six months after the date of any private placement:</w:t>
      </w:r>
    </w:p>
    <w:p>
      <w:pPr>
        <w:spacing w:after="0" w:line="62" w:lineRule="exact"/>
        <w:rPr>
          <w:sz w:val="20"/>
          <w:szCs w:val="20"/>
          <w:color w:val="auto"/>
        </w:rPr>
      </w:pPr>
    </w:p>
    <w:p>
      <w:pPr>
        <w:ind w:left="1800" w:right="599" w:hanging="180"/>
        <w:spacing w:after="0" w:line="259"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w:t>
      </w:r>
    </w:p>
    <w:p>
      <w:pPr>
        <w:spacing w:after="0" w:line="78" w:lineRule="exact"/>
        <w:rPr>
          <w:rFonts w:ascii="Arial" w:cs="Arial" w:eastAsia="Arial" w:hAnsi="Arial"/>
          <w:sz w:val="18"/>
          <w:szCs w:val="18"/>
          <w:color w:val="auto"/>
        </w:rPr>
      </w:pPr>
    </w:p>
    <w:p>
      <w:pPr>
        <w:ind w:left="1800" w:right="579" w:hanging="180"/>
        <w:spacing w:after="0" w:line="259"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such common stock, whether any such swap or transaction is to be settled by delivery of common stock or other securities, in cash or otherwise,</w:t>
      </w:r>
    </w:p>
    <w:p>
      <w:pPr>
        <w:spacing w:after="0" w:line="119" w:lineRule="exact"/>
        <w:rPr>
          <w:sz w:val="20"/>
          <w:szCs w:val="20"/>
          <w:color w:val="auto"/>
        </w:rPr>
      </w:pPr>
    </w:p>
    <w:p>
      <w:pPr>
        <w:ind w:left="1260" w:right="559"/>
        <w:spacing w:after="0" w:line="277" w:lineRule="auto"/>
        <w:rPr>
          <w:sz w:val="20"/>
          <w:szCs w:val="20"/>
          <w:color w:val="auto"/>
        </w:rPr>
      </w:pPr>
      <w:r>
        <w:rPr>
          <w:rFonts w:ascii="Arial" w:cs="Arial" w:eastAsia="Arial" w:hAnsi="Arial"/>
          <w:sz w:val="18"/>
          <w:szCs w:val="18"/>
          <w:color w:val="auto"/>
        </w:rPr>
        <w:t>in each case, whether any such transaction described above is to be settled by delivery of common stock or such other securities, in cash or otherwise.</w:t>
      </w:r>
    </w:p>
    <w:p>
      <w:pPr>
        <w:spacing w:after="0" w:line="89"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Subject to certain conditions, these restrictions do not apply to transfers made as a bona fide gift or gifts, including to charitable organizations; to any person or entity controlling, controlled by, or under common control with Ayar; to a nominee or custodian of any person or entity to whom a transfer would be permissible under any of the preceding exceptions set forth in this sentence; and pursuant to a bona fide third-party tender offer, merger, consolidation or other similar transaction that is approved by our board of directors and made to all holders of shares of our capital stock involving a change of control. These restrictions apply to securities owned now or acquired later by Ayar or for which Ayar has or later acquires the power of disposition.</w:t>
      </w:r>
    </w:p>
    <w:p>
      <w:pPr>
        <w:sectPr>
          <w:pgSz w:w="11900" w:h="16838" w:orient="portrait"/>
          <w:cols w:equalWidth="0" w:num="1">
            <w:col w:w="9879"/>
          </w:cols>
          <w:pgMar w:left="580" w:top="132" w:right="1440" w:bottom="1440" w:gutter="0" w:footer="0" w:header="0"/>
        </w:sectPr>
      </w:pPr>
    </w:p>
    <w:p>
      <w:pPr>
        <w:spacing w:after="0" w:line="381"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On November 8, 2022, concurrently with entering into the Subscription Agreement, we entered into an amendment to the Investor Rights Agreement (the “IRA Amendment”). Pursuant to the IRA Amendment, Ayar will be entitled to certain registration rights, including demand, piggy-back and shelf registration rights, with respect to the shares of common stock Ayar purchased in the Ayar Investment.</w:t>
      </w:r>
    </w:p>
    <w:p>
      <w:pPr>
        <w:spacing w:after="0" w:line="10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color w:val="auto"/>
        </w:rPr>
        <w:t>In addition, if we commence certain equity offerings, we have agreed to provide Ayar with advance notice and an opportunity to participate as a purchaser in such offering or in a private placement substantially concurrent with such offering, subject to certain conditions. This provision will automatically terminate after such time as Ayar ceases to own at least 40% of the outstanding common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We have entered into the Equity Distribution Agreement with the Managers under which we may offer and sell shares of our common stock up to the amount stated on the cover of this prospectus supplement from time to time through, at our discretion, one or more of the Managers, or directly to one or more of the Managers acting as principal, in each case severally and not jointly.</w:t>
      </w:r>
    </w:p>
    <w:p>
      <w:pPr>
        <w:spacing w:after="0" w:line="119"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Sales, if any, of common stock under the Equity Distribution Agreement may be made in ordinary brokers’ transactions, to or through a market maker, in privately negotiated transactions, in block trades, in transactions that are deemed to be “at the market offerings” as defined in Rule 415 under the Securities Act or through a combination of any such methods of sale. The Managers may also sell our common stock by any other method permitted by law. Subject to the terms and conditions of the Equity Distribution Agreement, the Managers will act as our sales agents using their reasonable efforts consistent with their normal sales and trading practices. The Managers are not required to sell any specific amount. The Managers may also purchase shares of our common stock as principal. As our agents, the Managers will not engage in any transactions that stabilize the price of our common stock.</w:t>
      </w:r>
    </w:p>
    <w:p>
      <w:pPr>
        <w:spacing w:after="0" w:line="115" w:lineRule="exact"/>
        <w:rPr>
          <w:sz w:val="20"/>
          <w:szCs w:val="20"/>
          <w:color w:val="auto"/>
        </w:rPr>
      </w:pPr>
    </w:p>
    <w:p>
      <w:pPr>
        <w:ind w:left="1260" w:right="519" w:firstLine="360"/>
        <w:spacing w:after="0" w:line="253" w:lineRule="auto"/>
        <w:rPr>
          <w:sz w:val="20"/>
          <w:szCs w:val="20"/>
          <w:color w:val="auto"/>
        </w:rPr>
      </w:pPr>
      <w:r>
        <w:rPr>
          <w:rFonts w:ascii="Arial" w:cs="Arial" w:eastAsia="Arial" w:hAnsi="Arial"/>
          <w:sz w:val="18"/>
          <w:szCs w:val="18"/>
          <w:color w:val="auto"/>
        </w:rPr>
        <w:t>Upon its acceptance of written instructions from us, the applicable Manager will use its commercially reasonable efforts consistent with its normal trading and sales practices to solicit offers to purchase shares of our common stock, as our agent and on the terms and subject to the conditions set forth in the Equity Distribution Agreement. If we elect to offer shares of our common stock, we will instruct the applicable Manager as to the maximum number of shares of our common stock to be sold by it, as our agent, a minimum sales price and the date or dates on which such shares are to be sold. We may instruct the applicable Manager not to sell shares of our common stock if the sales cannot be effected at or above the price designated by us in any instruction. We or the applicable Manager may suspend the offering of shares of our common stock under the Equity Distribution Agreement by such Managers, as our agents, upon proper notice to the other party.</w:t>
      </w:r>
    </w:p>
    <w:p>
      <w:pPr>
        <w:spacing w:after="0" w:line="127"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If shares of our common stock are sold by one or more of the Managers, as our agents, in an at the market offering, the applicable Manager will provide written confirmation to us promptly following the close of trading on the Nasdaq Global Select Market each trading day on which shares of our common stock are sold under the Equity Distribution Agreement. Each confirmation will include the number of shares of our common stock sold on the preceding day, the gross sales price, the net proceeds to us and the compensation payable by us to the applicable Manager in connection with the sales.</w:t>
      </w:r>
    </w:p>
    <w:p>
      <w:pPr>
        <w:spacing w:after="0" w:line="110"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will pay each Manager a commission not to exceed, but that may be less than, 2.0% of the gross sales price per share of our common stock sold through the Manager, as our agent, under the Equity Distribution Agreement. The remaining sales proceeds, after deducting any transaction fees, transfer taxes or similar taxes or fees imposed by any governmental or self-regulatory organization in respect of such sales of shares our common stock, will be our net proceeds (before the expenses referred to in the next paragraph) from the sale of shares of our common stock in the offering.</w:t>
      </w:r>
    </w:p>
    <w:p>
      <w:pPr>
        <w:spacing w:after="0" w:line="111" w:lineRule="exact"/>
        <w:rPr>
          <w:sz w:val="20"/>
          <w:szCs w:val="20"/>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In addition, we have agreed to reimburse the Managers for the fees and disbursements of their legal counsel in an amount of $250,000 and for expenses relating to clearance of this offering with the Financial Industry Regulation Authority (FINRA), payable upon execution of the Equity Distribution Agreement, in an amount not to exceed $15,000. We estimate that the total expenses payable by us in connection with the program to offer shares of our common stock described in this prospectus supplement, excluding commissions payable to the Managers and any discounts payable to the Managers and any other deductions described in the paragraph above, will be approximately $1.2 million. The Managers have agreed to reimburse us for certain expenses incurred in connection with this offering.</w:t>
      </w:r>
    </w:p>
    <w:p>
      <w:pPr>
        <w:spacing w:after="0" w:line="111" w:lineRule="exact"/>
        <w:rPr>
          <w:sz w:val="20"/>
          <w:szCs w:val="20"/>
          <w:color w:val="auto"/>
        </w:rPr>
      </w:pPr>
    </w:p>
    <w:p>
      <w:pPr>
        <w:jc w:val="both"/>
        <w:ind w:left="1260" w:right="479" w:firstLine="360"/>
        <w:spacing w:after="0" w:line="259" w:lineRule="auto"/>
        <w:rPr>
          <w:sz w:val="20"/>
          <w:szCs w:val="20"/>
          <w:color w:val="auto"/>
        </w:rPr>
      </w:pPr>
      <w:r>
        <w:rPr>
          <w:rFonts w:ascii="Arial" w:cs="Arial" w:eastAsia="Arial" w:hAnsi="Arial"/>
          <w:sz w:val="18"/>
          <w:szCs w:val="18"/>
          <w:color w:val="auto"/>
        </w:rPr>
        <w:t>Under the terms of the Equity Distribution Agreement, we may, if agreed to by the Managers, also sell shares of our common stock to one or more of the Managers, as principal for its own account, at a price per share and such other terms to be agreed upon at the time of sale. However, the Managers have no obligation to agree to purchase shares of our common stock as principal.</w:t>
      </w:r>
    </w:p>
    <w:p>
      <w:pPr>
        <w:spacing w:after="0" w:line="119"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Settlement for sales of our common stock under the Equity Distribution Agreement will occur on the second trading day following the date on which any sales are made, or on some other date that is agreed</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56" w:lineRule="auto"/>
        <w:rPr>
          <w:sz w:val="20"/>
          <w:szCs w:val="20"/>
          <w:color w:val="auto"/>
        </w:rPr>
      </w:pPr>
      <w:r>
        <w:rPr>
          <w:rFonts w:ascii="Arial" w:cs="Arial" w:eastAsia="Arial" w:hAnsi="Arial"/>
          <w:sz w:val="18"/>
          <w:szCs w:val="18"/>
          <w:color w:val="auto"/>
        </w:rPr>
        <w:t>upon by us and the applicable Manager in connection with a particular transaction, in return for payment of the net proceeds to us. There is no arrangement for funds to be received in an escrow, trust or similar arrangement.</w:t>
      </w:r>
    </w:p>
    <w:p>
      <w:pPr>
        <w:spacing w:after="0" w:line="107" w:lineRule="exact"/>
        <w:rPr>
          <w:sz w:val="20"/>
          <w:szCs w:val="20"/>
          <w:color w:val="auto"/>
        </w:rPr>
      </w:pPr>
    </w:p>
    <w:p>
      <w:pPr>
        <w:ind w:left="1260" w:right="919" w:firstLine="360"/>
        <w:spacing w:after="0" w:line="278" w:lineRule="auto"/>
        <w:rPr>
          <w:sz w:val="20"/>
          <w:szCs w:val="20"/>
          <w:color w:val="auto"/>
        </w:rPr>
      </w:pPr>
      <w:r>
        <w:rPr>
          <w:rFonts w:ascii="Arial" w:cs="Arial" w:eastAsia="Arial" w:hAnsi="Arial"/>
          <w:sz w:val="17"/>
          <w:szCs w:val="17"/>
          <w:color w:val="auto"/>
        </w:rPr>
        <w:t>We will report at least quarterly the number of shares of our common stock sold through or to the Managers, as our agents, under the Equity Distribution Agreement, the net proceeds to us and the compensation paid by us to the Managers in connection with the sales of our common stock, if any.</w:t>
      </w:r>
    </w:p>
    <w:p>
      <w:pPr>
        <w:spacing w:after="0" w:line="90" w:lineRule="exact"/>
        <w:rPr>
          <w:sz w:val="20"/>
          <w:szCs w:val="20"/>
          <w:color w:val="auto"/>
        </w:rPr>
      </w:pPr>
    </w:p>
    <w:p>
      <w:pPr>
        <w:jc w:val="both"/>
        <w:ind w:left="1260" w:right="579" w:firstLine="360"/>
        <w:spacing w:after="0" w:line="248" w:lineRule="auto"/>
        <w:rPr>
          <w:sz w:val="20"/>
          <w:szCs w:val="20"/>
          <w:color w:val="auto"/>
        </w:rPr>
      </w:pPr>
      <w:r>
        <w:rPr>
          <w:rFonts w:ascii="Arial" w:cs="Arial" w:eastAsia="Arial" w:hAnsi="Arial"/>
          <w:sz w:val="18"/>
          <w:szCs w:val="18"/>
          <w:color w:val="auto"/>
        </w:rPr>
        <w:t>The Managers have agreed that to the extent required by Regulation M under the Exchange Act, they will not engage in any market making activities involving our common stock while the offering is ongoing under this prospectus supplement.</w:t>
      </w:r>
    </w:p>
    <w:p>
      <w:pPr>
        <w:spacing w:after="0" w:line="114" w:lineRule="exact"/>
        <w:rPr>
          <w:sz w:val="20"/>
          <w:szCs w:val="20"/>
          <w:color w:val="auto"/>
        </w:rPr>
      </w:pPr>
    </w:p>
    <w:p>
      <w:pPr>
        <w:ind w:left="1260" w:right="439" w:firstLine="360"/>
        <w:spacing w:after="0" w:line="246" w:lineRule="auto"/>
        <w:rPr>
          <w:sz w:val="20"/>
          <w:szCs w:val="20"/>
          <w:color w:val="auto"/>
        </w:rPr>
      </w:pPr>
      <w:r>
        <w:rPr>
          <w:rFonts w:ascii="Arial" w:cs="Arial" w:eastAsia="Arial" w:hAnsi="Arial"/>
          <w:sz w:val="18"/>
          <w:szCs w:val="18"/>
          <w:color w:val="auto"/>
        </w:rPr>
        <w:t>In connection with the sale of common stock on our behalf, the Managers may be deemed to be “underwriters” within the meaning of the Securities Act, and the compensation of the Managers may be deemed to be underwriting discounts or commissions. We have agreed to provide indemnification and contribution to each of the Managers against certain liabilities, including civil liabilities under the Securities Act or the Exchange Act, or to contribute to payments that such Manager may be required to make in respect of those liabilities.</w:t>
      </w:r>
    </w:p>
    <w:p>
      <w:pPr>
        <w:spacing w:after="0" w:line="11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8"/>
          <w:szCs w:val="18"/>
          <w:color w:val="auto"/>
        </w:rPr>
        <w:t>The Equity Distribution Agreement may be terminated by the applicable Manager or us at any time upon notice to the other party, or by the applicable Manager at any time in certain circumstances set forth in the Equity Distribution Agreement.</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Other Relationships</w:t>
      </w:r>
    </w:p>
    <w:p>
      <w:pPr>
        <w:spacing w:after="0" w:line="162" w:lineRule="exact"/>
        <w:rPr>
          <w:sz w:val="20"/>
          <w:szCs w:val="20"/>
          <w:color w:val="auto"/>
        </w:rPr>
      </w:pPr>
    </w:p>
    <w:p>
      <w:pPr>
        <w:ind w:left="1260" w:right="839" w:firstLine="360"/>
        <w:spacing w:after="0" w:line="262" w:lineRule="auto"/>
        <w:rPr>
          <w:sz w:val="20"/>
          <w:szCs w:val="20"/>
          <w:color w:val="auto"/>
        </w:rPr>
      </w:pPr>
      <w:r>
        <w:rPr>
          <w:rFonts w:ascii="Arial" w:cs="Arial" w:eastAsia="Arial" w:hAnsi="Arial"/>
          <w:sz w:val="17"/>
          <w:szCs w:val="17"/>
          <w:color w:val="auto"/>
        </w:rPr>
        <w:t>Some of the Managers their respective affiliates have engaged in, and may in the future engage in, investment banking and other commercial dealings in the ordinary course of business with us or our affiliates. They have received, or may in the future receive, customary fees and commissions for these transactions. Affiliates of certain Managers are lenders and/or agents under our credit facility.</w:t>
      </w:r>
    </w:p>
    <w:p>
      <w:pPr>
        <w:spacing w:after="0" w:line="105"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7"/>
          <w:szCs w:val="17"/>
          <w:color w:val="auto"/>
        </w:rPr>
        <w:t>In addition, from time to time, certain of the Managers and their affiliates may effect transactions for their own account or the account of customers, and hold on behalf of themselves or their customers, long or shor positions in our debt or equity, securities or loans, and may do so in the future in the ordinary course of their business activities, the Managers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Managers and their affiliates may also make investment recommendations and/or publish or express independent research views in respect of such securities or financial instruments and may at any time hold, or recommend to clients that they acquire, long and/or short positions in such securities and instruments.</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Electronic Distribution</w:t>
      </w:r>
    </w:p>
    <w:p>
      <w:pPr>
        <w:spacing w:after="0" w:line="148"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In connection with the offering, the Managers may distribute prospectuses by electronic means, such as e-mail.</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European Economic Area and the United Kingdom</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The common stock is not intended to be offered, sold or otherwise made available to and should not be offered, sold or otherwise made available to any retail investor in the European Economic Area (“EEA”) or in the United Kingdom (“UK”).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w:t>
      </w:r>
    </w:p>
    <w:p>
      <w:pPr>
        <w:ind w:left="1260" w:right="439"/>
        <w:spacing w:after="0" w:line="243" w:lineRule="auto"/>
        <w:tabs>
          <w:tab w:leader="none" w:pos="1623" w:val="left"/>
        </w:tabs>
        <w:numPr>
          <w:ilvl w:val="0"/>
          <w:numId w:val="8"/>
        </w:numPr>
        <w:rPr>
          <w:rFonts w:ascii="Arial" w:cs="Arial" w:eastAsia="Arial" w:hAnsi="Arial"/>
          <w:sz w:val="18"/>
          <w:szCs w:val="18"/>
          <w:color w:val="auto"/>
        </w:rPr>
      </w:pPr>
      <w:r>
        <w:rPr>
          <w:rFonts w:ascii="Arial" w:cs="Arial" w:eastAsia="Arial" w:hAnsi="Arial"/>
          <w:sz w:val="18"/>
          <w:szCs w:val="18"/>
          <w:color w:val="auto"/>
        </w:rPr>
        <w:t>of Article 4(1) of MiFID II. Consequently no key information document required by Regulation (EU) No 1286/2014 (as amended, the “PRIIPs Regulation”) for offering or selling the common stock or otherwise making them available to retail investors in the EEA or in the UK has been prepared and therefore offering or</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spacing w:after="0" w:line="288" w:lineRule="auto"/>
        <w:rPr>
          <w:sz w:val="20"/>
          <w:szCs w:val="20"/>
          <w:color w:val="auto"/>
        </w:rPr>
      </w:pPr>
      <w:r>
        <w:rPr>
          <w:rFonts w:ascii="Arial" w:cs="Arial" w:eastAsia="Arial" w:hAnsi="Arial"/>
          <w:sz w:val="16"/>
          <w:szCs w:val="16"/>
          <w:color w:val="auto"/>
        </w:rPr>
        <w:t>selling the common stock or otherwise making them available to any retail investor in the EEA or in the UK may be unlawful under the PRIIPS Regulation. This prospectus has been prepared on the basis that any offer of common stock in any Member State of the EEA will be made pursuant to an exemption under Regulation (EU) 2017/1129 (the “Prospectus Regulation”) from the requirement to publish a prospectus for offers of such common stock. This prospectus is not a prospectus for the purposes of the Prospectus Regulation.</w:t>
      </w:r>
    </w:p>
    <w:p>
      <w:pPr>
        <w:spacing w:after="0" w:line="84"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document is for distribution only to persons who (i) have professional experience in matters</w:t>
      </w:r>
    </w:p>
    <w:p>
      <w:pPr>
        <w:spacing w:after="0" w:line="12" w:lineRule="exact"/>
        <w:rPr>
          <w:sz w:val="20"/>
          <w:szCs w:val="20"/>
          <w:color w:val="auto"/>
        </w:rPr>
      </w:pPr>
    </w:p>
    <w:p>
      <w:pPr>
        <w:ind w:left="1260" w:right="439"/>
        <w:spacing w:after="0" w:line="241" w:lineRule="auto"/>
        <w:rPr>
          <w:sz w:val="20"/>
          <w:szCs w:val="20"/>
          <w:color w:val="auto"/>
        </w:rPr>
      </w:pPr>
      <w:r>
        <w:rPr>
          <w:rFonts w:ascii="Arial" w:cs="Arial" w:eastAsia="Arial" w:hAnsi="Arial"/>
          <w:sz w:val="18"/>
          <w:szCs w:val="18"/>
          <w:color w:val="auto"/>
        </w:rPr>
        <w:t>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19"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common stock have been or will be filed with or approved by any Swiss regulatory authority. In particular, this document will not be filed with, and the offer of the common stock will not be supervised by, the Swiss Financial Market Supervisory Authority FINMA (FINMA), and the offer of the common stock has not been and will not be authorized under the Swiss Federal Act on Collective Investment Schemes (“CISA”). The investor protection afforded to acquirers of interests in collective investment schemes under the CISA does not extend to acquirers of the common stock.</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and/or subject to restrictions on their resale. Prospective purchasers of the common stock offered should conduct their own due diligence on the common stock. If you do not understand the contents of this prospectus supplement you should consult an authorized financial advisor.</w:t>
      </w:r>
    </w:p>
    <w:p>
      <w:pPr>
        <w:spacing w:after="0" w:line="35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62" w:lineRule="exact"/>
        <w:rPr>
          <w:sz w:val="20"/>
          <w:szCs w:val="20"/>
          <w:color w:val="auto"/>
        </w:rPr>
      </w:pPr>
    </w:p>
    <w:p>
      <w:pPr>
        <w:ind w:left="1260" w:right="539" w:firstLine="360"/>
        <w:spacing w:after="0" w:line="24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Any offer in Australia of the common stock may only be made to persons (the “Exempt Investors”)</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who are “sophisticated investors” (within​ the meaning of section 708(8) of the Corporations Act),</w:t>
      </w:r>
    </w:p>
    <w:p>
      <w:pPr>
        <w:ind w:left="1260" w:right="579"/>
        <w:spacing w:after="0" w:line="268" w:lineRule="auto"/>
        <w:rPr>
          <w:sz w:val="20"/>
          <w:szCs w:val="20"/>
          <w:color w:val="auto"/>
        </w:rPr>
      </w:pPr>
      <w:r>
        <w:rPr>
          <w:rFonts w:ascii="Arial" w:cs="Arial" w:eastAsia="Arial" w:hAnsi="Arial"/>
          <w:sz w:val="17"/>
          <w:szCs w:val="17"/>
          <w:color w:val="auto"/>
        </w:rPr>
        <w:t>“professional investors” (within​ the meaning of section 708(11) of the Corporations Act) or otherwise pursuant to one or more exemptions contained in section 708 of the Corporations Act so that it is lawful to offer the common stock without disclosure to investors under Chapter 6D of the Corporations Act.</w:t>
      </w:r>
    </w:p>
    <w:p>
      <w:pPr>
        <w:spacing w:after="0" w:line="99"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7"/>
          <w:szCs w:val="17"/>
          <w:color w:val="auto"/>
        </w:rPr>
        <w:t>The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w:t>
      </w:r>
    </w:p>
    <w:p>
      <w:pPr>
        <w:spacing w:after="0" w:line="103" w:lineRule="exact"/>
        <w:rPr>
          <w:sz w:val="20"/>
          <w:szCs w:val="20"/>
          <w:color w:val="auto"/>
        </w:rPr>
      </w:pPr>
    </w:p>
    <w:p>
      <w:pPr>
        <w:ind w:left="1260" w:right="559" w:firstLine="360"/>
        <w:spacing w:after="0" w:line="246" w:lineRule="auto"/>
        <w:rPr>
          <w:sz w:val="20"/>
          <w:szCs w:val="20"/>
          <w:color w:val="auto"/>
        </w:rPr>
      </w:pPr>
      <w:r>
        <w:rPr>
          <w:rFonts w:ascii="Arial" w:cs="Arial" w:eastAsia="Arial" w:hAnsi="Arial"/>
          <w:sz w:val="18"/>
          <w:szCs w:val="18"/>
          <w:color w:val="auto"/>
        </w:rPr>
        <w:t>Further, any common stock issued on conversion of the common stock must not be offered for sale in Australia in the period of 12 months after the date of issue of those common stock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common stock must observe such Australian on-sale restrictions.</w:t>
      </w:r>
    </w:p>
    <w:p>
      <w:pPr>
        <w:spacing w:after="0" w:line="118" w:lineRule="exact"/>
        <w:rPr>
          <w:sz w:val="20"/>
          <w:szCs w:val="20"/>
          <w:color w:val="auto"/>
        </w:rPr>
      </w:pPr>
    </w:p>
    <w:p>
      <w:pPr>
        <w:ind w:left="1260" w:right="519" w:firstLine="360"/>
        <w:spacing w:after="0" w:line="24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common stock may not be offered or sold in Hong Kong, by means of any document, other than</w:t>
      </w:r>
    </w:p>
    <w:p>
      <w:pPr>
        <w:spacing w:after="0" w:line="35" w:lineRule="exact"/>
        <w:rPr>
          <w:sz w:val="20"/>
          <w:szCs w:val="20"/>
          <w:color w:val="auto"/>
        </w:rPr>
      </w:pPr>
    </w:p>
    <w:p>
      <w:pPr>
        <w:ind w:left="1260" w:right="419"/>
        <w:spacing w:after="0" w:line="268" w:lineRule="auto"/>
        <w:tabs>
          <w:tab w:leader="none" w:pos="1519"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is or is intended to be disposed of only to persons outside Hong Kong or only to “professional investors” as defined in the Securities and Futures Ordinance and any rules made under that Ordinance.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62"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the common stock may not be offered or sold or caused to be made the subject of an invitation for subscription or purchase, and this prospectus or any other document or material in connection with the offer or sale, or invitation for subscription or purchase, of the common stock, may not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w:t>
      </w:r>
    </w:p>
    <w:p>
      <w:pPr>
        <w:spacing w:after="0" w:line="35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Section 275(1A) of the SFA, and in accordance with the conditions specified in Section 275 of the SFA, or</w:t>
      </w:r>
    </w:p>
    <w:p>
      <w:pPr>
        <w:spacing w:after="0" w:line="35" w:lineRule="exact"/>
        <w:rPr>
          <w:sz w:val="20"/>
          <w:szCs w:val="20"/>
          <w:color w:val="auto"/>
        </w:rPr>
      </w:pPr>
    </w:p>
    <w:p>
      <w:pPr>
        <w:ind w:left="1260" w:right="619"/>
        <w:spacing w:after="0" w:line="260" w:lineRule="auto"/>
        <w:tabs>
          <w:tab w:leader="none" w:pos="15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1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Where the common stock is subscribed or purchased under Section 275 of the SFA by a relevant person which is:</w:t>
      </w:r>
    </w:p>
    <w:p>
      <w:pPr>
        <w:spacing w:after="0" w:line="103" w:lineRule="exact"/>
        <w:rPr>
          <w:sz w:val="20"/>
          <w:szCs w:val="20"/>
          <w:color w:val="auto"/>
        </w:rPr>
      </w:pPr>
    </w:p>
    <w:p>
      <w:pPr>
        <w:jc w:val="both"/>
        <w:ind w:left="1980" w:right="579" w:hanging="360"/>
        <w:spacing w:after="0" w:line="263"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980" w:right="579" w:hanging="360"/>
        <w:spacing w:after="0" w:line="277" w:lineRule="auto"/>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3" w:lineRule="exact"/>
        <w:rPr>
          <w:sz w:val="20"/>
          <w:szCs w:val="20"/>
          <w:color w:val="auto"/>
        </w:rPr>
      </w:pPr>
    </w:p>
    <w:p>
      <w:pPr>
        <w:ind w:left="1260" w:right="519"/>
        <w:spacing w:after="0" w:line="259"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common stock pursuant to an offer made under Section 275 of the SFA except:</w:t>
      </w:r>
    </w:p>
    <w:p>
      <w:pPr>
        <w:spacing w:after="0" w:line="119" w:lineRule="exact"/>
        <w:rPr>
          <w:sz w:val="20"/>
          <w:szCs w:val="20"/>
          <w:color w:val="auto"/>
        </w:rPr>
      </w:pPr>
    </w:p>
    <w:p>
      <w:pPr>
        <w:ind w:left="1980" w:right="599" w:hanging="360"/>
        <w:spacing w:after="0" w:line="277" w:lineRule="auto"/>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89" w:lineRule="exact"/>
        <w:rPr>
          <w:rFonts w:ascii="Arial" w:cs="Arial" w:eastAsia="Arial" w:hAnsi="Arial"/>
          <w:sz w:val="18"/>
          <w:szCs w:val="18"/>
          <w:color w:val="auto"/>
        </w:rPr>
      </w:pPr>
    </w:p>
    <w:p>
      <w:pPr>
        <w:ind w:left="1980" w:hanging="360"/>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57" w:lineRule="exact"/>
        <w:rPr>
          <w:rFonts w:ascii="Arial" w:cs="Arial" w:eastAsia="Arial" w:hAnsi="Arial"/>
          <w:sz w:val="18"/>
          <w:szCs w:val="18"/>
          <w:color w:val="auto"/>
        </w:rPr>
      </w:pPr>
    </w:p>
    <w:p>
      <w:pPr>
        <w:ind w:left="1980" w:hanging="360"/>
        <w:spacing w:after="0"/>
        <w:tabs>
          <w:tab w:leader="none" w:pos="1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 xml:space="preserve">The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common stock must be made in accordance with an exemption from, or in a transaction not subject to, the prospectus requirements of applicable securities laws.</w:t>
      </w:r>
    </w:p>
    <w:p>
      <w:pPr>
        <w:spacing w:after="0" w:line="125"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5"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Managers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legality of the common stock offered hereby will be passed upon for us by Davis Polk &amp; Wardwell LLP, Menlo Park, California. The Managers have been represented by Simpson Thacher &amp; Bartlett LLP, Palo Alto, California.</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audited financial statements of Lucid Group,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85725</wp:posOffset>
            </wp:positionV>
            <wp:extent cx="3540125" cy="2317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3540125"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$8,000,000,000</w:t>
      </w:r>
    </w:p>
    <w:p>
      <w:pPr>
        <w:spacing w:after="0" w:line="4"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Common Stock</w:t>
      </w:r>
    </w:p>
    <w:p>
      <w:pPr>
        <w:jc w:val="center"/>
        <w:ind w:right="-459"/>
        <w:spacing w:after="0" w:line="230" w:lineRule="auto"/>
        <w:rPr>
          <w:sz w:val="20"/>
          <w:szCs w:val="20"/>
          <w:color w:val="auto"/>
        </w:rPr>
      </w:pPr>
      <w:r>
        <w:rPr>
          <w:rFonts w:ascii="Arial" w:cs="Arial" w:eastAsia="Arial" w:hAnsi="Arial"/>
          <w:sz w:val="22"/>
          <w:szCs w:val="22"/>
          <w:b w:val="1"/>
          <w:bCs w:val="1"/>
          <w:color w:val="auto"/>
        </w:rPr>
        <w:t>Preferred Stock</w:t>
      </w:r>
    </w:p>
    <w:p>
      <w:pPr>
        <w:jc w:val="center"/>
        <w:ind w:right="-459"/>
        <w:spacing w:after="0" w:line="231" w:lineRule="auto"/>
        <w:rPr>
          <w:sz w:val="20"/>
          <w:szCs w:val="20"/>
          <w:color w:val="auto"/>
        </w:rPr>
      </w:pPr>
      <w:r>
        <w:rPr>
          <w:rFonts w:ascii="Arial" w:cs="Arial" w:eastAsia="Arial" w:hAnsi="Arial"/>
          <w:sz w:val="22"/>
          <w:szCs w:val="22"/>
          <w:b w:val="1"/>
          <w:bCs w:val="1"/>
          <w:color w:val="auto"/>
        </w:rPr>
        <w:t>Depositary Shares</w:t>
      </w:r>
    </w:p>
    <w:p>
      <w:pPr>
        <w:jc w:val="center"/>
        <w:ind w:right="-459"/>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459"/>
        <w:spacing w:after="0" w:line="231" w:lineRule="auto"/>
        <w:rPr>
          <w:sz w:val="20"/>
          <w:szCs w:val="20"/>
          <w:color w:val="auto"/>
        </w:rPr>
      </w:pPr>
      <w:r>
        <w:rPr>
          <w:rFonts w:ascii="Arial" w:cs="Arial" w:eastAsia="Arial" w:hAnsi="Arial"/>
          <w:sz w:val="22"/>
          <w:szCs w:val="22"/>
          <w:b w:val="1"/>
          <w:bCs w:val="1"/>
          <w:color w:val="auto"/>
        </w:rPr>
        <w:t>Warrants</w:t>
      </w:r>
    </w:p>
    <w:p>
      <w:pPr>
        <w:jc w:val="center"/>
        <w:ind w:right="-459"/>
        <w:spacing w:after="0" w:line="230" w:lineRule="auto"/>
        <w:rPr>
          <w:sz w:val="20"/>
          <w:szCs w:val="20"/>
          <w:color w:val="auto"/>
        </w:rPr>
      </w:pPr>
      <w:r>
        <w:rPr>
          <w:rFonts w:ascii="Arial" w:cs="Arial" w:eastAsia="Arial" w:hAnsi="Arial"/>
          <w:sz w:val="22"/>
          <w:szCs w:val="22"/>
          <w:b w:val="1"/>
          <w:bCs w:val="1"/>
          <w:color w:val="auto"/>
        </w:rPr>
        <w:t>Purchase Contracts</w:t>
      </w:r>
    </w:p>
    <w:p>
      <w:pPr>
        <w:jc w:val="center"/>
        <w:ind w:right="-459"/>
        <w:spacing w:after="0" w:line="231" w:lineRule="auto"/>
        <w:rPr>
          <w:sz w:val="20"/>
          <w:szCs w:val="20"/>
          <w:color w:val="auto"/>
        </w:rPr>
      </w:pPr>
      <w:r>
        <w:rPr>
          <w:rFonts w:ascii="Arial" w:cs="Arial" w:eastAsia="Arial" w:hAnsi="Arial"/>
          <w:sz w:val="22"/>
          <w:szCs w:val="22"/>
          <w:b w:val="1"/>
          <w:bCs w:val="1"/>
          <w:color w:val="auto"/>
        </w:rPr>
        <w:t>Units</w:t>
      </w:r>
    </w:p>
    <w:p>
      <w:pPr>
        <w:ind w:left="4060"/>
        <w:spacing w:after="0"/>
        <w:rPr>
          <w:sz w:val="20"/>
          <w:szCs w:val="20"/>
          <w:color w:val="auto"/>
        </w:rPr>
      </w:pPr>
      <w:r>
        <w:rPr>
          <w:rFonts w:ascii="Arial" w:cs="Arial" w:eastAsia="Arial" w:hAnsi="Arial"/>
          <w:sz w:val="22"/>
          <w:szCs w:val="22"/>
          <w:b w:val="1"/>
          <w:bCs w:val="1"/>
          <w:color w:val="auto"/>
        </w:rPr>
        <w:t>Offered by Lucid Group, Inc.</w:t>
      </w:r>
    </w:p>
    <w:p>
      <w:pPr>
        <w:spacing w:after="0" w:line="34" w:lineRule="exact"/>
        <w:rPr>
          <w:sz w:val="20"/>
          <w:szCs w:val="20"/>
          <w:color w:val="auto"/>
        </w:rPr>
      </w:pPr>
    </w:p>
    <w:p>
      <w:pPr>
        <w:ind w:left="3460"/>
        <w:spacing w:after="0"/>
        <w:rPr>
          <w:sz w:val="20"/>
          <w:szCs w:val="20"/>
          <w:color w:val="auto"/>
        </w:rPr>
      </w:pPr>
      <w:r>
        <w:rPr>
          <w:rFonts w:ascii="Arial" w:cs="Arial" w:eastAsia="Arial" w:hAnsi="Arial"/>
          <w:sz w:val="22"/>
          <w:szCs w:val="22"/>
          <w:b w:val="1"/>
          <w:bCs w:val="1"/>
          <w:color w:val="auto"/>
        </w:rPr>
        <w:t>Up to 44,350,000 Shares of Common Stock</w:t>
      </w:r>
    </w:p>
    <w:p>
      <w:pPr>
        <w:spacing w:after="0" w:line="4"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and</w:t>
      </w:r>
    </w:p>
    <w:p>
      <w:pPr>
        <w:jc w:val="center"/>
        <w:ind w:right="-459"/>
        <w:spacing w:after="0" w:line="230" w:lineRule="auto"/>
        <w:rPr>
          <w:sz w:val="20"/>
          <w:szCs w:val="20"/>
          <w:color w:val="auto"/>
        </w:rPr>
      </w:pPr>
      <w:r>
        <w:rPr>
          <w:rFonts w:ascii="Arial" w:cs="Arial" w:eastAsia="Arial" w:hAnsi="Arial"/>
          <w:sz w:val="22"/>
          <w:szCs w:val="22"/>
          <w:b w:val="1"/>
          <w:bCs w:val="1"/>
          <w:color w:val="auto"/>
        </w:rPr>
        <w:t>Up to 1,189,450,445 Shares of Common Stock</w:t>
      </w:r>
    </w:p>
    <w:p>
      <w:pPr>
        <w:jc w:val="center"/>
        <w:ind w:right="-459"/>
        <w:spacing w:after="0" w:line="231" w:lineRule="auto"/>
        <w:rPr>
          <w:sz w:val="20"/>
          <w:szCs w:val="20"/>
          <w:color w:val="auto"/>
        </w:rPr>
      </w:pPr>
      <w:r>
        <w:rPr>
          <w:rFonts w:ascii="Arial" w:cs="Arial" w:eastAsia="Arial" w:hAnsi="Arial"/>
          <w:sz w:val="22"/>
          <w:szCs w:val="22"/>
          <w:b w:val="1"/>
          <w:bCs w:val="1"/>
          <w:color w:val="auto"/>
        </w:rPr>
        <w:t>Up to 44,350,000 Warrants to Purchase Common Stock</w:t>
      </w:r>
    </w:p>
    <w:p>
      <w:pPr>
        <w:jc w:val="center"/>
        <w:ind w:right="-499"/>
        <w:spacing w:after="0"/>
        <w:rPr>
          <w:sz w:val="20"/>
          <w:szCs w:val="20"/>
          <w:color w:val="auto"/>
        </w:rPr>
      </w:pPr>
      <w:r>
        <w:rPr>
          <w:rFonts w:ascii="Arial" w:cs="Arial" w:eastAsia="Arial" w:hAnsi="Arial"/>
          <w:sz w:val="22"/>
          <w:szCs w:val="22"/>
          <w:b w:val="1"/>
          <w:bCs w:val="1"/>
          <w:color w:val="auto"/>
        </w:rPr>
        <w:t>Offered by the Selling Securityholders</w:t>
      </w:r>
    </w:p>
    <w:p>
      <w:pPr>
        <w:spacing w:after="0" w:line="43" w:lineRule="exact"/>
        <w:rPr>
          <w:sz w:val="20"/>
          <w:szCs w:val="20"/>
          <w:color w:val="auto"/>
        </w:rPr>
      </w:pPr>
    </w:p>
    <w:p>
      <w:pPr>
        <w:ind w:left="500" w:right="20" w:firstLine="360"/>
        <w:spacing w:after="0" w:line="237" w:lineRule="auto"/>
        <w:rPr>
          <w:sz w:val="20"/>
          <w:szCs w:val="20"/>
          <w:color w:val="auto"/>
        </w:rPr>
      </w:pPr>
      <w:r>
        <w:rPr>
          <w:rFonts w:ascii="Arial" w:cs="Arial" w:eastAsia="Arial" w:hAnsi="Arial"/>
          <w:sz w:val="17"/>
          <w:szCs w:val="17"/>
          <w:color w:val="auto"/>
        </w:rPr>
        <w:t>Lucid Group, Inc. may from time to time offer and sell common stock, preferred stock, depositary shares representing preferred stock, debt securities, warrants, purchase contracts or units in one or more offerings of up to $8,000,000,000 in aggregate offering price. In addition, this prospectus relates to the issuance by us of up to 44,350,000 shares of the Company’s Class A common stock, par value $ 0.0001 per share (“common stock”), consisting of (a) 42,850,000 shares of common stock that are issuable upon exercise of the Private Placement Warrants (as defined below) and (b) 1,500,000 shares of common stock issuable upon exercise of the Working Capital Warrants (as defined below).</w:t>
      </w:r>
    </w:p>
    <w:p>
      <w:pPr>
        <w:spacing w:after="0" w:line="57" w:lineRule="exact"/>
        <w:rPr>
          <w:sz w:val="20"/>
          <w:szCs w:val="20"/>
          <w:color w:val="auto"/>
        </w:rPr>
      </w:pPr>
    </w:p>
    <w:p>
      <w:pPr>
        <w:ind w:left="500" w:right="220" w:firstLine="360"/>
        <w:spacing w:after="0" w:line="255" w:lineRule="auto"/>
        <w:rPr>
          <w:sz w:val="20"/>
          <w:szCs w:val="20"/>
          <w:color w:val="auto"/>
        </w:rPr>
      </w:pPr>
      <w:r>
        <w:rPr>
          <w:rFonts w:ascii="Arial" w:cs="Arial" w:eastAsia="Arial" w:hAnsi="Arial"/>
          <w:sz w:val="16"/>
          <w:szCs w:val="16"/>
          <w:color w:val="auto"/>
        </w:rPr>
        <w:t>The prospectus also relates to the offer and resale from time to time by the selling securityholders named in this prospectus (the “Selling Securityholders”), or their permitted transferees, of (a) up to 1,189,450,445 shares of common stock, consisting of</w:t>
      </w:r>
    </w:p>
    <w:p>
      <w:pPr>
        <w:spacing w:after="0" w:line="1" w:lineRule="exact"/>
        <w:rPr>
          <w:sz w:val="20"/>
          <w:szCs w:val="20"/>
          <w:color w:val="auto"/>
        </w:rPr>
      </w:pPr>
    </w:p>
    <w:p>
      <w:pPr>
        <w:ind w:left="500" w:right="120" w:hanging="8"/>
        <w:spacing w:after="0" w:line="236" w:lineRule="auto"/>
        <w:tabs>
          <w:tab w:leader="none" w:pos="718" w:val="left"/>
        </w:tabs>
        <w:numPr>
          <w:ilvl w:val="0"/>
          <w:numId w:val="13"/>
        </w:numPr>
        <w:rPr>
          <w:rFonts w:ascii="Arial" w:cs="Arial" w:eastAsia="Arial" w:hAnsi="Arial"/>
          <w:sz w:val="17"/>
          <w:szCs w:val="17"/>
          <w:color w:val="auto"/>
        </w:rPr>
      </w:pPr>
      <w:r>
        <w:rPr>
          <w:rFonts w:ascii="Arial" w:cs="Arial" w:eastAsia="Arial" w:hAnsi="Arial"/>
          <w:sz w:val="17"/>
          <w:szCs w:val="17"/>
          <w:color w:val="auto"/>
        </w:rPr>
        <w:t>1,115,163,848 issued and outstanding shares of common stock, (ii) 29,936,597 shares of common stock subject to vesting and/or exercise of the assumed Legacy Lucid Awards (as defined below) and (iii) 44,350,000 shares of common stock issuable upon exercise of the Private Placement Warrants and the Working Capital Warrants, and (b) 44,350,000 warrants representing the Private Placement Warrants and the Working Capital Warrants.</w:t>
      </w:r>
    </w:p>
    <w:p>
      <w:pPr>
        <w:spacing w:after="0" w:line="41" w:lineRule="exact"/>
        <w:rPr>
          <w:sz w:val="20"/>
          <w:szCs w:val="20"/>
          <w:color w:val="auto"/>
        </w:rPr>
      </w:pPr>
    </w:p>
    <w:p>
      <w:pPr>
        <w:ind w:left="500" w:firstLine="360"/>
        <w:spacing w:after="0" w:line="252" w:lineRule="auto"/>
        <w:rPr>
          <w:sz w:val="20"/>
          <w:szCs w:val="20"/>
          <w:color w:val="auto"/>
        </w:rPr>
      </w:pPr>
      <w:r>
        <w:rPr>
          <w:rFonts w:ascii="Arial" w:cs="Arial" w:eastAsia="Arial" w:hAnsi="Arial"/>
          <w:sz w:val="16"/>
          <w:szCs w:val="16"/>
          <w:color w:val="auto"/>
        </w:rPr>
        <w:t>Our registration of the securities covered by this prospectus does not mean that either we or the Selling Securityholders will issue, offer or sell, as applicable, any of the securities. We and the Selling Securityholders may offer and sell the securities covered by this prospectus in a number of different ways and at varying prices. The securities may be sold directly to you, through agents, or through underwriters and dealers. If agents, underwriters or dealers are used to sell the securities, we will name them in a prospectus supplement. We provide more information about how we and the Selling Securityholders may sell the securities in the section entitled “Plan of Distribution.”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“Description of Capital Stock” for more information.</w:t>
      </w:r>
    </w:p>
    <w:p>
      <w:pPr>
        <w:spacing w:after="0" w:line="34" w:lineRule="exact"/>
        <w:rPr>
          <w:sz w:val="20"/>
          <w:szCs w:val="20"/>
          <w:color w:val="auto"/>
        </w:rPr>
      </w:pPr>
    </w:p>
    <w:p>
      <w:pPr>
        <w:ind w:left="500" w:right="120" w:firstLine="360"/>
        <w:spacing w:after="0"/>
        <w:rPr>
          <w:sz w:val="20"/>
          <w:szCs w:val="20"/>
          <w:color w:val="auto"/>
        </w:rPr>
      </w:pPr>
      <w:r>
        <w:rPr>
          <w:rFonts w:ascii="Arial" w:cs="Arial" w:eastAsia="Arial" w:hAnsi="Arial"/>
          <w:sz w:val="17"/>
          <w:szCs w:val="17"/>
          <w:color w:val="auto"/>
        </w:rPr>
        <w:t>Our majority stockholder, Ayar (as defined below), owned approximately 60.7% of our outstanding common stock as of June 30, 2022. As a result, we are a “controlled company” within the meaning of Nasdaq rules and, as a result, qualify for exemptions from certain corporate governance requirements. Ayar also currently has the ability to nominate five of the nine directors to our Board (as defined below).</w:t>
      </w:r>
    </w:p>
    <w:p>
      <w:pPr>
        <w:spacing w:after="0" w:line="55" w:lineRule="exact"/>
        <w:rPr>
          <w:sz w:val="20"/>
          <w:szCs w:val="20"/>
          <w:color w:val="auto"/>
        </w:rPr>
      </w:pPr>
    </w:p>
    <w:p>
      <w:pPr>
        <w:ind w:left="500" w:right="20" w:firstLine="360"/>
        <w:spacing w:after="0" w:line="238" w:lineRule="auto"/>
        <w:rPr>
          <w:sz w:val="20"/>
          <w:szCs w:val="20"/>
          <w:color w:val="auto"/>
        </w:rPr>
      </w:pPr>
      <w:r>
        <w:rPr>
          <w:rFonts w:ascii="Arial" w:cs="Arial" w:eastAsia="Arial" w:hAnsi="Arial"/>
          <w:sz w:val="17"/>
          <w:szCs w:val="17"/>
          <w:color w:val="auto"/>
        </w:rPr>
        <w:t>We will receive proceeds from the issuance and sale of our common stock, preferred stock, depositary shares representing preferred stock, debt securities, warrants, purchase contracts or units. We will not receive any proceeds from the sale of shares of common stock or warrants by the Selling Securityholders pursuant to this prospectus, except with respect to amounts received by us upon exercise of the warrants to the extent such warrants are exercised for cash. However, we will pay certain expenses associated with the sale of securities pursuant to this prospectus, as described in the section titled “Plan of Distribution.”</w:t>
      </w:r>
    </w:p>
    <w:p>
      <w:pPr>
        <w:spacing w:after="0" w:line="43" w:lineRule="exact"/>
        <w:rPr>
          <w:sz w:val="20"/>
          <w:szCs w:val="20"/>
          <w:color w:val="auto"/>
        </w:rPr>
      </w:pPr>
    </w:p>
    <w:p>
      <w:pPr>
        <w:ind w:left="500" w:right="160" w:firstLine="360"/>
        <w:spacing w:after="0" w:line="257" w:lineRule="auto"/>
        <w:rPr>
          <w:sz w:val="20"/>
          <w:szCs w:val="20"/>
          <w:color w:val="auto"/>
        </w:rPr>
      </w:pPr>
      <w:r>
        <w:rPr>
          <w:rFonts w:ascii="Arial" w:cs="Arial" w:eastAsia="Arial" w:hAnsi="Arial"/>
          <w:sz w:val="17"/>
          <w:szCs w:val="17"/>
          <w:color w:val="auto"/>
        </w:rPr>
        <w:t>Our common stock is listed on The Nasdaq Stock Market LLC under the symbol “LCID.” On August 26, 2022, the closing price of our common stock was $16.24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62865</wp:posOffset>
            </wp:positionV>
            <wp:extent cx="1234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0"/>
          <w:szCs w:val="20"/>
          <w:color w:val="auto"/>
        </w:rPr>
      </w:pPr>
    </w:p>
    <w:p>
      <w:pPr>
        <w:ind w:left="500" w:firstLine="360"/>
        <w:spacing w:after="0" w:line="306" w:lineRule="auto"/>
        <w:rPr>
          <w:rFonts w:ascii="Arial" w:cs="Arial" w:eastAsia="Arial" w:hAnsi="Arial"/>
          <w:sz w:val="14"/>
          <w:szCs w:val="14"/>
          <w:b w:val="1"/>
          <w:bCs w:val="1"/>
          <w:color w:val="0000EE"/>
        </w:rPr>
      </w:pPr>
      <w:r>
        <w:rPr>
          <w:rFonts w:ascii="Arial" w:cs="Arial" w:eastAsia="Arial" w:hAnsi="Arial"/>
          <w:sz w:val="14"/>
          <w:szCs w:val="14"/>
          <w:b w:val="1"/>
          <w:bCs w:val="1"/>
          <w:color w:val="auto"/>
        </w:rPr>
        <w:t xml:space="preserve">Investing in these securities involves certain risks. You should review carefully the risks and uncertainties described under the heading </w:t>
      </w:r>
      <w:hyperlink r:id="rId33">
        <w:r>
          <w:rPr>
            <w:rFonts w:ascii="Arial" w:cs="Arial" w:eastAsia="Arial" w:hAnsi="Arial"/>
            <w:sz w:val="14"/>
            <w:szCs w:val="14"/>
            <w:b w:val="1"/>
            <w:bCs w:val="1"/>
            <w:color w:val="auto"/>
          </w:rPr>
          <w:t xml:space="preserve">“Risk Factors” beginning on page </w:t>
        </w:r>
        <w:r>
          <w:rPr>
            <w:rFonts w:ascii="Arial" w:cs="Arial" w:eastAsia="Arial" w:hAnsi="Arial"/>
            <w:sz w:val="14"/>
            <w:szCs w:val="14"/>
            <w:b w:val="1"/>
            <w:bCs w:val="1"/>
            <w:u w:val="single" w:color="auto"/>
            <w:color w:val="0000EE"/>
          </w:rPr>
          <w:t>3</w:t>
        </w:r>
        <w:r>
          <w:rPr>
            <w:rFonts w:ascii="Arial" w:cs="Arial" w:eastAsia="Arial" w:hAnsi="Arial"/>
            <w:sz w:val="14"/>
            <w:szCs w:val="14"/>
            <w:b w:val="1"/>
            <w:bCs w:val="1"/>
            <w:color w:val="auto"/>
          </w:rPr>
          <w:t xml:space="preserve"> of this prospectus, and beginning on page 46 of our </w:t>
        </w:r>
        <w:r>
          <w:rPr>
            <w:rFonts w:ascii="Arial" w:cs="Arial" w:eastAsia="Arial" w:hAnsi="Arial"/>
            <w:sz w:val="14"/>
            <w:szCs w:val="14"/>
            <w:b w:val="1"/>
            <w:bCs w:val="1"/>
            <w:u w:val="single" w:color="auto"/>
            <w:color w:val="0000EE"/>
          </w:rPr>
          <w:t>Quarterly Report on Form 10-Q for the quarter</w:t>
        </w:r>
      </w:hyperlink>
      <w:r>
        <w:rPr>
          <w:rFonts w:ascii="Arial" w:cs="Arial" w:eastAsia="Arial" w:hAnsi="Arial"/>
          <w:sz w:val="14"/>
          <w:szCs w:val="14"/>
          <w:b w:val="1"/>
          <w:bCs w:val="1"/>
          <w:color w:val="auto"/>
        </w:rPr>
        <w:t xml:space="preserve"> </w:t>
      </w:r>
      <w:hyperlink r:id="rId33">
        <w:r>
          <w:rPr>
            <w:rFonts w:ascii="Arial" w:cs="Arial" w:eastAsia="Arial" w:hAnsi="Arial"/>
            <w:sz w:val="14"/>
            <w:szCs w:val="14"/>
            <w:b w:val="1"/>
            <w:bCs w:val="1"/>
            <w:u w:val="single" w:color="auto"/>
            <w:color w:val="0000EE"/>
          </w:rPr>
          <w:t>ended June 30, 2022</w:t>
        </w:r>
        <w:r>
          <w:rPr>
            <w:rFonts w:ascii="Arial" w:cs="Arial" w:eastAsia="Arial" w:hAnsi="Arial"/>
            <w:sz w:val="14"/>
            <w:szCs w:val="14"/>
            <w:b w:val="1"/>
            <w:bCs w:val="1"/>
            <w:color w:val="000000"/>
          </w:rPr>
          <w:t xml:space="preserve">, both of which are incorporated herein by reference, as amended or supplemented from time to time by any risk </w:t>
        </w:r>
      </w:hyperlink>
      <w:r>
        <w:rPr>
          <w:rFonts w:ascii="Arial" w:cs="Arial" w:eastAsia="Arial" w:hAnsi="Arial"/>
          <w:sz w:val="14"/>
          <w:szCs w:val="14"/>
          <w:b w:val="1"/>
          <w:bCs w:val="1"/>
          <w:color w:val="0000EE"/>
        </w:rPr>
        <w:t xml:space="preserve">factors </w:t>
      </w:r>
      <w:r>
        <w:rPr>
          <w:rFonts w:ascii="Arial" w:cs="Arial" w:eastAsia="Arial" w:hAnsi="Arial"/>
          <w:sz w:val="14"/>
          <w:szCs w:val="14"/>
          <w:b w:val="1"/>
          <w:bCs w:val="1"/>
          <w:color w:val="000000"/>
        </w:rPr>
        <w:t>we include in subsequent Annual or Quarterly Reports on Form 10-K or 10-Q, respectively, and incorporated herein by reference.</w:t>
      </w:r>
    </w:p>
    <w:p>
      <w:pPr>
        <w:spacing w:after="0" w:line="2" w:lineRule="exact"/>
        <w:rPr>
          <w:sz w:val="20"/>
          <w:szCs w:val="20"/>
          <w:color w:val="auto"/>
        </w:rPr>
      </w:pPr>
    </w:p>
    <w:p>
      <w:pPr>
        <w:ind w:left="500" w:right="80" w:firstLine="360"/>
        <w:spacing w:after="0" w:line="312"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these securities, or determined if this prospectus is truthful or complete. Any representation to the contrary is a criminal offense.</w:t>
      </w:r>
    </w:p>
    <w:p>
      <w:pPr>
        <w:spacing w:after="0" w:line="1" w:lineRule="exact"/>
        <w:rPr>
          <w:sz w:val="20"/>
          <w:szCs w:val="20"/>
          <w:color w:val="auto"/>
        </w:rPr>
      </w:pPr>
    </w:p>
    <w:p>
      <w:pPr>
        <w:ind w:left="3620"/>
        <w:spacing w:after="0"/>
        <w:rPr>
          <w:sz w:val="20"/>
          <w:szCs w:val="20"/>
          <w:color w:val="auto"/>
        </w:rPr>
      </w:pPr>
      <w:r>
        <w:rPr>
          <w:rFonts w:ascii="Arial" w:cs="Arial" w:eastAsia="Arial" w:hAnsi="Arial"/>
          <w:sz w:val="17"/>
          <w:szCs w:val="17"/>
          <w:color w:val="auto"/>
        </w:rPr>
        <w:t>The date of this prospectus is September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92710</wp:posOffset>
            </wp:positionV>
            <wp:extent cx="1234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337185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111760</wp:posOffset>
            </wp:positionV>
            <wp:extent cx="1234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9"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Frequently Used Terms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Units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United States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126365</wp:posOffset>
            </wp:positionV>
            <wp:extent cx="1234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ind w:right="1700"/>
        <w:spacing w:after="0"/>
        <w:rPr>
          <w:sz w:val="20"/>
          <w:szCs w:val="20"/>
          <w:color w:val="auto"/>
        </w:rPr>
      </w:pPr>
      <w:r>
        <w:rPr>
          <w:rFonts w:ascii="Arial" w:cs="Arial" w:eastAsia="Arial" w:hAnsi="Arial"/>
          <w:sz w:val="18"/>
          <w:szCs w:val="18"/>
          <w:b w:val="1"/>
          <w:bCs w:val="1"/>
          <w:color w:val="auto"/>
        </w:rPr>
        <w:t>ABOUT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Page </w:t>
      </w:r>
      <w:r>
        <w:rPr>
          <w:rFonts w:ascii="Arial" w:cs="Arial" w:eastAsia="Arial" w:hAnsi="Arial"/>
          <w:sz w:val="28"/>
          <w:szCs w:val="28"/>
          <w:b w:val="1"/>
          <w:bCs w:val="1"/>
          <w:color w:val="auto"/>
          <w:vertAlign w:val="subscript"/>
        </w:rPr>
        <w:t>​</w:t>
      </w:r>
    </w:p>
    <w:p>
      <w:pPr>
        <w:spacing w:after="0" w:line="95" w:lineRule="exact"/>
        <w:rPr>
          <w:sz w:val="20"/>
          <w:szCs w:val="20"/>
          <w:color w:val="auto"/>
        </w:rPr>
      </w:pPr>
    </w:p>
    <w:p>
      <w:pPr>
        <w:ind w:left="40"/>
        <w:spacing w:after="0"/>
        <w:tabs>
          <w:tab w:leader="none" w:pos="440" w:val="left"/>
        </w:tabs>
        <w:rPr>
          <w:sz w:val="20"/>
          <w:szCs w:val="20"/>
          <w:color w:val="auto"/>
        </w:rPr>
      </w:pPr>
      <w:r>
        <w:rPr>
          <w:rFonts w:ascii="Arial" w:cs="Arial" w:eastAsia="Arial" w:hAnsi="Arial"/>
          <w:sz w:val="18"/>
          <w:szCs w:val="18"/>
          <w:color w:val="auto"/>
        </w:rPr>
        <w:t>​ ​ ​</w:t>
      </w:r>
      <w:r>
        <w:rPr>
          <w:sz w:val="20"/>
          <w:szCs w:val="20"/>
          <w:color w:val="auto"/>
        </w:rPr>
        <w:tab/>
      </w:r>
      <w:r>
        <w:rPr>
          <w:rFonts w:ascii="Arial" w:cs="Arial" w:eastAsia="Arial" w:hAnsi="Arial"/>
          <w:sz w:val="18"/>
          <w:szCs w:val="18"/>
          <w:u w:val="single" w:color="auto"/>
          <w:color w:val="0000EE"/>
        </w:rPr>
        <w:t xml:space="preserve">i </w:t>
      </w:r>
      <w:r>
        <w:rPr>
          <w:rFonts w:ascii="Arial" w:cs="Arial" w:eastAsia="Arial" w:hAnsi="Arial"/>
          <w:sz w:val="18"/>
          <w:szCs w:val="18"/>
          <w:b w:val="1"/>
          <w:bCs w:val="1"/>
          <w:color w:val="000000"/>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iv</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v</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 ​ ​</w:t>
      </w:r>
      <w:r>
        <w:rPr>
          <w:rFonts w:ascii="Arial" w:cs="Arial" w:eastAsia="Arial" w:hAnsi="Arial"/>
          <w:sz w:val="18"/>
          <w:szCs w:val="18"/>
          <w:u w:val="single" w:color="auto"/>
          <w:color w:val="0000EE"/>
        </w:rPr>
        <w:t>viii</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3</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10</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26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27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28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29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30</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35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40</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46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47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846" w:lineRule="exact"/>
        <w:rPr>
          <w:sz w:val="20"/>
          <w:szCs w:val="20"/>
          <w:color w:val="auto"/>
        </w:rPr>
      </w:pPr>
    </w:p>
    <w:p>
      <w:pPr>
        <w:sectPr>
          <w:pgSz w:w="11900" w:h="16838" w:orient="portrait"/>
          <w:cols w:equalWidth="0" w:num="2">
            <w:col w:w="8200" w:space="720"/>
            <w:col w:w="959"/>
          </w:cols>
          <w:pgMar w:left="580" w:top="131" w:right="1440" w:bottom="1440" w:gutter="0" w:footer="0" w:header="0"/>
        </w:sectPr>
      </w:pPr>
    </w:p>
    <w:p>
      <w:pPr>
        <w:ind w:left="1260" w:right="779" w:firstLine="360"/>
        <w:spacing w:after="0" w:line="243"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w:t>
      </w:r>
    </w:p>
    <w:p>
      <w:pPr>
        <w:spacing w:after="0" w:line="120"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7"/>
          <w:szCs w:val="17"/>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03"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Neither we nor the Selling Securityholders have authorized anyone to provide any information or to make any representations other than those contained in this prospectus, or any accompanying prospectus supplement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22" w:lineRule="exact"/>
        <w:rPr>
          <w:sz w:val="20"/>
          <w:szCs w:val="20"/>
          <w:color w:val="auto"/>
        </w:rPr>
      </w:pPr>
    </w:p>
    <w:p>
      <w:pPr>
        <w:ind w:left="1260" w:right="1059" w:firstLine="360"/>
        <w:spacing w:after="0" w:line="308" w:lineRule="auto"/>
        <w:rPr>
          <w:sz w:val="20"/>
          <w:szCs w:val="20"/>
          <w:color w:val="auto"/>
        </w:rPr>
      </w:pPr>
      <w:r>
        <w:rPr>
          <w:rFonts w:ascii="Arial" w:cs="Arial" w:eastAsia="Arial" w:hAnsi="Arial"/>
          <w:sz w:val="17"/>
          <w:szCs w:val="17"/>
          <w:color w:val="auto"/>
        </w:rPr>
        <w:t>This prospectus contains summaries of certain provisions contained in some of the documents described herein, but reference is made to the actual documents for complete information. All of the</w:t>
      </w:r>
    </w:p>
    <w:p>
      <w:pPr>
        <w:sectPr>
          <w:pgSz w:w="11900" w:h="16838" w:orient="portrait"/>
          <w:cols w:equalWidth="0" w:num="1">
            <w:col w:w="9879"/>
          </w:cols>
          <w:pgMar w:left="580" w:top="131" w:right="1440" w:bottom="1440" w:gutter="0" w:footer="0" w:header="0"/>
          <w:type w:val="continuous"/>
        </w:sectPr>
      </w:pPr>
    </w:p>
    <w:p>
      <w:pPr>
        <w:spacing w:after="0" w:line="308"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9" w:lineRule="auto"/>
        <w:rPr>
          <w:sz w:val="20"/>
          <w:szCs w:val="20"/>
          <w:color w:val="auto"/>
        </w:rPr>
      </w:pPr>
      <w:r>
        <w:rPr>
          <w:rFonts w:ascii="Arial" w:cs="Arial" w:eastAsia="Arial" w:hAnsi="Arial"/>
          <w:sz w:val="18"/>
          <w:szCs w:val="18"/>
          <w:color w:val="auto"/>
        </w:rPr>
        <w:t>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119"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On July 23, 2021, or the Closing Date, our predecessor Churchill consummated the Transactions, including the previously announced Merger pursuant to the terms of the Merger Agreement, which, among other things, provided for the merger of Merger Sub with and into Atieva, Inc., d/b/a Lucid Motors, with Atieva, Inc. surviving such merger as a wholly owned subsidiary of Churchill (each defined term as defined below). In connection with the Transactions, Churchill changed its name to Lucid Group, Inc. and listed shares of its common stock on the Nasdaq Global Select Market under the ticker symbol “LCID.”</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FAQ: About This Form S-3</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is a Form S-3 registration statement?</w:t>
      </w:r>
    </w:p>
    <w:p>
      <w:pPr>
        <w:spacing w:after="0" w:line="15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Form S-3 is a simplified and abbreviated form for registering securities with the SEC. In certain cases, domestic companies are eligible to use Form S-3 instead of a longer Form S-1. Filing a Form S-3 offers distinct time and cost savings over filing a Form S-1.</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Why is Lucid filing a Form S-3?</w:t>
      </w:r>
    </w:p>
    <w:p>
      <w:pPr>
        <w:spacing w:after="0" w:line="144"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We believe that an effective registration statement on Form S-3 will provide us with greater flexibility to raise capital in the future. In addition, our Investor Rights Agreement requires us to convert our existing Form S-1 registration statement into a Form S-3 as soon as practicable after we are eligible to use Form S-3.</w:t>
      </w:r>
    </w:p>
    <w:p>
      <w:pPr>
        <w:spacing w:after="0" w:line="16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Why is Lucid filing a Form S-3 now?</w:t>
      </w:r>
    </w:p>
    <w:p>
      <w:pPr>
        <w:spacing w:after="0" w:line="158" w:lineRule="exact"/>
        <w:rPr>
          <w:sz w:val="20"/>
          <w:szCs w:val="20"/>
          <w:color w:val="auto"/>
        </w:rPr>
      </w:pPr>
    </w:p>
    <w:p>
      <w:pPr>
        <w:ind w:left="1260" w:right="1439" w:firstLine="360"/>
        <w:spacing w:after="0" w:line="277" w:lineRule="auto"/>
        <w:rPr>
          <w:sz w:val="20"/>
          <w:szCs w:val="20"/>
          <w:color w:val="auto"/>
        </w:rPr>
      </w:pPr>
      <w:r>
        <w:rPr>
          <w:rFonts w:ascii="Arial" w:cs="Arial" w:eastAsia="Arial" w:hAnsi="Arial"/>
          <w:sz w:val="18"/>
          <w:szCs w:val="18"/>
          <w:color w:val="auto"/>
        </w:rPr>
        <w:t>We became eligible to file a registration statement on Form S-3 on August 1, 2022, twelve calendar months following the closing of the Transactions.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Is Lucid currently offering and selling $8 billion in new securities?</w:t>
      </w:r>
    </w:p>
    <w:p>
      <w:pPr>
        <w:spacing w:after="0" w:line="158"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Lucid is not offering or selling any new securities as of the filing of this registration statement. After this registration statement is declared effective by the SEC, we may, from time to time, issue, offer and sell any combination of the securities described in this prospectus in one or more offerings, up to an aggregate offering amount of $8 billion, over the three years after this registration statement is declared effective by the SEC. (This amount does not include shares of common stock that we may issue to holders of the Private Placement Warrants and the Working Capital Warrants pursuant to the exercise of those warrants under this registration statement.) If Lucid decides to raise capital in an offering under this registration statement after the registration statement is declared effective, Lucid will describe the specific details of that future offering in a prospectus supplement that is filed with the SEC.</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7"/>
          <w:szCs w:val="17"/>
          <w:i w:val="1"/>
          <w:iCs w:val="1"/>
          <w:u w:val="single" w:color="auto"/>
          <w:color w:val="auto"/>
        </w:rPr>
        <w:t>What are the other shares of common stock and warrants that are offered by this registration statement?</w:t>
      </w:r>
    </w:p>
    <w:p>
      <w:pPr>
        <w:spacing w:after="0" w:line="156"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This registration statement also registers the resale of up to 1,189,450,445 shares of common stock and up to 44,350,000 warrants held by selling securityholders named in the section of this prospectus titled “Selling Securityholders” and referred to herein as the “Selling Securityholders.” These securities were previously registered on our Form S-1 shelf registration statement (File No. 333-258348), which was initially declared effective by the SEC on August 24, 2021, and which we sometimes refer to in this prospectus as the “Existing Registration Statement.” They include shares of common stock that are held by certain of our affiliates that are party to the Investor Rights Agreement, shares of common stock that Lucid sold in the PIPE Investment, the Private Placement Warrants and Working Capital Warrants. In addition, as with the Form S-1 shelf registration statement, we are registering the issuance of up to 44,350,000 shares of common stock that we may issue to holders of the Private Placement Warrants and the Working Capital Warrants upon the exercise of those warrants.</w:t>
      </w: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Why is Lucid registering the resale of these shares of common stock and warrants?</w:t>
      </w:r>
    </w:p>
    <w:p>
      <w:pPr>
        <w:spacing w:after="0" w:line="158" w:lineRule="exact"/>
        <w:rPr>
          <w:sz w:val="20"/>
          <w:szCs w:val="20"/>
          <w:color w:val="auto"/>
        </w:rPr>
      </w:pPr>
    </w:p>
    <w:p>
      <w:pPr>
        <w:ind w:left="1260" w:right="479" w:firstLine="360"/>
        <w:spacing w:after="0" w:line="269" w:lineRule="auto"/>
        <w:rPr>
          <w:sz w:val="20"/>
          <w:szCs w:val="20"/>
          <w:color w:val="auto"/>
        </w:rPr>
      </w:pPr>
      <w:r>
        <w:rPr>
          <w:rFonts w:ascii="Arial" w:cs="Arial" w:eastAsia="Arial" w:hAnsi="Arial"/>
          <w:sz w:val="17"/>
          <w:szCs w:val="17"/>
          <w:color w:val="auto"/>
        </w:rPr>
        <w:t>The Investor Rights Agreement and the PIPE Subscription Agreements require us to register certain securities for resale by the Selling Securityholders. In general, the shares of common stock and warrants that we are registering for resale on this Form S-3 registration statement are subject to restrictions on resale under the U.S. federal securities laws that can make their resale more difficult if the resale is not registered. These include securities that were acquired in private placements, such as the Private Placement Warrants and the shares of common stock that were sold in the PIPE Investment. They also include securities that are held by our affiliates. We are registering all of these securities pursuant to our contractual obligations to allow the Selling Securityholders additional flexibility if they decide to sell. The registration of these securities does not mean that any Selling Securityholder has made a decision to sell their securities in the near term, or at all. The shares of common stock held by the Sponsor, as well as the Private Placement Warrants and the Working Capital Warrants and the shares issuable upon exercise of those warrants, are subject to restrictions on resale until January 23,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104"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9" w:lineRule="exact"/>
        <w:rPr>
          <w:sz w:val="20"/>
          <w:szCs w:val="20"/>
          <w:color w:val="auto"/>
        </w:rPr>
      </w:pPr>
    </w:p>
    <w:p>
      <w:pPr>
        <w:ind w:left="1800" w:right="111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Annual Report Form 10-K for the year ended </w:t>
      </w:r>
      <w:hyperlink r:id="rId85">
        <w:r>
          <w:rPr>
            <w:rFonts w:ascii="Arial" w:cs="Arial" w:eastAsia="Arial" w:hAnsi="Arial"/>
            <w:sz w:val="18"/>
            <w:szCs w:val="18"/>
            <w:u w:val="single" w:color="auto"/>
            <w:color w:val="0000EE"/>
          </w:rPr>
          <w:t>December 31, 2021</w:t>
        </w:r>
      </w:hyperlink>
      <w:r>
        <w:rPr>
          <w:rFonts w:ascii="Arial" w:cs="Arial" w:eastAsia="Arial" w:hAnsi="Arial"/>
          <w:sz w:val="18"/>
          <w:szCs w:val="18"/>
          <w:color w:val="auto"/>
        </w:rPr>
        <w:t>, filed with the SEC on February 28, 2022;</w:t>
      </w:r>
    </w:p>
    <w:p>
      <w:pPr>
        <w:spacing w:after="0" w:line="62"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2022 and June 30, 2022, filed with the SEC on </w:t>
      </w:r>
      <w:hyperlink r:id="rId86">
        <w:r>
          <w:rPr>
            <w:rFonts w:ascii="Arial" w:cs="Arial" w:eastAsia="Arial" w:hAnsi="Arial"/>
            <w:sz w:val="18"/>
            <w:szCs w:val="18"/>
            <w:u w:val="single" w:color="auto"/>
            <w:color w:val="0000EE"/>
          </w:rPr>
          <w:t>May 5, 2022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on </w:t>
      </w:r>
      <w:hyperlink r:id="rId33">
        <w:r>
          <w:rPr>
            <w:rFonts w:ascii="Arial" w:cs="Arial" w:eastAsia="Arial" w:hAnsi="Arial"/>
            <w:sz w:val="18"/>
            <w:szCs w:val="18"/>
            <w:u w:val="single" w:color="auto"/>
            <w:color w:val="0000EE"/>
          </w:rPr>
          <w:t>August 3, 2022</w:t>
        </w:r>
      </w:hyperlink>
      <w:r>
        <w:rPr>
          <w:rFonts w:ascii="Arial" w:cs="Arial" w:eastAsia="Arial" w:hAnsi="Arial"/>
          <w:sz w:val="18"/>
          <w:szCs w:val="18"/>
          <w:color w:val="auto"/>
        </w:rPr>
        <w:t>, respectively;</w:t>
      </w:r>
    </w:p>
    <w:p>
      <w:pPr>
        <w:spacing w:after="0" w:line="62" w:lineRule="exact"/>
        <w:rPr>
          <w:rFonts w:ascii="Arial" w:cs="Arial" w:eastAsia="Arial" w:hAnsi="Arial"/>
          <w:sz w:val="18"/>
          <w:szCs w:val="18"/>
          <w:color w:val="auto"/>
        </w:rPr>
      </w:pPr>
    </w:p>
    <w:p>
      <w:pPr>
        <w:jc w:val="both"/>
        <w:ind w:left="1800" w:right="499" w:hanging="180"/>
        <w:spacing w:after="0" w:line="263" w:lineRule="auto"/>
        <w:tabs>
          <w:tab w:leader="none" w:pos="1800" w:val="left"/>
        </w:tabs>
        <w:numPr>
          <w:ilvl w:val="0"/>
          <w:numId w:val="14"/>
        </w:numPr>
        <w:rPr>
          <w:rFonts w:ascii="Arial" w:cs="Arial" w:eastAsia="Arial" w:hAnsi="Arial"/>
          <w:sz w:val="18"/>
          <w:szCs w:val="18"/>
          <w:color w:val="0000EE"/>
        </w:rPr>
      </w:pPr>
      <w:hyperlink r:id="rId31">
        <w:r>
          <w:rPr>
            <w:rFonts w:ascii="Arial" w:cs="Arial" w:eastAsia="Arial" w:hAnsi="Arial"/>
            <w:sz w:val="18"/>
            <w:szCs w:val="18"/>
            <w:color w:val="auto"/>
          </w:rPr>
          <w:t xml:space="preserve">information specifically incorporated by reference in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EE"/>
          </w:rPr>
          <w:t>year ended December 31, 2021</w:t>
        </w:r>
        <w:r>
          <w:rPr>
            <w:rFonts w:ascii="Arial" w:cs="Arial" w:eastAsia="Arial" w:hAnsi="Arial"/>
            <w:sz w:val="18"/>
            <w:szCs w:val="18"/>
            <w:color w:val="0000EE"/>
          </w:rPr>
          <w:t xml:space="preserve"> </w:t>
        </w:r>
        <w:r>
          <w:rPr>
            <w:rFonts w:ascii="Arial" w:cs="Arial" w:eastAsia="Arial" w:hAnsi="Arial"/>
            <w:sz w:val="18"/>
            <w:szCs w:val="18"/>
            <w:color w:val="000000"/>
          </w:rPr>
          <w:t>from our Definitive Proxy Statement on</w:t>
        </w:r>
        <w:r>
          <w:rPr>
            <w:rFonts w:ascii="Arial" w:cs="Arial" w:eastAsia="Arial" w:hAnsi="Arial"/>
            <w:sz w:val="18"/>
            <w:szCs w:val="18"/>
            <w:color w:val="0000EE"/>
          </w:rPr>
          <w:t xml:space="preserve"> </w:t>
        </w:r>
      </w:hyperlink>
      <w:hyperlink r:id="rId87">
        <w:r>
          <w:rPr>
            <w:rFonts w:ascii="Arial" w:cs="Arial" w:eastAsia="Arial" w:hAnsi="Arial"/>
            <w:sz w:val="18"/>
            <w:szCs w:val="18"/>
            <w:u w:val="single" w:color="auto"/>
            <w:color w:val="0000EE"/>
          </w:rPr>
          <w:t xml:space="preserve">Schedule 14A </w:t>
        </w:r>
      </w:hyperlink>
      <w:hyperlink r:id="rId31">
        <w:r>
          <w:rPr>
            <w:rFonts w:ascii="Arial" w:cs="Arial" w:eastAsia="Arial" w:hAnsi="Arial"/>
            <w:sz w:val="18"/>
            <w:szCs w:val="18"/>
            <w:color w:val="000000"/>
          </w:rPr>
          <w:t>filed with the</w:t>
        </w:r>
      </w:hyperlink>
      <w:r>
        <w:rPr>
          <w:rFonts w:ascii="Arial" w:cs="Arial" w:eastAsia="Arial" w:hAnsi="Arial"/>
          <w:sz w:val="18"/>
          <w:szCs w:val="18"/>
          <w:color w:val="0000EE"/>
        </w:rPr>
        <w:t xml:space="preserve"> </w:t>
      </w:r>
      <w:r>
        <w:rPr>
          <w:rFonts w:ascii="Arial" w:cs="Arial" w:eastAsia="Arial" w:hAnsi="Arial"/>
          <w:sz w:val="18"/>
          <w:szCs w:val="18"/>
          <w:color w:val="000000"/>
        </w:rPr>
        <w:t>SEC on April 28, 2022;</w:t>
      </w:r>
    </w:p>
    <w:p>
      <w:pPr>
        <w:spacing w:after="0" w:line="75" w:lineRule="exact"/>
        <w:rPr>
          <w:rFonts w:ascii="Arial" w:cs="Arial" w:eastAsia="Arial" w:hAnsi="Arial"/>
          <w:sz w:val="18"/>
          <w:szCs w:val="18"/>
          <w:color w:val="0000EE"/>
        </w:rPr>
      </w:pPr>
    </w:p>
    <w:p>
      <w:pPr>
        <w:ind w:left="1800" w:right="499" w:hanging="180"/>
        <w:spacing w:after="0" w:line="277"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88">
        <w:r>
          <w:rPr>
            <w:rFonts w:ascii="Arial" w:cs="Arial" w:eastAsia="Arial" w:hAnsi="Arial"/>
            <w:sz w:val="18"/>
            <w:szCs w:val="18"/>
            <w:u w:val="single" w:color="auto"/>
            <w:color w:val="0000EE"/>
          </w:rPr>
          <w:t>April 26, 2022</w:t>
        </w:r>
      </w:hyperlink>
      <w:r>
        <w:rPr>
          <w:rFonts w:ascii="Arial" w:cs="Arial" w:eastAsia="Arial" w:hAnsi="Arial"/>
          <w:sz w:val="18"/>
          <w:szCs w:val="18"/>
          <w:color w:val="auto"/>
        </w:rPr>
        <w:t xml:space="preserve">, </w:t>
      </w:r>
      <w:hyperlink r:id="rId89">
        <w:r>
          <w:rPr>
            <w:rFonts w:ascii="Arial" w:cs="Arial" w:eastAsia="Arial" w:hAnsi="Arial"/>
            <w:sz w:val="18"/>
            <w:szCs w:val="18"/>
            <w:u w:val="single" w:color="auto"/>
            <w:color w:val="0000EE"/>
          </w:rPr>
          <w:t>June 2, 2022</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EE"/>
          </w:rPr>
          <w:t>June 13, 2022</w:t>
        </w:r>
      </w:hyperlink>
      <w:r>
        <w:rPr>
          <w:rFonts w:ascii="Arial" w:cs="Arial" w:eastAsia="Arial" w:hAnsi="Arial"/>
          <w:sz w:val="18"/>
          <w:szCs w:val="18"/>
          <w:color w:val="auto"/>
        </w:rPr>
        <w:t xml:space="preserve"> and </w:t>
      </w:r>
      <w:hyperlink r:id="rId91">
        <w:r>
          <w:rPr>
            <w:rFonts w:ascii="Arial" w:cs="Arial" w:eastAsia="Arial" w:hAnsi="Arial"/>
            <w:sz w:val="18"/>
            <w:szCs w:val="18"/>
            <w:u w:val="single" w:color="auto"/>
            <w:color w:val="0000EE"/>
          </w:rPr>
          <w:t>June 15, 2022</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800" w:right="499" w:hanging="180"/>
        <w:spacing w:after="0" w:line="263"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description of our securities contained in our Registration Statement on </w:t>
      </w:r>
      <w:hyperlink r:id="rId92">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001-39408), filed with the SEC on July 23, 2021, including any amendments or reports filed for the purpose of updating such description.</w:t>
      </w:r>
    </w:p>
    <w:p>
      <w:pPr>
        <w:spacing w:after="0" w:line="103" w:lineRule="exact"/>
        <w:rPr>
          <w:rFonts w:ascii="Arial" w:cs="Arial" w:eastAsia="Arial" w:hAnsi="Arial"/>
          <w:sz w:val="18"/>
          <w:szCs w:val="18"/>
          <w:color w:val="auto"/>
        </w:rPr>
      </w:pPr>
    </w:p>
    <w:p>
      <w:pPr>
        <w:ind w:left="1260" w:right="479" w:firstLine="360"/>
        <w:spacing w:after="0" w:line="296"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spacing w:after="0" w:line="94" w:lineRule="exact"/>
        <w:rPr>
          <w:rFonts w:ascii="Arial" w:cs="Arial" w:eastAsia="Arial" w:hAnsi="Arial"/>
          <w:sz w:val="18"/>
          <w:szCs w:val="18"/>
          <w:color w:val="auto"/>
        </w:rPr>
      </w:pPr>
    </w:p>
    <w:p>
      <w:pPr>
        <w:ind w:left="1260" w:right="519" w:firstLine="360"/>
        <w:spacing w:after="0" w:line="271" w:lineRule="auto"/>
        <w:rPr>
          <w:sz w:val="20"/>
          <w:szCs w:val="20"/>
          <w:color w:val="auto"/>
        </w:rPr>
      </w:pPr>
      <w:r>
        <w:rPr>
          <w:rFonts w:ascii="Arial" w:cs="Arial" w:eastAsia="Arial" w:hAnsi="Arial"/>
          <w:sz w:val="17"/>
          <w:szCs w:val="17"/>
          <w:color w:val="auto"/>
        </w:rPr>
        <w:t>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w:t>
      </w:r>
    </w:p>
    <w:p>
      <w:pPr>
        <w:spacing w:after="0" w:line="111" w:lineRule="exact"/>
        <w:rPr>
          <w:rFonts w:ascii="Arial" w:cs="Arial" w:eastAsia="Arial" w:hAnsi="Arial"/>
          <w:sz w:val="18"/>
          <w:szCs w:val="18"/>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Exhibits to these documents will not be sent, however, unless those exhibits have been specifically incorporated by reference into this prospectus. The information contained on, or that may be accessed through, our website is not part of, and is not incorporated into, this prospectus or the registration statement of which it forms a part.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4" w:lineRule="exact"/>
        <w:rPr>
          <w:rFonts w:ascii="Arial" w:cs="Arial" w:eastAsia="Arial" w:hAnsi="Arial"/>
          <w:sz w:val="18"/>
          <w:szCs w:val="18"/>
          <w:color w:val="auto"/>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FREQUENTLY USED TERMS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“2009 Plan” are to the Atieva, Inc. 2009 Share Plan duly adopted by the board of directors of Legacy Lucid on December 17, 2009;</w:t>
      </w:r>
    </w:p>
    <w:p>
      <w:pPr>
        <w:spacing w:after="0" w:line="89"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“2014 Plan” are to the Atieva, Inc. 2014 Share Plan duly adopted by the board of directors of Legacy Lucid on May 14, 2014;</w:t>
      </w:r>
    </w:p>
    <w:p>
      <w:pPr>
        <w:spacing w:after="0" w:line="103"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“2021 Plan” are to the Atieva, Inc. 2021 Stock Incentive Plan duly adopted by the compensation committee of the board of directors of Legacy Lucid on January 13, 2021 and approved by Legacy Lucid’s shareholders on January 21, 2021;</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“2026 Notes” are to the 1.25% Convertible Senior Notes due 2026 issued by us in December 2021;</w:t>
      </w:r>
    </w:p>
    <w:p>
      <w:pPr>
        <w:spacing w:after="0" w:line="156"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“ABL Credit Facility” are to the Credit Agreement, dated as of June 9, 2022, by and among Lucid Group, Inc., as the Borrower Representative, the other Borrowers party thereto from time to time, the Lenders and Issuing Banks from time to time party thereto and Bank of America, N.A., as Administrative Agent;</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“Ayar” are to Ayar Third Investment Company, an affiliate of PIF;</w:t>
      </w:r>
    </w:p>
    <w:p>
      <w:pPr>
        <w:spacing w:after="0" w:line="158"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“Board” are, prior to consummation of the Transactions, to the board of directors of Legacy Lucid, and, following consummation of the Transactions, to the board of directors of Lucid Group;</w:t>
      </w:r>
    </w:p>
    <w:p>
      <w:pPr>
        <w:spacing w:after="0" w:line="89"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16"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“Churchill’s Class A common stock” are to Churchill’s Class A common stock, par value $0.0001 per share;</w:t>
      </w:r>
    </w:p>
    <w:p>
      <w:pPr>
        <w:spacing w:after="0" w:line="10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“Churchill’s Class B common stock” are to Churchill’s Class B common stock, par value $0.0001 per share;</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“Churchill IPO” are to the initial public offering by Churchill which closed on August 3, 2020;</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“common stock” are to Lucid Group, Inc.’s Class A common stock par value $0.0001 per share;</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“Closing” are to the consummation of the Transactions;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“Closing Date” are to July 23, 2021, the date on which the Transactions were consummated;</w:t>
      </w:r>
    </w:p>
    <w:p>
      <w:pPr>
        <w:spacing w:after="0" w:line="158"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“current bylaws” are to the Company’s Amended and Restated Bylaws in effect as of the date of this prospectus;</w:t>
      </w:r>
    </w:p>
    <w:p>
      <w:pPr>
        <w:spacing w:after="0" w:line="89"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“current certificate of incorporation” are to the Company’s Second Amended and Restated Certificate of Incorporation in effect as of the date of this prospectus;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“DGCL” are to the Delaware General Corporation Law, as amended;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“EV” are to electric vehicle;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“Exchange Act” are to the Securities Exchange Act of 1934, as amended;</w:t>
      </w:r>
    </w:p>
    <w:p>
      <w:pPr>
        <w:spacing w:after="0" w:line="158"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“Existing Registration Statement” are to the Company’s registration statement No. 333-258348, as amended, which was originally declared effective on August 24, 2021;</w:t>
      </w:r>
    </w:p>
    <w:p>
      <w:pPr>
        <w:spacing w:after="0" w:line="103" w:lineRule="exact"/>
        <w:rPr>
          <w:sz w:val="20"/>
          <w:szCs w:val="20"/>
          <w:color w:val="auto"/>
        </w:rPr>
      </w:pPr>
    </w:p>
    <w:p>
      <w:pPr>
        <w:ind w:left="1260" w:right="679" w:firstLine="360"/>
        <w:spacing w:after="0" w:line="286" w:lineRule="auto"/>
        <w:rPr>
          <w:sz w:val="20"/>
          <w:szCs w:val="20"/>
          <w:color w:val="auto"/>
        </w:rPr>
      </w:pPr>
      <w:r>
        <w:rPr>
          <w:rFonts w:ascii="Arial" w:cs="Arial" w:eastAsia="Arial" w:hAnsi="Arial"/>
          <w:sz w:val="17"/>
          <w:szCs w:val="17"/>
          <w:color w:val="auto"/>
        </w:rPr>
        <w:t>“Incentive Plan” are to the Lucid Group, Inc. Amended and Restated 2021 Stock Incentive Plan (including the Lucid Group, Inc. 2021 Employee Stock Purchase Plan, attached thereto), duly adopted by the Board on April 27, 2022 and approved by the Company’s stockholders on June 9, 2022;</w:t>
      </w:r>
    </w:p>
    <w:p>
      <w:pPr>
        <w:sectPr>
          <w:pgSz w:w="11900" w:h="16838" w:orient="portrait"/>
          <w:cols w:equalWidth="0" w:num="1">
            <w:col w:w="9879"/>
          </w:cols>
          <w:pgMar w:left="580" w:top="131" w:right="1440" w:bottom="1440" w:gutter="0" w:footer="0" w:header="0"/>
        </w:sectPr>
      </w:pPr>
    </w:p>
    <w:p>
      <w:pPr>
        <w:spacing w:after="0" w:line="341"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“Investor Rights Agreement” are to the Investor Rights Agreement, dated as of February 22, 2021, by and among the Company, the Sponsor, Ayar and certain other parties thereto;</w:t>
      </w:r>
    </w:p>
    <w:p>
      <w:pPr>
        <w:spacing w:after="0" w:line="89"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“Legacy Lucid” or “Atieva” are to Atieva, Inc., d/b/a Lucid Motors, an exempted company incorporated with limited liability under the laws of the Cayman Islands, and its consolidated subsidiaries;</w:t>
      </w:r>
    </w:p>
    <w:p>
      <w:pPr>
        <w:spacing w:after="0" w:line="79"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“Legacy Lucid Awards” are to all issued and outstanding stock options, restricted stock units or other compensatory equity securities in respect of shares of Legacy Lucid outstanding as of immediately prior to the Closing of the Merger, including, without limitation, any Legacy Lucid Options and Legacy Lucid RSUs;</w:t>
      </w:r>
    </w:p>
    <w:p>
      <w:pPr>
        <w:spacing w:after="0" w:line="113"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“Legacy Lucid Common Shares” are to the common shares, par value $0.0001 per share, of Legacy Lucid;</w:t>
      </w:r>
    </w:p>
    <w:p>
      <w:pPr>
        <w:spacing w:after="0" w:line="103"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“Legacy Lucid Options” are to all issued and outstanding options to purchase or otherwise acquire Legacy Lucid Common Shares (whether or not vested) held by any person, including share options granted under any Legacy Lucid Share Plan;</w:t>
      </w:r>
    </w:p>
    <w:p>
      <w:pPr>
        <w:spacing w:after="0" w:line="107"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“Legacy Lucid Share Plans” are to the 2009 Plan, the 2014 Plan, the 2021 Plan, in each case as amended from time to time in accordance with their terms;</w:t>
      </w:r>
    </w:p>
    <w:p>
      <w:pPr>
        <w:spacing w:after="0" w:line="103"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“Legacy Lucid RSUs” are to all issued and outstanding restricted stock unit awards with respect to Legacy Lucid Common Shares outstanding under any Legacy Lucid Share Plan;</w:t>
      </w:r>
    </w:p>
    <w:p>
      <w:pPr>
        <w:spacing w:after="0" w:line="7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Awards” are to Lucid Options and Lucid RSUs;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Group” are to Lucid Group, Inc., a Delaware corporation, and its consolidated subsidiaries;</w:t>
      </w:r>
    </w:p>
    <w:p>
      <w:pPr>
        <w:spacing w:after="0" w:line="158" w:lineRule="exact"/>
        <w:rPr>
          <w:sz w:val="20"/>
          <w:szCs w:val="20"/>
          <w:color w:val="auto"/>
        </w:rPr>
      </w:pPr>
    </w:p>
    <w:p>
      <w:pPr>
        <w:ind w:left="1260" w:right="1039" w:firstLine="360"/>
        <w:spacing w:after="0" w:line="261" w:lineRule="auto"/>
        <w:rPr>
          <w:sz w:val="20"/>
          <w:szCs w:val="20"/>
          <w:color w:val="auto"/>
        </w:rPr>
      </w:pPr>
      <w:r>
        <w:rPr>
          <w:rFonts w:ascii="Arial" w:cs="Arial" w:eastAsia="Arial" w:hAnsi="Arial"/>
          <w:sz w:val="18"/>
          <w:szCs w:val="18"/>
          <w:color w:val="auto"/>
        </w:rPr>
        <w:t>“Lucid Options” are to all issued and outstanding options of the Company to purchase shares of common stock immediately following the closing of the Merger;</w:t>
      </w:r>
    </w:p>
    <w:p>
      <w:pPr>
        <w:spacing w:after="0" w:line="103"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“Lucid RSUs” are to all issued and outstanding restricted stock unit awards of the Company with respect to shares of common stock immediately following the closing of the Merger;</w:t>
      </w:r>
    </w:p>
    <w:p>
      <w:pPr>
        <w:spacing w:after="0" w:line="103"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“M. Klein and Company” are to M. Klein and Company, LLC, a Delaware limited liability company, and its affiliates;</w:t>
      </w:r>
    </w:p>
    <w:p>
      <w:pPr>
        <w:spacing w:after="0" w:line="89"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“Merger” are to the merger of Merger Sub and Legacy Lucid, with Legacy Lucid surviving such merger as a wholly owned subsidiary of Churchill;</w:t>
      </w:r>
    </w:p>
    <w:p>
      <w:pPr>
        <w:spacing w:after="0" w:line="103"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“Merger Agreement” are to that certain Agreement and Plan of Merger, dated as of February 22, 2021, by and among Churchill, Legacy Lucid and Air Merger Sub, Inc., a Delaware corporation and a direct, wholly- owned subsidiary of Churchill, as the same has been or may be amended, modified, supplemented or waived from time to time;</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“Nasdaq” are to The Nasdaq Stock Market LLC;</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“PIF” are to the Public Investment Fund, the sovereign wealth fund of the Kingdom of Saudi Arabia;</w:t>
      </w:r>
    </w:p>
    <w:p>
      <w:pPr>
        <w:spacing w:after="0" w:line="156" w:lineRule="exact"/>
        <w:rPr>
          <w:sz w:val="20"/>
          <w:szCs w:val="20"/>
          <w:color w:val="auto"/>
        </w:rPr>
      </w:pPr>
    </w:p>
    <w:p>
      <w:pPr>
        <w:ind w:left="1260" w:right="699" w:firstLine="360"/>
        <w:spacing w:after="0" w:line="259" w:lineRule="auto"/>
        <w:rPr>
          <w:sz w:val="20"/>
          <w:szCs w:val="20"/>
          <w:color w:val="auto"/>
        </w:rPr>
      </w:pPr>
      <w:r>
        <w:rPr>
          <w:rFonts w:ascii="Arial" w:cs="Arial" w:eastAsia="Arial" w:hAnsi="Arial"/>
          <w:sz w:val="18"/>
          <w:szCs w:val="18"/>
          <w:color w:val="auto"/>
        </w:rPr>
        <w:t>“PIPE Investment” are to the private placement pursuant to which Churchill entered into PIPE Subscription Agreements with certain investors pursuant to which Churchill issued and sold to the PIPE Investors $2.5 billion of Churchill’s Class A common stock at a purchase price of $15.00 per share at the closing of the Merger;</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Investors” are to the investors that participated in the PIPE Investment;</w:t>
      </w:r>
    </w:p>
    <w:p>
      <w:pPr>
        <w:spacing w:after="0" w:line="158"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“PIPE Subscription Agreements” are to the common stock subscription agreements entered into by and among Churchill, and the investors party thereto, in each case, dated as of February 22, 2021 and entered into in connection with the PIPE Investment;</w:t>
      </w:r>
    </w:p>
    <w:p>
      <w:pPr>
        <w:spacing w:after="0" w:line="103" w:lineRule="exact"/>
        <w:rPr>
          <w:sz w:val="20"/>
          <w:szCs w:val="20"/>
          <w:color w:val="auto"/>
        </w:rPr>
      </w:pPr>
    </w:p>
    <w:p>
      <w:pPr>
        <w:ind w:left="1260" w:right="1099" w:firstLine="360"/>
        <w:spacing w:after="0" w:line="277" w:lineRule="auto"/>
        <w:rPr>
          <w:sz w:val="20"/>
          <w:szCs w:val="20"/>
          <w:color w:val="auto"/>
        </w:rPr>
      </w:pPr>
      <w:r>
        <w:rPr>
          <w:rFonts w:ascii="Arial" w:cs="Arial" w:eastAsia="Arial" w:hAnsi="Arial"/>
          <w:sz w:val="18"/>
          <w:szCs w:val="18"/>
          <w:color w:val="auto"/>
        </w:rPr>
        <w:t>“Private Placement Warrants” are to the Company’s warrants issued to the Sponsor in a private placement simultaneously with the closing of the Churchill IPO;</w:t>
      </w:r>
    </w:p>
    <w:p>
      <w:pPr>
        <w:spacing w:after="0" w:line="35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 are to the United States Securities and Exchange Commission;</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“Securities Act” are to the Securities Act of 1933, as amended;</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“Selling Securityholders” are to the selling securityholders named herein;</w:t>
      </w:r>
    </w:p>
    <w:p>
      <w:pPr>
        <w:spacing w:after="0" w:line="158"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“Sponsor” are to Churchill Sponsor IV LLC, a Delaware limited liability company and an affiliate of M. Klein and Company in which certain of Churchill’s directors and officers hold membership interests;</w:t>
      </w:r>
    </w:p>
    <w:p>
      <w:pPr>
        <w:spacing w:after="0" w:line="79"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“Transactions” are to the Merger, together with the other transactions contemplated by the Merger Agreement and the related agreements;</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“warrants” are to the Private Placement Warrants and the Working Capital Warrants;</w:t>
      </w:r>
    </w:p>
    <w:p>
      <w:pPr>
        <w:spacing w:after="0" w:line="158"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“Warrant Agreement” are to the Warrant Agreement, dated July 29, 2020, entered into in connection with the Churchill IPO by and between Continental Stock Transfer &amp; Trust Company and Churchill; and</w:t>
      </w:r>
    </w:p>
    <w:p>
      <w:pPr>
        <w:spacing w:after="0" w:line="79"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“Working Capital Warrants” are to the Company’s warrants to purchase common stock pursuant to the terms of the Promissory Note, on terms identical to the terms of the Private Placement Warrants.</w:t>
      </w:r>
    </w:p>
    <w:p>
      <w:pPr>
        <w:spacing w:after="0" w:line="65" w:lineRule="exact"/>
        <w:rPr>
          <w:sz w:val="20"/>
          <w:szCs w:val="20"/>
          <w:color w:val="auto"/>
        </w:rPr>
      </w:pPr>
    </w:p>
    <w:p>
      <w:pPr>
        <w:jc w:val="both"/>
        <w:ind w:left="1260" w:right="459" w:firstLine="360"/>
        <w:spacing w:after="0" w:line="259" w:lineRule="auto"/>
        <w:rPr>
          <w:sz w:val="20"/>
          <w:szCs w:val="20"/>
          <w:color w:val="auto"/>
        </w:rPr>
      </w:pPr>
      <w:r>
        <w:rPr>
          <w:rFonts w:ascii="Arial" w:cs="Arial" w:eastAsia="Arial" w:hAnsi="Arial"/>
          <w:sz w:val="18"/>
          <w:szCs w:val="18"/>
          <w:color w:val="auto"/>
        </w:rPr>
        <w:t>Unless the context otherwise requires, all references in this section to “Lucid,” the “Company,” “we,” “us,” “our,” and other similar terms refer to Legacy Lucid and its subsidiaries prior to the consummation of the Transaction, and Lucid Group, Inc., a Delaware corporation, and its subsidiaries after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Arial" w:cs="Arial" w:eastAsia="Arial" w:hAnsi="Arial"/>
          <w:sz w:val="17"/>
          <w:szCs w:val="17"/>
          <w:color w:val="auto"/>
        </w:rPr>
        <w:t>This prospectus and the documents incorporated by reference into this prospectus contain statements that express our opinions, expectations, beliefs, plans, objectives, assumptions or projections regarding future events or future results and therefore are, or may be deemed to be, “forward-looking statements” within the meaning of Section 27A of the Securities Act, and Section 21E of the Exchange Act. These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manufacturing capabilities and facilities, studio openings, sales channels and strategies, future vehicle programs, expansion and the potential success of our go-to-market strategy, our financial and operating outlook, future market launches and international expansion, including our planned manufacturing facility in Saudi Arabia and related timing and value to Lucid, and our needs for additional financing. Such forward -looking statements are based on available current market material and our current expectations, beliefs and forecasts concerning future developments. Factors that may impact such forward-looking statements include:</w:t>
      </w:r>
    </w:p>
    <w:p>
      <w:pPr>
        <w:spacing w:after="0" w:line="76" w:lineRule="exact"/>
        <w:rPr>
          <w:sz w:val="20"/>
          <w:szCs w:val="20"/>
          <w:color w:val="auto"/>
        </w:rPr>
      </w:pPr>
    </w:p>
    <w:p>
      <w:pPr>
        <w:ind w:left="1800" w:right="47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 including the ongoing conflict between Russia and Ukraine;</w:t>
      </w:r>
    </w:p>
    <w:p>
      <w:pPr>
        <w:spacing w:after="0" w:line="48" w:lineRule="exact"/>
        <w:rPr>
          <w:rFonts w:ascii="Arial" w:cs="Arial" w:eastAsia="Arial" w:hAnsi="Arial"/>
          <w:sz w:val="18"/>
          <w:szCs w:val="18"/>
          <w:color w:val="auto"/>
        </w:rPr>
      </w:pPr>
    </w:p>
    <w:p>
      <w:pPr>
        <w:ind w:left="1800" w:right="1059" w:hanging="180"/>
        <w:spacing w:after="0" w:line="286" w:lineRule="auto"/>
        <w:tabs>
          <w:tab w:leader="none" w:pos="18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1800" w:right="63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 including our ability to mass produce the Lucid Air and complete the tooling of our manufacturing facility;</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manage expenses;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the global COVID-19 pandemic on our supply chain, including COVID-related shutdowns of our suppliers’ facilities in China, projected results of operations, financial performance or other financial metrics, or on any of the foregoing risks; and</w:t>
      </w:r>
    </w:p>
    <w:p>
      <w:pPr>
        <w:spacing w:after="0" w:line="75" w:lineRule="exact"/>
        <w:rPr>
          <w:rFonts w:ascii="Arial" w:cs="Arial" w:eastAsia="Arial" w:hAnsi="Arial"/>
          <w:sz w:val="18"/>
          <w:szCs w:val="18"/>
          <w:color w:val="auto"/>
        </w:rPr>
      </w:pPr>
    </w:p>
    <w:p>
      <w:pPr>
        <w:ind w:left="1800" w:right="13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disclosed in this prospectus or our other filings with the SEC, including any accompanying prospectus supplement.</w:t>
      </w:r>
    </w:p>
    <w:p>
      <w:pPr>
        <w:spacing w:after="0" w:line="10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Should one or more of these risks or uncertainties materialize, or should any of the assumptions prove incorrect, actual results may vary in material respects from those projected in these forward-looking statements. There may be additional risks that we currently do not know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8019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8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This summary highlights selected information and does not contain all of the information that is</w:t>
      </w:r>
    </w:p>
    <w:p>
      <w:pPr>
        <w:spacing w:after="0" w:line="12" w:lineRule="exact"/>
        <w:rPr>
          <w:sz w:val="20"/>
          <w:szCs w:val="20"/>
          <w:color w:val="auto"/>
        </w:rPr>
      </w:pPr>
    </w:p>
    <w:p>
      <w:pPr>
        <w:jc w:val="both"/>
        <w:ind w:left="1280" w:right="539"/>
        <w:spacing w:after="0" w:line="242" w:lineRule="auto"/>
        <w:rPr>
          <w:sz w:val="20"/>
          <w:szCs w:val="20"/>
          <w:color w:val="auto"/>
        </w:rPr>
      </w:pPr>
      <w:r>
        <w:rPr>
          <w:rFonts w:ascii="Arial" w:cs="Arial" w:eastAsia="Arial" w:hAnsi="Arial"/>
          <w:sz w:val="18"/>
          <w:szCs w:val="18"/>
          <w:i w:val="1"/>
          <w:iCs w:val="1"/>
          <w:color w:val="auto"/>
        </w:rPr>
        <w:t>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Mission</w:t>
      </w:r>
    </w:p>
    <w:p>
      <w:pPr>
        <w:spacing w:after="0" w:line="148" w:lineRule="exact"/>
        <w:rPr>
          <w:sz w:val="20"/>
          <w:szCs w:val="20"/>
          <w:color w:val="auto"/>
        </w:rPr>
      </w:pPr>
    </w:p>
    <w:p>
      <w:pPr>
        <w:ind w:left="1280" w:right="499" w:firstLine="360"/>
        <w:spacing w:after="0" w:line="308"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About Lucid</w:t>
      </w:r>
    </w:p>
    <w:p>
      <w:pPr>
        <w:spacing w:after="0" w:line="162" w:lineRule="exact"/>
        <w:rPr>
          <w:sz w:val="20"/>
          <w:szCs w:val="20"/>
          <w:color w:val="auto"/>
        </w:rPr>
      </w:pPr>
    </w:p>
    <w:p>
      <w:pPr>
        <w:ind w:left="1280" w:right="439" w:firstLine="360"/>
        <w:spacing w:after="0" w:line="243" w:lineRule="auto"/>
        <w:rPr>
          <w:sz w:val="20"/>
          <w:szCs w:val="20"/>
          <w:color w:val="auto"/>
        </w:rPr>
      </w:pPr>
      <w:r>
        <w:rPr>
          <w:rFonts w:ascii="Arial" w:cs="Arial" w:eastAsia="Arial" w:hAnsi="Arial"/>
          <w:sz w:val="18"/>
          <w:szCs w:val="18"/>
          <w:color w:val="auto"/>
        </w:rPr>
        <w:t>Lucid is a technology and automotive company that is setting new standards with its advanced luxury electric vehicles (EVs). Today, Lucid (i) designs, engineers, builds and sells electric vehicles, EV powertrains and battery systems in-house using our own equipment and factory, (ii) offers a refined customer experience at our own geographically distributed retail and service locations and through direct-to-consumer online and retail sales and (iii) boasts a strong product roadmap of future vehicle programs and technologies. Our focus on in-house technological innovation, vertical integration, and a “clean-sheet” approach to engineering and design have led to the development of our groundbreaking electric vehicle, the Lucid Air.</w:t>
      </w:r>
    </w:p>
    <w:p>
      <w:pPr>
        <w:spacing w:after="0" w:line="119" w:lineRule="exact"/>
        <w:rPr>
          <w:sz w:val="20"/>
          <w:szCs w:val="20"/>
          <w:color w:val="auto"/>
        </w:rPr>
      </w:pPr>
    </w:p>
    <w:p>
      <w:pPr>
        <w:ind w:left="1280" w:right="499" w:firstLine="360"/>
        <w:spacing w:after="0" w:line="244" w:lineRule="auto"/>
        <w:rPr>
          <w:sz w:val="20"/>
          <w:szCs w:val="20"/>
          <w:color w:val="auto"/>
        </w:rPr>
      </w:pPr>
      <w:r>
        <w:rPr>
          <w:rFonts w:ascii="Arial" w:cs="Arial" w:eastAsia="Arial" w:hAnsi="Arial"/>
          <w:sz w:val="18"/>
          <w:szCs w:val="18"/>
          <w:color w:val="auto"/>
        </w:rPr>
        <w:t>The Lucid Air is a luxury electric sedan that redefines both the luxury car segment and the electric vehicle space, with industry-leading EPA-accredited range of more than 500 miles on a single charge (depending on vehicle configuration). This range is enabled by an efficient, powerful powertrain that Lucid developed and builds in-house through vertically integrated manufacturing capacity. Our Space Concept underpins the Lucid Air’s design, merging a spacious interior with a smaller exterior profile that is reminiscent of a high-performance sports car. This achievement is enabled by our miniaturized drive-train components, which also result in increased storage capacity.</w:t>
      </w:r>
    </w:p>
    <w:p>
      <w:pPr>
        <w:spacing w:after="0" w:line="120" w:lineRule="exact"/>
        <w:rPr>
          <w:sz w:val="20"/>
          <w:szCs w:val="20"/>
          <w:color w:val="auto"/>
        </w:rPr>
      </w:pPr>
    </w:p>
    <w:p>
      <w:pPr>
        <w:ind w:left="1280" w:right="419" w:firstLine="360"/>
        <w:spacing w:after="0" w:line="244" w:lineRule="auto"/>
        <w:rPr>
          <w:sz w:val="20"/>
          <w:szCs w:val="20"/>
          <w:color w:val="auto"/>
        </w:rPr>
      </w:pPr>
      <w:r>
        <w:rPr>
          <w:rFonts w:ascii="Arial" w:cs="Arial" w:eastAsia="Arial" w:hAnsi="Arial"/>
          <w:sz w:val="18"/>
          <w:szCs w:val="18"/>
          <w:color w:val="auto"/>
        </w:rPr>
        <w:t>The Lucid Air is manufactured at our greenfield electric vehicle manufacturing facility in Casa Grande, Arizona, Advanced Manufacturing Plant-1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w:t>
      </w:r>
    </w:p>
    <w:p>
      <w:pPr>
        <w:spacing w:after="0" w:line="120"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We began delivering the Lucid Air to customers in October 2021. We expect to launch additional</w:t>
      </w:r>
    </w:p>
    <w:p>
      <w:pPr>
        <w:spacing w:after="0" w:line="12" w:lineRule="exact"/>
        <w:rPr>
          <w:sz w:val="20"/>
          <w:szCs w:val="20"/>
          <w:color w:val="auto"/>
        </w:rPr>
      </w:pPr>
    </w:p>
    <w:p>
      <w:pPr>
        <w:ind w:left="1280" w:right="439"/>
        <w:spacing w:after="0" w:line="244" w:lineRule="auto"/>
        <w:rPr>
          <w:sz w:val="20"/>
          <w:szCs w:val="20"/>
          <w:color w:val="auto"/>
        </w:rPr>
      </w:pPr>
      <w:r>
        <w:rPr>
          <w:rFonts w:ascii="Arial" w:cs="Arial" w:eastAsia="Arial" w:hAnsi="Arial"/>
          <w:sz w:val="18"/>
          <w:szCs w:val="18"/>
          <w:color w:val="auto"/>
        </w:rPr>
        <w:t>vehicles over the coming decade. We have commenced design and engineering work for Project Gravity, a luxury sports utility vehicle that is expected to leverage many of the technological advancements and learnings from the Lucid Air. After the Lucid Air and Project Gravity, we plan to leverage our technological and manufacturing advancements to develop and manufacture progressively more affordable vehicles in higher volumes.</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Background</w:t>
      </w:r>
    </w:p>
    <w:p>
      <w:pPr>
        <w:spacing w:after="0" w:line="162" w:lineRule="exact"/>
        <w:rPr>
          <w:sz w:val="20"/>
          <w:szCs w:val="20"/>
          <w:color w:val="auto"/>
        </w:rPr>
      </w:pPr>
    </w:p>
    <w:p>
      <w:pPr>
        <w:ind w:left="1280" w:right="399" w:firstLine="360"/>
        <w:spacing w:after="0" w:line="260" w:lineRule="auto"/>
        <w:rPr>
          <w:sz w:val="20"/>
          <w:szCs w:val="20"/>
          <w:color w:val="auto"/>
        </w:rPr>
      </w:pPr>
      <w:r>
        <w:rPr>
          <w:rFonts w:ascii="Arial" w:cs="Arial" w:eastAsia="Arial" w:hAnsi="Arial"/>
          <w:sz w:val="17"/>
          <w:szCs w:val="17"/>
          <w:color w:val="auto"/>
        </w:rPr>
        <w:t>We were originally known as Churchill Capital Corp IV. On July 23, 2021, Churchill, our predecessor company, consummated the Merger pursuant to the Merger Agreement, by and among Churchill, Legacy Lucid and Merger Sub. Pursuant to the Merger Agreement, Merger Sub merged with and into Legacy Lucid, with Legacy Lucid being the surviving company in the Merger. In connection with the Closing, each share of Churchill’s Class B common stock was converted on a one-to -one basis into a share of common stock. On the Closing Date, and in connection with the Closing, Churchill changed its name to Lucid Group, Inc.</w:t>
      </w:r>
    </w:p>
    <w:p>
      <w:pPr>
        <w:spacing w:after="0" w:line="106" w:lineRule="exact"/>
        <w:rPr>
          <w:sz w:val="20"/>
          <w:szCs w:val="20"/>
          <w:color w:val="auto"/>
        </w:rPr>
      </w:pPr>
    </w:p>
    <w:p>
      <w:pPr>
        <w:ind w:left="1280" w:right="419" w:firstLine="360"/>
        <w:spacing w:after="0" w:line="268" w:lineRule="auto"/>
        <w:rPr>
          <w:sz w:val="20"/>
          <w:szCs w:val="20"/>
          <w:color w:val="auto"/>
        </w:rPr>
      </w:pPr>
      <w:r>
        <w:rPr>
          <w:rFonts w:ascii="Arial" w:cs="Arial" w:eastAsia="Arial" w:hAnsi="Arial"/>
          <w:sz w:val="17"/>
          <w:szCs w:val="17"/>
          <w:color w:val="auto"/>
        </w:rPr>
        <w:t>The Transactions were accounted for as a reverse recapitalization in accordance with GAAP. Under this method of accounting, Churchill was treated as the “acquired” company for financial reporting purposes. Accordingly, for accounting purposes, our financial statements represent a continuation of the financial statements of Legacy Lucid with the Transactions treated as the equivalent of Legacy Lucid issuing shares</w:t>
      </w:r>
    </w:p>
    <w:p>
      <w:pPr>
        <w:sectPr>
          <w:pgSz w:w="11900" w:h="16838" w:orient="portrait"/>
          <w:cols w:equalWidth="0" w:num="1">
            <w:col w:w="9879"/>
          </w:cols>
          <w:pgMar w:left="580" w:top="131"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419"/>
        <w:spacing w:after="0" w:line="263" w:lineRule="auto"/>
        <w:rPr>
          <w:sz w:val="20"/>
          <w:szCs w:val="20"/>
          <w:color w:val="auto"/>
        </w:rPr>
      </w:pPr>
      <w:r>
        <w:rPr>
          <w:rFonts w:ascii="Arial" w:cs="Arial" w:eastAsia="Arial" w:hAnsi="Arial"/>
          <w:sz w:val="18"/>
          <w:szCs w:val="18"/>
          <w:color w:val="auto"/>
        </w:rPr>
        <w:t>for the net assets of Churchill, accompanied by a recapitalization. The net assets of Churchill are stated at historical cost, with no goodwill or other intangible assets recorded. Operations prior to the Transactions are reported as those of Legacy Lucid.</w:t>
      </w:r>
    </w:p>
    <w:p>
      <w:pPr>
        <w:spacing w:after="0" w:line="116" w:lineRule="exact"/>
        <w:rPr>
          <w:sz w:val="20"/>
          <w:szCs w:val="20"/>
          <w:color w:val="auto"/>
        </w:rPr>
      </w:pPr>
    </w:p>
    <w:p>
      <w:pPr>
        <w:ind w:left="1280" w:right="599" w:firstLine="360"/>
        <w:spacing w:after="0" w:line="268" w:lineRule="auto"/>
        <w:rPr>
          <w:sz w:val="20"/>
          <w:szCs w:val="20"/>
          <w:color w:val="auto"/>
        </w:rPr>
      </w:pPr>
      <w:r>
        <w:rPr>
          <w:rFonts w:ascii="Arial" w:cs="Arial" w:eastAsia="Arial" w:hAnsi="Arial"/>
          <w:sz w:val="17"/>
          <w:szCs w:val="17"/>
          <w:color w:val="auto"/>
        </w:rPr>
        <w:t>Immediately prior to the Closing, all of Legacy Lucid Preferred Shares then issued and outstanding were converted into Legacy Lucid Common Shares, in accordance with the terms of Legacy Lucid’s Memorandum and Articles of Association, such that each converted Legacy Lucid Preferred Share was no longer outstanding and ceased to exist, and each holder thereof thereafter ceased to have any rights with respect to such securities. At the Effective Time, each Legacy Lucid Common Share then issued and outstanding was automatically cancelled and the holders of Legacy Lucid Common Shares received</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2.644 shares of common stock in exchange for each Legacy Lucid Common Share they held at such time.</w:t>
      </w:r>
    </w:p>
    <w:p>
      <w:pPr>
        <w:spacing w:after="0" w:line="21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Lucid Group, Inc. is a Delaware corporation. Our principal executive offices are located at</w:t>
      </w:r>
    </w:p>
    <w:p>
      <w:pPr>
        <w:spacing w:after="0" w:line="23" w:lineRule="exact"/>
        <w:rPr>
          <w:sz w:val="20"/>
          <w:szCs w:val="20"/>
          <w:color w:val="auto"/>
        </w:rPr>
      </w:pPr>
    </w:p>
    <w:p>
      <w:pPr>
        <w:ind w:left="1280" w:right="539"/>
        <w:spacing w:after="0" w:line="253" w:lineRule="auto"/>
        <w:rPr>
          <w:sz w:val="20"/>
          <w:szCs w:val="20"/>
          <w:color w:val="auto"/>
        </w:rPr>
      </w:pPr>
      <w:r>
        <w:rPr>
          <w:rFonts w:ascii="Arial" w:cs="Arial" w:eastAsia="Arial" w:hAnsi="Arial"/>
          <w:sz w:val="18"/>
          <w:szCs w:val="18"/>
          <w:color w:val="auto"/>
        </w:rPr>
        <w:t>7373 Gateway Blvd. Newark, CA 94560 and our telephone number at that address is (510) 648-3553. Our 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87"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Controlled Company Exemption</w:t>
      </w:r>
    </w:p>
    <w:p>
      <w:pPr>
        <w:spacing w:after="0" w:line="148" w:lineRule="exact"/>
        <w:rPr>
          <w:sz w:val="20"/>
          <w:szCs w:val="20"/>
          <w:color w:val="auto"/>
        </w:rPr>
      </w:pPr>
    </w:p>
    <w:p>
      <w:pPr>
        <w:ind w:left="1280" w:right="599" w:firstLine="360"/>
        <w:spacing w:after="0" w:line="275" w:lineRule="auto"/>
        <w:rPr>
          <w:sz w:val="20"/>
          <w:szCs w:val="20"/>
          <w:color w:val="auto"/>
        </w:rPr>
      </w:pPr>
      <w:r>
        <w:rPr>
          <w:rFonts w:ascii="Arial" w:cs="Arial" w:eastAsia="Arial" w:hAnsi="Arial"/>
          <w:sz w:val="17"/>
          <w:szCs w:val="17"/>
          <w:color w:val="auto"/>
        </w:rPr>
        <w:t>As of June 30, 2022, our majority stockholder, Ayar, owned approximately 60.7%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i w:val="1"/>
          <w:iCs w:val="1"/>
          <w:color w:val="auto"/>
        </w:rPr>
        <w:t>An investment in our securities involves a high degree of risk. Before making an investment decision, you should carefully consider the following risk factors, in addition to the risks and uncertainties discussed above under “Special Note Regarding Forward -Looking Statements,” together with the risk factors described in our most recent Annual Report on Form 10-K and Quarterly Report on Form 10 -Q filed with the SEC and any subsequent Annual Report on Form 10-K, Quarterly Reports on Form 10-Q and Current Reports on Form 8-K that we file with the SEC after the date of this prospectus, as well as the other information contained or incorporated by reference in this prospectus, and any applicable prospectus supplement, in light of your particular investment objectives and financial circumstances. The occurrence of one or more of the events or circumstances described in such risk factors, alone or in combination with other events or circumstances, may have an adverse effect on our business, cash flows, financial condition and results of operations. We may face additional risks and uncertainties that are not presently known to us that we currently deem immaterial, which may also impair our business or financial condition.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left="1260" w:right="699"/>
        <w:spacing w:after="0" w:line="256" w:lineRule="auto"/>
        <w:rPr>
          <w:sz w:val="20"/>
          <w:szCs w:val="20"/>
          <w:color w:val="auto"/>
        </w:rPr>
      </w:pPr>
      <w:r>
        <w:rPr>
          <w:rFonts w:ascii="Arial" w:cs="Arial" w:eastAsia="Arial" w:hAnsi="Arial"/>
          <w:sz w:val="18"/>
          <w:szCs w:val="18"/>
          <w:b w:val="1"/>
          <w:bCs w:val="1"/>
          <w:i w:val="1"/>
          <w:iCs w:val="1"/>
          <w:color w:val="auto"/>
        </w:rPr>
        <w:t>There is no public market for the Private Placement Warrants and the Working Capital Warrants and we cannot guarantee that an active and liquid public market for the Private Placement Warrants and the Working Capital Warrants will develop.</w:t>
      </w:r>
    </w:p>
    <w:p>
      <w:pPr>
        <w:spacing w:after="0" w:line="107"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warrants are not listed on an exchange. A liquid trading market for our warrants may never develop, or if developed, it may not be sustained. In the absence of a liquid public trading market for our warrants:</w:t>
      </w:r>
    </w:p>
    <w:p>
      <w:pPr>
        <w:spacing w:after="0" w:line="74"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shares of our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may not be able to resell their shares of your warrants at favorable prices, or at all;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market price of shares of our warrants may experience significant price volatility;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The price of our common stock is volatile, and this volatility may negatively impact the market price of our common stock and the trading price of the 2026 Notes.</w:t>
      </w:r>
    </w:p>
    <w:p>
      <w:pPr>
        <w:spacing w:after="0" w:line="8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17" w:lineRule="exact"/>
        <w:rPr>
          <w:sz w:val="20"/>
          <w:szCs w:val="20"/>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03"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ours;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8"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1800" w:right="719" w:hanging="180"/>
        <w:spacing w:after="0" w:line="286" w:lineRule="auto"/>
        <w:tabs>
          <w:tab w:leader="none" w:pos="1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57" w:lineRule="exact"/>
        <w:rPr>
          <w:rFonts w:ascii="Arial" w:cs="Arial" w:eastAsia="Arial" w:hAnsi="Arial"/>
          <w:sz w:val="17"/>
          <w:szCs w:val="17"/>
          <w:color w:val="auto"/>
        </w:rPr>
      </w:pPr>
    </w:p>
    <w:p>
      <w:pPr>
        <w:ind w:left="1800" w:right="419" w:hanging="180"/>
        <w:spacing w:after="0" w:line="263"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pandemics (such as COVID-19), inflation, changes in diplomatic and trade relationships and acts of war or terrorism, and natural disasters; and</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most recently, the impact of the conflict between Ukraine and Russia, natural disasters, the novel coronavirus, COVID-19, and any other global pandemics, as well as general economic, political and market conditions such as recessions, inflation, or interest rate changes, may seriously affect the market price of our common stock and other securities, regardless of our actual operating performance. These fluctuations may be even more pronounced in the trading market for our stock shortly following the Transactions. A decline in the market price of our securities also could adversely affect our ability to issue additional securities and our ability to obtain additional financing in the future.</w:t>
      </w:r>
    </w:p>
    <w:p>
      <w:pPr>
        <w:spacing w:after="0" w:line="11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111" w:lineRule="exact"/>
        <w:rPr>
          <w:sz w:val="20"/>
          <w:szCs w:val="20"/>
          <w:color w:val="auto"/>
        </w:rPr>
      </w:pPr>
    </w:p>
    <w:p>
      <w:pPr>
        <w:jc w:val="both"/>
        <w:ind w:left="1260" w:right="639" w:firstLine="360"/>
        <w:spacing w:after="0" w:line="286"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w:t>
      </w:r>
    </w:p>
    <w:p>
      <w:pPr>
        <w:sectPr>
          <w:pgSz w:w="11900" w:h="16838" w:orient="portrait"/>
          <w:cols w:equalWidth="0" w:num="1">
            <w:col w:w="9879"/>
          </w:cols>
          <w:pgMar w:left="580" w:top="131" w:right="1440" w:bottom="1440" w:gutter="0" w:footer="0" w:header="0"/>
        </w:sectPr>
      </w:pPr>
    </w:p>
    <w:p>
      <w:pPr>
        <w:spacing w:after="0" w:line="35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39"/>
        <w:spacing w:after="0" w:line="256" w:lineRule="auto"/>
        <w:rPr>
          <w:sz w:val="20"/>
          <w:szCs w:val="20"/>
          <w:color w:val="auto"/>
        </w:rPr>
      </w:pPr>
      <w:r>
        <w:rPr>
          <w:rFonts w:ascii="Arial" w:cs="Arial" w:eastAsia="Arial" w:hAnsi="Arial"/>
          <w:sz w:val="18"/>
          <w:szCs w:val="18"/>
          <w:color w:val="auto"/>
        </w:rPr>
        <w:t>of our management’s attention and resources. Any adverse determination in any such litigation or any amounts paid to settle any such actual or threatened litigation could require that we make significant payments.</w:t>
      </w:r>
    </w:p>
    <w:p>
      <w:pPr>
        <w:spacing w:after="0" w:line="175"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19"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Incentive Plan, or for other reasons.</w:t>
      </w:r>
    </w:p>
    <w:p>
      <w:pPr>
        <w:spacing w:after="0" w:line="119"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13"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Pursuant to the Investor Rights Agreement, the Sponsor has agreed to restrictions on the sale or transfer of shares of common stock, Private Placement Warrants and Working Capital Warrants held by it for a period of 18 months after the Closing of the Transactions. However, following the expiration of this lock-up period, the Sponsor will not be restricted from selling our securities held by it, other than by applicable securities laws. See “Plan of Distribution-Lock-up Agreements.”</w:t>
      </w:r>
    </w:p>
    <w:p>
      <w:pPr>
        <w:spacing w:after="0" w:line="118"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In addition, pursuant to the Investor Rights Agreement, Ayar, the Sponsor,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81" w:lineRule="exact"/>
        <w:rPr>
          <w:sz w:val="20"/>
          <w:szCs w:val="20"/>
          <w:color w:val="auto"/>
        </w:rPr>
      </w:pPr>
    </w:p>
    <w:p>
      <w:pPr>
        <w:ind w:left="1260" w:right="599"/>
        <w:spacing w:after="0" w:line="303"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7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As of June 30, 2022, Ayar held approximately 60.7%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07"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ectPr>
          <w:pgSz w:w="11900" w:h="16838" w:orient="portrait"/>
          <w:cols w:equalWidth="0" w:num="1">
            <w:col w:w="9879"/>
          </w:cols>
          <w:pgMar w:left="580" w:top="132" w:right="1440" w:bottom="1440" w:gutter="0" w:footer="0" w:header="0"/>
        </w:sectPr>
      </w:pPr>
    </w:p>
    <w:p>
      <w:pPr>
        <w:spacing w:after="0" w:line="37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19"/>
        <w:spacing w:after="0" w:line="277" w:lineRule="auto"/>
        <w:rPr>
          <w:sz w:val="20"/>
          <w:szCs w:val="20"/>
          <w:color w:val="auto"/>
        </w:rPr>
      </w:pPr>
      <w:r>
        <w:rPr>
          <w:rFonts w:ascii="Arial" w:cs="Arial" w:eastAsia="Arial" w:hAnsi="Arial"/>
          <w:sz w:val="18"/>
          <w:szCs w:val="18"/>
          <w:b w:val="1"/>
          <w:bCs w:val="1"/>
          <w:i w:val="1"/>
          <w:iCs w:val="1"/>
          <w:color w:val="auto"/>
        </w:rPr>
        <w:t>The Sponsor and Ayar beneficially own a significant equity interest in us and may take actions that conflict with your interests.</w:t>
      </w:r>
    </w:p>
    <w:p>
      <w:pPr>
        <w:spacing w:after="0" w:line="89"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The interests of the Sponsor and Ayar may not align with our interests and the interests of our other stockholders or securityholders. The Sponsor and Ayar are each in the business of making investments in companies and may acquire and hold interests in businesses that compete directly or indirectly with us. The Sponsor and Ayar and their respective affiliates, may also pursue acquisition opportunities that may be complementary to our business and, as a result, those acquisition opportunities may not be available to us.</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158" w:lineRule="exact"/>
        <w:rPr>
          <w:sz w:val="20"/>
          <w:szCs w:val="20"/>
          <w:color w:val="auto"/>
        </w:rPr>
      </w:pPr>
    </w:p>
    <w:p>
      <w:pPr>
        <w:jc w:val="both"/>
        <w:ind w:left="1260" w:right="619" w:firstLine="360"/>
        <w:spacing w:after="0" w:line="249" w:lineRule="auto"/>
        <w:rPr>
          <w:sz w:val="20"/>
          <w:szCs w:val="20"/>
          <w:color w:val="auto"/>
        </w:rPr>
      </w:pPr>
      <w:r>
        <w:rPr>
          <w:rFonts w:ascii="Arial" w:cs="Arial" w:eastAsia="Arial" w:hAnsi="Arial"/>
          <w:sz w:val="18"/>
          <w:szCs w:val="18"/>
          <w:color w:val="auto"/>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pacing w:after="0" w:line="113"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66" w:lineRule="exact"/>
        <w:rPr>
          <w:sz w:val="20"/>
          <w:szCs w:val="20"/>
          <w:color w:val="auto"/>
        </w:rPr>
      </w:pPr>
    </w:p>
    <w:p>
      <w:pPr>
        <w:ind w:left="1260" w:right="439"/>
        <w:spacing w:after="0" w:line="314"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69"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67"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48"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75"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103"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7"/>
          <w:szCs w:val="17"/>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w:t>
      </w:r>
    </w:p>
    <w:p>
      <w:pPr>
        <w:sectPr>
          <w:pgSz w:w="11900" w:h="16838" w:orient="portrait"/>
          <w:cols w:equalWidth="0" w:num="1">
            <w:col w:w="9879"/>
          </w:cols>
          <w:pgMar w:left="580" w:top="132" w:right="1440" w:bottom="1440" w:gutter="0" w:footer="0" w:header="0"/>
        </w:sectPr>
      </w:pP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8" w:lineRule="auto"/>
        <w:rPr>
          <w:sz w:val="20"/>
          <w:szCs w:val="20"/>
          <w:color w:val="auto"/>
        </w:rPr>
      </w:pPr>
      <w:r>
        <w:rPr>
          <w:rFonts w:ascii="Arial" w:cs="Arial" w:eastAsia="Arial" w:hAnsi="Arial"/>
          <w:sz w:val="17"/>
          <w:szCs w:val="17"/>
          <w:color w:val="auto"/>
        </w:rPr>
        <w:t>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58" w:lineRule="exact"/>
        <w:rPr>
          <w:sz w:val="20"/>
          <w:szCs w:val="20"/>
          <w:color w:val="auto"/>
        </w:rPr>
      </w:pPr>
    </w:p>
    <w:p>
      <w:pPr>
        <w:ind w:left="1260" w:right="739"/>
        <w:spacing w:after="0" w:line="381" w:lineRule="auto"/>
        <w:rPr>
          <w:sz w:val="20"/>
          <w:szCs w:val="20"/>
          <w:color w:val="auto"/>
        </w:rPr>
      </w:pPr>
      <w:r>
        <w:rPr>
          <w:rFonts w:ascii="Arial" w:cs="Arial" w:eastAsia="Arial" w:hAnsi="Arial"/>
          <w:sz w:val="15"/>
          <w:szCs w:val="15"/>
          <w:b w:val="1"/>
          <w:bCs w:val="1"/>
          <w:i w:val="1"/>
          <w:iCs w:val="1"/>
          <w:color w:val="auto"/>
        </w:rPr>
        <w:t>Some provisions of Delaware law and our current certificate of incorporation and our current bylaws may deter third parties from acquiring us and diminish the value of our common stock and the 2026 Notes.</w:t>
      </w:r>
    </w:p>
    <w:p>
      <w:pPr>
        <w:spacing w:after="0" w:line="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104" w:lineRule="exact"/>
        <w:rPr>
          <w:sz w:val="20"/>
          <w:szCs w:val="20"/>
          <w:color w:val="auto"/>
        </w:rPr>
      </w:pPr>
    </w:p>
    <w:p>
      <w:pPr>
        <w:ind w:left="1800" w:right="61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62" w:lineRule="exact"/>
        <w:rPr>
          <w:rFonts w:ascii="Arial" w:cs="Arial" w:eastAsia="Arial" w:hAnsi="Arial"/>
          <w:sz w:val="18"/>
          <w:szCs w:val="18"/>
          <w:color w:val="auto"/>
        </w:rPr>
      </w:pPr>
    </w:p>
    <w:p>
      <w:pPr>
        <w:ind w:left="1800" w:right="639" w:hanging="180"/>
        <w:spacing w:after="0" w:line="334" w:lineRule="auto"/>
        <w:tabs>
          <w:tab w:leader="none" w:pos="1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subject to the Investor Rights Agreement, advance notice for nominations of directors by stockholders and for stockholders to include matters to be considered at stockholder meetings; and</w:t>
      </w: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58"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1800" w:right="103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35"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62"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03"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spacing w:after="0" w:line="2" w:lineRule="exact"/>
        <w:rPr>
          <w:sz w:val="20"/>
          <w:szCs w:val="20"/>
          <w:color w:val="auto"/>
        </w:rPr>
      </w:pPr>
    </w:p>
    <w:p>
      <w:pPr>
        <w:jc w:val="both"/>
        <w:ind w:left="1260" w:right="419"/>
        <w:spacing w:after="0" w:line="288" w:lineRule="auto"/>
        <w:rPr>
          <w:sz w:val="20"/>
          <w:szCs w:val="20"/>
          <w:color w:val="auto"/>
        </w:rPr>
      </w:pPr>
      <w:r>
        <w:rPr>
          <w:rFonts w:ascii="Arial" w:cs="Arial" w:eastAsia="Arial" w:hAnsi="Arial"/>
          <w:sz w:val="17"/>
          <w:szCs w:val="17"/>
          <w:color w:val="auto"/>
        </w:rPr>
        <w:t>three years owned, 15% or more of the votes of our outstanding voting stock. For purposes of this provision, “voting stock” means any class or series of stock entitled to vote generally in the election of directors.</w:t>
      </w:r>
    </w:p>
    <w:p>
      <w:pPr>
        <w:spacing w:after="0" w:line="82" w:lineRule="exact"/>
        <w:rPr>
          <w:sz w:val="20"/>
          <w:szCs w:val="20"/>
          <w:color w:val="auto"/>
        </w:rPr>
      </w:pPr>
    </w:p>
    <w:p>
      <w:pPr>
        <w:ind w:left="1260" w:right="619" w:firstLine="360"/>
        <w:spacing w:after="0" w:line="280"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90"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186" w:lineRule="exact"/>
        <w:rPr>
          <w:sz w:val="20"/>
          <w:szCs w:val="20"/>
          <w:color w:val="auto"/>
        </w:rPr>
      </w:pPr>
    </w:p>
    <w:p>
      <w:pPr>
        <w:jc w:val="both"/>
        <w:ind w:left="1260" w:right="499"/>
        <w:spacing w:after="0" w:line="256"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07"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7"/>
          <w:szCs w:val="17"/>
          <w:color w:val="auto"/>
        </w:rPr>
        <w:t>The trading market for our common stock is influenced by the research and reports that industry or securities analysts may publish about us, our business and operations, our market, or our competitors.</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59"/>
        <w:spacing w:after="0" w:line="257" w:lineRule="auto"/>
        <w:rPr>
          <w:sz w:val="20"/>
          <w:szCs w:val="20"/>
          <w:color w:val="auto"/>
        </w:rPr>
      </w:pPr>
      <w:r>
        <w:rPr>
          <w:rFonts w:ascii="Arial" w:cs="Arial" w:eastAsia="Arial" w:hAnsi="Arial"/>
          <w:sz w:val="18"/>
          <w:szCs w:val="18"/>
          <w:color w:val="auto"/>
        </w:rPr>
        <w:t>Similarly, if any of the analysts who do cover us change their recommendation regarding our stock adversely, or provide more favorable relative recommendations about our competitors, the price of our common stock would likely decline. If any analyst who covers us were to cease coverage of us or fail to regularly publish reports on us, we could lose visibility in the financial markets, which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All of the shares of common stock and the warrants (including shares of common stock underlying such warrants) offered by the Selling Securityholders pursuant to this prospectus will be sold by the Selling Securityholders for their respective accounts. We will not receive any of the proceeds from these sales.</w:t>
      </w:r>
    </w:p>
    <w:p>
      <w:pPr>
        <w:spacing w:after="0" w:line="9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We will receive up to an aggregate of approximately $510 million from the exercise of all of the Private Placement Warrants and the Working Capital Warrants, assuming the exercise in full of all such warrants for cash.</w:t>
      </w:r>
    </w:p>
    <w:p>
      <w:pPr>
        <w:spacing w:after="0" w:line="10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we inform you otherwise in a prospectus supplement, we intend to use the net proceeds from the sale of the securities offered by us by this prospectus, as well as from the exercise of the Private Placement Warrants and the Working Capital Warrants, for general corporate purposes, which may include capital expenditures and working capital. Our management will have broad discretion over the use of such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The following is a summary of the rights and preferences of, and is qualified in its entirety by, our current certificate of incorporation and current by-laws. The full texts of our current certificate of incorporation and our current bylaws are filed as exhibits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and Outstanding Stock</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Our current certificate of incorporation authorizes the issuance of shares of our capital stock, each with a par value of $0.0001, consisting of (a) 15,000,000,000 shares of common stock and (b) 10,000,000 shares of preferred stock. The outstanding shares of common stock are duly authorized, validly issued, fully paid and non-assessable.</w:t>
      </w:r>
    </w:p>
    <w:p>
      <w:pPr>
        <w:spacing w:after="0" w:line="106" w:lineRule="exact"/>
        <w:rPr>
          <w:sz w:val="20"/>
          <w:szCs w:val="20"/>
          <w:color w:val="auto"/>
        </w:rPr>
      </w:pPr>
    </w:p>
    <w:p>
      <w:pPr>
        <w:ind w:left="1260" w:right="839" w:firstLine="360"/>
        <w:spacing w:after="0" w:line="286" w:lineRule="auto"/>
        <w:rPr>
          <w:sz w:val="20"/>
          <w:szCs w:val="20"/>
          <w:color w:val="auto"/>
        </w:rPr>
      </w:pPr>
      <w:r>
        <w:rPr>
          <w:rFonts w:ascii="Arial" w:cs="Arial" w:eastAsia="Arial" w:hAnsi="Arial"/>
          <w:sz w:val="17"/>
          <w:szCs w:val="17"/>
          <w:color w:val="auto"/>
        </w:rPr>
        <w:t>As of June 30, 2022, there were (i) 1,672,543,611 shares of our common stock outstanding, (ii) no shares of preferred stock outstanding, and (iii) 44,350,000 shares of common stock issuable upon the exercise of Private Placement Warrants (including the Working Capital Warrants).</w:t>
      </w:r>
    </w:p>
    <w:p>
      <w:pPr>
        <w:spacing w:after="0" w:line="98"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Power</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Preemptive or Other Rights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The holders of our common stock do not have preemptive or other subscription rights and there is no sinking fund or redemption provisions applicable to our common stock.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Private Placement Warrants and Working Capital Warrants</w:t>
      </w:r>
    </w:p>
    <w:p>
      <w:pPr>
        <w:spacing w:after="0" w:line="144"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The Private Placement Warrants (including the common stock issuable upon exercise of the Private Placement Warrants) are, pursuant to the Investor Rights Agreement, not transferable, assignable or salable until January 23, 2023 and they will not be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118"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w:t>
      </w:r>
    </w:p>
    <w:p>
      <w:pPr>
        <w:spacing w:after="0" w:line="2" w:lineRule="exact"/>
        <w:rPr>
          <w:sz w:val="20"/>
          <w:szCs w:val="20"/>
          <w:color w:val="auto"/>
        </w:rPr>
      </w:pPr>
    </w:p>
    <w:p>
      <w:pPr>
        <w:ind w:left="1260" w:right="419"/>
        <w:spacing w:after="0" w:line="242" w:lineRule="auto"/>
        <w:rPr>
          <w:sz w:val="20"/>
          <w:szCs w:val="20"/>
          <w:color w:val="auto"/>
        </w:rPr>
      </w:pPr>
      <w:r>
        <w:rPr>
          <w:rFonts w:ascii="Arial" w:cs="Arial" w:eastAsia="Arial" w:hAnsi="Arial"/>
          <w:sz w:val="18"/>
          <w:szCs w:val="18"/>
          <w:color w:val="auto"/>
        </w:rPr>
        <w:t>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121"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5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If the number of outstanding shares of our common stock is increased by a stock dividend payable in shares of our common stock, or by a split -up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114" w:lineRule="exact"/>
        <w:rPr>
          <w:sz w:val="20"/>
          <w:szCs w:val="20"/>
          <w:color w:val="auto"/>
        </w:rPr>
      </w:pPr>
    </w:p>
    <w:p>
      <w:pPr>
        <w:ind w:left="1260" w:right="439" w:firstLine="360"/>
        <w:spacing w:after="0" w:line="244" w:lineRule="auto"/>
        <w:rPr>
          <w:sz w:val="20"/>
          <w:szCs w:val="20"/>
          <w:color w:val="auto"/>
        </w:rPr>
      </w:pPr>
      <w:r>
        <w:rPr>
          <w:rFonts w:ascii="Arial" w:cs="Arial" w:eastAsia="Arial" w:hAnsi="Arial"/>
          <w:sz w:val="18"/>
          <w:szCs w:val="18"/>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and/or the fair market value of any securities or other assets paid on each share of our common stock in respect of such event.</w:t>
      </w:r>
    </w:p>
    <w:p>
      <w:pPr>
        <w:spacing w:after="0" w:line="120" w:lineRule="exact"/>
        <w:rPr>
          <w:sz w:val="20"/>
          <w:szCs w:val="20"/>
          <w:color w:val="auto"/>
        </w:rPr>
      </w:pPr>
    </w:p>
    <w:p>
      <w:pPr>
        <w:ind w:left="1260" w:right="439" w:firstLine="360"/>
        <w:spacing w:after="0" w:line="291" w:lineRule="auto"/>
        <w:rPr>
          <w:sz w:val="20"/>
          <w:szCs w:val="20"/>
          <w:color w:val="auto"/>
        </w:rPr>
      </w:pPr>
      <w:r>
        <w:rPr>
          <w:rFonts w:ascii="Arial" w:cs="Arial" w:eastAsia="Arial" w:hAnsi="Arial"/>
          <w:sz w:val="17"/>
          <w:szCs w:val="17"/>
          <w:color w:val="auto"/>
        </w:rPr>
        <w:t>If the number of outstanding shares of our common stock is decreased by a consolidation, combination, reverse stock split or reclassification of shares of our common stock or other similar event, then, on the</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86" w:lineRule="auto"/>
        <w:rPr>
          <w:sz w:val="20"/>
          <w:szCs w:val="20"/>
          <w:color w:val="auto"/>
        </w:rPr>
      </w:pPr>
      <w:r>
        <w:rPr>
          <w:rFonts w:ascii="Arial" w:cs="Arial" w:eastAsia="Arial" w:hAnsi="Arial"/>
          <w:sz w:val="17"/>
          <w:szCs w:val="17"/>
          <w:color w:val="auto"/>
        </w:rPr>
        <w:t>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98"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Whenever the number of shares of our common stock purchasable upon the exercise of the Private Placement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 of shares of our common stock upon exercise of the Private Placement Warrants, each holder will be entitled to one vote for each share held of record on all matters to be voted on by stockholders.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62"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91" w:lineRule="exact"/>
        <w:rPr>
          <w:sz w:val="20"/>
          <w:szCs w:val="20"/>
          <w:color w:val="auto"/>
        </w:rPr>
      </w:pPr>
    </w:p>
    <w:p>
      <w:pPr>
        <w:ind w:left="1260" w:right="599"/>
        <w:spacing w:after="0" w:line="266" w:lineRule="auto"/>
        <w:rPr>
          <w:sz w:val="20"/>
          <w:szCs w:val="20"/>
          <w:color w:val="auto"/>
        </w:rPr>
      </w:pPr>
      <w:r>
        <w:rPr>
          <w:rFonts w:ascii="Arial" w:cs="Arial" w:eastAsia="Arial" w:hAnsi="Arial"/>
          <w:sz w:val="18"/>
          <w:szCs w:val="18"/>
          <w:b w:val="1"/>
          <w:bCs w:val="1"/>
          <w:color w:val="auto"/>
        </w:rPr>
        <w:t>Effects of Our Current Certificate of Incorporation, Our Current Bylaws and Certain Provisions of Delaware Law</w:t>
      </w:r>
    </w:p>
    <w:p>
      <w:pPr>
        <w:spacing w:after="0" w:line="99"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12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03"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1800" w:right="1039"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16"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60" w:right="419"/>
        <w:spacing w:after="0" w:line="273" w:lineRule="auto"/>
        <w:rPr>
          <w:sz w:val="20"/>
          <w:szCs w:val="20"/>
          <w:color w:val="auto"/>
        </w:rPr>
      </w:pPr>
      <w:r>
        <w:rPr>
          <w:rFonts w:ascii="Arial" w:cs="Arial" w:eastAsia="Arial" w:hAnsi="Arial"/>
          <w:sz w:val="17"/>
          <w:szCs w:val="17"/>
          <w:color w:val="auto"/>
        </w:rPr>
        <w:t>three years owned, 15% or more of the votes of our outstanding voting stock. For purposes of this provision, “voting stock” means any class or series of stock entitled to vote generally in the election of directors.</w:t>
      </w:r>
    </w:p>
    <w:p>
      <w:pPr>
        <w:spacing w:after="0" w:line="94" w:lineRule="exact"/>
        <w:rPr>
          <w:sz w:val="20"/>
          <w:szCs w:val="20"/>
          <w:color w:val="auto"/>
        </w:rPr>
      </w:pPr>
    </w:p>
    <w:p>
      <w:pPr>
        <w:ind w:left="1260" w:right="619" w:firstLine="360"/>
        <w:spacing w:after="0" w:line="280"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58"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color w:val="auto"/>
        </w:rPr>
        <w:t>Under the DGCL, unless otherwise provided in our current certificate of incorporation, directors serving on a board may be removed by the stockholders only for cause. Our current certificate of incorporation provides that no director may be removed from office by the stockholders except for cause with the affirmative vote of the holders of not less than two-thirds (66 2/3 %) of the total voting power of all of our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w:t>
      </w:r>
    </w:p>
    <w:p>
      <w:pPr>
        <w:spacing w:after="0" w:line="2" w:lineRule="exact"/>
        <w:rPr>
          <w:sz w:val="20"/>
          <w:szCs w:val="20"/>
          <w:color w:val="auto"/>
        </w:rPr>
      </w:pPr>
    </w:p>
    <w:p>
      <w:pPr>
        <w:ind w:left="1260" w:right="519"/>
        <w:spacing w:after="0"/>
        <w:tabs>
          <w:tab w:leader="none" w:pos="1543"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8"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Our current certificate of incorporation provides that special meetings of the stockholders may be called only by the Board acting pursuant to a resolution adopted by a majority of the Board. Our amended</w:t>
      </w:r>
    </w:p>
    <w:p>
      <w:pPr>
        <w:spacing w:after="0" w:line="33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6" w:lineRule="auto"/>
        <w:rPr>
          <w:sz w:val="20"/>
          <w:szCs w:val="20"/>
          <w:color w:val="auto"/>
        </w:rPr>
      </w:pPr>
      <w:r>
        <w:rPr>
          <w:rFonts w:ascii="Arial" w:cs="Arial" w:eastAsia="Arial" w:hAnsi="Arial"/>
          <w:sz w:val="18"/>
          <w:szCs w:val="18"/>
          <w:color w:val="auto"/>
        </w:rPr>
        <w:t>and restated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58"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58"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58"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State of Delaware has jurisdiction, the federal district court for the District of Delaware), in all cases 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27"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25"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03" w:lineRule="exact"/>
        <w:rPr>
          <w:sz w:val="20"/>
          <w:szCs w:val="20"/>
          <w:color w:val="auto"/>
        </w:rPr>
      </w:pPr>
    </w:p>
    <w:p>
      <w:pPr>
        <w:ind w:left="1260" w:right="459" w:firstLine="360"/>
        <w:spacing w:after="0" w:line="28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w:t>
      </w:r>
    </w:p>
    <w:p>
      <w:pPr>
        <w:spacing w:after="0" w:line="34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spacing w:after="0" w:line="263" w:lineRule="auto"/>
        <w:rPr>
          <w:sz w:val="20"/>
          <w:szCs w:val="20"/>
          <w:color w:val="auto"/>
        </w:rPr>
      </w:pPr>
      <w:r>
        <w:rPr>
          <w:rFonts w:ascii="Arial" w:cs="Arial" w:eastAsia="Arial" w:hAnsi="Arial"/>
          <w:sz w:val="18"/>
          <w:szCs w:val="18"/>
          <w:color w:val="auto"/>
        </w:rPr>
        <w:t>status or service as officers or directors, to the fullest extent permitted by law. We intend to enter into indemnification agreements with any new directors and executive officers, and certain other officers, in the future.</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9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and expect to maintain standard policies of insurance that provide coverage</w:t>
      </w:r>
    </w:p>
    <w:p>
      <w:pPr>
        <w:spacing w:after="0" w:line="35" w:lineRule="exact"/>
        <w:rPr>
          <w:sz w:val="20"/>
          <w:szCs w:val="20"/>
          <w:color w:val="auto"/>
        </w:rPr>
      </w:pPr>
    </w:p>
    <w:p>
      <w:pPr>
        <w:ind w:left="1260" w:right="459"/>
        <w:spacing w:after="0" w:line="255" w:lineRule="auto"/>
        <w:tabs>
          <w:tab w:leader="none" w:pos="152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2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48"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transfer agent for our common stock and warrant agent for our warrants is Equiniti Trust Company. 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i w:val="1"/>
          <w:iCs w:val="1"/>
          <w:color w:val="auto"/>
        </w:rPr>
        <w:t>The following description of debt securities does not purport to be complete and is subject to and qualified in its entirety by reference to the indenture, a form of which has been filed with the SEC as an exhibit to the registration statement of which this prospectus is a part. Any future supplemental indenture or similar document will also be so filed. You should read the indenture and any supplemental indenture or similar document because they, and not this summary, define your rights as a holder of our debt securities. All capitalized terms have the meanings specified in the indenture.</w:t>
      </w:r>
    </w:p>
    <w:p>
      <w:pPr>
        <w:spacing w:after="0" w:line="118" w:lineRule="exact"/>
        <w:rPr>
          <w:sz w:val="20"/>
          <w:szCs w:val="20"/>
          <w:color w:val="auto"/>
        </w:rPr>
      </w:pPr>
    </w:p>
    <w:p>
      <w:pPr>
        <w:ind w:left="1260" w:right="619" w:firstLine="360"/>
        <w:spacing w:after="0" w:line="283" w:lineRule="auto"/>
        <w:rPr>
          <w:sz w:val="20"/>
          <w:szCs w:val="20"/>
          <w:color w:val="auto"/>
        </w:rPr>
      </w:pPr>
      <w:r>
        <w:rPr>
          <w:rFonts w:ascii="Arial" w:cs="Arial" w:eastAsia="Arial" w:hAnsi="Arial"/>
          <w:sz w:val="16"/>
          <w:szCs w:val="16"/>
          <w:color w:val="auto"/>
        </w:rPr>
        <w:t>As used in this prospectus, debt securities means the debentures, notes, bonds and other evidences of indebtedness that we may issue separately or upon exercise of a debt warrant from time to time. The debt securities may either be senior debt securities or subordinated debt securities. The debt securities we offer will be issued under an indenture between us and a trustee to be named therein. Debt securities, whether senior or subordinated, may be issued as convertible debt securities or exchangeable debt securities.</w:t>
      </w:r>
    </w:p>
    <w:p>
      <w:pPr>
        <w:spacing w:after="0" w:line="90"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As used in this “Description of Debt Securities,” the terms “Lucid,” “we,” “our,” and “us” refer to Lucid Group, Inc. and do not, unless otherwise specified, include our subsidiaries.</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color w:val="auto"/>
        </w:rPr>
        <w:t>General Terms of the Indenture</w:t>
      </w:r>
    </w:p>
    <w:p>
      <w:pPr>
        <w:spacing w:after="0" w:line="14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The debt securities will be our direct unsecured obligations. The senior debt securities will rank equally with all of our other senior unsecured and unsubordinated debt. The subordinated debt securities will be subordinate and junior in right of payment to all of our present and future senior indebtedness to the extent and in the manner described in the prospectus supplement and as set forth in the supplemental indenture, board resolution or officers’ certificate relating to such offering.</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20"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w:t>
      </w:r>
    </w:p>
    <w:p>
      <w:pPr>
        <w:spacing w:after="0" w:line="105"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63" w:lineRule="exact"/>
        <w:rPr>
          <w:sz w:val="20"/>
          <w:szCs w:val="20"/>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title;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90"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issued in fully registered form without coupons or in a form registered as to principal only with coupons;</w:t>
      </w:r>
    </w:p>
    <w:p>
      <w:pPr>
        <w:spacing w:after="0" w:line="48"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issued in the form of one or more global securities and whether all or a portion of the principal amount of the debt securities is represented thereby;</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issued;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03"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will accrue, and the dates when interest is payable;</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rights or obligations to redeem or purchase the debt securities, including sinking fund or partial redemption payments;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currency or currencies of payment of principal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terms applicable to any debt securities issued at a discount from their stated principal amount;</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terms, if any, pursuant to which any debt securities will be subordinate to any of our other debt;</w:t>
      </w:r>
    </w:p>
    <w:p>
      <w:pPr>
        <w:spacing w:after="0" w:line="115" w:lineRule="exact"/>
        <w:rPr>
          <w:rFonts w:ascii="Arial" w:cs="Arial" w:eastAsia="Arial" w:hAnsi="Arial"/>
          <w:sz w:val="17"/>
          <w:szCs w:val="17"/>
          <w:color w:val="auto"/>
        </w:rPr>
      </w:pPr>
    </w:p>
    <w:p>
      <w:pPr>
        <w:ind w:left="1800" w:right="659" w:hanging="180"/>
        <w:spacing w:after="0" w:line="259"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78"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other than the entire principal amount of the debt securities when issued, the portion of the principal amount payable upon acceleration of maturity as a result of a default on our obligations;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provisions for the remarketing of the debt securities;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applicable, covenants affording holders of debt protection with respect to our operations, financial condition or transactions involving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16"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Debt securities issued by us will be structurally subordinated to all indebtedness and other liabilities of our subsidiaries.</w:t>
      </w:r>
    </w:p>
    <w:p>
      <w:pPr>
        <w:spacing w:after="0" w:line="89" w:lineRule="exact"/>
        <w:rPr>
          <w:sz w:val="20"/>
          <w:szCs w:val="20"/>
          <w:color w:val="auto"/>
        </w:rPr>
      </w:pPr>
    </w:p>
    <w:p>
      <w:pPr>
        <w:jc w:val="both"/>
        <w:ind w:left="1260" w:right="799" w:firstLine="360"/>
        <w:spacing w:after="0" w:line="342" w:lineRule="auto"/>
        <w:rPr>
          <w:sz w:val="20"/>
          <w:szCs w:val="20"/>
          <w:color w:val="auto"/>
        </w:rPr>
      </w:pPr>
      <w:r>
        <w:rPr>
          <w:rFonts w:ascii="Arial" w:cs="Arial" w:eastAsia="Arial" w:hAnsi="Arial"/>
          <w:sz w:val="16"/>
          <w:szCs w:val="16"/>
          <w:color w:val="auto"/>
        </w:rPr>
        <w:t>Unless otherwise provided in the applicable prospectus supplement, all securities of any one series need not be issued at the same time and may be issued from time to time without consent of any holder.</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Subordination</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prospectus supplement relating to any offering of subordinated debt securities will describe the specific subordination provisions, including the extent of subordination of payments by us of the principal of, premium, if any, and interest on such subordinated debt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or Exchange Rights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76"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provisions affecting conversion or exchange in the event of our redemption of the debt securities.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or Sale</w:t>
      </w:r>
    </w:p>
    <w:p>
      <w:pPr>
        <w:spacing w:after="0" w:line="148"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We cannot consolidate with or merge into, or convey, transfer or lease all or substantially all of our properties and assets to, any person unless (1) we will be the continuing corporation or (2) the successor</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corporation or person to which our assets are conveyed, transferred or leased is a corporation, partnership, trust or other entity that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110"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This covenant would not apply to any recapitalization transaction, a change of control of us or a highly leveraged transaction, unless the transaction or change of control were structured to include a merger or consolidation or transfer or lease of all or substantially all of our assets.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62"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Unless otherwise indicated, the term “Event of Default,” when used in the indenture, means any of the following:</w:t>
      </w:r>
    </w:p>
    <w:p>
      <w:pPr>
        <w:spacing w:after="0" w:line="62" w:lineRule="exact"/>
        <w:rPr>
          <w:sz w:val="20"/>
          <w:szCs w:val="20"/>
          <w:color w:val="auto"/>
        </w:rPr>
      </w:pPr>
    </w:p>
    <w:p>
      <w:pPr>
        <w:ind w:left="1800" w:right="55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 provided that, an extension of an interest payment period in accordance with the terms of the debt securities shall not constitute a failure to pay interest;</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make sinking fund payments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perform any other covenant for 90 days after notice that performance was required;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events relating to bankruptcy, insolvency or reorganization; or</w:t>
      </w:r>
    </w:p>
    <w:p>
      <w:pPr>
        <w:spacing w:after="0" w:line="117"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Event of Default provided in the applicable resolution of our board of directors or the officers’ certificate or supplemental indenture under which we issue series of debt securities.</w:t>
      </w:r>
    </w:p>
    <w:p>
      <w:pPr>
        <w:spacing w:after="0" w:line="7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If an Event of Default relating to the payment of interest, principal or any sinking fund installment involving any series of debt securities has occurred and is continuing, the trustee or the holders of not less than 25% in aggregate principal amount of the debt securities of each affected series may declare the entire principal of all the debt securities of that series to be due and payable immediately.</w:t>
      </w:r>
    </w:p>
    <w:p>
      <w:pPr>
        <w:spacing w:after="0" w:line="12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If an Event of Default relating to the performance of other covenants has occurred and is continuing for a period of 90 days after notice of such, or involves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107"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Similarly, if an Event of Default relating to the performance of other covenants has occurred and is continuing for a period of 90 days after notice of such, or involves all of the series of subordinated debt securities, then the trustee or the holders of not less than 25% in aggregate principal amount of all of the series of subordinated debt securities may declare the entire principal amount of all of the series of subordinated debt securities due and payable immediately.</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however, the Event of Default relating to the performance of other covenants or any other Event of Default that has occurred and is continuing is for less than all of the series of senior debt securities or subordinated debt securities, as the case may be, then, the trustee or the holders of not less than 25% in aggregate principal amount of each affected series of the senior debt securities or the subordinated debt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If an Event of Default relating to events in bankruptcy, insolvency or reorganization occurs and is continuing, then the principal amount of all of the debt securities outstanding, and any accrued interest, will automatically become due and payable immediately, without any declaration or other act by the trustee or any holder.</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indenture provides that the trustee shall within 90 days after the occurrence of default (or 30 days after it is known by the trustee) with respect to a particular series of debt securities, give the holders of the debt securities of such series notice of such default known to it; provided that, except in the case of a default or Event of Default in payment of the principal, premium, if any, of, or interest on, any debt security of such series or in the payment of any redemption obligation, the trustee may withhold the notice if, and so long as, it in good faith determines that withholding the notice is in the interests of the holders of debt securities of that series.</w:t>
      </w:r>
    </w:p>
    <w:p>
      <w:pPr>
        <w:spacing w:after="0" w:line="12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76" w:lineRule="exact"/>
        <w:rPr>
          <w:sz w:val="20"/>
          <w:szCs w:val="20"/>
          <w:color w:val="auto"/>
        </w:rPr>
      </w:pPr>
    </w:p>
    <w:p>
      <w:pPr>
        <w:ind w:left="1800" w:right="99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that default;</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requesting holders have offered the trustee reasonable security or indemnity satisfactory to it for expenses and liabilities that may be incurred by bringing the action;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series.</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06"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compliance with any condition or covenant of the indenture.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Registered Global Securities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125"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62"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the depositary for such registered global security to its nominee;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19" w:hanging="180"/>
        <w:spacing w:after="0" w:line="263"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75"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9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dealers, underwriters, or agents participating in the distribution of the debt securities will designate the accounts to be credited; and</w:t>
      </w:r>
    </w:p>
    <w:p>
      <w:pPr>
        <w:spacing w:after="0" w:line="62"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06"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16"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63" w:lineRule="exact"/>
        <w:rPr>
          <w:sz w:val="20"/>
          <w:szCs w:val="20"/>
          <w:color w:val="auto"/>
        </w:rPr>
      </w:pPr>
    </w:p>
    <w:p>
      <w:pPr>
        <w:ind w:left="1800" w:right="59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indenture.</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1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1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Lucid, the trustee or any other agent of Lucid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as is now the case with the securities held for the accounts of customers registered in “street name.” We also expect that any of these payments will be the responsibility of the participants.</w:t>
      </w:r>
    </w:p>
    <w:p>
      <w:pPr>
        <w:spacing w:after="0" w:line="89"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62"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We can discharge or defease our obligations under the indenture as set forth below. Unless otherwise set forth in the applicable prospectus supplement, the subordination provisions applicable to any subordinated debt securities will be expressly made subject to the discharge and defeasance provisions of the indenture.</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may discharge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or foreign government obligations, as applicable, as trust funds, in an amount certified to be sufficient to pay when due, whether at maturity, upon redemption or otherwise, the principal of, premium, if any, and interest on the debt securities and any mandatory sinking fund payments.</w:t>
      </w:r>
    </w:p>
    <w:p>
      <w:pPr>
        <w:spacing w:after="0" w:line="127" w:lineRule="exact"/>
        <w:rPr>
          <w:sz w:val="20"/>
          <w:szCs w:val="20"/>
          <w:color w:val="auto"/>
        </w:rPr>
      </w:pPr>
    </w:p>
    <w:p>
      <w:pPr>
        <w:jc w:val="both"/>
        <w:ind w:left="1260" w:right="559" w:firstLine="360"/>
        <w:spacing w:after="0" w:line="255"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(“legal defeasance”). We also may be released from the obligations imposed by any covenants of any outstanding series of debt securities and provisions of the indenture, and we may omit to comply with those covenants without creating an Event of Default (“covenant defeasance”). We may effect legal defeasance and covenant defeasance only if, among other things:</w:t>
      </w:r>
    </w:p>
    <w:p>
      <w:pPr>
        <w:spacing w:after="0" w:line="84" w:lineRule="exact"/>
        <w:rPr>
          <w:sz w:val="20"/>
          <w:szCs w:val="20"/>
          <w:color w:val="auto"/>
        </w:rPr>
      </w:pPr>
    </w:p>
    <w:p>
      <w:pPr>
        <w:ind w:left="1800" w:right="43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or foreign government obligations, as applicable, as trust funds, in an amount certified to be sufficient to pay at maturity (or upon redemption) the principal, premium, if any, and interest on all outstanding debt securities of the series; and</w:t>
      </w:r>
    </w:p>
    <w:p>
      <w:pPr>
        <w:spacing w:after="0" w:line="78" w:lineRule="exact"/>
        <w:rPr>
          <w:rFonts w:ascii="Arial" w:cs="Arial" w:eastAsia="Arial" w:hAnsi="Arial"/>
          <w:sz w:val="18"/>
          <w:szCs w:val="18"/>
          <w:color w:val="auto"/>
        </w:rPr>
      </w:pPr>
    </w:p>
    <w:p>
      <w:pPr>
        <w:ind w:left="1800" w:right="499" w:hanging="180"/>
        <w:spacing w:after="0" w:line="254"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legal defeasance or covenant defeasance and that legal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7"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the Indenture</w:t>
      </w:r>
    </w:p>
    <w:p>
      <w:pPr>
        <w:spacing w:after="0" w:line="1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w:t>
      </w:r>
    </w:p>
    <w:p>
      <w:pPr>
        <w:spacing w:after="0" w:line="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secure any debt securities;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 one or more guarantees for the benefit of holders of debt securities;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cure any ambiguity or correct any inconsistency in the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17"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conform any provision of the indenture to this description of debt securities, the description of the notes included in the applicable prospectus supplement or any other relevant section of the applicable prospectus supplement describing the terms of the debt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change that does not materially adversely affect the right of any holder; and</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the indenture under the Trust Indenture Act of 1939, as amended.</w:t>
      </w:r>
    </w:p>
    <w:p>
      <w:pPr>
        <w:spacing w:after="0" w:line="89"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The indenture also provides that we and the trustee may, with the consent of the holders of not less than a majority in aggregate principal amount of debt securities of all series of senior debt securities or subordinated debt securities, as the case may be, then outstanding and affected (voting as one class), add any provisions to, or change in any manner, eliminate or modify in any way the provisions of, the indenture or modify in any manner the rights of the holders of the debt securities.</w:t>
      </w:r>
    </w:p>
    <w:p>
      <w:pPr>
        <w:spacing w:after="0" w:line="114" w:lineRule="exact"/>
        <w:rPr>
          <w:sz w:val="20"/>
          <w:szCs w:val="20"/>
          <w:color w:val="auto"/>
        </w:rPr>
      </w:pPr>
    </w:p>
    <w:p>
      <w:pPr>
        <w:ind w:left="1260" w:right="979" w:firstLine="360"/>
        <w:spacing w:after="0" w:line="261" w:lineRule="auto"/>
        <w:rPr>
          <w:sz w:val="20"/>
          <w:szCs w:val="20"/>
          <w:color w:val="auto"/>
        </w:rPr>
      </w:pPr>
      <w:r>
        <w:rPr>
          <w:rFonts w:ascii="Arial" w:cs="Arial" w:eastAsia="Arial" w:hAnsi="Arial"/>
          <w:sz w:val="18"/>
          <w:szCs w:val="18"/>
          <w:color w:val="auto"/>
        </w:rPr>
        <w:t>We and the trustee may not, however, without the consent of the holder of each outstanding debt security affected thereby:</w:t>
      </w:r>
    </w:p>
    <w:p>
      <w:pPr>
        <w:spacing w:after="0" w:line="63" w:lineRule="exact"/>
        <w:rPr>
          <w:sz w:val="20"/>
          <w:szCs w:val="20"/>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currency in which the principal (other than as may be provided otherwise with respect to a series), premium, if any, or interest is payable;</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 or provable in bankruptcy;</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any of the subordination provisions or the definition of senior indebtedness applicable to any subordinated debt securities in a manner adverse to the holders of those securities;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alter provisions of the indenture relating to the debt securities not denominated in U.S. dollars;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any debt security when due;</w:t>
      </w:r>
    </w:p>
    <w:p>
      <w:pPr>
        <w:spacing w:after="0" w:line="128" w:lineRule="exact"/>
        <w:rPr>
          <w:rFonts w:ascii="Arial" w:cs="Arial" w:eastAsia="Arial" w:hAnsi="Arial"/>
          <w:sz w:val="17"/>
          <w:szCs w:val="17"/>
          <w:color w:val="auto"/>
        </w:rPr>
      </w:pPr>
    </w:p>
    <w:p>
      <w:pPr>
        <w:ind w:left="1800" w:right="699" w:hanging="180"/>
        <w:spacing w:after="0" w:line="259" w:lineRule="auto"/>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the consent of whose holders is required for any waiver (of compliance with certain provisions of the indenture or certain defaults thereunder and their consequences) provided for in the indenture;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modify any provisions set forth in this paragraph.</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Concerning the Trustee</w:t>
      </w:r>
    </w:p>
    <w:p>
      <w:pPr>
        <w:spacing w:after="0" w:line="162"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5" w:lineRule="auto"/>
        <w:rPr>
          <w:sz w:val="20"/>
          <w:szCs w:val="20"/>
          <w:color w:val="auto"/>
        </w:rPr>
      </w:pPr>
      <w:r>
        <w:rPr>
          <w:rFonts w:ascii="Arial" w:cs="Arial" w:eastAsia="Arial" w:hAnsi="Arial"/>
          <w:sz w:val="18"/>
          <w:szCs w:val="18"/>
          <w:color w:val="auto"/>
        </w:rPr>
        <w:t>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25"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The indenture contains limitations on the right of the trustee, should it become a creditor of Lucid,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48"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indenture provides that no incorporator and no past, present or future stockholder, officer or director, of us or any successor corporation in their capacity as such shall have any individual liability for any of our obligations, covenants or agreements under the debt securities or the indenture.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including, without limitation, Sections 5-1401 and 5-1402 of the New York General Obligations Law and New York Civil Practice Law and Rules 327(b).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DEPOSITARY SHARES</w:t>
      </w:r>
    </w:p>
    <w:p>
      <w:pPr>
        <w:spacing w:after="0" w:line="162" w:lineRule="exact"/>
        <w:rPr>
          <w:sz w:val="20"/>
          <w:szCs w:val="20"/>
          <w:color w:val="auto"/>
        </w:rPr>
      </w:pPr>
    </w:p>
    <w:p>
      <w:pPr>
        <w:jc w:val="both"/>
        <w:ind w:left="1260" w:right="519" w:firstLine="360"/>
        <w:spacing w:after="0" w:line="275" w:lineRule="auto"/>
        <w:rPr>
          <w:sz w:val="20"/>
          <w:szCs w:val="20"/>
          <w:color w:val="auto"/>
        </w:rPr>
      </w:pPr>
      <w:r>
        <w:rPr>
          <w:rFonts w:ascii="Arial" w:cs="Arial" w:eastAsia="Arial" w:hAnsi="Arial"/>
          <w:sz w:val="17"/>
          <w:szCs w:val="17"/>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09"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a description of our outstanding warrants, see “Description of Capital Stock — Warrants.”</w:t>
      </w:r>
    </w:p>
    <w:p>
      <w:pPr>
        <w:spacing w:after="0" w:line="158"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85"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62"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17" w:lineRule="exact"/>
        <w:rPr>
          <w:rFonts w:ascii="Arial" w:cs="Arial" w:eastAsia="Arial" w:hAnsi="Arial"/>
          <w:sz w:val="18"/>
          <w:szCs w:val="18"/>
          <w:color w:val="auto"/>
        </w:rPr>
      </w:pPr>
    </w:p>
    <w:p>
      <w:pPr>
        <w:jc w:val="both"/>
        <w:ind w:left="1800" w:right="659" w:hanging="180"/>
        <w:spacing w:after="0" w:line="26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7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17"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DESCRIPTION OF PURCHASE CONTRACTS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As specified in the applicable prospectus supplement, we may issue purchase contracts for the purchase or sale of:</w:t>
      </w:r>
    </w:p>
    <w:p>
      <w:pPr>
        <w:spacing w:after="0" w:line="62" w:lineRule="exact"/>
        <w:rPr>
          <w:sz w:val="20"/>
          <w:szCs w:val="20"/>
          <w:color w:val="auto"/>
        </w:rPr>
      </w:pPr>
    </w:p>
    <w:p>
      <w:pPr>
        <w:jc w:val="both"/>
        <w:ind w:left="1800" w:right="779" w:hanging="180"/>
        <w:spacing w:after="0" w:line="263"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or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15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00"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preferred shares, depositary shares representing preferred stock, debt securities, warrants, purchase contracts or any combination of such securities. The applicable supplement will describe:</w:t>
      </w:r>
    </w:p>
    <w:p>
      <w:pPr>
        <w:spacing w:after="0" w:line="79" w:lineRule="exact"/>
        <w:rPr>
          <w:sz w:val="20"/>
          <w:szCs w:val="20"/>
          <w:color w:val="auto"/>
        </w:rPr>
      </w:pPr>
    </w:p>
    <w:p>
      <w:pPr>
        <w:ind w:left="1800" w:right="6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terms of the units and of the securities comprising the units, including whether and under what circumstances the securities comprising the units may be traded separately;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are registering (1) the offer, issuance and sale by us of up to $8,000,000,000 in the aggregate of the securities identified herein from time to time in one or more offerings, (2) the issuance by us of an aggregate of up to 44,350,000 shares of common stock, consisting of (a) 42,850,000 shares of common stock issuable upon exercise of the Private Placement Warrants and (b) 1,500,000 shares of common stock issuable upon exercise of the Working Capital Warrants; and (3) the offer and resale from time to time by the Selling Securityholders, or their permitted transferees, of (a) up to 1,189,450,445 shares of common stock, consisting of (i) 1,115,163,848 issued and outstanding shares of common stock, (ii) 29,936,597 shares of common stock subject to vesting and/or exercise of the assumed Legacy Lucid Awards and</w:t>
      </w:r>
    </w:p>
    <w:p>
      <w:pPr>
        <w:spacing w:after="0" w:line="3" w:lineRule="exact"/>
        <w:rPr>
          <w:sz w:val="20"/>
          <w:szCs w:val="20"/>
          <w:color w:val="auto"/>
        </w:rPr>
      </w:pPr>
    </w:p>
    <w:p>
      <w:pPr>
        <w:ind w:left="1260" w:right="439"/>
        <w:spacing w:after="0" w:line="255" w:lineRule="auto"/>
        <w:tabs>
          <w:tab w:leader="none" w:pos="15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44,350,000 shares of common stock issuable upon exercise of the Private Placement Warrants and the Working Capital Warrants, and (b) 44,350,000 warrants representing the Private Placement Warrants and the Working Capital Warrants.</w:t>
      </w:r>
    </w:p>
    <w:p>
      <w:pPr>
        <w:spacing w:after="0" w:line="122"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will receive proceeds from the issuance and sale of our common stock, preferred stock, depositary shares representing preferred stock, debt securities, warrants, purchase contracts or units. We will pay any underwriting discounts and commissions and expenses incurred by us in connection with the sale of securities by us.</w:t>
      </w:r>
    </w:p>
    <w:p>
      <w:pPr>
        <w:spacing w:after="0" w:line="106"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19"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Global Select Market listing fees and fees and expenses of our counsel and our independent registered public accountants.</w:t>
      </w:r>
    </w:p>
    <w:p>
      <w:pPr>
        <w:spacing w:after="0" w:line="125" w:lineRule="exact"/>
        <w:rPr>
          <w:sz w:val="20"/>
          <w:szCs w:val="20"/>
          <w:color w:val="auto"/>
        </w:rPr>
      </w:pPr>
    </w:p>
    <w:p>
      <w:pPr>
        <w:ind w:left="1260" w:right="519" w:firstLine="360"/>
        <w:spacing w:after="0" w:line="254" w:lineRule="auto"/>
        <w:rPr>
          <w:sz w:val="20"/>
          <w:szCs w:val="20"/>
          <w:color w:val="auto"/>
        </w:rPr>
      </w:pPr>
      <w:r>
        <w:rPr>
          <w:rFonts w:ascii="Arial" w:cs="Arial" w:eastAsia="Arial" w:hAnsi="Arial"/>
          <w:sz w:val="18"/>
          <w:szCs w:val="18"/>
          <w:color w:val="auto"/>
        </w:rPr>
        <w:t>The securities to be offered and sold by us covered by this prospectus may be offered and sold from time to time. The securities beneficially owned by the Selling Securityholders covered by this prospectus may be offered and sold from time to time by the Selling Securityholders. The term “Selling Securityholders” includes their permitted transferees who later come to hold any of the Selling Securityholders’ interest in the common stock or warrants in accordance with the terms of the agreement(s) governing the registration rights applicable to such Selling Securityholder’s shares of common stock or warrants. The Selling Securityholders will act independently of us in making decisions with respect to the timing, manner and size of each sale.</w:t>
      </w:r>
    </w:p>
    <w:p>
      <w:pPr>
        <w:spacing w:after="0" w:line="111"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Such sales may be made on one or more exchanges or in the over-the-counter market or otherwise, at prices and under terms then prevailing or at prices related to the then current market price or in negotiated transactions. We and each Selling Securityholder reserves the right to accept and, together with our and its respective agents, to reject, any proposed purchase of securities to be made directly or through agents. We, the Selling Securityholders and any of their permitted transferees may sell the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19" w:lineRule="exact"/>
        <w:rPr>
          <w:sz w:val="20"/>
          <w:szCs w:val="20"/>
          <w:color w:val="auto"/>
        </w:rPr>
      </w:pPr>
    </w:p>
    <w:p>
      <w:pPr>
        <w:jc w:val="both"/>
        <w:ind w:left="1260" w:right="679" w:firstLine="360"/>
        <w:spacing w:after="0" w:line="263" w:lineRule="auto"/>
        <w:rPr>
          <w:sz w:val="20"/>
          <w:szCs w:val="20"/>
          <w:color w:val="auto"/>
        </w:rPr>
      </w:pPr>
      <w:r>
        <w:rPr>
          <w:rFonts w:ascii="Arial" w:cs="Arial" w:eastAsia="Arial" w:hAnsi="Arial"/>
          <w:sz w:val="18"/>
          <w:szCs w:val="18"/>
          <w:color w:val="auto"/>
        </w:rPr>
        <w:t>We or, subject to the limitations set forth in any applicable registration rights agreement, the Selling Securityholders may use any one or more of the following methods when selling the securities offered by this prospectus: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97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pacing w:after="0" w:line="24" w:lineRule="exact"/>
        <w:rPr>
          <w:rFonts w:ascii="Arial" w:cs="Arial" w:eastAsia="Arial" w:hAnsi="Arial"/>
          <w:sz w:val="17"/>
          <w:szCs w:val="17"/>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w:t>
      </w:r>
    </w:p>
    <w:p>
      <w:pPr>
        <w:spacing w:after="0" w:line="128" w:lineRule="exact"/>
        <w:rPr>
          <w:rFonts w:ascii="Arial" w:cs="Arial" w:eastAsia="Arial" w:hAnsi="Arial"/>
          <w:sz w:val="17"/>
          <w:szCs w:val="17"/>
          <w:color w:val="auto"/>
        </w:rPr>
      </w:pPr>
    </w:p>
    <w:p>
      <w:pPr>
        <w:ind w:left="1800" w:right="499" w:hanging="180"/>
        <w:spacing w:after="0" w:line="263"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48" w:lineRule="exact"/>
        <w:rPr>
          <w:rFonts w:ascii="Arial" w:cs="Arial" w:eastAsia="Arial" w:hAnsi="Arial"/>
          <w:sz w:val="18"/>
          <w:szCs w:val="18"/>
          <w:color w:val="auto"/>
        </w:rPr>
      </w:pPr>
    </w:p>
    <w:p>
      <w:pPr>
        <w:ind w:left="1800" w:right="1619" w:hanging="180"/>
        <w:spacing w:after="0" w:line="27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securityholders of the Selling Securityholders;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delayed delivery requirements;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There can be no assurance that we or the Selling Securityholders will sell all or any of the securities offered by this prospectus. In addition, we and the Selling Securityholders may also sell securities under Rule 144 under the Securities Act, if available, or in other transactions exempt from registration, rather than under this prospectus. We and the Selling Securityholders, as applicable, have the sole and absolute discretion not to accept any purchase offer or make any sale of securities if we or they deem the purchase price to be unsatisfactory at any particular time.</w:t>
      </w:r>
    </w:p>
    <w:p>
      <w:pPr>
        <w:spacing w:after="0" w:line="120"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01"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With respect to a particular offering of the securities by us or of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73" w:lineRule="exact"/>
        <w:rPr>
          <w:sz w:val="20"/>
          <w:szCs w:val="20"/>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99" w:hanging="180"/>
        <w:spacing w:after="0" w:line="277" w:lineRule="auto"/>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us or the Selling Securityholders.</w:t>
      </w:r>
    </w:p>
    <w:p>
      <w:pPr>
        <w:spacing w:after="0" w:line="103" w:lineRule="exact"/>
        <w:rPr>
          <w:sz w:val="20"/>
          <w:szCs w:val="20"/>
          <w:color w:val="auto"/>
        </w:rPr>
      </w:pPr>
    </w:p>
    <w:p>
      <w:pPr>
        <w:ind w:left="1260" w:right="519" w:firstLine="360"/>
        <w:spacing w:after="0" w:line="258" w:lineRule="auto"/>
        <w:rPr>
          <w:sz w:val="20"/>
          <w:szCs w:val="20"/>
          <w:color w:val="auto"/>
        </w:rPr>
      </w:pPr>
      <w:r>
        <w:rPr>
          <w:rFonts w:ascii="Arial" w:cs="Arial" w:eastAsia="Arial" w:hAnsi="Arial"/>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1"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07"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We and 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13"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common stock is listed on the Nasdaq under the symbol “LCID.”</w:t>
      </w:r>
    </w:p>
    <w:p>
      <w:pPr>
        <w:spacing w:after="0" w:line="11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We and the Selling Securityholders may authorize underwriters, broker-dealers or agents to solicit</w:t>
      </w:r>
    </w:p>
    <w:p>
      <w:pPr>
        <w:spacing w:after="0" w:line="12" w:lineRule="exact"/>
        <w:rPr>
          <w:sz w:val="20"/>
          <w:szCs w:val="20"/>
          <w:color w:val="auto"/>
        </w:rPr>
      </w:pPr>
    </w:p>
    <w:p>
      <w:pPr>
        <w:ind w:left="1260" w:right="439"/>
        <w:spacing w:after="0" w:line="244" w:lineRule="auto"/>
        <w:rPr>
          <w:sz w:val="20"/>
          <w:szCs w:val="20"/>
          <w:color w:val="auto"/>
        </w:rPr>
      </w:pPr>
      <w:r>
        <w:rPr>
          <w:rFonts w:ascii="Arial" w:cs="Arial" w:eastAsia="Arial" w:hAnsi="Arial"/>
          <w:sz w:val="18"/>
          <w:szCs w:val="18"/>
          <w:color w:val="auto"/>
        </w:rPr>
        <w:t>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ectPr>
          <w:pgSz w:w="11900" w:h="16838" w:orient="portrait"/>
          <w:cols w:equalWidth="0" w:num="1">
            <w:col w:w="9879"/>
          </w:cols>
          <w:pgMar w:left="580" w:top="132" w:right="1440" w:bottom="1440" w:gutter="0" w:footer="0" w:header="0"/>
        </w:sect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In effecting sales, broker-dealers or agents engaged by us or the Selling Securityholders may arrange for other broker-dealers to participate. Broker-dealers or agents may receive commissions, discounts or concessions from us or the Selling Securityholders in amounts to be negotiated immediately prior to the sale.</w:t>
      </w:r>
    </w:p>
    <w:p>
      <w:pPr>
        <w:spacing w:after="0" w:line="11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19"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03"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24"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19"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In offering the securities covered by this prospectus, we,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0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16"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11"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19"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liabilities, including liabilities under the Securities Act, or to contribution with respect to payments which the agents, broker-dealers or underwriters may be required to make in respect thereof.</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Private Placement Warrants and Working Capital Warrants (including common stock issuable upon exercise of such warrants) are subject to restrictions on transfer, assignment and sale and, in certain circumstances, are subject to redemption. See “Description of Capital Stock — Warrants.”</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Pursuant to the Investor Rights Agreement and subject to certain exceptions, the Sponsor is restricted from selling or transferring common stock and Private Placement Warrants held by it for a period of 18 months beginning on the Closing Date.</w:t>
      </w:r>
    </w:p>
    <w:p>
      <w:pPr>
        <w:spacing w:after="0" w:line="116"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Additionally, following certain underwritten offerings of our equity securities, parties to the Investor Rights Agreement will also agree to a customary market stand-off period not to exceed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ind w:left="1260" w:right="439" w:firstLine="360"/>
        <w:spacing w:after="0" w:line="262" w:lineRule="auto"/>
        <w:rPr>
          <w:sz w:val="20"/>
          <w:szCs w:val="20"/>
          <w:color w:val="auto"/>
        </w:rPr>
      </w:pPr>
      <w:r>
        <w:rPr>
          <w:rFonts w:ascii="Arial" w:cs="Arial" w:eastAsia="Arial" w:hAnsi="Arial"/>
          <w:sz w:val="18"/>
          <w:szCs w:val="18"/>
          <w:color w:val="auto"/>
        </w:rPr>
        <w:t>This prospectus also relates to the resale by the Selling Securityholders from time to time of (a) up to 1,189,450,445 shares of common stock, consisting of (i) 1,115,163,848 issued and outstanding shares of common stock, (ii) 29,936,597 shares of common stock subject to vesting and/or exercise of the assumed Legacy Lucid Awards and (iii) 44,350,000 shares of common stock issuable upon exercise of the Private Placement Warrants and the Working Capital Warrants, and (b) 44,350,000 warrants representing the Private Placement Warrants and the Working Capital Warrants. The Selling Securityholders may from time to time offer and sell any or all of the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common stock or warrants in accordance with the terms of the agreements governing the registration rights applicable to such Selling Securityholder’s shares of common stock or warrants.</w:t>
      </w:r>
    </w:p>
    <w:p>
      <w:pPr>
        <w:spacing w:after="0" w:line="137" w:lineRule="exact"/>
        <w:rPr>
          <w:sz w:val="20"/>
          <w:szCs w:val="20"/>
          <w:color w:val="auto"/>
        </w:rPr>
      </w:pPr>
    </w:p>
    <w:p>
      <w:pPr>
        <w:ind w:left="1260" w:right="419" w:firstLine="360"/>
        <w:spacing w:after="0" w:line="280" w:lineRule="auto"/>
        <w:rPr>
          <w:sz w:val="20"/>
          <w:szCs w:val="20"/>
          <w:color w:val="auto"/>
        </w:rPr>
      </w:pPr>
      <w:r>
        <w:rPr>
          <w:rFonts w:ascii="Arial" w:cs="Arial" w:eastAsia="Arial" w:hAnsi="Arial"/>
          <w:sz w:val="17"/>
          <w:szCs w:val="17"/>
          <w:color w:val="auto"/>
        </w:rPr>
        <w:t>The following table sets forth, based on representations from the Selling Securityholders and where applicable, filings with the SEC, the names of the Selling Securityholders, the aggregate number of shares of common stock and warrants beneficially owned, the aggregate number of shares of common stock and warrants that the Selling Securityholders may offer pursuant to this prospectus and the number of shares of common stock and warrants beneficially owned by the Selling Securityholders after the sale of the securities offered hereby. The Selling Securityholders may have sold, transferred or otherwise disposed of some or all of their shares of common stock or warrants, or may have purchased additional freely-tradeable shares of common stock or warrants since providing us with this information. We have based percentage ownership on 1,677,828,639 shares of common stock issued and outstanding as of August 15, 2022.</w:t>
      </w:r>
    </w:p>
    <w:p>
      <w:pPr>
        <w:spacing w:after="0" w:line="108"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13" w:lineRule="exact"/>
        <w:rPr>
          <w:sz w:val="20"/>
          <w:szCs w:val="20"/>
          <w:color w:val="auto"/>
        </w:rPr>
      </w:pPr>
    </w:p>
    <w:p>
      <w:pPr>
        <w:ind w:left="1260" w:right="599" w:firstLine="360"/>
        <w:spacing w:after="0" w:line="265"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15" w:lineRule="exact"/>
        <w:rPr>
          <w:sz w:val="20"/>
          <w:szCs w:val="20"/>
          <w:color w:val="auto"/>
        </w:rPr>
      </w:pPr>
    </w:p>
    <w:p>
      <w:pPr>
        <w:ind w:left="1260" w:right="439" w:firstLine="360"/>
        <w:spacing w:after="0" w:line="287" w:lineRule="auto"/>
        <w:rPr>
          <w:sz w:val="20"/>
          <w:szCs w:val="20"/>
          <w:color w:val="auto"/>
        </w:rPr>
      </w:pPr>
      <w:r>
        <w:rPr>
          <w:rFonts w:ascii="Arial" w:cs="Arial" w:eastAsia="Arial" w:hAnsi="Arial"/>
          <w:sz w:val="17"/>
          <w:szCs w:val="17"/>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84"/>
              </w:rPr>
              <w:t>Shares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tcPr>
          <w:p>
            <w:pPr>
              <w:jc w:val="center"/>
              <w:ind w:right="272"/>
              <w:spacing w:after="0"/>
              <w:rPr>
                <w:sz w:val="20"/>
                <w:szCs w:val="20"/>
                <w:color w:val="auto"/>
              </w:rPr>
            </w:pPr>
            <w:r>
              <w:rPr>
                <w:rFonts w:ascii="Arial" w:cs="Arial" w:eastAsia="Arial" w:hAnsi="Arial"/>
                <w:sz w:val="14"/>
                <w:szCs w:val="14"/>
                <w:b w:val="1"/>
                <w:bCs w:val="1"/>
                <w:color w:val="auto"/>
                <w:w w:val="88"/>
              </w:rPr>
              <w:t>Shares of Common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4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90"/>
              </w:rPr>
              <w:t>Beneficially Owned After the Offered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restart"/>
          </w:tcPr>
          <w:p>
            <w:pPr>
              <w:jc w:val="center"/>
              <w:ind w:right="76"/>
              <w:spacing w:after="0"/>
              <w:rPr>
                <w:sz w:val="20"/>
                <w:szCs w:val="20"/>
                <w:color w:val="auto"/>
              </w:rPr>
            </w:pPr>
            <w:r>
              <w:rPr>
                <w:rFonts w:ascii="Arial" w:cs="Arial" w:eastAsia="Arial" w:hAnsi="Arial"/>
                <w:sz w:val="14"/>
                <w:szCs w:val="14"/>
                <w:b w:val="1"/>
                <w:bCs w:val="1"/>
                <w:color w:val="auto"/>
                <w:w w:val="87"/>
              </w:rPr>
              <w:t>Common Stock</w:t>
            </w:r>
          </w:p>
        </w:tc>
        <w:tc>
          <w:tcPr>
            <w:tcW w:w="100" w:type="dxa"/>
            <w:vAlign w:val="bottom"/>
          </w:tcPr>
          <w:p>
            <w:pPr>
              <w:spacing w:after="0"/>
              <w:rPr>
                <w:sz w:val="5"/>
                <w:szCs w:val="5"/>
                <w:color w:val="auto"/>
              </w:rPr>
            </w:pPr>
          </w:p>
        </w:tc>
        <w:tc>
          <w:tcPr>
            <w:tcW w:w="12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88"/>
              </w:rPr>
              <w:t>Number of Shares of</w:t>
            </w:r>
          </w:p>
        </w:tc>
        <w:tc>
          <w:tcPr>
            <w:tcW w:w="120" w:type="dxa"/>
            <w:vAlign w:val="bottom"/>
          </w:tcPr>
          <w:p>
            <w:pPr>
              <w:spacing w:after="0"/>
              <w:rPr>
                <w:sz w:val="5"/>
                <w:szCs w:val="5"/>
                <w:color w:val="auto"/>
              </w:rPr>
            </w:pPr>
          </w:p>
        </w:tc>
        <w:tc>
          <w:tcPr>
            <w:tcW w:w="2240" w:type="dxa"/>
            <w:vAlign w:val="bottom"/>
            <w:gridSpan w:val="9"/>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2360" w:type="dxa"/>
            <w:vAlign w:val="bottom"/>
            <w:gridSpan w:val="10"/>
          </w:tcPr>
          <w:p>
            <w:pPr>
              <w:ind w:left="80"/>
              <w:spacing w:after="0" w:line="145" w:lineRule="exact"/>
              <w:rPr>
                <w:sz w:val="20"/>
                <w:szCs w:val="20"/>
                <w:color w:val="auto"/>
              </w:rPr>
            </w:pPr>
            <w:r>
              <w:rPr>
                <w:rFonts w:ascii="Arial" w:cs="Arial" w:eastAsia="Arial" w:hAnsi="Arial"/>
                <w:sz w:val="16"/>
                <w:szCs w:val="16"/>
                <w:b w:val="1"/>
                <w:bCs w:val="1"/>
                <w:color w:val="auto"/>
                <w:vertAlign w:val="subscript"/>
              </w:rPr>
              <w:t>​</w:t>
            </w:r>
            <w:r>
              <w:rPr>
                <w:rFonts w:ascii="Arial" w:cs="Arial" w:eastAsia="Arial" w:hAnsi="Arial"/>
                <w:sz w:val="10"/>
                <w:szCs w:val="10"/>
                <w:b w:val="1"/>
                <w:bCs w:val="1"/>
                <w:color w:val="auto"/>
              </w:rPr>
              <w:t xml:space="preserve">  Shares of Common Stock Are Sold</w:t>
            </w:r>
          </w:p>
        </w:tc>
        <w:tc>
          <w:tcPr>
            <w:tcW w:w="6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318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1160" w:type="dxa"/>
            <w:vAlign w:val="bottom"/>
            <w:gridSpan w:val="3"/>
            <w:vMerge w:val="restart"/>
          </w:tcPr>
          <w:p>
            <w:pPr>
              <w:jc w:val="center"/>
              <w:spacing w:after="0" w:line="113" w:lineRule="exact"/>
              <w:rPr>
                <w:sz w:val="20"/>
                <w:szCs w:val="20"/>
                <w:color w:val="auto"/>
              </w:rPr>
            </w:pPr>
            <w:r>
              <w:rPr>
                <w:rFonts w:ascii="Arial" w:cs="Arial" w:eastAsia="Arial" w:hAnsi="Arial"/>
                <w:sz w:val="13"/>
                <w:szCs w:val="13"/>
                <w:b w:val="1"/>
                <w:bCs w:val="1"/>
                <w:color w:val="auto"/>
                <w:w w:val="93"/>
              </w:rPr>
              <w:t>Beneficially Owned</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ind w:left="20"/>
              <w:spacing w:after="0" w:line="113" w:lineRule="exact"/>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31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86"/>
              </w:rPr>
              <w:t>Number</w:t>
            </w: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180" w:type="dxa"/>
            <w:vAlign w:val="bottom"/>
          </w:tcPr>
          <w:p>
            <w:pPr>
              <w:spacing w:after="0"/>
              <w:rPr>
                <w:sz w:val="20"/>
                <w:szCs w:val="20"/>
                <w:color w:val="auto"/>
              </w:rPr>
            </w:pPr>
            <w:r>
              <w:rPr>
                <w:rFonts w:ascii="Arial" w:cs="Arial" w:eastAsia="Arial" w:hAnsi="Arial"/>
                <w:sz w:val="14"/>
                <w:szCs w:val="14"/>
                <w:b w:val="1"/>
                <w:bCs w:val="1"/>
                <w:color w:val="auto"/>
              </w:rPr>
              <w:t>Name of Selling Securityholder</w:t>
            </w:r>
          </w:p>
        </w:tc>
        <w:tc>
          <w:tcPr>
            <w:tcW w:w="1300" w:type="dxa"/>
            <w:vAlign w:val="bottom"/>
            <w:gridSpan w:val="4"/>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Prior to Offering</w:t>
            </w:r>
          </w:p>
        </w:tc>
        <w:tc>
          <w:tcPr>
            <w:tcW w:w="1680" w:type="dxa"/>
            <w:vAlign w:val="bottom"/>
            <w:gridSpan w:val="9"/>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Stock Being Offered </w:t>
            </w:r>
            <w:r>
              <w:rPr>
                <w:rFonts w:ascii="Arial" w:cs="Arial" w:eastAsia="Arial" w:hAnsi="Arial"/>
                <w:sz w:val="24"/>
                <w:szCs w:val="24"/>
                <w:b w:val="1"/>
                <w:bCs w:val="1"/>
                <w:color w:val="auto"/>
                <w:vertAlign w:val="subscript"/>
              </w:rPr>
              <w:t>​ ​</w:t>
            </w:r>
          </w:p>
        </w:tc>
        <w:tc>
          <w:tcPr>
            <w:tcW w:w="20" w:type="dxa"/>
            <w:vAlign w:val="bottom"/>
          </w:tcPr>
          <w:p>
            <w:pPr>
              <w:spacing w:after="0"/>
              <w:rPr>
                <w:sz w:val="18"/>
                <w:szCs w:val="18"/>
                <w:color w:val="auto"/>
              </w:rPr>
            </w:pPr>
          </w:p>
        </w:tc>
        <w:tc>
          <w:tcPr>
            <w:tcW w:w="56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Peter Rawlinson</w:t>
            </w:r>
            <w:r>
              <w:rPr>
                <w:rFonts w:ascii="Arial" w:cs="Arial" w:eastAsia="Arial" w:hAnsi="Arial"/>
                <w:sz w:val="23"/>
                <w:szCs w:val="23"/>
                <w:color w:val="auto"/>
                <w:vertAlign w:val="superscript"/>
              </w:rPr>
              <w:t>(1)</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21,425,832</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90"/>
              </w:rPr>
              <w:t>33,892,034</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3180" w:type="dxa"/>
            <w:vAlign w:val="bottom"/>
          </w:tcPr>
          <w:p>
            <w:pPr>
              <w:spacing w:after="0"/>
              <w:rPr>
                <w:sz w:val="20"/>
                <w:szCs w:val="20"/>
                <w:color w:val="auto"/>
              </w:rPr>
            </w:pPr>
            <w:r>
              <w:rPr>
                <w:rFonts w:ascii="Arial" w:cs="Arial" w:eastAsia="Arial" w:hAnsi="Arial"/>
                <w:sz w:val="18"/>
                <w:szCs w:val="18"/>
                <w:color w:val="auto"/>
              </w:rPr>
              <w:t>Sherry House</w:t>
            </w:r>
            <w:r>
              <w:rPr>
                <w:rFonts w:ascii="Arial" w:cs="Arial" w:eastAsia="Arial" w:hAnsi="Arial"/>
                <w:sz w:val="23"/>
                <w:szCs w:val="23"/>
                <w:color w:val="auto"/>
                <w:vertAlign w:val="superscript"/>
              </w:rPr>
              <w:t>(2)</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120,053</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574,492</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Eric Bach</w:t>
            </w:r>
            <w:r>
              <w:rPr>
                <w:rFonts w:ascii="Arial" w:cs="Arial" w:eastAsia="Arial" w:hAnsi="Arial"/>
                <w:sz w:val="23"/>
                <w:szCs w:val="23"/>
                <w:color w:val="auto"/>
                <w:vertAlign w:val="superscript"/>
              </w:rPr>
              <w:t>(3)</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3,106,779</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4,252,512</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Michael Bell</w:t>
            </w:r>
            <w:r>
              <w:rPr>
                <w:rFonts w:ascii="Arial" w:cs="Arial" w:eastAsia="Arial" w:hAnsi="Arial"/>
                <w:sz w:val="23"/>
                <w:szCs w:val="23"/>
                <w:color w:val="auto"/>
                <w:vertAlign w:val="superscript"/>
              </w:rPr>
              <w:t>(4)</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446,818</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w w:val="92"/>
              </w:rPr>
              <w:t>1,107,818</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Andrew Liveris</w:t>
            </w:r>
            <w:r>
              <w:rPr>
                <w:rFonts w:ascii="Arial" w:cs="Arial" w:eastAsia="Arial" w:hAnsi="Arial"/>
                <w:sz w:val="23"/>
                <w:szCs w:val="23"/>
                <w:color w:val="auto"/>
                <w:vertAlign w:val="superscript"/>
              </w:rPr>
              <w:t>(5)</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535,275</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1,298,622</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Glenn R. August</w:t>
            </w:r>
            <w:r>
              <w:rPr>
                <w:rFonts w:ascii="Arial" w:cs="Arial" w:eastAsia="Arial" w:hAnsi="Arial"/>
                <w:sz w:val="23"/>
                <w:szCs w:val="23"/>
                <w:color w:val="auto"/>
                <w:vertAlign w:val="superscript"/>
              </w:rPr>
              <w:t>(6)</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6"/>
              <w:spacing w:after="0"/>
              <w:rPr>
                <w:sz w:val="20"/>
                <w:szCs w:val="20"/>
                <w:color w:val="auto"/>
              </w:rPr>
            </w:pPr>
            <w:r>
              <w:rPr>
                <w:rFonts w:ascii="Arial" w:cs="Arial" w:eastAsia="Arial" w:hAnsi="Arial"/>
                <w:sz w:val="18"/>
                <w:szCs w:val="18"/>
                <w:color w:val="auto"/>
                <w:w w:val="90"/>
              </w:rPr>
              <w:t>13,858,569</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Nancy Gioia</w:t>
            </w:r>
            <w:r>
              <w:rPr>
                <w:rFonts w:ascii="Arial" w:cs="Arial" w:eastAsia="Arial" w:hAnsi="Arial"/>
                <w:sz w:val="23"/>
                <w:szCs w:val="23"/>
                <w:color w:val="auto"/>
                <w:vertAlign w:val="superscript"/>
              </w:rPr>
              <w:t>(7)</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125,000</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3180" w:type="dxa"/>
            <w:vAlign w:val="bottom"/>
          </w:tcPr>
          <w:p>
            <w:pPr>
              <w:spacing w:after="0"/>
              <w:rPr>
                <w:sz w:val="20"/>
                <w:szCs w:val="20"/>
                <w:color w:val="auto"/>
              </w:rPr>
            </w:pPr>
            <w:r>
              <w:rPr>
                <w:rFonts w:ascii="Arial" w:cs="Arial" w:eastAsia="Arial" w:hAnsi="Arial"/>
                <w:sz w:val="18"/>
                <w:szCs w:val="18"/>
                <w:color w:val="auto"/>
              </w:rPr>
              <w:t>Tony Posawatz</w:t>
            </w:r>
            <w:r>
              <w:rPr>
                <w:rFonts w:ascii="Arial" w:cs="Arial" w:eastAsia="Arial" w:hAnsi="Arial"/>
                <w:sz w:val="23"/>
                <w:szCs w:val="23"/>
                <w:color w:val="auto"/>
                <w:vertAlign w:val="superscript"/>
              </w:rPr>
              <w:t>(8)</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38,369</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38,369</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Turqi Alnowaiser</w:t>
            </w:r>
            <w:r>
              <w:rPr>
                <w:rFonts w:ascii="Arial" w:cs="Arial" w:eastAsia="Arial" w:hAnsi="Arial"/>
                <w:sz w:val="23"/>
                <w:szCs w:val="23"/>
                <w:color w:val="auto"/>
                <w:vertAlign w:val="superscript"/>
              </w:rPr>
              <w:t>(9)</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2,070,138</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2,070,138</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tcPr>
          <w:p>
            <w:pPr>
              <w:spacing w:after="0"/>
              <w:rPr>
                <w:sz w:val="20"/>
                <w:szCs w:val="20"/>
                <w:color w:val="auto"/>
              </w:rPr>
            </w:pPr>
            <w:r>
              <w:rPr>
                <w:rFonts w:ascii="Arial" w:cs="Arial" w:eastAsia="Arial" w:hAnsi="Arial"/>
                <w:sz w:val="18"/>
                <w:szCs w:val="18"/>
                <w:color w:val="auto"/>
              </w:rPr>
              <w:t>H.E. Yasir Othman Al-Rumayyan</w:t>
            </w:r>
            <w:r>
              <w:rPr>
                <w:rFonts w:ascii="Arial" w:cs="Arial" w:eastAsia="Arial" w:hAnsi="Arial"/>
                <w:sz w:val="23"/>
                <w:szCs w:val="23"/>
                <w:color w:val="auto"/>
                <w:vertAlign w:val="superscript"/>
              </w:rPr>
              <w:t>(10)</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4,604,595</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w w:val="92"/>
              </w:rPr>
              <w:t>4,604,595</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Churchill Sponsor IV LLC</w:t>
            </w:r>
            <w:r>
              <w:rPr>
                <w:rFonts w:ascii="Arial" w:cs="Arial" w:eastAsia="Arial" w:hAnsi="Arial"/>
                <w:sz w:val="23"/>
                <w:szCs w:val="23"/>
                <w:color w:val="auto"/>
                <w:vertAlign w:val="superscript"/>
              </w:rPr>
              <w:t>(11)</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51,750,000</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tcBorders>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90"/>
              </w:rPr>
              <w:t>51,750,000</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Ayar Third Investment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180" w:type="dxa"/>
            <w:vAlign w:val="bottom"/>
          </w:tcPr>
          <w:p>
            <w:pPr>
              <w:ind w:left="180"/>
              <w:spacing w:after="0" w:line="263" w:lineRule="exact"/>
              <w:rPr>
                <w:sz w:val="20"/>
                <w:szCs w:val="20"/>
                <w:color w:val="auto"/>
              </w:rPr>
            </w:pPr>
            <w:r>
              <w:rPr>
                <w:rFonts w:ascii="Arial" w:cs="Arial" w:eastAsia="Arial" w:hAnsi="Arial"/>
                <w:sz w:val="18"/>
                <w:szCs w:val="18"/>
                <w:color w:val="auto"/>
              </w:rPr>
              <w:t>Company</w:t>
            </w:r>
            <w:r>
              <w:rPr>
                <w:rFonts w:ascii="Arial" w:cs="Arial" w:eastAsia="Arial" w:hAnsi="Arial"/>
                <w:sz w:val="23"/>
                <w:szCs w:val="23"/>
                <w:color w:val="auto"/>
                <w:vertAlign w:val="superscript"/>
              </w:rPr>
              <w:t>(12)</w:t>
            </w:r>
          </w:p>
        </w:tc>
        <w:tc>
          <w:tcPr>
            <w:tcW w:w="1300" w:type="dxa"/>
            <w:vAlign w:val="bottom"/>
            <w:gridSpan w:val="4"/>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1,015,252,523</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16"/>
              <w:spacing w:after="0"/>
              <w:rPr>
                <w:sz w:val="20"/>
                <w:szCs w:val="20"/>
                <w:color w:val="auto"/>
              </w:rPr>
            </w:pPr>
            <w:r>
              <w:rPr>
                <w:rFonts w:ascii="Arial" w:cs="Arial" w:eastAsia="Arial" w:hAnsi="Arial"/>
                <w:sz w:val="18"/>
                <w:szCs w:val="18"/>
                <w:b w:val="1"/>
                <w:bCs w:val="1"/>
                <w:color w:val="auto"/>
                <w:w w:val="90"/>
              </w:rPr>
              <w:t>​</w:t>
            </w:r>
            <w:r>
              <w:rPr>
                <w:rFonts w:ascii="Arial" w:cs="Arial" w:eastAsia="Arial" w:hAnsi="Arial"/>
                <w:sz w:val="18"/>
                <w:szCs w:val="18"/>
                <w:color w:val="auto"/>
                <w:w w:val="90"/>
              </w:rPr>
              <w:t>1,015,252,523</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Arena Capital Funds</w:t>
            </w:r>
            <w:r>
              <w:rPr>
                <w:rFonts w:ascii="Arial" w:cs="Arial" w:eastAsia="Arial" w:hAnsi="Arial"/>
                <w:sz w:val="23"/>
                <w:szCs w:val="23"/>
                <w:color w:val="auto"/>
                <w:vertAlign w:val="superscript"/>
              </w:rPr>
              <w:t>(13)</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411,500</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411,500</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3180" w:type="dxa"/>
            <w:vAlign w:val="bottom"/>
          </w:tcPr>
          <w:p>
            <w:pPr>
              <w:spacing w:after="0"/>
              <w:rPr>
                <w:sz w:val="20"/>
                <w:szCs w:val="20"/>
                <w:color w:val="auto"/>
              </w:rPr>
            </w:pPr>
            <w:r>
              <w:rPr>
                <w:rFonts w:ascii="Arial" w:cs="Arial" w:eastAsia="Arial" w:hAnsi="Arial"/>
                <w:sz w:val="18"/>
                <w:szCs w:val="18"/>
                <w:color w:val="auto"/>
              </w:rPr>
              <w:t>Franklin Funds</w:t>
            </w:r>
            <w:r>
              <w:rPr>
                <w:rFonts w:ascii="Arial" w:cs="Arial" w:eastAsia="Arial" w:hAnsi="Arial"/>
                <w:sz w:val="23"/>
                <w:szCs w:val="23"/>
                <w:color w:val="auto"/>
                <w:vertAlign w:val="superscript"/>
              </w:rPr>
              <w:t>(14)</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2,703,862</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w w:val="92"/>
              </w:rPr>
              <w:t>2,621,705</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82,157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xml:space="preserve">  *</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José E. Feliciano</w:t>
            </w:r>
            <w:r>
              <w:rPr>
                <w:rFonts w:ascii="Arial" w:cs="Arial" w:eastAsia="Arial" w:hAnsi="Arial"/>
                <w:sz w:val="23"/>
                <w:szCs w:val="23"/>
                <w:color w:val="auto"/>
                <w:vertAlign w:val="superscript"/>
              </w:rPr>
              <w:t>(15)</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833,333</w:t>
            </w:r>
          </w:p>
        </w:tc>
        <w:tc>
          <w:tcPr>
            <w:tcW w:w="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tcBorders>
              <w:right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833,333</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rPr>
              <w:t>Longfellow Investment Management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180" w:type="dxa"/>
            <w:vAlign w:val="bottom"/>
          </w:tcPr>
          <w:p>
            <w:pPr>
              <w:ind w:left="180"/>
              <w:spacing w:after="0" w:line="262" w:lineRule="exact"/>
              <w:rPr>
                <w:sz w:val="20"/>
                <w:szCs w:val="20"/>
                <w:color w:val="auto"/>
              </w:rPr>
            </w:pPr>
            <w:r>
              <w:rPr>
                <w:rFonts w:ascii="Arial" w:cs="Arial" w:eastAsia="Arial" w:hAnsi="Arial"/>
                <w:sz w:val="30"/>
                <w:szCs w:val="30"/>
                <w:color w:val="auto"/>
                <w:vertAlign w:val="subscript"/>
              </w:rPr>
              <w:t>Funds</w:t>
            </w:r>
            <w:r>
              <w:rPr>
                <w:rFonts w:ascii="Arial" w:cs="Arial" w:eastAsia="Arial" w:hAnsi="Arial"/>
                <w:sz w:val="11"/>
                <w:szCs w:val="11"/>
                <w:color w:val="auto"/>
              </w:rPr>
              <w:t>(16)</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4,850</w:t>
            </w:r>
          </w:p>
        </w:tc>
        <w:tc>
          <w:tcPr>
            <w:tcW w:w="2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4,850</w:t>
            </w: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Magnetar Funds</w:t>
            </w:r>
            <w:r>
              <w:rPr>
                <w:rFonts w:ascii="Arial" w:cs="Arial" w:eastAsia="Arial" w:hAnsi="Arial"/>
                <w:sz w:val="23"/>
                <w:szCs w:val="23"/>
                <w:color w:val="auto"/>
                <w:vertAlign w:val="superscript"/>
              </w:rPr>
              <w:t>(17)</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tcBorders>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90"/>
              </w:rPr>
              <w:t>12,404,385</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82"/>
        </w:trPr>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89"/>
              </w:rPr>
              <w:t>Private Placement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 Private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Warrants / Working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left="176"/>
              <w:spacing w:after="0"/>
              <w:rPr>
                <w:sz w:val="20"/>
                <w:szCs w:val="20"/>
                <w:color w:val="auto"/>
              </w:rPr>
            </w:pPr>
            <w:r>
              <w:rPr>
                <w:rFonts w:ascii="Arial" w:cs="Arial" w:eastAsia="Arial" w:hAnsi="Arial"/>
                <w:sz w:val="14"/>
                <w:szCs w:val="14"/>
                <w:b w:val="1"/>
                <w:bCs w:val="1"/>
                <w:color w:val="auto"/>
                <w:w w:val="88"/>
              </w:rPr>
              <w:t>Placement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 Private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Capital Warrants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Warrants / Working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Owned After the Offered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Capital Warrants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Warrants/ Working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89"/>
              </w:rPr>
              <w:t>Private Placement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Beneficially Owned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Capital Warrants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Warrants / Working Capital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Selling Securityholder</w:t>
            </w:r>
          </w:p>
        </w:tc>
        <w:tc>
          <w:tcPr>
            <w:tcW w:w="140" w:type="dxa"/>
            <w:vAlign w:val="bottom"/>
            <w:tcBorders>
              <w:bottom w:val="single" w:sz="8" w:color="auto"/>
            </w:tcBorders>
          </w:tcPr>
          <w:p>
            <w:pPr>
              <w:spacing w:after="0"/>
              <w:rPr>
                <w:sz w:val="18"/>
                <w:szCs w:val="18"/>
                <w:color w:val="auto"/>
              </w:rPr>
            </w:pP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Prior to Offering</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Being Offered</w:t>
            </w:r>
          </w:p>
        </w:tc>
        <w:tc>
          <w:tcPr>
            <w:tcW w:w="2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w w:val="90"/>
              </w:rPr>
              <w:t>Warrants are Sold</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CCEEFF"/>
            </w:tcBorders>
          </w:tcPr>
          <w:p>
            <w:pPr>
              <w:ind w:left="20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 ​</w:t>
            </w: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Churchill Sponsor IV LLC</w:t>
            </w:r>
            <w:r>
              <w:rPr>
                <w:rFonts w:ascii="Arial" w:cs="Arial" w:eastAsia="Arial" w:hAnsi="Arial"/>
                <w:sz w:val="23"/>
                <w:szCs w:val="23"/>
                <w:color w:val="auto"/>
                <w:vertAlign w:val="superscript"/>
              </w:rPr>
              <w:t>(11)</w:t>
            </w:r>
          </w:p>
        </w:tc>
        <w:tc>
          <w:tcPr>
            <w:tcW w:w="140" w:type="dxa"/>
            <w:vAlign w:val="bottom"/>
            <w:tcBorders>
              <w:right w:val="single" w:sz="8" w:color="CCEEFF"/>
            </w:tcBorders>
            <w:shd w:val="clear" w:color="auto" w:fill="CCEEFF"/>
          </w:tcPr>
          <w:p>
            <w:pPr>
              <w:spacing w:after="0"/>
              <w:rPr>
                <w:sz w:val="24"/>
                <w:szCs w:val="24"/>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60" w:type="dxa"/>
            <w:vAlign w:val="bottom"/>
            <w:gridSpan w:val="3"/>
            <w:shd w:val="clear" w:color="auto" w:fill="CCEEFF"/>
          </w:tcPr>
          <w:p>
            <w:pPr>
              <w:ind w:left="20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​44,350,000</w:t>
            </w:r>
          </w:p>
        </w:tc>
        <w:tc>
          <w:tcPr>
            <w:tcW w:w="60" w:type="dxa"/>
            <w:vAlign w:val="bottom"/>
            <w:shd w:val="clear" w:color="auto" w:fill="CCEEFF"/>
          </w:tcPr>
          <w:p>
            <w:pPr>
              <w:spacing w:after="0"/>
              <w:rPr>
                <w:sz w:val="24"/>
                <w:szCs w:val="24"/>
                <w:color w:val="auto"/>
              </w:rPr>
            </w:pP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 ​</w:t>
            </w:r>
          </w:p>
        </w:tc>
        <w:tc>
          <w:tcPr>
            <w:tcW w:w="1180" w:type="dxa"/>
            <w:vAlign w:val="bottom"/>
            <w:gridSpan w:val="3"/>
            <w:shd w:val="clear" w:color="auto" w:fill="CCEEFF"/>
          </w:tcPr>
          <w:p>
            <w:pPr>
              <w:ind w:left="180"/>
              <w:spacing w:after="0" w:line="290"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44,350,000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tcBorders>
              <w:right w:val="single" w:sz="8" w:color="CCEEFF"/>
            </w:tcBorders>
            <w:gridSpan w:val="3"/>
            <w:shd w:val="clear" w:color="auto" w:fill="CCEEFF"/>
          </w:tcPr>
          <w:p>
            <w:pPr>
              <w:jc w:val="right"/>
              <w:ind w:right="228"/>
              <w:spacing w:after="0" w:line="290" w:lineRule="exact"/>
              <w:rPr>
                <w:sz w:val="20"/>
                <w:szCs w:val="20"/>
                <w:color w:val="auto"/>
              </w:rPr>
            </w:pPr>
            <w:r>
              <w:rPr>
                <w:rFonts w:ascii="Arial" w:cs="Arial" w:eastAsia="Arial" w:hAnsi="Arial"/>
                <w:sz w:val="17"/>
                <w:szCs w:val="17"/>
                <w:color w:val="auto"/>
              </w:rPr>
              <w:t>​</w:t>
            </w:r>
            <w:r>
              <w:rPr>
                <w:rFonts w:ascii="Arial" w:cs="Arial" w:eastAsia="Arial" w:hAnsi="Arial"/>
                <w:sz w:val="33"/>
                <w:szCs w:val="33"/>
                <w:color w:val="auto"/>
                <w:vertAlign w:val="superscript"/>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80" w:type="dxa"/>
            <w:vAlign w:val="bottom"/>
            <w:tcBorders>
              <w:right w:val="single" w:sz="8" w:color="CCEEFF"/>
            </w:tcBorders>
            <w:shd w:val="clear" w:color="auto" w:fill="CCEEFF"/>
          </w:tcPr>
          <w:p>
            <w:pPr>
              <w:ind w:left="300"/>
              <w:spacing w:after="0" w:line="290" w:lineRule="exact"/>
              <w:rPr>
                <w:sz w:val="20"/>
                <w:szCs w:val="20"/>
                <w:color w:val="auto"/>
              </w:rPr>
            </w:pPr>
            <w:r>
              <w:rPr>
                <w:rFonts w:ascii="Arial" w:cs="Arial" w:eastAsia="Arial" w:hAnsi="Arial"/>
                <w:sz w:val="17"/>
                <w:szCs w:val="17"/>
                <w:color w:val="auto"/>
              </w:rPr>
              <w:t>​</w:t>
            </w:r>
            <w:r>
              <w:rPr>
                <w:rFonts w:ascii="Arial" w:cs="Arial" w:eastAsia="Arial" w:hAnsi="Arial"/>
                <w:sz w:val="33"/>
                <w:szCs w:val="33"/>
                <w:color w:val="auto"/>
                <w:vertAlign w:val="superscript"/>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-4568190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-4568190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3646170</wp:posOffset>
            </wp:positionH>
            <wp:positionV relativeFrom="paragraph">
              <wp:posOffset>-4568190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-4568190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-196215</wp:posOffset>
            </wp:positionV>
            <wp:extent cx="47148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47148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7" w:lineRule="exact"/>
        <w:rPr>
          <w:sz w:val="20"/>
          <w:szCs w:val="20"/>
          <w:color w:val="auto"/>
        </w:rPr>
      </w:pPr>
    </w:p>
    <w:p>
      <w:pPr>
        <w:ind w:left="1620" w:hanging="360"/>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44" w:lineRule="exact"/>
        <w:rPr>
          <w:sz w:val="20"/>
          <w:szCs w:val="20"/>
          <w:color w:val="auto"/>
        </w:rPr>
      </w:pPr>
    </w:p>
    <w:p>
      <w:pPr>
        <w:ind w:left="1620" w:right="599" w:hanging="360"/>
        <w:spacing w:after="0" w:line="273" w:lineRule="auto"/>
        <w:tabs>
          <w:tab w:leader="none" w:pos="1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Mr. Rawlinson has served as our Chief Executive Officer and Chief Technology Officer and director since April 2019. Shares offered hereby include (i) 8,379,747 currently issued and outstanding shares of common stock; (ii) 13,046,085 shares of common stock subject to currently outstanding Lucid Awards vested or exercisable, or vesting or becoming exercisable, as applicable, within 60 days of August 15, 2022; and (iii) 12,466,202 shares of common stock subject to currently outstanding Lucid Awards vesting or becoming exercisable, as applicable, after October 14, 2022.</w:t>
      </w:r>
    </w:p>
    <w:p>
      <w:pPr>
        <w:spacing w:after="0" w:line="42" w:lineRule="exact"/>
        <w:rPr>
          <w:rFonts w:ascii="Arial" w:cs="Arial" w:eastAsia="Arial" w:hAnsi="Arial"/>
          <w:sz w:val="17"/>
          <w:szCs w:val="17"/>
          <w:color w:val="auto"/>
        </w:rPr>
      </w:pPr>
    </w:p>
    <w:p>
      <w:pPr>
        <w:ind w:left="1620" w:hanging="360"/>
        <w:spacing w:after="0"/>
        <w:tabs>
          <w:tab w:leader="none" w:pos="1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Ms. House has served as our Chief Financial Officer since May 2021. Shares offered hereby include</w:t>
      </w:r>
    </w:p>
    <w:p>
      <w:pPr>
        <w:spacing w:after="0" w:line="34" w:lineRule="exact"/>
        <w:rPr>
          <w:rFonts w:ascii="Arial" w:cs="Arial" w:eastAsia="Arial" w:hAnsi="Arial"/>
          <w:sz w:val="17"/>
          <w:szCs w:val="17"/>
          <w:color w:val="auto"/>
        </w:rPr>
      </w:pPr>
    </w:p>
    <w:p>
      <w:pPr>
        <w:ind w:left="1620" w:right="539"/>
        <w:spacing w:after="0" w:line="252" w:lineRule="auto"/>
        <w:rPr>
          <w:rFonts w:ascii="Arial" w:cs="Arial" w:eastAsia="Arial" w:hAnsi="Arial"/>
          <w:sz w:val="17"/>
          <w:szCs w:val="17"/>
          <w:color w:val="auto"/>
        </w:rPr>
      </w:pPr>
      <w:r>
        <w:rPr>
          <w:rFonts w:ascii="Arial" w:cs="Arial" w:eastAsia="Arial" w:hAnsi="Arial"/>
          <w:sz w:val="18"/>
          <w:szCs w:val="18"/>
          <w:color w:val="auto"/>
        </w:rPr>
        <w:t>(i) 78,740 currently issued and outstanding shares of common stock; (ii) 41,313 shares of common stock issuable upon exercise of outstanding Lucid RSUs that are currently exercisable or become exercisable within 60 days of August 15, 2022; and (iii) 454,439 shares of common stock subject to currently outstanding Lucid RSUs vesting after October 14, 2022. Upon vesting of such Lucid RSUs, the shares will be held by The House Revocable Trust, dated March 20, 2021, with Christopher A. House and/or Sherry A. House serving as Trustees. Christopher A. House and Sherry A. House are the beneficial owners of The House Revocable Trust.</w:t>
      </w:r>
    </w:p>
    <w:p>
      <w:pPr>
        <w:spacing w:after="0" w:line="43" w:lineRule="exact"/>
        <w:rPr>
          <w:rFonts w:ascii="Arial" w:cs="Arial" w:eastAsia="Arial" w:hAnsi="Arial"/>
          <w:sz w:val="17"/>
          <w:szCs w:val="17"/>
          <w:color w:val="auto"/>
        </w:rPr>
      </w:pPr>
    </w:p>
    <w:p>
      <w:pPr>
        <w:ind w:left="1620" w:right="699" w:hanging="360"/>
        <w:spacing w:after="0" w:line="342" w:lineRule="auto"/>
        <w:tabs>
          <w:tab w:leader="none" w:pos="1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Bach has served as our Senior Vice President, Product and Chief Engineer since February 2021. Mr. Bach previously served as our Vice President, Hardware Engineering from September 2018 to</w:t>
      </w:r>
    </w:p>
    <w:p>
      <w:pPr>
        <w:sectPr>
          <w:pgSz w:w="11900" w:h="16838" w:orient="portrait"/>
          <w:cols w:equalWidth="0" w:num="1">
            <w:col w:w="9879"/>
          </w:cols>
          <w:pgMar w:left="580" w:top="132" w:right="1440" w:bottom="1440" w:gutter="0" w:footer="0" w:header="0"/>
        </w:sectPr>
      </w:pPr>
    </w:p>
    <w:p>
      <w:pPr>
        <w:spacing w:after="0" w:line="29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859"/>
        <w:spacing w:after="0" w:line="266" w:lineRule="auto"/>
        <w:rPr>
          <w:sz w:val="20"/>
          <w:szCs w:val="20"/>
          <w:color w:val="auto"/>
        </w:rPr>
      </w:pPr>
      <w:r>
        <w:rPr>
          <w:rFonts w:ascii="Arial" w:cs="Arial" w:eastAsia="Arial" w:hAnsi="Arial"/>
          <w:sz w:val="17"/>
          <w:szCs w:val="17"/>
          <w:color w:val="auto"/>
        </w:rPr>
        <w:t>February 2021 and as Senior Director, Body Engineering from April 2015 to August 2018. Shares offered hereby include (i) 1,067,579 currently issued and outstanding shares of common stock;</w:t>
      </w:r>
    </w:p>
    <w:p>
      <w:pPr>
        <w:spacing w:after="0" w:line="1" w:lineRule="exact"/>
        <w:rPr>
          <w:sz w:val="20"/>
          <w:szCs w:val="20"/>
          <w:color w:val="auto"/>
        </w:rPr>
      </w:pPr>
    </w:p>
    <w:p>
      <w:pPr>
        <w:ind w:left="1620" w:right="519"/>
        <w:spacing w:after="0" w:line="255" w:lineRule="auto"/>
        <w:tabs>
          <w:tab w:leader="none" w:pos="1903" w:val="left"/>
        </w:tabs>
        <w:numPr>
          <w:ilvl w:val="1"/>
          <w:numId w:val="47"/>
        </w:numPr>
        <w:rPr>
          <w:rFonts w:ascii="Arial" w:cs="Arial" w:eastAsia="Arial" w:hAnsi="Arial"/>
          <w:sz w:val="17"/>
          <w:szCs w:val="17"/>
          <w:color w:val="auto"/>
        </w:rPr>
      </w:pPr>
      <w:r>
        <w:rPr>
          <w:rFonts w:ascii="Arial" w:cs="Arial" w:eastAsia="Arial" w:hAnsi="Arial"/>
          <w:sz w:val="17"/>
          <w:szCs w:val="17"/>
          <w:color w:val="auto"/>
        </w:rPr>
        <w:t>2,039,200 shares of common stock subject to currently outstanding Lucid Awards vested or exercisable, or vesting or becoming exercisable, as applicable, within 60 days of August 15, 2022; and</w:t>
      </w:r>
    </w:p>
    <w:p>
      <w:pPr>
        <w:spacing w:after="0" w:line="1" w:lineRule="exact"/>
        <w:rPr>
          <w:rFonts w:ascii="Arial" w:cs="Arial" w:eastAsia="Arial" w:hAnsi="Arial"/>
          <w:sz w:val="17"/>
          <w:szCs w:val="17"/>
          <w:color w:val="auto"/>
        </w:rPr>
      </w:pPr>
    </w:p>
    <w:p>
      <w:pPr>
        <w:ind w:left="1620" w:right="959"/>
        <w:spacing w:after="0" w:line="245" w:lineRule="auto"/>
        <w:tabs>
          <w:tab w:leader="none" w:pos="19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1,145,733 shares of common stock subject to currently outstanding Lucid Awards vesting or becoming exercisable, as applicable, after October 14, 2022.</w:t>
      </w:r>
    </w:p>
    <w:p>
      <w:pPr>
        <w:spacing w:after="0" w:line="35" w:lineRule="exact"/>
        <w:rPr>
          <w:rFonts w:ascii="Arial" w:cs="Arial" w:eastAsia="Arial" w:hAnsi="Arial"/>
          <w:sz w:val="18"/>
          <w:szCs w:val="18"/>
          <w:color w:val="auto"/>
        </w:rPr>
      </w:pPr>
    </w:p>
    <w:p>
      <w:pPr>
        <w:ind w:left="1620" w:right="739" w:hanging="360"/>
        <w:spacing w:after="0" w:line="255"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Bell has served as our Senior Vice President, Digital since February 2021, and served as our consultant from August 2020 to February 2021. Shares offered hereby include (i) 364,193 currently issued and outstanding shares of common stock; (ii) 82,625 shares of common stock issuable upon exercise of outstanding Lucid RSUs that are currently exercisable or become exercisable within 60 days of August 15, 2022; and (iii) 661,000 shares of common stock subject to currently outstanding Lucid RSUs vesting after October 14, 2022.</w:t>
      </w:r>
    </w:p>
    <w:p>
      <w:pPr>
        <w:spacing w:after="0" w:line="57" w:lineRule="exact"/>
        <w:rPr>
          <w:rFonts w:ascii="Arial" w:cs="Arial" w:eastAsia="Arial" w:hAnsi="Arial"/>
          <w:sz w:val="18"/>
          <w:szCs w:val="18"/>
          <w:color w:val="auto"/>
        </w:rPr>
      </w:pPr>
    </w:p>
    <w:p>
      <w:pPr>
        <w:ind w:left="1620" w:right="639" w:hanging="360"/>
        <w:spacing w:after="0" w:line="274"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Mr. Liveris has served as Chairman of our board of directors since April 2019. Shares offered hereby include (i) 535,275 shares of common stock currently beneficially owned by Mr. Liveris and</w:t>
      </w:r>
    </w:p>
    <w:p>
      <w:pPr>
        <w:ind w:left="1620" w:right="539"/>
        <w:spacing w:after="0" w:line="252" w:lineRule="auto"/>
        <w:tabs>
          <w:tab w:leader="none" w:pos="1903" w:val="left"/>
        </w:tabs>
        <w:numPr>
          <w:ilvl w:val="1"/>
          <w:numId w:val="48"/>
        </w:numPr>
        <w:rPr>
          <w:rFonts w:ascii="Arial" w:cs="Arial" w:eastAsia="Arial" w:hAnsi="Arial"/>
          <w:sz w:val="18"/>
          <w:szCs w:val="18"/>
          <w:color w:val="auto"/>
        </w:rPr>
      </w:pPr>
      <w:r>
        <w:rPr>
          <w:rFonts w:ascii="Arial" w:cs="Arial" w:eastAsia="Arial" w:hAnsi="Arial"/>
          <w:sz w:val="18"/>
          <w:szCs w:val="18"/>
          <w:color w:val="auto"/>
        </w:rPr>
        <w:t>(a) 400,000 shares of common stock and (b) 363,347 shares of common stock issuable upon exercise of certain Private Placement Warrants. With respect to the securities referenced in (ii)(a) and (b), Mr. Liveris currently has an economic interest in such shares of common stock and Private Placement Warrants through his ownership of membership interests in the Sponsor, but he does not beneficially own any such common stock or Private Placement Warrants. Mr. Liveris may beneficially own such common stock or Private Placement Warrants in the future.</w:t>
      </w:r>
    </w:p>
    <w:p>
      <w:pPr>
        <w:spacing w:after="0" w:line="45" w:lineRule="exact"/>
        <w:rPr>
          <w:rFonts w:ascii="Arial" w:cs="Arial" w:eastAsia="Arial" w:hAnsi="Arial"/>
          <w:sz w:val="18"/>
          <w:szCs w:val="18"/>
          <w:color w:val="auto"/>
        </w:rPr>
      </w:pPr>
    </w:p>
    <w:p>
      <w:pPr>
        <w:ind w:left="1620" w:right="419" w:hanging="360"/>
        <w:spacing w:after="0" w:line="254"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August has served as a member of our Board since July 2021 and he previously served as a member of Churchill’s board of directors from August 2020. Shares offered hereby include (i) 7,000,000 shares of common stock and (ii) 6,858,569 shares of common stock issuable upon exercise of certain Private Placement Warrants, which Mr. August does not currently beneficially own. Mr. August has an economic interest in a portion of such shares through his control and partial ownership of an entity, OHA Partner Global Co-Investment III, LLP (“OHA PGCI3”), which owns membership interests in the Sponsor. OHA PGCI3 and Mr. August may beneficially own such common stock or Private Placement Warrants in the future.</w:t>
      </w:r>
    </w:p>
    <w:p>
      <w:pPr>
        <w:spacing w:after="0" w:line="43" w:lineRule="exact"/>
        <w:rPr>
          <w:rFonts w:ascii="Arial" w:cs="Arial" w:eastAsia="Arial" w:hAnsi="Arial"/>
          <w:sz w:val="18"/>
          <w:szCs w:val="18"/>
          <w:color w:val="auto"/>
        </w:rPr>
      </w:pPr>
    </w:p>
    <w:p>
      <w:pPr>
        <w:ind w:left="1620" w:right="439" w:hanging="360"/>
        <w:spacing w:after="0" w:line="301" w:lineRule="auto"/>
        <w:tabs>
          <w:tab w:leader="none" w:pos="1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Ms. Gioia has served as a member of our Board since July 2021. Shares offered hereby include 125,000 shares of common stock. Ms. Gioia currently has an economic interest in such shares of common stock through her ownership of membership interests in the Sponsor, but she does not beneficially own any such common stock. Ms. Gioia may beneficially own such common stock in the future.</w:t>
      </w:r>
    </w:p>
    <w:p>
      <w:pPr>
        <w:spacing w:after="0" w:line="8" w:lineRule="exact"/>
        <w:rPr>
          <w:rFonts w:ascii="Arial" w:cs="Arial" w:eastAsia="Arial" w:hAnsi="Arial"/>
          <w:sz w:val="16"/>
          <w:szCs w:val="16"/>
          <w:color w:val="auto"/>
        </w:rPr>
      </w:pPr>
    </w:p>
    <w:p>
      <w:pPr>
        <w:ind w:left="1620" w:right="459" w:hanging="360"/>
        <w:spacing w:after="0" w:line="277" w:lineRule="auto"/>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Posawatz has served as a member of our board of directors since April 2019. Shares offered hereby include 38,369 shares of common stock.</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Mr. Alnowaiser has served as a member of our board of directors since April 2019. Also see</w:t>
      </w:r>
    </w:p>
    <w:p>
      <w:pPr>
        <w:spacing w:after="0" w:line="23" w:lineRule="exact"/>
        <w:rPr>
          <w:rFonts w:ascii="Arial" w:cs="Arial" w:eastAsia="Arial" w:hAnsi="Arial"/>
          <w:sz w:val="18"/>
          <w:szCs w:val="18"/>
          <w:color w:val="auto"/>
        </w:rPr>
      </w:pPr>
    </w:p>
    <w:p>
      <w:pPr>
        <w:ind w:left="1620" w:right="439"/>
        <w:spacing w:after="0" w:line="260" w:lineRule="auto"/>
        <w:rPr>
          <w:rFonts w:ascii="Arial" w:cs="Arial" w:eastAsia="Arial" w:hAnsi="Arial"/>
          <w:sz w:val="18"/>
          <w:szCs w:val="18"/>
          <w:color w:val="auto"/>
        </w:rPr>
      </w:pPr>
      <w:r>
        <w:rPr>
          <w:rFonts w:ascii="Arial" w:cs="Arial" w:eastAsia="Arial" w:hAnsi="Arial"/>
          <w:sz w:val="18"/>
          <w:szCs w:val="18"/>
          <w:color w:val="auto"/>
        </w:rPr>
        <w:t>footnote 12. Shares offered hereby include 2,070,138 shares of common stock issued to Mr. Alnowaiser upon the Closing.</w:t>
      </w:r>
    </w:p>
    <w:p>
      <w:pPr>
        <w:spacing w:after="0" w:line="36" w:lineRule="exact"/>
        <w:rPr>
          <w:rFonts w:ascii="Arial" w:cs="Arial" w:eastAsia="Arial" w:hAnsi="Arial"/>
          <w:sz w:val="18"/>
          <w:szCs w:val="18"/>
          <w:color w:val="auto"/>
        </w:rPr>
      </w:pPr>
    </w:p>
    <w:p>
      <w:pPr>
        <w:ind w:left="1620" w:right="959" w:hanging="360"/>
        <w:spacing w:after="0" w:line="223" w:lineRule="exact"/>
        <w:tabs>
          <w:tab w:leader="none" w:pos="16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Also see footnote 12. Shares offered hereby include 4,604,595 shares of common stock issued to H.E. Al</w:t>
      </w:r>
      <w:r>
        <w:rPr>
          <w:rFonts w:ascii="MS PGothic" w:cs="MS PGothic" w:eastAsia="MS PGothic" w:hAnsi="MS PGothic"/>
          <w:sz w:val="18"/>
          <w:szCs w:val="18"/>
          <w:color w:val="auto"/>
        </w:rPr>
        <w:t>‑</w:t>
      </w:r>
      <w:r>
        <w:rPr>
          <w:rFonts w:ascii="Arial" w:cs="Arial" w:eastAsia="Arial" w:hAnsi="Arial"/>
          <w:sz w:val="18"/>
          <w:szCs w:val="18"/>
          <w:color w:val="auto"/>
        </w:rPr>
        <w:t>Rumayyan upon the Closing.</w:t>
      </w:r>
    </w:p>
    <w:p>
      <w:pPr>
        <w:spacing w:after="0" w:line="54" w:lineRule="exact"/>
        <w:rPr>
          <w:rFonts w:ascii="Arial" w:cs="Arial" w:eastAsia="Arial" w:hAnsi="Arial"/>
          <w:sz w:val="18"/>
          <w:szCs w:val="18"/>
          <w:color w:val="auto"/>
        </w:rPr>
      </w:pPr>
    </w:p>
    <w:p>
      <w:pPr>
        <w:ind w:left="1620" w:right="459" w:hanging="360"/>
        <w:spacing w:after="0" w:line="268" w:lineRule="auto"/>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Sponsor acted as sponsor to Churchill Capital Corp IV, a blank check company and our predecessor company. Shares beneficially owned and offered hereby include: (i) 51,750,000 currently outstanding shares of common stock; (ii) 42,850,000 shares of common stock issuable upon exercise of the Private Placement Warrants and (iii) 1,500,000 shares of common stock issuable upon exercise of the Working Capital Warrants. Each such warrant entitles the Sponsor to purchase one share of common stock at a price of $11.50 per share, subject to adjustments. Michael Klein is the sole stockholder of M. Klein Associates, Inc., which is the managing member of the Sponsor. The shares beneficially owned by the Sponsor may also be deemed to be beneficially owned by Mr. Klein. The business address for Mr. Klein is 640 Fifth Avenue, 12th Floor, New York, NY 10019. Also see footnotes 5, 6 and 7 to this table. Beneficial ownership interests are based on the Schedule 13G filed with the SEC on February 11, 2022 by the Sponsor. According to the Schedule 13G, the Sponsor has shared voting power and shared dispositive power over 96,100,000 shares of common stock. Interests shown consist of (i) 51,750,000 shares of common stock and (ii) 44,350,000 Private Placement Warrants (including 1,500,000 Working Capital Warrants) to purchase shares of common stock. Each warrant entitles the holder thereof to purchase one</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579"/>
        <w:spacing w:after="0" w:line="279" w:lineRule="auto"/>
        <w:rPr>
          <w:sz w:val="20"/>
          <w:szCs w:val="20"/>
          <w:color w:val="auto"/>
        </w:rPr>
      </w:pPr>
      <w:r>
        <w:rPr>
          <w:rFonts w:ascii="Arial" w:cs="Arial" w:eastAsia="Arial" w:hAnsi="Arial"/>
          <w:sz w:val="17"/>
          <w:szCs w:val="17"/>
          <w:color w:val="auto"/>
        </w:rPr>
        <w:t>share of common stock at a price of $11.50 per share, subject to adjustment. Michael Klein is the sole stockholder of M. Klein Associates, Inc., which is the managing member of the Sponsor. The shares beneficially owned by the Sponsor may also be deemed to be beneficially owned by Mr. Klein. The business address for Mr. Klein is 640 Fifth Avenue, 12th Floor, New York, NY 10019.</w:t>
      </w:r>
    </w:p>
    <w:p>
      <w:pPr>
        <w:spacing w:after="0" w:line="36" w:lineRule="exact"/>
        <w:rPr>
          <w:sz w:val="20"/>
          <w:szCs w:val="20"/>
          <w:color w:val="auto"/>
        </w:rPr>
      </w:pPr>
    </w:p>
    <w:p>
      <w:pPr>
        <w:ind w:left="1620" w:right="479" w:hanging="360"/>
        <w:spacing w:after="0" w:line="269"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Shares beneficially owned and offered hereby include 1,015,252,523 shares of common stock issued to Ayar upon the Closing (including in connection with the PIPE Investment). Ayar is a wholly owned subsidiary of PIF. The Board of Directors of PIF, consisting of His Royal Highness Mohammad bin Salman Al-Saud (Chairman), H.E. Ibrahim Abdulaziz Al-Assaf, H.E. Mohammad Abdul Malek</w:t>
      </w:r>
    </w:p>
    <w:p>
      <w:pPr>
        <w:spacing w:after="0" w:line="1" w:lineRule="exact"/>
        <w:rPr>
          <w:rFonts w:ascii="Arial" w:cs="Arial" w:eastAsia="Arial" w:hAnsi="Arial"/>
          <w:sz w:val="17"/>
          <w:szCs w:val="17"/>
          <w:color w:val="auto"/>
        </w:rPr>
      </w:pPr>
    </w:p>
    <w:p>
      <w:pPr>
        <w:jc w:val="both"/>
        <w:ind w:left="1620" w:right="439"/>
        <w:spacing w:after="0" w:line="265" w:lineRule="auto"/>
        <w:rPr>
          <w:rFonts w:ascii="Arial" w:cs="Arial" w:eastAsia="Arial" w:hAnsi="Arial"/>
          <w:sz w:val="17"/>
          <w:szCs w:val="17"/>
          <w:color w:val="auto"/>
        </w:rPr>
      </w:pPr>
      <w:r>
        <w:rPr>
          <w:rFonts w:ascii="Arial" w:cs="Arial" w:eastAsia="Arial" w:hAnsi="Arial"/>
          <w:sz w:val="17"/>
          <w:szCs w:val="17"/>
          <w:color w:val="auto"/>
        </w:rPr>
        <w:t>Al Shaikh, H.E. Khalid Abdulaziz Al-Falih, H.E. Dr. Majid Bin Abdullah Al Qasabi, H.E. Mohammad Abdullah Al-Jadaan, H.E. Mohamed Mazyed Altwaijri, H.E. Ahmed Aqeel Al-Khateeb, and H.E. Yasir Othman Al-Rumayyan, has dispositive power over the shares held by Ayar by a majority of the votes of the Directors, with the Chairman having a casting vote. Each of the Board of Directors of PIF, H.E. Al-Rumayyan and Turqi Alnowaiser has shared voting power over the shares held by Ayar. Neither H.E.</w:t>
      </w:r>
    </w:p>
    <w:p>
      <w:pPr>
        <w:ind w:left="1620" w:right="539"/>
        <w:spacing w:after="0" w:line="216" w:lineRule="exact"/>
        <w:rPr>
          <w:rFonts w:ascii="Arial" w:cs="Arial" w:eastAsia="Arial" w:hAnsi="Arial"/>
          <w:sz w:val="17"/>
          <w:szCs w:val="17"/>
          <w:color w:val="auto"/>
        </w:rPr>
      </w:pPr>
      <w:r>
        <w:rPr>
          <w:rFonts w:ascii="Arial" w:cs="Arial" w:eastAsia="Arial" w:hAnsi="Arial"/>
          <w:sz w:val="18"/>
          <w:szCs w:val="18"/>
          <w:color w:val="auto"/>
        </w:rPr>
        <w:t>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do not include 4,604,595 shares of common stock held by H.E. Al</w:t>
      </w:r>
      <w:r>
        <w:rPr>
          <w:rFonts w:ascii="MS PGothic" w:cs="MS PGothic" w:eastAsia="MS PGothic" w:hAnsi="MS PGothic"/>
          <w:sz w:val="18"/>
          <w:szCs w:val="18"/>
          <w:color w:val="auto"/>
        </w:rPr>
        <w:t>‑</w:t>
      </w:r>
      <w:r>
        <w:rPr>
          <w:rFonts w:ascii="Arial" w:cs="Arial" w:eastAsia="Arial" w:hAnsi="Arial"/>
          <w:sz w:val="18"/>
          <w:szCs w:val="18"/>
          <w:color w:val="auto"/>
        </w:rPr>
        <w:t>Rumayyan or 2,070,138 shares of common stock held by Mr. Alnowaiser. The business address for PIF and for H.E. Al-Rumayyan is Alr’idah Digital City, Building MU04, Al Nakhil District, P.O. Box 6847, Riyadh 11452, The Kingdom of Saudi Arabia.</w:t>
      </w:r>
    </w:p>
    <w:p>
      <w:pPr>
        <w:spacing w:after="0" w:line="55" w:lineRule="exact"/>
        <w:rPr>
          <w:rFonts w:ascii="Arial" w:cs="Arial" w:eastAsia="Arial" w:hAnsi="Arial"/>
          <w:sz w:val="17"/>
          <w:szCs w:val="17"/>
          <w:color w:val="auto"/>
        </w:rPr>
      </w:pPr>
    </w:p>
    <w:p>
      <w:pPr>
        <w:ind w:left="1620" w:right="499" w:hanging="360"/>
        <w:spacing w:after="0" w:line="254" w:lineRule="auto"/>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66,500 shares of common stock held by Arena Capital Fund, LP — Series 3, 133,500 shares of common stock held by Arena Capital Fund, LP —  Series 5, and 211,500 shares of common stock held by Arena Capital Fund, LP — Series 9 (together, the “Arena Funds”). The Arena Funds are partnerships organized under the laws of the State of Delaware. Arena Capital Advisors, LLC acts as General Partner for the Arena Funds. The partners of Arena Capital Advisors are Daniel Elperin, Jeremy Sagi and Sanije Perrett and as such may be deemed beneficial owners of the shares offered hereby. The address of each of the Arena Funds is 12121 Wilshire Blvd, Ste. 1010, Los Angeles, CA 90025.</w:t>
      </w:r>
    </w:p>
    <w:p>
      <w:pPr>
        <w:spacing w:after="0" w:line="124" w:lineRule="exact"/>
        <w:rPr>
          <w:rFonts w:ascii="Arial" w:cs="Arial" w:eastAsia="Arial" w:hAnsi="Arial"/>
          <w:sz w:val="18"/>
          <w:szCs w:val="18"/>
          <w:color w:val="auto"/>
        </w:rPr>
      </w:pPr>
    </w:p>
    <w:p>
      <w:pPr>
        <w:ind w:left="1620" w:right="459" w:hanging="360"/>
        <w:spacing w:after="0" w:line="266" w:lineRule="auto"/>
        <w:tabs>
          <w:tab w:leader="none" w:pos="1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shares beneficially owned and offered hereby include 2,621,705 shares of common stock held by Franklin Custodian Funds — Franklin Growth Fund. Additional shares beneficially owned but not offered hereby include 11,802 shares of common stock held by Franklin Templeton Variable Insurance Products Trust — Franklin Large Cap Growth VIP Fund, 14,448 shares of common stock held by Franklin Templeton Funds — Franklin US Opportunities Fund, 26,092 shares of common stock held by Franklin U.S. Opportunities Fund and 29,815 shares of common stock held by Franklin MPF US Opportunities Fund. Franklin Advisers, Inc. (“FAV”) is the investment manager for the funds listed above. FAV is affiliated with several FINRA members — Franklin/Templeton Distributors, Inc., Templeton/Franklin Investment Services, Inc., Franklin Templeton Financial Services Corp., Royce Fund Services, LLC, Quest Distributors, Inc., Quest Securities, Inc. and Royce Fund Services, Inc. All of these entities are indirect wholly owned subsidiaries of Franklin Resources, Inc. (“FRI”), the parent of FAV and only distribute funds for subsidiaries of FRI. Based on information provided by the Selling Securityholders, the Selling Securityholders acquired the shares for investment purposes, and at the time of the acquisition of the shares, the Selling Securityholders did not have any agreements or understandings with any person to distribute such shares. FAV is an indirect wholly owned subsidiary of a publicly traded company, FRI, and may be deemed to be the beneficial owner of these shares for purposes of Rule 13d-3 under the Exchange Act in its capacity as the investment adviser to such funds and accounts pursuant to investment management contracts that grant investment and/or voting power to FAV. When an investment management contract (including a sub-advisory agreement) delegates to FAV investment discretion or voting power over the securities held in the investment advisory accounts that are subject to that agreement, FRI treats FAV as having sole investment discretion or voting authority, as the case may be, unless the agreement specifies otherwise. Accordingly, FAV reports for purposes of Section 13(d) of the Exchange Act that it has sole investment discretion and voting authority over the securities covered by any such investment management agreement, unless otherwise specifically noted. The address of the Franklin Funds is c/o Franklin Advisers, Inc., One Franklin Parkway, San Mateo, California 94403.</w:t>
      </w:r>
    </w:p>
    <w:p>
      <w:pPr>
        <w:sectPr>
          <w:pgSz w:w="11900" w:h="16838" w:orient="portrait"/>
          <w:cols w:equalWidth="0" w:num="1">
            <w:col w:w="9879"/>
          </w:cols>
          <w:pgMar w:left="580" w:top="132"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hanging="360"/>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José E. Feliciano is the beneficiary of Citibank NA as Custodian FBO José E. Feliciano.</w:t>
      </w:r>
    </w:p>
    <w:p>
      <w:pPr>
        <w:spacing w:after="0" w:line="157" w:lineRule="exact"/>
        <w:rPr>
          <w:rFonts w:ascii="Arial" w:cs="Arial" w:eastAsia="Arial" w:hAnsi="Arial"/>
          <w:sz w:val="18"/>
          <w:szCs w:val="18"/>
          <w:color w:val="auto"/>
        </w:rPr>
      </w:pPr>
    </w:p>
    <w:p>
      <w:pPr>
        <w:ind w:left="1620" w:hanging="360"/>
        <w:spacing w:after="0"/>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beneficially owned and offered hereby include 3,750 shares of common stock held by</w:t>
      </w:r>
    </w:p>
    <w:p>
      <w:pPr>
        <w:spacing w:after="0" w:line="23" w:lineRule="exact"/>
        <w:rPr>
          <w:rFonts w:ascii="Arial" w:cs="Arial" w:eastAsia="Arial" w:hAnsi="Arial"/>
          <w:sz w:val="18"/>
          <w:szCs w:val="18"/>
          <w:color w:val="auto"/>
        </w:rPr>
      </w:pPr>
    </w:p>
    <w:p>
      <w:pPr>
        <w:ind w:left="1620" w:right="679"/>
        <w:spacing w:after="0" w:line="270" w:lineRule="auto"/>
        <w:rPr>
          <w:rFonts w:ascii="Arial" w:cs="Arial" w:eastAsia="Arial" w:hAnsi="Arial"/>
          <w:sz w:val="18"/>
          <w:szCs w:val="18"/>
          <w:color w:val="auto"/>
        </w:rPr>
      </w:pPr>
      <w:r>
        <w:rPr>
          <w:rFonts w:ascii="Arial" w:cs="Arial" w:eastAsia="Arial" w:hAnsi="Arial"/>
          <w:sz w:val="17"/>
          <w:szCs w:val="17"/>
          <w:color w:val="auto"/>
        </w:rPr>
        <w:t>BBR Absolute Return (QP), LP, 500 shares of common stock held by BBR Absolute Return, LP and 600 shares of common stock held by BBR Absolute Return Ltd. Acting as their investment advisor, Longfellow Investment Management Co., LLC is deemed to have investment discretion and shared voting control over the shares beneficially owned by their clients. David Stueher, portfolio manager, may be deemed to be the beneficial owner of the shares. The business address for Longfellow Investment Management Co., LLC is 125 High Street, Suite 832, Boston, MA 02110.</w:t>
      </w:r>
    </w:p>
    <w:p>
      <w:pPr>
        <w:spacing w:after="0" w:line="110" w:lineRule="exact"/>
        <w:rPr>
          <w:rFonts w:ascii="Arial" w:cs="Arial" w:eastAsia="Arial" w:hAnsi="Arial"/>
          <w:sz w:val="18"/>
          <w:szCs w:val="18"/>
          <w:color w:val="auto"/>
        </w:rPr>
      </w:pPr>
    </w:p>
    <w:p>
      <w:pPr>
        <w:ind w:left="1620" w:right="559" w:hanging="360"/>
        <w:spacing w:after="0" w:line="25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Magnetar Funds have an economic interest in shares of common stock and Private Placement Warrants through their ownership of membership interests in the Sponsor, but do not beneficially own any such common stock or Private Placement Warrants. Such economic interest (or deemed economic interest) of such Magnetar Funds relates to 6,500,000 shares of common stock and 5,904,385 Private Placement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following is a discussion of certain material U.S. federal income and estate tax consequences of the ownership and disposition of our common stock and warrants, which we refer to collectively as our securities. This discussion applies only to securities that are purchased from us or the Selling Securityholders pursuant to this prospectus, and to securities that are held as capital assets.</w:t>
      </w:r>
    </w:p>
    <w:p>
      <w:pPr>
        <w:spacing w:after="0" w:line="9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U.S. federal estate and gift tax, alternative minimum tax or Medicare contribution tax considerations or any tax consequences arising under the laws of any state, local or non-U.S. jurisdiction. Further, this discussion does not apply to you if you are a beneficial owner of securities subject to special rules, such as:</w:t>
      </w:r>
    </w:p>
    <w:p>
      <w:pPr>
        <w:spacing w:after="0" w:line="63" w:lineRule="exact"/>
        <w:rPr>
          <w:sz w:val="20"/>
          <w:szCs w:val="20"/>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dealers or brokers in securities, commodities or foreign currencies;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traders in securities that elect to apply a mark-to-market method of tax accounting;</w:t>
      </w:r>
    </w:p>
    <w:p>
      <w:pPr>
        <w:spacing w:after="0" w:line="117"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persons who are required to recognize income or gain no later than such income or gain is required to be reported on an applicable financial statement under Section 451(b) of the Internal Revenue Code of 1986, as amended (the “Code”);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(5%) or more (by vote or value) of our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partnerships, S corporations or other pass-through entities or investors therein;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persons who hold our securities as part of a hedge, straddle, constructive sale or conversion transaction or other integrated investment; or</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employee stock options, through a tax qualified retirement plan or otherwise as compensation.</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securities,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securities should consult their own tax advisors as to the particular U.S. federal income and estate tax consequences applicable to them.</w:t>
      </w:r>
    </w:p>
    <w:p>
      <w:pPr>
        <w:spacing w:after="0" w:line="127"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We have not sought, and will not seek, a ruling from the Internal Revenue Service (the “IRS”) as to any U.S. federal income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Prospective holders are urged to consult their tax advisors with respect to the particular tax consequences to them of owning and disposing of our securities, including the consequences under the laws of any state, local or non-U.S. jurisdiction.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U.S. Holders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our securities who or that is:</w:t>
      </w:r>
    </w:p>
    <w:p>
      <w:pPr>
        <w:spacing w:after="0" w:line="63" w:lineRule="exact"/>
        <w:rPr>
          <w:sz w:val="20"/>
          <w:szCs w:val="20"/>
          <w:color w:val="auto"/>
        </w:rPr>
      </w:pPr>
    </w:p>
    <w:p>
      <w:pPr>
        <w:ind w:left="1800" w:hanging="180"/>
        <w:spacing w:after="0"/>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 or</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Distributions on our Common Stock</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To the extent that we make a distribution of cash or other property (other than certain pro rata distributions of our common stock) in respect of our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U.S. Holder’s common stock, and to the extent the amount of the distribution exceeds a U.S. Holder’s adjusted tax basis in our common stock, the excess will be treated as gain from the disposition of our common stock (the tax treatment of which is discussed below under “— Tax Consequences to U.S. Holders — Sale, Exchange or Other Taxable Disposition of our Common Stock and Warrants”).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44"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7"/>
          <w:szCs w:val="17"/>
          <w:color w:val="auto"/>
        </w:rPr>
        <w:t>The terms of each warrant provide for an adjustment to the number of shares of our common stock for which the warrant may be exercised or to the exercise price of the warrant on the occurrence of certain events. An adjustment which has the effect of preventing dilution generally is not a taxable event. U.S. Holders of the warrants would, however, be treated as receiving a constructive distribution from us if, for example, the adjustment to the number of such shares or to such exercise price increases the warrant holders’ proportionate interest in our assets or earnings and profits (</w:t>
      </w:r>
      <w:r>
        <w:rPr>
          <w:rFonts w:ascii="Arial" w:cs="Arial" w:eastAsia="Arial" w:hAnsi="Arial"/>
          <w:sz w:val="17"/>
          <w:szCs w:val="17"/>
          <w:i w:val="1"/>
          <w:iCs w:val="1"/>
          <w:color w:val="auto"/>
        </w:rPr>
        <w:t>e.g.</w:t>
      </w:r>
      <w:r>
        <w:rPr>
          <w:rFonts w:ascii="Arial" w:cs="Arial" w:eastAsia="Arial" w:hAnsi="Arial"/>
          <w:sz w:val="17"/>
          <w:szCs w:val="17"/>
          <w:color w:val="auto"/>
        </w:rPr>
        <w:t xml:space="preserve"> , through an increase in the number of shares of our common stock that would be obtained upon exercise or through a decrease in the exercise price of the warrants), including as a result of a distribution of cash or other property to the holders of shares of our common stock which is taxable to such holders of such shares as a distribution. Any constructive distribution received by a U.S. Holder would be subject to tax in the same manner as if such U.S. Holder received a cash distribution from us equal to the fair market value of such increased interest resulting from the adjustment. Generally, a U.S. Holder’s adjusted tax basis in its warrants would be increased to the extent any such constructive distribution is treated as a dividend.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 Exchange or Other Taxable Disposition of our Common Stock and Warrants</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Upon sales, exchanges or other taxable dispositions of our common stock or warrants (which, in general, would include a redemption of our warrants that is treated as a taxable exchange of such warrants as described below under “— Tax Consequences to U.S. Holders — Exercise, Lapse or Redemption of a Warrant”), a U.S. Holder generally will recognize capital gain or loss equal to the difference between (i) the amount of cash and the fair market value of all other property received upon such disposition and (ii) such U.S. Holder’s adjusted tax basis in its common stock or warrant. Such capital gain or loss will be long-term capital gain or loss if the U.S. Holder’s holding period in the common stock or warrant is more than one year at the time of the taxable disposition. Long-term capital gains recognized by certain non-corporate U.S.</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Holders (including individuals) generally are subject to reduced rates of U.S. federal income tax. The deductibility of capital losses is subject to limitations.</w:t>
      </w:r>
    </w:p>
    <w:p>
      <w:pPr>
        <w:spacing w:after="0" w:line="15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as a result of the acquisition of our common stock upon exercise of a warrant for cash. The U.S. Holder’s tax basis in the shares of our common stock received upon exercise of the warrants generally will be an amount equal to the sum of the U.S. Holder’s initial investment in the warrants and the exercise price of such warrants. For U.S. federal income tax purposes, it is unclear whether the U.S. Holder’s holding period for our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1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would equal such holder’s basis in the warrants. If the cashless exercise were treated as not being a realization event, it is unclear whether a U.S. Holder’s holding period in the common stock would be treated as commencing on the date following the date of exercise or on the date of exercise of the warrant. If the cashless exercise were treated as a recapitalization, the holding period of our common stock would include the holding period of the warrants exercised therefor.</w:t>
      </w:r>
    </w:p>
    <w:p>
      <w:pPr>
        <w:spacing w:after="0" w:line="10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would be deemed to have surrendered a number of warrants having an aggregate value equal to the exercise price for the number of warrants deemed exercised. The U.S. Holder would recognize capital gain or loss in an amount equal to the difference between the exercise price of the warrants deemed exercised and such holder’s tax basis in the warrants deemed surrendered. Such gain or loss would be long-term or short-term depending on the U.S. Holder’s holding period in the warrants deemed surrendered. In this case, the U.S. Holder’s tax basis in the common stock received would equal the sum of its initial investment in the warrants deemed exercised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w:t>
      </w:r>
    </w:p>
    <w:p>
      <w:pPr>
        <w:spacing w:after="0" w:line="10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common stock received, there can be no assurance as to which, if any, of the alternative tax consequences and holding periods described above would be adopted by the IRS or a court of law. Accordingly, U.S. Holders should consult their own tax advisors regarding the tax consequences of a cashless exercise.</w:t>
      </w:r>
    </w:p>
    <w:p>
      <w:pPr>
        <w:spacing w:after="0" w:line="103" w:lineRule="exact"/>
        <w:rPr>
          <w:sz w:val="20"/>
          <w:szCs w:val="20"/>
          <w:color w:val="auto"/>
        </w:rPr>
      </w:pPr>
    </w:p>
    <w:p>
      <w:pPr>
        <w:ind w:left="1260" w:right="1019" w:firstLine="360"/>
        <w:spacing w:after="0" w:line="249" w:lineRule="auto"/>
        <w:rPr>
          <w:sz w:val="20"/>
          <w:szCs w:val="20"/>
          <w:color w:val="auto"/>
        </w:rPr>
      </w:pPr>
      <w:r>
        <w:rPr>
          <w:rFonts w:ascii="Arial" w:cs="Arial" w:eastAsia="Arial" w:hAnsi="Arial"/>
          <w:sz w:val="18"/>
          <w:szCs w:val="18"/>
          <w:color w:val="auto"/>
        </w:rPr>
        <w:t>If we redeem warrants for cash or if we purchase warrants in an open market transaction, such redemption or purchase generally will be treated as a taxable disposition to the U.S. Holder, taxed as described above under “— Sale, Exchange or Other Taxable Disposition of our Common Stock and Warrants.”</w:t>
      </w:r>
    </w:p>
    <w:p>
      <w:pPr>
        <w:spacing w:after="0" w:line="113" w:lineRule="exact"/>
        <w:rPr>
          <w:sz w:val="20"/>
          <w:szCs w:val="20"/>
          <w:color w:val="auto"/>
        </w:rPr>
      </w:pPr>
    </w:p>
    <w:p>
      <w:pPr>
        <w:ind w:left="1260" w:right="559" w:firstLine="360"/>
        <w:spacing w:after="0" w:line="280" w:lineRule="auto"/>
        <w:rPr>
          <w:sz w:val="20"/>
          <w:szCs w:val="20"/>
          <w:color w:val="auto"/>
        </w:rPr>
      </w:pPr>
      <w:r>
        <w:rPr>
          <w:rFonts w:ascii="Arial" w:cs="Arial" w:eastAsia="Arial" w:hAnsi="Arial"/>
          <w:sz w:val="16"/>
          <w:szCs w:val="16"/>
          <w:color w:val="auto"/>
        </w:rPr>
        <w:t>If we give notice of an intention to redeem warrants and a U.S. Holder exercises its warrants on a cashless basis and receives an amount of common stock in respect thereof, we intend to treat such exercise as a redemption of warrants for the common stock for U.S. federal income tax purposes. Such redemption should be treated as a “recapitalization” within the meaning of Section 368(a)(1)(E) of the Code. Accordingly, a U.S. Holder should not recognize any gain or loss on the redemption of warrants for shares of our common stock. A U.S. Holder’s aggregate tax basis in the shares of our common stock received in the redemption generally should equal such holder’s aggregate tax basis in the warrants redeemed and the</w:t>
      </w:r>
    </w:p>
    <w:p>
      <w:pPr>
        <w:spacing w:after="0" w:line="34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holding period for the shares of our common stock received should include such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 Accordingly, U.S. Holders are urged to consult their own tax advisors regarding the tax consequences of a redemption of warrants for shares of our common stock.</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Information reporting requirements generally will apply to payments to a U.S. Holder of dividends on shares of common stock (as well as constructive dividends deemed paid with respect to the warrants) and the proceeds of a sale of common stock or warrants,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w:t>
      </w:r>
    </w:p>
    <w:p>
      <w:pPr>
        <w:spacing w:after="0" w:line="105"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the U.S. Holder’s U.S. federal income tax liability provided the required information is furnished timely to the IRS.</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Non-U.S. Holders</w:t>
      </w:r>
    </w:p>
    <w:p>
      <w:pPr>
        <w:spacing w:after="0" w:line="148" w:lineRule="exact"/>
        <w:rPr>
          <w:sz w:val="20"/>
          <w:szCs w:val="20"/>
          <w:color w:val="auto"/>
        </w:rPr>
      </w:pPr>
    </w:p>
    <w:p>
      <w:pPr>
        <w:ind w:left="1260" w:right="779" w:firstLine="360"/>
        <w:spacing w:after="0" w:line="256" w:lineRule="auto"/>
        <w:rPr>
          <w:sz w:val="20"/>
          <w:szCs w:val="20"/>
          <w:color w:val="auto"/>
        </w:rPr>
      </w:pPr>
      <w:r>
        <w:rPr>
          <w:rFonts w:ascii="Arial" w:cs="Arial" w:eastAsia="Arial" w:hAnsi="Arial"/>
          <w:sz w:val="18"/>
          <w:szCs w:val="18"/>
          <w:color w:val="auto"/>
        </w:rPr>
        <w:t>This section applies to you if you are a “non-U.S. Holder.” You are a non-U.S. Holder if, for U.S. federal income tax purposes, you are a beneficial owner of our securities who or that is, for U.S. federal income tax purposes:</w:t>
      </w:r>
    </w:p>
    <w:p>
      <w:pPr>
        <w:spacing w:after="0" w:line="67" w:lineRule="exact"/>
        <w:rPr>
          <w:sz w:val="20"/>
          <w:szCs w:val="20"/>
          <w:color w:val="auto"/>
        </w:rPr>
      </w:pPr>
    </w:p>
    <w:p>
      <w:pPr>
        <w:ind w:left="1800" w:right="519" w:hanging="180"/>
        <w:spacing w:after="0" w:line="277" w:lineRule="auto"/>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U.S. subject to U.S. tax as an expatriate;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Taxation of Distributions</w:t>
      </w:r>
    </w:p>
    <w:p>
      <w:pPr>
        <w:spacing w:after="0" w:line="144"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Distributions, other than certain pro rata distributions of our common stock) made to a non-U.S. Holder,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U.S. federal withholding tax at a 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 In the case of any constructive dividend to a non-U.S. Holder of warrants (as described above under “— Tax Consequences to U.S. Holders — Possible Constructive Dividends”), it is possible that this tax would be withheld from any amount owed to the non-U.S. Holder by the applicable withholding agent, including cash distributions on other property or sale proceeds from warrants or other property subsequently paid or credit to such non-U.S. Holder.</w:t>
      </w:r>
    </w:p>
    <w:p>
      <w:pPr>
        <w:spacing w:after="0" w:line="129" w:lineRule="exact"/>
        <w:rPr>
          <w:sz w:val="20"/>
          <w:szCs w:val="20"/>
          <w:color w:val="auto"/>
        </w:rPr>
      </w:pPr>
    </w:p>
    <w:p>
      <w:pPr>
        <w:ind w:left="1260" w:right="459" w:firstLine="360"/>
        <w:spacing w:after="0" w:line="258" w:lineRule="auto"/>
        <w:rPr>
          <w:sz w:val="20"/>
          <w:szCs w:val="20"/>
          <w:color w:val="auto"/>
        </w:rPr>
      </w:pPr>
      <w:r>
        <w:rPr>
          <w:rFonts w:ascii="Arial" w:cs="Arial" w:eastAsia="Arial" w:hAnsi="Arial"/>
          <w:sz w:val="17"/>
          <w:szCs w:val="17"/>
          <w:color w:val="auto"/>
        </w:rPr>
        <w:t>Dividends paid to a non -U.S.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 income may also be subject to an additional “branch profits tax” imposed at a rate of 30% (or a lower treaty rate) on its effectively connected earnings and profits (subject to certain adjustments).</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firstLine="360"/>
        <w:spacing w:after="0" w:line="256" w:lineRule="auto"/>
        <w:rPr>
          <w:sz w:val="20"/>
          <w:szCs w:val="20"/>
          <w:color w:val="auto"/>
        </w:rPr>
      </w:pPr>
      <w:r>
        <w:rPr>
          <w:rFonts w:ascii="Arial" w:cs="Arial" w:eastAsia="Arial" w:hAnsi="Arial"/>
          <w:sz w:val="18"/>
          <w:szCs w:val="18"/>
          <w:color w:val="auto"/>
        </w:rPr>
        <w:t>A non-U.S. holder eligible for a reduced rate of U.S. federal withholding tax pursuant to an income tax treaty may obtain a refund of any excess amounts withheld by timely filing an appropriate claim for refund with the IRS.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Sale, Exchange or Other Taxable Disposition of our Common Stock and Warrants</w:t>
      </w:r>
    </w:p>
    <w:p>
      <w:pPr>
        <w:spacing w:after="0" w:line="158" w:lineRule="exact"/>
        <w:rPr>
          <w:sz w:val="20"/>
          <w:szCs w:val="20"/>
          <w:color w:val="auto"/>
        </w:rPr>
      </w:pPr>
    </w:p>
    <w:p>
      <w:pPr>
        <w:ind w:left="1260" w:right="979" w:firstLine="360"/>
        <w:spacing w:after="0" w:line="256" w:lineRule="auto"/>
        <w:rPr>
          <w:sz w:val="20"/>
          <w:szCs w:val="20"/>
          <w:color w:val="auto"/>
        </w:rPr>
      </w:pPr>
      <w:r>
        <w:rPr>
          <w:rFonts w:ascii="Arial" w:cs="Arial" w:eastAsia="Arial" w:hAnsi="Arial"/>
          <w:sz w:val="18"/>
          <w:szCs w:val="18"/>
          <w:color w:val="auto"/>
        </w:rPr>
        <w:t>Subject to the discussions of backup withholding and FATCA withholding tax below, a non-U.S. Holder generally will not be subject to U.S. federal income tax on gain realized on a sale or other disposition of our securities unless:</w:t>
      </w:r>
    </w:p>
    <w:p>
      <w:pPr>
        <w:spacing w:after="0" w:line="67" w:lineRule="exact"/>
        <w:rPr>
          <w:sz w:val="20"/>
          <w:szCs w:val="20"/>
          <w:color w:val="auto"/>
        </w:rPr>
      </w:pPr>
    </w:p>
    <w:p>
      <w:pPr>
        <w:ind w:left="1800" w:right="539" w:hanging="180"/>
        <w:spacing w:after="0" w:line="257"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79"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78" w:lineRule="exact"/>
        <w:rPr>
          <w:rFonts w:ascii="Arial" w:cs="Arial" w:eastAsia="Arial" w:hAnsi="Arial"/>
          <w:sz w:val="18"/>
          <w:szCs w:val="18"/>
          <w:color w:val="auto"/>
        </w:rPr>
      </w:pPr>
    </w:p>
    <w:p>
      <w:pPr>
        <w:ind w:left="1800" w:right="839" w:hanging="180"/>
        <w:spacing w:after="0" w:line="263" w:lineRule="auto"/>
        <w:tabs>
          <w:tab w:leader="none" w:pos="1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(as​ described below) at any time within the five-year period preceding the disposition or the non-U.S. Holder’s holding period, whichever period is shorter, and certain exceptions do not apply.</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or the redemption of a warrant held by a non-U.S. Holder generally will correspond to the U.S. federal income tax treatment of the exercise, lapse or redemption of a warrant by a U.S. Holder, as described above under “</w:t>
      </w:r>
      <w:r>
        <w:rPr>
          <w:rFonts w:ascii="Arial" w:cs="Arial" w:eastAsia="Arial" w:hAnsi="Arial"/>
          <w:sz w:val="17"/>
          <w:szCs w:val="17"/>
          <w:i w:val="1"/>
          <w:iCs w:val="1"/>
          <w:color w:val="auto"/>
        </w:rPr>
        <w:t>Tax Consequences to U.S. Holders — Exercise, Lapse or</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of a Warrant</w:t>
      </w:r>
      <w:r>
        <w:rPr>
          <w:rFonts w:ascii="Arial" w:cs="Arial" w:eastAsia="Arial" w:hAnsi="Arial"/>
          <w:sz w:val="17"/>
          <w:szCs w:val="17"/>
          <w:color w:val="auto"/>
        </w:rPr>
        <w:t>”, although to the extent a cashless exercise or redemption of a warrant results in a</w:t>
      </w:r>
      <w:r>
        <w:rPr>
          <w:rFonts w:ascii="Arial" w:cs="Arial" w:eastAsia="Arial" w:hAnsi="Arial"/>
          <w:sz w:val="17"/>
          <w:szCs w:val="17"/>
          <w:i w:val="1"/>
          <w:iCs w:val="1"/>
          <w:color w:val="auto"/>
        </w:rPr>
        <w:t xml:space="preserve"> </w:t>
      </w:r>
      <w:r>
        <w:rPr>
          <w:rFonts w:ascii="Arial" w:cs="Arial" w:eastAsia="Arial" w:hAnsi="Arial"/>
          <w:sz w:val="17"/>
          <w:szCs w:val="17"/>
          <w:color w:val="auto"/>
        </w:rPr>
        <w:t>taxable exchange, the consequences would be similar to those described above under “</w:t>
      </w:r>
      <w:r>
        <w:rPr>
          <w:rFonts w:ascii="Arial" w:cs="Arial" w:eastAsia="Arial" w:hAnsi="Arial"/>
          <w:sz w:val="17"/>
          <w:szCs w:val="17"/>
          <w:i w:val="1"/>
          <w:iCs w:val="1"/>
          <w:color w:val="auto"/>
        </w:rPr>
        <w:t>Tax Consequences to</w:t>
      </w:r>
      <w:r>
        <w:rPr>
          <w:rFonts w:ascii="Arial" w:cs="Arial" w:eastAsia="Arial" w:hAnsi="Arial"/>
          <w:sz w:val="17"/>
          <w:szCs w:val="17"/>
          <w:color w:val="auto"/>
        </w:rPr>
        <w:t xml:space="preserve"> </w:t>
      </w:r>
      <w:r>
        <w:rPr>
          <w:rFonts w:ascii="Arial" w:cs="Arial" w:eastAsia="Arial" w:hAnsi="Arial"/>
          <w:sz w:val="17"/>
          <w:szCs w:val="17"/>
          <w:i w:val="1"/>
          <w:iCs w:val="1"/>
          <w:color w:val="auto"/>
        </w:rPr>
        <w:t>Non-U.S. Holders — Sale, Exchange or Other Taxable Disposition of our Common Stock and Warrants</w:t>
      </w:r>
      <w:r>
        <w:rPr>
          <w:rFonts w:ascii="Arial" w:cs="Arial" w:eastAsia="Arial" w:hAnsi="Arial"/>
          <w:sz w:val="17"/>
          <w:szCs w:val="17"/>
          <w:color w:val="auto"/>
        </w:rPr>
        <w: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06"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98"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and warrants made within the United States or conducted through certain U.S.-related financial intermediaries, unless the non-U.S. Holder complies with 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ectPr>
          <w:pgSz w:w="11900" w:h="16838" w:orient="portrait"/>
          <w:cols w:equalWidth="0" w:num="1">
            <w:col w:w="9879"/>
          </w:cols>
          <w:pgMar w:left="580" w:top="131"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and the amount of any backup withholding from a payment to a non-U.S. Holder will be allowed as a credit against such non-U.S. Holder’s U.S. federal income tax liability and may entitle such holder to a refund, provided that the required information is furnished to the IRS in a timely manner.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 Tax</w:t>
      </w:r>
    </w:p>
    <w:p>
      <w:pPr>
        <w:spacing w:after="0" w:line="16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Under Sections 1471 through 1474 of the Code (commonly referred to as “FATCA”), payments of dividends on, and the gross proceeds of dispositions of, our securities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If a dividend payment is both subject to withholding under FATCA and subject to the withholding tax discussed above under “— Tax Consequences to Non-U.S. Holders — Taxation of Distributions,” the withholding under FATCA may be credited against, and therefore reduce, such other withholding tax. Non-U.S. holders should consult their tax advisors regarding the possible implications of this withholding tax on their investment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Davis Polk &amp; Wardwell LLP, Menlo Park,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0" w:name="page81"/>
    <w:bookmarkEnd w:id="8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audited financial statements of Lucid Group,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700"/>
        <w:spacing w:after="0"/>
        <w:rPr>
          <w:sz w:val="20"/>
          <w:szCs w:val="20"/>
          <w:color w:val="auto"/>
        </w:rPr>
      </w:pPr>
      <w:r>
        <w:rPr>
          <w:rFonts w:ascii="Arial" w:cs="Arial" w:eastAsia="Arial" w:hAnsi="Arial"/>
          <w:sz w:val="25"/>
          <w:szCs w:val="25"/>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389255</wp:posOffset>
            </wp:positionV>
            <wp:extent cx="3540125" cy="2311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354012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300"/>
        <w:spacing w:after="0"/>
        <w:rPr>
          <w:sz w:val="20"/>
          <w:szCs w:val="20"/>
          <w:color w:val="auto"/>
        </w:rPr>
      </w:pPr>
      <w:r>
        <w:rPr>
          <w:rFonts w:ascii="Arial" w:cs="Arial" w:eastAsia="Arial" w:hAnsi="Arial"/>
          <w:sz w:val="29"/>
          <w:szCs w:val="29"/>
          <w:b w:val="1"/>
          <w:bCs w:val="1"/>
          <w:color w:val="auto"/>
        </w:rPr>
        <w:t>Lucid Group, Inc.</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5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740410</wp:posOffset>
            </wp:positionV>
            <wp:extent cx="12344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225425</wp:posOffset>
            </wp:positionV>
            <wp:extent cx="12344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620"/>
        <w:spacing w:after="0"/>
        <w:tabs>
          <w:tab w:leader="none" w:pos="1980" w:val="left"/>
          <w:tab w:leader="none" w:pos="4000" w:val="left"/>
          <w:tab w:leader="none" w:pos="4900" w:val="left"/>
          <w:tab w:leader="none" w:pos="6560" w:val="left"/>
          <w:tab w:leader="none" w:pos="7400" w:val="left"/>
          <w:tab w:leader="none" w:pos="9080" w:val="left"/>
        </w:tabs>
        <w:rPr>
          <w:sz w:val="20"/>
          <w:szCs w:val="20"/>
          <w:color w:val="auto"/>
        </w:rPr>
      </w:pPr>
      <w:r>
        <w:rPr>
          <w:rFonts w:ascii="Arial" w:cs="Arial" w:eastAsia="Arial" w:hAnsi="Arial"/>
          <w:sz w:val="25"/>
          <w:szCs w:val="25"/>
          <w:b w:val="1"/>
          <w:bCs w:val="1"/>
          <w:color w:val="auto"/>
        </w:rPr>
        <w:t>​</w:t>
        <w:tab/>
        <w:t>BofA Securities</w:t>
      </w:r>
      <w:r>
        <w:rPr>
          <w:sz w:val="20"/>
          <w:szCs w:val="20"/>
          <w:color w:val="auto"/>
        </w:rPr>
        <w:tab/>
      </w:r>
      <w:r>
        <w:rPr>
          <w:rFonts w:ascii="Arial" w:cs="Arial" w:eastAsia="Arial" w:hAnsi="Arial"/>
          <w:sz w:val="25"/>
          <w:szCs w:val="25"/>
          <w:b w:val="1"/>
          <w:bCs w:val="1"/>
          <w:color w:val="auto"/>
        </w:rPr>
        <w:t>​ ​</w:t>
      </w:r>
      <w:r>
        <w:rPr>
          <w:sz w:val="20"/>
          <w:szCs w:val="20"/>
          <w:color w:val="auto"/>
        </w:rPr>
        <w:tab/>
      </w:r>
      <w:r>
        <w:rPr>
          <w:rFonts w:ascii="Arial" w:cs="Arial" w:eastAsia="Arial" w:hAnsi="Arial"/>
          <w:sz w:val="25"/>
          <w:szCs w:val="25"/>
          <w:b w:val="1"/>
          <w:bCs w:val="1"/>
          <w:color w:val="auto"/>
        </w:rPr>
        <w:t>Barclays</w:t>
      </w:r>
      <w:r>
        <w:rPr>
          <w:sz w:val="20"/>
          <w:szCs w:val="20"/>
          <w:color w:val="auto"/>
        </w:rPr>
        <w:tab/>
      </w:r>
      <w:r>
        <w:rPr>
          <w:rFonts w:ascii="Arial" w:cs="Arial" w:eastAsia="Arial" w:hAnsi="Arial"/>
          <w:sz w:val="25"/>
          <w:szCs w:val="25"/>
          <w:b w:val="1"/>
          <w:bCs w:val="1"/>
          <w:color w:val="auto"/>
        </w:rPr>
        <w:t>​ ​</w:t>
      </w:r>
      <w:r>
        <w:rPr>
          <w:sz w:val="20"/>
          <w:szCs w:val="20"/>
          <w:color w:val="auto"/>
        </w:rPr>
        <w:tab/>
      </w:r>
      <w:r>
        <w:rPr>
          <w:rFonts w:ascii="Arial" w:cs="Arial" w:eastAsia="Arial" w:hAnsi="Arial"/>
          <w:sz w:val="25"/>
          <w:szCs w:val="25"/>
          <w:b w:val="1"/>
          <w:bCs w:val="1"/>
          <w:color w:val="auto"/>
        </w:rPr>
        <w:t>Citigroup</w:t>
      </w:r>
      <w:r>
        <w:rPr>
          <w:sz w:val="20"/>
          <w:szCs w:val="20"/>
          <w:color w:val="auto"/>
        </w:rPr>
        <w:tab/>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1983740</wp:posOffset>
            </wp:positionV>
            <wp:extent cx="52120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1)"/>
      <w:numFmt w:val="decimal"/>
      <w:start w:val="10"/>
    </w:lvl>
  </w:abstractNum>
  <w:abstractNum w:abstractNumId="8">
    <w:nsid w:val="737B8DDC"/>
    <w:multiLevelType w:val="hybridMultilevel"/>
    <w:lvl w:ilvl="0">
      <w:lvlJc w:val="left"/>
      <w:lvlText w:val="(%1)"/>
      <w:numFmt w:val="lowerLetter"/>
      <w:start w:val="1"/>
    </w:lvl>
  </w:abstractNum>
  <w:abstractNum w:abstractNumId="9">
    <w:nsid w:val="6CEAF087"/>
    <w:multiLevelType w:val="hybridMultilevel"/>
    <w:lvl w:ilvl="0">
      <w:lvlJc w:val="left"/>
      <w:lvlText w:val="(%1)"/>
      <w:numFmt w:val="lowerRoman"/>
      <w:start w:val="3"/>
    </w:lvl>
  </w:abstractNum>
  <w:abstractNum w:abstractNumId="10">
    <w:nsid w:val="22221A70"/>
    <w:multiLevelType w:val="hybridMultilevel"/>
    <w:lvl w:ilvl="0">
      <w:lvlJc w:val="left"/>
      <w:lvlText w:val="(%1)"/>
      <w:numFmt w:val="lowerLetter"/>
      <w:start w:val="1"/>
    </w:lvl>
  </w:abstractNum>
  <w:abstractNum w:abstractNumId="11">
    <w:nsid w:val="4516DDE9"/>
    <w:multiLevelType w:val="hybridMultilevel"/>
    <w:lvl w:ilvl="0">
      <w:lvlJc w:val="left"/>
      <w:lvlText w:val="(%1)"/>
      <w:numFmt w:val="lowerLetter"/>
      <w:start w:val="1"/>
    </w:lvl>
  </w:abstractNum>
  <w:abstractNum w:abstractNumId="12">
    <w:nsid w:val="3006C83E"/>
    <w:multiLevelType w:val="hybridMultilevel"/>
    <w:lvl w:ilvl="0">
      <w:lvlJc w:val="left"/>
      <w:lvlText w:val="(%1)"/>
      <w:numFmt w:val="lowerRoman"/>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1)"/>
      <w:numFmt w:val="lowerRoman"/>
      <w:start w:val="2"/>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1)"/>
      <w:numFmt w:val="lowerRoman"/>
      <w:start w:val="3"/>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lvl w:ilvl="1">
      <w:lvlJc w:val="left"/>
      <w:lvlText w:val="(%2)"/>
      <w:numFmt w:val="lowerRoman"/>
      <w:start w:val="2"/>
    </w:lvl>
  </w:abstractNum>
  <w:abstractNum w:abstractNumId="47">
    <w:nsid w:val="1BA026FA"/>
    <w:multiLevelType w:val="hybridMultilevel"/>
    <w:lvl w:ilvl="0">
      <w:lvlJc w:val="left"/>
      <w:lvlText w:val="(%1)"/>
      <w:numFmt w:val="decimal"/>
      <w:start w:val="4"/>
    </w:lvl>
    <w:lvl w:ilvl="1">
      <w:lvlJc w:val="left"/>
      <w:lvlText w:val="(%2)"/>
      <w:numFmt w:val="lowerRoman"/>
      <w:start w:val="2"/>
    </w:lvl>
  </w:abstractNum>
  <w:abstractNum w:abstractNumId="48">
    <w:nsid w:val="79A1DEAA"/>
    <w:multiLevelType w:val="hybridMultilevel"/>
    <w:lvl w:ilvl="0">
      <w:lvlJc w:val="left"/>
      <w:lvlText w:val="(%1)"/>
      <w:numFmt w:val="decimal"/>
      <w:start w:val="12"/>
    </w:lvl>
  </w:abstractNum>
  <w:abstractNum w:abstractNumId="49">
    <w:nsid w:val="75C6C33A"/>
    <w:multiLevelType w:val="hybridMultilevel"/>
    <w:lvl w:ilvl="0">
      <w:lvlJc w:val="left"/>
      <w:lvlText w:val="(%1)"/>
      <w:numFmt w:val="decimal"/>
      <w:start w:val="15"/>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jpe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jpe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31" Type="http://schemas.openxmlformats.org/officeDocument/2006/relationships/hyperlink" Target="https://www.sec.gov/ix?doc=/Archives/edgar/data/1811210/000162828022004253/lcid-20211231.htm" TargetMode="External"/><Relationship Id="rId32" Type="http://schemas.openxmlformats.org/officeDocument/2006/relationships/hyperlink" Target="https://www.sec.gov/ix?doc=/Archives/edgar/data/1811210/000162828022012681/lcid-20220331.htm" TargetMode="External"/><Relationship Id="rId33" Type="http://schemas.openxmlformats.org/officeDocument/2006/relationships/hyperlink" Target="https://www.sec.gov/ix?doc=/Archives/edgar/data/1811210/000162828022020609/lcid-20220630.htm" TargetMode="External"/><Relationship Id="rId34" Type="http://schemas.openxmlformats.org/officeDocument/2006/relationships/hyperlink" Target="https://www.sec.gov/ix?doc=/Archives/edgar/data/1811210/000162828022028925/lcid-20220930.htm" TargetMode="External"/><Relationship Id="rId35" Type="http://schemas.openxmlformats.org/officeDocument/2006/relationships/hyperlink" Target="https://www.sec.gov/Archives/edgar/data/1811210/000110465922051645/tm224050-1_def14a.htm" TargetMode="External"/><Relationship Id="rId36" Type="http://schemas.openxmlformats.org/officeDocument/2006/relationships/hyperlink" Target="https://www.sec.gov/ix?doc=/Archives/edgar/data/1811210/000110465922050370/tm2212583d1_8k.htm" TargetMode="External"/><Relationship Id="rId37" Type="http://schemas.openxmlformats.org/officeDocument/2006/relationships/hyperlink" Target="https://www.sec.gov/ix?doc=/Archives/edgar/data/1811210/000110465922067703/tm2217505d1_8k.htm" TargetMode="External"/><Relationship Id="rId38" Type="http://schemas.openxmlformats.org/officeDocument/2006/relationships/hyperlink" Target="https://www.sec.gov/ix?doc=/Archives/edgar/data/1811210/000110465922070525/tm2218210d1_8k.htm" TargetMode="External"/><Relationship Id="rId39" Type="http://schemas.openxmlformats.org/officeDocument/2006/relationships/hyperlink" Target="https://www.sec.gov/ix?doc=/Archives/edgar/data/1811210/000110465922071262/tm2218210d4_8k.htm" TargetMode="External"/><Relationship Id="rId40" Type="http://schemas.openxmlformats.org/officeDocument/2006/relationships/hyperlink" Target="https://www.sec.gov/Archives/edgar/data/1811210/000110465921095277/tm2120294d8_8a12b.htm" TargetMode="External"/><Relationship Id="rId85" Type="http://schemas.openxmlformats.org/officeDocument/2006/relationships/hyperlink" Target="http://www.sec.gov/ix?doc=/Archives/edgar/data/1811210/000162828022004253/lcid-20211231.htm" TargetMode="External"/><Relationship Id="rId86" Type="http://schemas.openxmlformats.org/officeDocument/2006/relationships/hyperlink" Target="http://www.sec.gov/ix?doc=/Archives/edgar/data/1811210/000162828022012681/lcid-20220331.htm" TargetMode="External"/><Relationship Id="rId87" Type="http://schemas.openxmlformats.org/officeDocument/2006/relationships/hyperlink" Target="http://www.sec.gov/Archives/edgar/data/1811210/000110465922051645/tm224050-1_def14a.htm" TargetMode="External"/><Relationship Id="rId88" Type="http://schemas.openxmlformats.org/officeDocument/2006/relationships/hyperlink" Target="http://www.sec.gov/ix?doc=/Archives/edgar/data/1811210/000110465922050370/tm2212583d1_8k.htm" TargetMode="External"/><Relationship Id="rId89" Type="http://schemas.openxmlformats.org/officeDocument/2006/relationships/hyperlink" Target="http://www.sec.gov/ix?doc=/Archives/edgar/data/1811210/000110465922067703/tm2217505d1_8k.htm" TargetMode="External"/><Relationship Id="rId90" Type="http://schemas.openxmlformats.org/officeDocument/2006/relationships/hyperlink" Target="http://www.sec.gov/ix?doc=/Archives/edgar/data/1811210/000110465922070525/tm2218210d1_8k.htm" TargetMode="External"/><Relationship Id="rId91" Type="http://schemas.openxmlformats.org/officeDocument/2006/relationships/hyperlink" Target="http://www.sec.gov/ix?doc=/Archives/edgar/data/1811210/000110465922071262/tm2218210d4_8k.htm" TargetMode="External"/><Relationship Id="rId92" Type="http://schemas.openxmlformats.org/officeDocument/2006/relationships/hyperlink" Target="http://www.sec.gov/Archives/edgar/data/1811210/000110465921095277/tm2120294d8_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2022-11-08T16:52:20Z</dcterms:created>
  <dcterms:modified xsi:type="dcterms:W3CDTF">2022-11-08T16:52:20Z</dcterms:modified>
</cp:coreProperties>
</file>