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16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November 7, 2023</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7373 Gateway Boulevard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60" w:after="283"/>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Item 2.02 - Results of Operations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7, 2023, Lucid Group, Inc. (“Lucid”) issued a press release announcing its results for the third quarter ended September 30, 2023. A copy of the press release is attached as Exhibit 99.1 to this current report on Form 8-K and is incorporated by reference herein.</w:t>
      </w:r>
    </w:p>
    <w:p>
      <w:pPr>
        <w:pStyle w:val="TextBody"/>
        <w:bidi w:val="0"/>
        <w:spacing w:lineRule="auto" w:line="288" w:before="200" w:after="283"/>
        <w:jc w:val="both"/>
        <w:rPr/>
      </w:pPr>
      <w:r>
        <w:rPr>
          <w:rFonts w:ascii="Times New Roman;sans-serif" w:hAnsi="Times New Roman;sans-serif"/>
          <w:b w:val="false"/>
          <w:color w:val="000000"/>
          <w:sz w:val="20"/>
        </w:rPr>
        <w:t xml:space="preserve">Lucid uses its </w:t>
      </w:r>
      <w:r>
        <w:rPr>
          <w:rFonts w:ascii="Times New Roman;sans-serif" w:hAnsi="Times New Roman;sans-serif"/>
          <w:b w:val="false"/>
          <w:color w:val="000000"/>
          <w:sz w:val="20"/>
          <w:u w:val="single"/>
        </w:rPr>
        <w:t>ir.lucidmotors.com</w:t>
      </w:r>
      <w:r>
        <w:rPr>
          <w:color w:val="000000"/>
        </w:rPr>
        <w:t xml:space="preserve"> </w:t>
      </w:r>
      <w:r>
        <w:rPr>
          <w:rFonts w:ascii="Times New Roman;sans-serif" w:hAnsi="Times New Roman;sans-serif"/>
          <w:b w:val="false"/>
          <w:color w:val="000000"/>
          <w:sz w:val="20"/>
        </w:rPr>
        <w:t>website as a means of disclosing material non-public information and for complying with its disclosure obligations under Regulation FD.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Item 8.01 - Other Events</w:t>
      </w:r>
    </w:p>
    <w:p>
      <w:pPr>
        <w:pStyle w:val="TextBody"/>
        <w:bidi w:val="0"/>
        <w:spacing w:lineRule="auto" w:line="288" w:before="200" w:after="283"/>
        <w:jc w:val="both"/>
        <w:rPr/>
      </w:pPr>
      <w:r>
        <w:rPr>
          <w:rFonts w:ascii="Times New Roman;sans-serif" w:hAnsi="Times New Roman;sans-serif"/>
          <w:b w:val="false"/>
          <w:color w:val="212121"/>
          <w:sz w:val="20"/>
        </w:rPr>
        <w:t>On November 6, 2023, pursuant to the terms of an Implementation Agreement between Lucid and Aston Martin Lagonda Global Holdings plc (together with its subsidiaries, “</w:t>
      </w:r>
      <w:r>
        <w:rPr>
          <w:rFonts w:ascii="Times New Roman;sans-serif" w:hAnsi="Times New Roman;sans-serif"/>
          <w:b/>
          <w:i/>
          <w:color w:val="212121"/>
          <w:sz w:val="20"/>
        </w:rPr>
        <w:t>Aston Martin</w:t>
      </w:r>
      <w:r>
        <w:rPr>
          <w:color w:val="212121"/>
        </w:rPr>
        <w:t>”</w:t>
      </w:r>
      <w:r>
        <w:rPr>
          <w:rFonts w:ascii="Times New Roman;sans-serif" w:hAnsi="Times New Roman;sans-serif"/>
          <w:b w:val="false"/>
          <w:color w:val="212121"/>
          <w:sz w:val="20"/>
        </w:rPr>
        <w:t>) dated as of June 26, 2023 (the “</w:t>
      </w:r>
      <w:r>
        <w:rPr>
          <w:rFonts w:ascii="Times New Roman;sans-serif" w:hAnsi="Times New Roman;sans-serif"/>
          <w:b/>
          <w:i/>
          <w:color w:val="212121"/>
          <w:sz w:val="20"/>
        </w:rPr>
        <w:t>Implementation Agreement</w:t>
      </w:r>
      <w:r>
        <w:rPr>
          <w:color w:val="212121"/>
        </w:rPr>
        <w:t>”</w:t>
      </w:r>
      <w:r>
        <w:rPr>
          <w:rFonts w:ascii="Times New Roman;sans-serif" w:hAnsi="Times New Roman;sans-serif"/>
          <w:b w:val="false"/>
          <w:color w:val="212121"/>
          <w:sz w:val="20"/>
        </w:rPr>
        <w:t>), integration and supply arrangements became effective, under which Lucid will provide Aston Martin access to Lucid’s powertrain, battery system, and software technologies, work with Aston Martin to integrate Lucid’s powertrain and battery components with Aston Martin’s BEV chassis, and supply powertrain and battery components to Aston Martin (collectively, the “</w:t>
      </w:r>
      <w:r>
        <w:rPr>
          <w:rFonts w:ascii="Times New Roman;sans-serif" w:hAnsi="Times New Roman;sans-serif"/>
          <w:b/>
          <w:i/>
          <w:color w:val="212121"/>
          <w:sz w:val="20"/>
        </w:rPr>
        <w:t>Strategic Technology Arrangement</w:t>
      </w:r>
      <w:r>
        <w:rPr>
          <w:color w:val="212121"/>
        </w:rPr>
        <w:t>”</w:t>
      </w:r>
      <w:r>
        <w:rPr>
          <w:rFonts w:ascii="Times New Roman;sans-serif" w:hAnsi="Times New Roman;sans-serif"/>
          <w:b w:val="false"/>
          <w:color w:val="212121"/>
          <w:sz w:val="20"/>
        </w:rPr>
        <w:t>). In connection with the commencement of the Strategic Technology Arrangement, Aston Martin issued Lucid 28,352,273 ordinary shares in Aston Martin’s share capital and paid to Lucid the first cash installment of $33.0 million, pursuant to the terms of the Implementation Agreement.</w:t>
      </w:r>
    </w:p>
    <w:p>
      <w:pPr>
        <w:pStyle w:val="TextBody"/>
        <w:bidi w:val="0"/>
        <w:spacing w:lineRule="auto" w:line="288" w:before="200" w:after="283"/>
        <w:jc w:val="both"/>
        <w:rPr>
          <w:rFonts w:ascii="Times New Roman;sans-serif" w:hAnsi="Times New Roman;sans-serif"/>
          <w:b w:val="false"/>
          <w:color w:val="212121"/>
          <w:sz w:val="20"/>
        </w:rPr>
      </w:pPr>
      <w:r>
        <w:rPr>
          <w:rFonts w:ascii="Times New Roman;sans-serif" w:hAnsi="Times New Roman;sans-serif"/>
          <w:b w:val="false"/>
          <w:color w:val="212121"/>
          <w:sz w:val="20"/>
        </w:rPr>
        <w:t>The foregoing description of the Strategic Technology Arrangement and the Implementation Agreement does not purport to be complete and is subject to, and qualified in its entirety by, the full text of the Implementation Agreement, a copy of which was attached as Exhibit 10.4 to the Company’s Quarterly Report on Form 10-Q filed with the Securities and Exchange Commission on August 7,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Item 9.01 - Financial Statements and Exhibits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738"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3fy23ex991.htm">
              <w:r>
                <w:rPr>
                  <w:rStyle w:val="InternetLink"/>
                  <w:rFonts w:ascii="Times New Roman;sans-serif" w:hAnsi="Times New Roman;sans-serif"/>
                  <w:b w:val="false"/>
                  <w:color w:val="0000FF"/>
                  <w:sz w:val="20"/>
                  <w:u w:val="single"/>
                </w:rPr>
                <w:t>Lucid Press Release Dated November 7,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4949" w:type="dxa"/>
        <w:jc w:val="left"/>
        <w:tblInd w:w="0" w:type="dxa"/>
        <w:tblLayout w:type="fixed"/>
        <w:tblCellMar>
          <w:top w:w="28" w:type="dxa"/>
          <w:left w:w="28" w:type="dxa"/>
          <w:bottom w:w="28" w:type="dxa"/>
          <w:right w:w="28" w:type="dxa"/>
        </w:tblCellMar>
      </w:tblPr>
      <w:tblGrid>
        <w:gridCol w:w="797"/>
        <w:gridCol w:w="700"/>
        <w:gridCol w:w="707"/>
        <w:gridCol w:w="245"/>
        <w:gridCol w:w="245"/>
        <w:gridCol w:w="245"/>
        <w:gridCol w:w="588"/>
        <w:gridCol w:w="588"/>
        <w:gridCol w:w="834"/>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November 7, 2023</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Sherry House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06" w:type="dxa"/>
        <w:jc w:val="left"/>
        <w:tblInd w:w="0" w:type="dxa"/>
        <w:tblLayout w:type="fixed"/>
        <w:tblCellMar>
          <w:top w:w="28" w:type="dxa"/>
          <w:left w:w="28" w:type="dxa"/>
          <w:bottom w:w="28" w:type="dxa"/>
          <w:right w:w="28" w:type="dxa"/>
        </w:tblCellMar>
      </w:tblPr>
      <w:tblGrid>
        <w:gridCol w:w="1004"/>
        <w:gridCol w:w="883"/>
        <w:gridCol w:w="884"/>
        <w:gridCol w:w="390"/>
        <w:gridCol w:w="390"/>
        <w:gridCol w:w="555"/>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before="0" w:after="2"/>
              <w:jc w:val="left"/>
              <w:rPr/>
            </w:pPr>
            <w:r>
              <w:rPr/>
              <w:drawing>
                <wp:inline distT="0" distB="0" distL="0" distR="0">
                  <wp:extent cx="1695450" cy="238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95450" cy="238125"/>
                          </a:xfrm>
                          <a:prstGeom prst="rect">
                            <a:avLst/>
                          </a:prstGeom>
                        </pic:spPr>
                      </pic:pic>
                    </a:graphicData>
                  </a:graphic>
                </wp:inline>
              </w:drawing>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2"/>
              </w:rPr>
            </w:pPr>
            <w:r>
              <w:rPr>
                <w:rFonts w:ascii="Times New Roman;sans-serif" w:hAnsi="Times New Roman;sans-serif"/>
                <w:b/>
                <w:color w:val="000000"/>
                <w:sz w:val="22"/>
              </w:rPr>
              <w:t>Exhibit 99.1</w:t>
            </w:r>
          </w:p>
        </w:tc>
      </w:tr>
    </w:tbl>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Lucid Announces Third Quarter 2023 Financial Results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2"/>
        </w:rPr>
        <w:t>Lucid reported Q3 revenue of $137.8 million driven by customer deliveries of 1,457 vehicles in the quarter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2"/>
        </w:rPr>
        <w:t>Production of the Lucid Air Pure RWD began in September and is in the process of ramping up; production of the Lucid Air Sapphire also began in September, thus completing the Lucid Air lineup</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2"/>
        </w:rPr>
        <w:t>General assembly production shifted to Phase 2 of Lucid’s factory in Arizona; Lucid opened its first manufacturing plant in Saudi Arabia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2"/>
        </w:rPr>
        <w:t>Lucid closed the Aston Martin transaction and commenced the strategic technology arrangement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2"/>
        </w:rPr>
        <w:t>Lucid appoints Marc Winterhoff as its first-ever Chief Operating Officer, overseeing daily operations and execution across global manufacturing, supply chain, sales and service, marketing, and international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2"/>
        </w:rPr>
        <w:t>Lucid Gravity, the company’s all new luxury electric SUV, will be unveiled on November 16 at the LA Auto Show; start of production remains on track for late 2024</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2"/>
        </w:rPr>
        <w:t>Production outlook for 2023 is revised to 8,000 - 8,500 vehicles from prior guidance of more than 10,000 to prudently align with deliveries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NEWARK, Calif., Nov. 7, 2023 -- Lucid Group, Inc. (NASDAQ: LCID), setting new standards for luxury electric experience with the Lucid Air, winner of the 2023 World Luxury Car Award, today announced financial results for its third quarter ended September 30, 2023. The earnings presentation is available on its investor relations website (https://ir.lucidmotors.com).</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Lucid reported Q3 revenue of $137.8 million on deliveries of 1,457 vehicles and produced 1,550 vehicles. The company is also adjusting its production outlook for 2023 to 8,000 - 8,500 vehicles to prudently align with deliveries. </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We delivered on our commitments to complete the Lucid Air lineup on time with Pure RWD and Sapphire, transition general assembly to our Phase 2 factory in Arizona, and open our first plant in Saudi Arabia. We recognize we still have work to do on our customer journey and deliveries,” said Peter Rawlinson, Lucid’s CEO &amp; CTO. “Next week, we look forward to the world premiere of the Lucid Gravity, our amazing vehicle that will redefine the electric SUV. Gravity remains on track to begin production in late 2024.”</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We are seeing results from our targeted marketing approach, as the majority of new demand came from customers who had their first contact with Lucid in the quarter,” said Sherry House, Lucid’s CFO. “We’ve also made progress with the cost control program we implemented in the first half of the year and have identified further opportunities for 2024. We ended the third quarter with approximately $5.45 billion in liquidity, which we expect to lead us to our next major milestone, Gravity production, and beyond, into 2025.”</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will host a conference call for analysts and investors at 2:30 P.M. PT / 5:30 P.M. ET on November 7, 2023.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About Lucid Group</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Lucid’s mission is to inspire the adoption of sustainable energy by creating advanced technologies and the most captivating luxury electric vehicles centered around the human experience. The company’s first car, the Air, is a state-of-the-art luxury sedan with a California-inspired design. Lucid Air Grand Touring features an official EPA estimated 516 miles of range. Assembled at Lucid’s factories in Casa Grande, Arizona, and King Abdullah Economic City (KAEC), Saudi Arabia, deliveries of Lucid Air are currently underway to customers in the U.S., Canada, Europe, and the Middle East.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before="20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Investor Relations Contact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investor@lucidmotors.com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Media Contact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 xml:space="preserve">media@lucidmotors.com </w:t>
      </w:r>
    </w:p>
    <w:p>
      <w:pPr>
        <w:pStyle w:val="TextBody"/>
        <w:bidi w:val="0"/>
        <w:spacing w:lineRule="auto" w:line="288" w:before="240" w:after="1"/>
        <w:jc w:val="left"/>
        <w:rPr>
          <w:rFonts w:ascii="Times New Roman;sans-serif" w:hAnsi="Times New Roman;sans-serif"/>
          <w:b/>
          <w:color w:val="1B1B1B"/>
          <w:sz w:val="22"/>
        </w:rPr>
      </w:pPr>
      <w:r>
        <w:rPr>
          <w:rFonts w:ascii="Times New Roman;sans-serif" w:hAnsi="Times New Roman;sans-serif"/>
          <w:b/>
          <w:color w:val="1B1B1B"/>
          <w:sz w:val="22"/>
        </w:rPr>
        <w:t xml:space="preserve">Trademarks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communication contains trademarks, service marks, trade names and copyrights of Lucid Group, Inc. and its subsidiaries and other companies, which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Forward Looking Statements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financial and operating outlook and guidance, future capital expenditures and other operating expenses, ability to control costs, expectations and timing related to commercial product launches, including the Gravity SUV, production and delivery volumes, expectations regarding market opportunities and demand for Lucid’s products, the range and performance of Lucid’s vehicles, plans and expectations regarding the Gravity SUV, including performance, driving range, features, specifications, and Gravity’s potential impact on markets, plans and expectations regarding Lucid’s software, plans and expectations regarding Lucid’s systems approach to the design of the vehicle, plans and expectations regarding Lucid’s integration with NACS, including timing and benefits, estimate of the length of time Lucid’s existing cash, cash equivalents and investments will be sufficient to fund planned operations, plans and expectations regarding its future capital raises and funding strategy, the timing of vehicle deliveries, future manufacturing capabilities and facilities, studio and service center openings, ability to mitigate supply chain and logistics risks, plans regarding the Phase 2 expansion of Lucid’s AMP-1 factory, including timing, installed capacity and potential benefits, ability to vertically integrate production processes, future sales channels and strategies, future market launches and international expansion, including plans and expectations for the AMP-2 manufacturing facility in Saudi Arabia, and plans and expectations regarding the purchase agreement with the government of Saudi Arabia, including the total number of vehicles that may be purchased under the agreement, expected order quantities, and the quantity and timing of vehicle deliveries, Lucid’s ability to grow its brand awareness, the potential success of Lucid’s direct-to-consumer sales strategy and future vehicle programs, plans and expectations of the Lucid Referral Program in the United States, potential automotive partnerships, including plans and expectations regarding Lucid’s strategic technology arrangement with Aston Martin,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risks related to changes in overall demand for Lucid’s products and services and cancellation of reservations and orders for Lucid’s vehicles; risks related to prices and availability of commodities, Lucid’s supply chain, logistics, inventory management and quality control, and Lucid’s ability to complete the tooling of its manufacturing facilities over time and scale production of the Lucid Air and other vehicles; risks related to the uncertainty of Lucid’s projected financial information; risks related to the timing of expected business milestones and commercial product launches; risks related to the expansion of Lucid’s manufacturing facility, the construction of new manufacturing facilities and the increase of Lucid’s production capacity; Lucid’s ability to manage expenses and control costs;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enter into or maintain partnerships with original equipment manufacturers, vendors and technology providers; Lucid’s ability to effectively manage its growth and recruit and retain key employees, including its chief executive officer and executive team; risks related to potential vehicle recalls; Lucid’s ability to establish and expand its brand and capture additional market share, and the risks associated with negative press or reputational harm; Lucid’s ability to effectively utilize zero emission vehicle credits and obtain and utilize certain tax and other incentives; Lucid’s ability to issue equity or equity-linked securities in the future; Lucid’s ability to pay interest and principal on its indebtedness; future changes to vehicle specifications which may impact performance, pricing and other expectations; the outcome of any potential litigation, government and regulatory proceedings, investigations and inquiries; risks associated with the restructuring plan, including the risk that the charges and expenditures may be greater than anticipated, the risk that the restructuring plan may adversely affect Lucid’s internal programs and initiatives and its ability to recruit and retain skilled and motivated personnel, the risk that the restructuring plan may be distracting to employees and management, the risk that the restructuring plan may negatively impact Lucid’s business operations, reputation, or ability to serve customers, and the risk that the restructuring plan </w:t>
      </w:r>
    </w:p>
    <w:p>
      <w:pPr>
        <w:pStyle w:val="TextBody"/>
        <w:bidi w:val="0"/>
        <w:spacing w:before="20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not generate their intended benefits to the extent or as quickly as anticipated; and the impact of the global COVID-19 pandemic on Lucid’s supply chain, projected results of operations, financial performance or other financial metrics, or on any of the foregoing risks; and those factors discussed under the heading “Risk Factors” in Part II, Item 1A of Lucid’s Quarterly Report on Form 10-Q for the quarter ended September 30, 2023,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Non-GAAP Financial Measures and Key Business Metrics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Condensed consolidated financial information has been presented in accordance with US GAAP (“GAAP”) as well as on a non-GAAP basis to supplement our condensed consolidated financial results. Lucid’s non-GAAP financial measures include Adjusted EBITDA and Free Cash Flow which are discussed below.</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EBITDA is defined as net loss before (1) interest expense, (2) interest income, (3) provision for income taxes, (4) depreciation and amortization, (5) change in fair value of common stock warrant liability, (6) stock-based compensation and (7) restructuring charges. Lucid believes that Adjusted EBITDA provides useful information to Lucid’s management and investors about Lucid’s financial performance. Free Cash Flow is defined as net cash used in operating activities less capital expenditures. Lucid believes that Free Cash Flow provides useful information to Lucid’s management and investors about the amount of cash generated by the business after necessary capital expenditures.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Lucid’s non-GAAP financial measures and key performance measures as tools for comparison. A reconciliation between GAAP and non-GAAP financial information is presented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16"/>
        <w:gridCol w:w="2002"/>
        <w:gridCol w:w="1965"/>
        <w:gridCol w:w="109"/>
        <w:gridCol w:w="109"/>
        <w:gridCol w:w="109"/>
        <w:gridCol w:w="211"/>
        <w:gridCol w:w="991"/>
        <w:gridCol w:w="109"/>
        <w:gridCol w:w="109"/>
        <w:gridCol w:w="109"/>
        <w:gridCol w:w="109"/>
        <w:gridCol w:w="211"/>
        <w:gridCol w:w="991"/>
        <w:gridCol w:w="155"/>
      </w:tblGrid>
      <w:tr>
        <w:trPr/>
        <w:tc>
          <w:tcPr>
            <w:tcW w:w="2916"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6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4,912,028 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2,166,776 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8,941,234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7,879,238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1,991,840 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3,529,537 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15,000,000,000 shares authorized as of September 30, 2023 and December 31, 2022; 2,290,134,335 and 1,830,172,561 shares issued and 2,289,276,510 and 1,829,314,736 shares outstanding as of September 30,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11,752,138 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857,825 shares at September 30,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(9,544,986)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(7,370,332)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4,349,701 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8,941,234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7,879,238</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LUCID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308"/>
        <w:gridCol w:w="830"/>
        <w:gridCol w:w="823"/>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09"/>
        <w:gridCol w:w="109"/>
        <w:gridCol w:w="109"/>
        <w:gridCol w:w="109"/>
        <w:gridCol w:w="156"/>
      </w:tblGrid>
      <w:tr>
        <w:trPr/>
        <w:tc>
          <w:tcPr>
            <w:tcW w:w="130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revenue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Restructuring charges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 and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from operations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Other income (expense), net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income, net</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before provision for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(2,173,642)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(831,812)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 attributable to common stockholders, basic</w:t>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(630,894)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(530,101)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(2,174,654)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(831,812)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dilutive warrants</w:t>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(998,319)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 attributable to common stockholders, diluted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(1,830,131)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 average shares outstanding attributable to common stockholders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2,284,446,783 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1,676,048,504 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2,010,916,100 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1,666,693,217 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2,284,446,783 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1,690,963,548 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2,010,916,100 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1,686,576,589 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 per share attributable to common stockholders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Other comprehensive income (loss)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unrealized gains (losses) on investments, net of tax</w:t>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comprehensive income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Comprehensive loss attributable to common stockholders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pPr>
      <w:r>
        <w:rPr>
          <w:rFonts w:ascii="Times New Roman;sans-serif" w:hAnsi="Times New Roman;sans-serif"/>
          <w:b/>
          <w:color w:val="000000"/>
          <w:sz w:val="20"/>
        </w:rPr>
        <w:t>(in thousands</w:t>
      </w:r>
      <w:r>
        <w:rPr>
          <w:rFonts w:ascii="Times New Roman;sans-serif" w:hAnsi="Times New Roman;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682"/>
        <w:gridCol w:w="1366"/>
        <w:gridCol w:w="1377"/>
        <w:gridCol w:w="196"/>
        <w:gridCol w:w="871"/>
        <w:gridCol w:w="109"/>
        <w:gridCol w:w="109"/>
        <w:gridCol w:w="109"/>
        <w:gridCol w:w="109"/>
        <w:gridCol w:w="196"/>
        <w:gridCol w:w="871"/>
        <w:gridCol w:w="109"/>
        <w:gridCol w:w="109"/>
        <w:gridCol w:w="109"/>
        <w:gridCol w:w="109"/>
        <w:gridCol w:w="196"/>
        <w:gridCol w:w="918"/>
        <w:gridCol w:w="109"/>
        <w:gridCol w:w="109"/>
        <w:gridCol w:w="109"/>
        <w:gridCol w:w="109"/>
        <w:gridCol w:w="196"/>
        <w:gridCol w:w="871"/>
        <w:gridCol w:w="157"/>
      </w:tblGrid>
      <w:tr>
        <w:trPr/>
        <w:tc>
          <w:tcPr>
            <w:tcW w:w="168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(831,812)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insurance premium</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and firm purchase commitments write-downs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364,553 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(998,319)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(906,054)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(2,015,204)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(1,577,743)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(2,726,677)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government grant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(1,374,898)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(3,289,021)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Underwriting Agreement, net of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2023 Subscription Agreement, net of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short-term insurance financing note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for borrowings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failed sale-leaseback transaction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purchase plan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credit facility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(165,566)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(1,610,933)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(1,926,721)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(5,032,330)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cash, cash equivalents, and 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6,298,020 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1,265,690 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LUCID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Adjusted EBITDA</w:t>
      </w:r>
    </w:p>
    <w:tbl>
      <w:tblPr>
        <w:tblW w:w="10205" w:type="dxa"/>
        <w:jc w:val="left"/>
        <w:tblInd w:w="0" w:type="dxa"/>
        <w:tblLayout w:type="fixed"/>
        <w:tblCellMar>
          <w:top w:w="28" w:type="dxa"/>
          <w:left w:w="28" w:type="dxa"/>
          <w:bottom w:w="28" w:type="dxa"/>
          <w:right w:w="28" w:type="dxa"/>
        </w:tblCellMar>
      </w:tblPr>
      <w:tblGrid>
        <w:gridCol w:w="1410"/>
        <w:gridCol w:w="1103"/>
        <w:gridCol w:w="1113"/>
        <w:gridCol w:w="211"/>
        <w:gridCol w:w="884"/>
        <w:gridCol w:w="109"/>
        <w:gridCol w:w="109"/>
        <w:gridCol w:w="109"/>
        <w:gridCol w:w="109"/>
        <w:gridCol w:w="211"/>
        <w:gridCol w:w="884"/>
        <w:gridCol w:w="109"/>
        <w:gridCol w:w="109"/>
        <w:gridCol w:w="109"/>
        <w:gridCol w:w="109"/>
        <w:gridCol w:w="211"/>
        <w:gridCol w:w="1034"/>
        <w:gridCol w:w="109"/>
        <w:gridCol w:w="109"/>
        <w:gridCol w:w="109"/>
        <w:gridCol w:w="109"/>
        <w:gridCol w:w="211"/>
        <w:gridCol w:w="1034"/>
        <w:gridCol w:w="109"/>
        <w:gridCol w:w="109"/>
        <w:gridCol w:w="109"/>
        <w:gridCol w:w="109"/>
        <w:gridCol w:w="155"/>
      </w:tblGrid>
      <w:tr>
        <w:trPr/>
        <w:tc>
          <w:tcPr>
            <w:tcW w:w="141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loss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(630,894)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(530,101)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(2,174,654)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(831,812)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(624,051)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(552,903)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(1,978,291)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(1,350,766)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Free Cash Flow</w:t>
      </w:r>
    </w:p>
    <w:tbl>
      <w:tblPr>
        <w:tblW w:w="10205" w:type="dxa"/>
        <w:jc w:val="left"/>
        <w:tblInd w:w="0" w:type="dxa"/>
        <w:tblLayout w:type="fixed"/>
        <w:tblCellMar>
          <w:top w:w="28" w:type="dxa"/>
          <w:left w:w="28" w:type="dxa"/>
          <w:bottom w:w="28" w:type="dxa"/>
          <w:right w:w="28" w:type="dxa"/>
        </w:tblCellMar>
      </w:tblPr>
      <w:tblGrid>
        <w:gridCol w:w="1308"/>
        <w:gridCol w:w="1133"/>
        <w:gridCol w:w="1140"/>
        <w:gridCol w:w="211"/>
        <w:gridCol w:w="895"/>
        <w:gridCol w:w="109"/>
        <w:gridCol w:w="109"/>
        <w:gridCol w:w="109"/>
        <w:gridCol w:w="109"/>
        <w:gridCol w:w="211"/>
        <w:gridCol w:w="895"/>
        <w:gridCol w:w="109"/>
        <w:gridCol w:w="109"/>
        <w:gridCol w:w="109"/>
        <w:gridCol w:w="109"/>
        <w:gridCol w:w="211"/>
        <w:gridCol w:w="1045"/>
        <w:gridCol w:w="109"/>
        <w:gridCol w:w="109"/>
        <w:gridCol w:w="109"/>
        <w:gridCol w:w="109"/>
        <w:gridCol w:w="211"/>
        <w:gridCol w:w="1045"/>
        <w:gridCol w:w="109"/>
        <w:gridCol w:w="109"/>
        <w:gridCol w:w="109"/>
        <w:gridCol w:w="109"/>
        <w:gridCol w:w="156"/>
      </w:tblGrid>
      <w:tr>
        <w:trPr/>
        <w:tc>
          <w:tcPr>
            <w:tcW w:w="130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(513,582)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(569,466)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(2,015,204)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(1,577,743)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Free cash flow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(706,099)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(859,530)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(2,653,206)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(2,362,707)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3936</Words>
  <Characters>23737</Characters>
  <CharactersWithSpaces>27259</CharactersWithSpaces>
  <Paragraphs>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