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September 30, 2025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transition period from              to             </w:t>
            </w:r>
          </w:p>
        </w:tc>
      </w:tr>
    </w:tbl>
    <w:p>
      <w:pPr>
        <w:pStyle w:val="TextBody"/>
        <w:bidi w:val="0"/>
        <w:spacing w:lineRule="auto" w:line="288" w:before="100" w:after="283"/>
        <w:jc w:val="center"/>
        <w:rPr/>
      </w:pPr>
      <w:r>
        <w:rPr>
          <w:rFonts w:ascii="Times New Roman;serif" w:hAnsi="Times New Roman;serif"/>
          <w:b/>
          <w:color w:val="000000"/>
          <w:sz w:val="20"/>
        </w:rPr>
        <w:t>Commission File Number:</w:t>
      </w:r>
      <w:r>
        <w:rPr>
          <w:color w:val="000000"/>
        </w:rPr>
        <w:t xml:space="preserve"> </w:t>
      </w:r>
      <w:r>
        <w:rPr>
          <w:rFonts w:ascii="Times New Roman;serif" w:hAnsi="Times New Roman;serif"/>
          <w:b/>
          <w:color w:val="000000"/>
          <w:sz w:val="20"/>
        </w:rPr>
        <w:t>001-39408</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10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7004" w:type="dxa"/>
        <w:jc w:val="left"/>
        <w:tblInd w:w="0" w:type="dxa"/>
        <w:tblLayout w:type="fixed"/>
        <w:tblCellMar>
          <w:top w:w="28" w:type="dxa"/>
          <w:left w:w="28" w:type="dxa"/>
          <w:bottom w:w="28" w:type="dxa"/>
          <w:right w:w="28" w:type="dxa"/>
        </w:tblCellMar>
      </w:tblPr>
      <w:tblGrid>
        <w:gridCol w:w="1568"/>
        <w:gridCol w:w="1375"/>
        <w:gridCol w:w="1391"/>
        <w:gridCol w:w="780"/>
        <w:gridCol w:w="780"/>
        <w:gridCol w:w="1110"/>
      </w:tblGrid>
      <w:tr>
        <w:trPr/>
        <w:tc>
          <w:tcPr>
            <w:tcW w:w="156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433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i/>
                <w:color w:val="000000"/>
                <w:sz w:val="16"/>
              </w:rPr>
            </w:pPr>
            <w:r>
              <w:rPr>
                <w:rFonts w:ascii="Times New Roman;serif" w:hAnsi="Times New Roman;serif"/>
                <w:b/>
                <w:i/>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7373 Gateway Boulevard, Newark, CA 94560</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84" w:type="dxa"/>
        <w:jc w:val="left"/>
        <w:tblInd w:w="0" w:type="dxa"/>
        <w:tblLayout w:type="fixed"/>
        <w:tblCellMar>
          <w:top w:w="28" w:type="dxa"/>
          <w:left w:w="28" w:type="dxa"/>
          <w:bottom w:w="28" w:type="dxa"/>
          <w:right w:w="28" w:type="dxa"/>
        </w:tblCellMar>
      </w:tblPr>
      <w:tblGrid>
        <w:gridCol w:w="1371"/>
        <w:gridCol w:w="1205"/>
        <w:gridCol w:w="1219"/>
        <w:gridCol w:w="554"/>
        <w:gridCol w:w="554"/>
        <w:gridCol w:w="556"/>
        <w:gridCol w:w="1118"/>
        <w:gridCol w:w="1118"/>
        <w:gridCol w:w="1589"/>
      </w:tblGrid>
      <w:tr>
        <w:trPr/>
        <w:tc>
          <w:tcPr>
            <w:tcW w:w="1371"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1664"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LCID</w:t>
            </w:r>
          </w:p>
        </w:tc>
        <w:tc>
          <w:tcPr>
            <w:tcW w:w="3825" w:type="dxa"/>
            <w:gridSpan w:val="3"/>
            <w:tcBorders/>
            <w:tcMar>
              <w:top w:w="0" w:type="dxa"/>
              <w:left w:w="0" w:type="dxa"/>
              <w:bottom w:w="0" w:type="dxa"/>
              <w:right w:w="0" w:type="dxa"/>
            </w:tcMar>
            <w:vAlign w:val="center"/>
          </w:tcPr>
          <w:p>
            <w:pPr>
              <w:pStyle w:val="TableContents"/>
              <w:bidi w:val="0"/>
              <w:spacing w:lineRule="auto" w:line="312" w:before="53"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100" w:after="283"/>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No</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6" w:type="dxa"/>
        <w:jc w:val="left"/>
        <w:tblInd w:w="0" w:type="dxa"/>
        <w:tblLayout w:type="fixed"/>
        <w:tblCellMar>
          <w:top w:w="28" w:type="dxa"/>
          <w:left w:w="28" w:type="dxa"/>
          <w:bottom w:w="28" w:type="dxa"/>
          <w:right w:w="28" w:type="dxa"/>
        </w:tblCellMar>
      </w:tblPr>
      <w:tblGrid>
        <w:gridCol w:w="124"/>
        <w:gridCol w:w="109"/>
        <w:gridCol w:w="109"/>
        <w:gridCol w:w="574"/>
        <w:gridCol w:w="574"/>
        <w:gridCol w:w="576"/>
        <w:gridCol w:w="115"/>
        <w:gridCol w:w="115"/>
        <w:gridCol w:w="116"/>
        <w:gridCol w:w="109"/>
        <w:gridCol w:w="109"/>
        <w:gridCol w:w="109"/>
        <w:gridCol w:w="694"/>
        <w:gridCol w:w="694"/>
        <w:gridCol w:w="6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46"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333" w:before="53" w:after="30"/>
              <w:jc w:val="both"/>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right"/>
              <w:rPr>
                <w:color w:val="000000"/>
              </w:rPr>
            </w:pPr>
            <w:r>
              <w:rPr>
                <w:color w:val="000000"/>
              </w:rPr>
              <w:t> </w:t>
            </w:r>
            <w:r>
              <w:rPr>
                <w:rFonts w:ascii="Wingdings;sans-serif" w:hAnsi="Wingdings;sans-serif"/>
                <w:b w:val="false"/>
                <w:color w:val="000000"/>
                <w:sz w:val="16"/>
              </w:rPr>
              <w:t>o</w:t>
            </w:r>
          </w:p>
        </w:tc>
      </w:tr>
    </w:tbl>
    <w:p>
      <w:pPr>
        <w:pStyle w:val="TextBody"/>
        <w:bidi w:val="0"/>
        <w:spacing w:lineRule="auto" w:line="288" w:before="100" w:after="283"/>
        <w:jc w:val="both"/>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w:t>
      </w:r>
      <w:r>
        <w:rPr>
          <w:rFonts w:ascii="Wingdings;sans-serif" w:hAnsi="Wingdings;sans-serif"/>
          <w:b w:val="false"/>
          <w:color w:val="000000"/>
          <w:sz w:val="16"/>
        </w:rPr>
        <w:t>o</w:t>
      </w:r>
      <w:r>
        <w:rPr>
          <w:color w:val="000000"/>
        </w:rPr>
        <w:t>  </w:t>
      </w:r>
      <w:r>
        <w:rPr>
          <w:rFonts w:ascii="Times New Roman;serif" w:hAnsi="Times New Roman;serif"/>
          <w:b w:val="false"/>
          <w:color w:val="000000"/>
          <w:sz w:val="16"/>
        </w:rPr>
        <w:t>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Number of shares of the registrant’s common stock outstanding on October 30, 2025: 324,168,457</w:t>
      </w:r>
    </w:p>
    <w:p>
      <w:pPr>
        <w:pStyle w:val="TextBody"/>
        <w:bidi w:val="0"/>
        <w:spacing w:before="0" w:after="0"/>
        <w:jc w:val="both"/>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INDEX TO FORM 10-Q</w:t>
      </w:r>
    </w:p>
    <w:tbl>
      <w:tblPr>
        <w:tblW w:w="10205" w:type="dxa"/>
        <w:jc w:val="center"/>
        <w:tblInd w:w="0" w:type="dxa"/>
        <w:tblLayout w:type="fixed"/>
        <w:tblCellMar>
          <w:top w:w="28" w:type="dxa"/>
          <w:left w:w="28" w:type="dxa"/>
          <w:bottom w:w="28" w:type="dxa"/>
          <w:right w:w="28" w:type="dxa"/>
        </w:tblCellMar>
      </w:tblPr>
      <w:tblGrid>
        <w:gridCol w:w="285"/>
        <w:gridCol w:w="250"/>
        <w:gridCol w:w="250"/>
        <w:gridCol w:w="250"/>
        <w:gridCol w:w="250"/>
        <w:gridCol w:w="250"/>
        <w:gridCol w:w="2691"/>
        <w:gridCol w:w="2691"/>
        <w:gridCol w:w="2746"/>
        <w:gridCol w:w="158"/>
        <w:gridCol w:w="158"/>
        <w:gridCol w:w="226"/>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3">
              <w:r>
                <w:rPr>
                  <w:rStyle w:val="InternetLink"/>
                  <w:rFonts w:ascii="Times New Roman;serif" w:hAnsi="Times New Roman;serif"/>
                  <w:b w:val="false"/>
                  <w:color w:val="0E32E1"/>
                  <w:sz w:val="20"/>
                  <w:u w:val="single"/>
                </w:rPr>
                <w:t>PART I. FINANCIAL INFORMATION</w:t>
              </w:r>
            </w:hyperlink>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10">
              <w:r>
                <w:rPr>
                  <w:rStyle w:val="InternetLink"/>
                  <w:rFonts w:ascii="Times New Roman;serif" w:hAnsi="Times New Roman;serif"/>
                  <w:b w:val="false"/>
                  <w:color w:val="0E32E1"/>
                  <w:sz w:val="20"/>
                  <w:u w:val="single"/>
                </w:rPr>
                <w:t>Cautionary Note Regarding Forward-Looking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10">
              <w:r>
                <w:rPr>
                  <w:rStyle w:val="InternetLink"/>
                  <w:rFonts w:ascii="Times New Roman;serif" w:hAnsi="Times New Roman;serif"/>
                  <w:b w:val="false"/>
                  <w:strike w:val="false"/>
                  <w:dstrike w:val="false"/>
                  <w:color w:val="242424"/>
                  <w:sz w:val="20"/>
                  <w:u w:val="none"/>
                  <w:effect w:val="none"/>
                </w:rPr>
                <w:t>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13">
              <w:r>
                <w:rPr>
                  <w:rStyle w:val="InternetLink"/>
                  <w:rFonts w:ascii="Times New Roman;serif" w:hAnsi="Times New Roman;serif"/>
                  <w:b w:val="false"/>
                  <w:color w:val="0E32E1"/>
                  <w:sz w:val="20"/>
                  <w:u w:val="single"/>
                </w:rPr>
                <w:t>Frequently Used Terms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13">
              <w:r>
                <w:rPr>
                  <w:rStyle w:val="InternetLink"/>
                  <w:rFonts w:ascii="Times New Roman;serif" w:hAnsi="Times New Roman;serif"/>
                  <w:b w:val="false"/>
                  <w:strike w:val="false"/>
                  <w:dstrike w:val="false"/>
                  <w:color w:val="000000"/>
                  <w:sz w:val="20"/>
                  <w:u w:val="none"/>
                  <w:effect w:val="none"/>
                </w:rPr>
                <w:t>4</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19">
              <w:r>
                <w:rPr>
                  <w:rStyle w:val="InternetLink"/>
                  <w:rFonts w:ascii="Times New Roman;serif" w:hAnsi="Times New Roman;serif"/>
                  <w:b w:val="false"/>
                  <w:color w:val="0E32E1"/>
                  <w:sz w:val="20"/>
                  <w:u w:val="single"/>
                </w:rPr>
                <w:t>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19">
              <w:r>
                <w:rPr>
                  <w:rStyle w:val="InternetLink"/>
                  <w:rFonts w:ascii="Times New Roman;serif" w:hAnsi="Times New Roman;serif"/>
                  <w:b w:val="false"/>
                  <w:strike w:val="false"/>
                  <w:dstrike w:val="false"/>
                  <w:color w:val="000000"/>
                  <w:sz w:val="20"/>
                  <w:u w:val="none"/>
                  <w:effect w:val="non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2">
              <w:r>
                <w:rPr>
                  <w:rStyle w:val="InternetLink"/>
                  <w:rFonts w:ascii="Times New Roman;serif" w:hAnsi="Times New Roman;serif"/>
                  <w:b w:val="false"/>
                  <w:color w:val="000080"/>
                  <w:sz w:val="20"/>
                  <w:u w:val="single"/>
                </w:rPr>
                <w:t xml:space="preserve">Condensed Consolidated Balance Sheets as of </w:t>
              </w:r>
            </w:hyperlink>
            <w:hyperlink w:anchor="i46f18b909c0b46ec8a36fd9a05e76518_22">
              <w:r>
                <w:rPr>
                  <w:rStyle w:val="InternetLink"/>
                  <w:rFonts w:ascii="Times New Roman;serif" w:hAnsi="Times New Roman;serif"/>
                  <w:b w:val="false"/>
                  <w:color w:val="000080"/>
                  <w:sz w:val="20"/>
                  <w:u w:val="single"/>
                </w:rPr>
                <w:t>September</w:t>
              </w:r>
            </w:hyperlink>
            <w:hyperlink w:anchor="i46f18b909c0b46ec8a36fd9a05e76518_22">
              <w:r>
                <w:rPr>
                  <w:rStyle w:val="InternetLink"/>
                  <w:rFonts w:ascii="Times New Roman;serif" w:hAnsi="Times New Roman;serif"/>
                  <w:b w:val="false"/>
                  <w:color w:val="000080"/>
                  <w:sz w:val="20"/>
                  <w:u w:val="single"/>
                </w:rPr>
                <w:t xml:space="preserve"> 30, 2025 and December 31, 2024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2">
              <w:r>
                <w:rPr>
                  <w:rStyle w:val="InternetLink"/>
                  <w:rFonts w:ascii="Times New Roman;serif" w:hAnsi="Times New Roman;serif"/>
                  <w:b w:val="false"/>
                  <w:strike w:val="false"/>
                  <w:dstrike w:val="false"/>
                  <w:color w:val="000000"/>
                  <w:sz w:val="20"/>
                  <w:u w:val="none"/>
                  <w:effect w:val="none"/>
                </w:rPr>
                <w:t>6</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
              <w:r>
                <w:rPr>
                  <w:rStyle w:val="InternetLink"/>
                  <w:rFonts w:ascii="Times New Roman;serif" w:hAnsi="Times New Roman;serif"/>
                  <w:b w:val="false"/>
                  <w:color w:val="000080"/>
                  <w:sz w:val="20"/>
                  <w:u w:val="single"/>
                </w:rPr>
                <w:t xml:space="preserve">Condensed Consolidated Statements of Operations and Comprehensive Loss for the Three and </w:t>
              </w:r>
            </w:hyperlink>
            <w:hyperlink w:anchor="i46f18b909c0b46ec8a36fd9a05e76518_25">
              <w:r>
                <w:rPr>
                  <w:rStyle w:val="InternetLink"/>
                  <w:rFonts w:ascii="Times New Roman;serif" w:hAnsi="Times New Roman;serif"/>
                  <w:b w:val="false"/>
                  <w:color w:val="000080"/>
                  <w:sz w:val="20"/>
                  <w:u w:val="single"/>
                </w:rPr>
                <w:t>Nine</w:t>
              </w:r>
            </w:hyperlink>
            <w:hyperlink w:anchor="i46f18b909c0b46ec8a36fd9a05e76518_25">
              <w:r>
                <w:rPr>
                  <w:rStyle w:val="InternetLink"/>
                  <w:rFonts w:ascii="Times New Roman;serif" w:hAnsi="Times New Roman;serif"/>
                  <w:b w:val="false"/>
                  <w:color w:val="000080"/>
                  <w:sz w:val="20"/>
                  <w:u w:val="single"/>
                </w:rPr>
                <w:t xml:space="preserve"> Months Ended </w:t>
              </w:r>
            </w:hyperlink>
            <w:hyperlink w:anchor="i46f18b909c0b46ec8a36fd9a05e76518_25">
              <w:r>
                <w:rPr>
                  <w:rStyle w:val="InternetLink"/>
                  <w:rFonts w:ascii="Times New Roman;serif" w:hAnsi="Times New Roman;serif"/>
                  <w:b w:val="false"/>
                  <w:color w:val="000080"/>
                  <w:sz w:val="20"/>
                  <w:u w:val="single"/>
                </w:rPr>
                <w:t>September</w:t>
              </w:r>
            </w:hyperlink>
            <w:hyperlink w:anchor="i46f18b909c0b46ec8a36fd9a05e76518_25">
              <w:r>
                <w:rPr>
                  <w:rStyle w:val="InternetLink"/>
                  <w:rFonts w:ascii="Times New Roman;serif" w:hAnsi="Times New Roman;serif"/>
                  <w:b w:val="false"/>
                  <w:color w:val="000080"/>
                  <w:sz w:val="20"/>
                  <w:u w:val="single"/>
                </w:rPr>
                <w:t xml:space="preserve"> 30, 2025 and 2024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5">
              <w:r>
                <w:rPr>
                  <w:rStyle w:val="InternetLink"/>
                  <w:rFonts w:ascii="Times New Roman;serif" w:hAnsi="Times New Roman;serif"/>
                  <w:b w:val="false"/>
                  <w:strike w:val="false"/>
                  <w:dstrike w:val="false"/>
                  <w:color w:val="000000"/>
                  <w:sz w:val="20"/>
                  <w:u w:val="none"/>
                  <w:effect w:val="none"/>
                </w:rPr>
                <w:t>7</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8">
              <w:r>
                <w:rPr>
                  <w:rStyle w:val="InternetLink"/>
                  <w:rFonts w:ascii="Times New Roman;serif" w:hAnsi="Times New Roman;serif"/>
                  <w:b w:val="false"/>
                  <w:color w:val="000080"/>
                  <w:sz w:val="20"/>
                  <w:u w:val="single"/>
                </w:rPr>
                <w:t>Condensed Consolidated Statements of Redeemable Convertible Preferred Stock and Stockholders’ Equity for the Three</w:t>
              </w:r>
            </w:hyperlink>
            <w:hyperlink w:anchor="i46f18b909c0b46ec8a36fd9a05e76518_28">
              <w:r>
                <w:rPr>
                  <w:rStyle w:val="InternetLink"/>
                  <w:rFonts w:ascii="Times New Roman;serif" w:hAnsi="Times New Roman;serif"/>
                  <w:b w:val="false"/>
                  <w:color w:val="000080"/>
                  <w:sz w:val="20"/>
                  <w:u w:val="single"/>
                </w:rPr>
                <w:t xml:space="preserve"> and </w:t>
              </w:r>
            </w:hyperlink>
            <w:hyperlink w:anchor="i46f18b909c0b46ec8a36fd9a05e76518_28">
              <w:r>
                <w:rPr>
                  <w:rStyle w:val="InternetLink"/>
                  <w:rFonts w:ascii="Times New Roman;serif" w:hAnsi="Times New Roman;serif"/>
                  <w:b w:val="false"/>
                  <w:color w:val="000080"/>
                  <w:sz w:val="20"/>
                  <w:u w:val="single"/>
                </w:rPr>
                <w:t>Nine</w:t>
              </w:r>
            </w:hyperlink>
            <w:hyperlink w:anchor="i46f18b909c0b46ec8a36fd9a05e76518_28">
              <w:r>
                <w:rPr>
                  <w:rStyle w:val="InternetLink"/>
                  <w:rFonts w:ascii="Times New Roman;serif" w:hAnsi="Times New Roman;serif"/>
                  <w:b w:val="false"/>
                  <w:color w:val="000080"/>
                  <w:sz w:val="20"/>
                  <w:u w:val="single"/>
                </w:rPr>
                <w:t xml:space="preserve"> </w:t>
              </w:r>
            </w:hyperlink>
            <w:hyperlink w:anchor="i46f18b909c0b46ec8a36fd9a05e76518_28">
              <w:r>
                <w:rPr>
                  <w:rStyle w:val="InternetLink"/>
                  <w:rFonts w:ascii="Times New Roman;serif" w:hAnsi="Times New Roman;serif"/>
                  <w:b w:val="false"/>
                  <w:color w:val="000080"/>
                  <w:sz w:val="20"/>
                  <w:u w:val="single"/>
                </w:rPr>
                <w:t xml:space="preserve">Months Ended </w:t>
              </w:r>
            </w:hyperlink>
            <w:hyperlink w:anchor="i46f18b909c0b46ec8a36fd9a05e76518_28">
              <w:r>
                <w:rPr>
                  <w:rStyle w:val="InternetLink"/>
                  <w:rFonts w:ascii="Times New Roman;serif" w:hAnsi="Times New Roman;serif"/>
                  <w:b w:val="false"/>
                  <w:color w:val="000080"/>
                  <w:sz w:val="20"/>
                  <w:u w:val="single"/>
                </w:rPr>
                <w:t>September</w:t>
              </w:r>
            </w:hyperlink>
            <w:hyperlink w:anchor="i46f18b909c0b46ec8a36fd9a05e76518_28">
              <w:r>
                <w:rPr>
                  <w:rStyle w:val="InternetLink"/>
                  <w:rFonts w:ascii="Times New Roman;serif" w:hAnsi="Times New Roman;serif"/>
                  <w:b w:val="false"/>
                  <w:color w:val="000080"/>
                  <w:sz w:val="20"/>
                  <w:u w:val="single"/>
                </w:rPr>
                <w:t xml:space="preserve"> 30</w:t>
              </w:r>
            </w:hyperlink>
            <w:hyperlink w:anchor="i46f18b909c0b46ec8a36fd9a05e76518_28">
              <w:r>
                <w:rPr>
                  <w:rStyle w:val="InternetLink"/>
                  <w:rFonts w:ascii="Times New Roman;serif" w:hAnsi="Times New Roman;serif"/>
                  <w:b w:val="false"/>
                  <w:color w:val="000080"/>
                  <w:sz w:val="20"/>
                  <w:u w:val="single"/>
                </w:rPr>
                <w:t>, 202</w:t>
              </w:r>
            </w:hyperlink>
            <w:hyperlink w:anchor="i46f18b909c0b46ec8a36fd9a05e76518_28">
              <w:r>
                <w:rPr>
                  <w:rStyle w:val="InternetLink"/>
                  <w:rFonts w:ascii="Times New Roman;serif" w:hAnsi="Times New Roman;serif"/>
                  <w:b w:val="false"/>
                  <w:color w:val="000080"/>
                  <w:sz w:val="20"/>
                  <w:u w:val="single"/>
                </w:rPr>
                <w:t>5</w:t>
              </w:r>
            </w:hyperlink>
            <w:hyperlink w:anchor="i46f18b909c0b46ec8a36fd9a05e76518_28">
              <w:r>
                <w:rPr>
                  <w:rStyle w:val="InternetLink"/>
                  <w:rFonts w:ascii="Times New Roman;serif" w:hAnsi="Times New Roman;serif"/>
                  <w:b w:val="false"/>
                  <w:color w:val="000080"/>
                  <w:sz w:val="20"/>
                  <w:u w:val="single"/>
                </w:rPr>
                <w:t xml:space="preserve"> and 202</w:t>
              </w:r>
            </w:hyperlink>
            <w:hyperlink w:anchor="i46f18b909c0b46ec8a36fd9a05e76518_28">
              <w:r>
                <w:rPr>
                  <w:rStyle w:val="InternetLink"/>
                  <w:rFonts w:ascii="Times New Roman;serif" w:hAnsi="Times New Roman;serif"/>
                  <w:b w:val="false"/>
                  <w:color w:val="000080"/>
                  <w:sz w:val="20"/>
                  <w:u w:val="single"/>
                </w:rPr>
                <w:t>4</w:t>
              </w:r>
            </w:hyperlink>
            <w:hyperlink w:anchor="i46f18b909c0b46ec8a36fd9a05e76518_28">
              <w:r>
                <w:rPr>
                  <w:rStyle w:val="InternetLink"/>
                  <w:rFonts w:ascii="Times New Roman;serif" w:hAnsi="Times New Roman;serif"/>
                  <w:b w:val="false"/>
                  <w:color w:val="000080"/>
                  <w:sz w:val="20"/>
                  <w:u w:val="single"/>
                </w:rPr>
                <w:t xml:space="preserve">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8">
              <w:r>
                <w:rPr>
                  <w:rStyle w:val="InternetLink"/>
                  <w:rFonts w:ascii="Times New Roman;serif" w:hAnsi="Times New Roman;serif"/>
                  <w:b w:val="false"/>
                  <w:strike w:val="false"/>
                  <w:dstrike w:val="false"/>
                  <w:color w:val="000000"/>
                  <w:sz w:val="20"/>
                  <w:u w:val="none"/>
                  <w:effect w:val="none"/>
                </w:rPr>
                <w:t>8</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31">
              <w:r>
                <w:rPr>
                  <w:rStyle w:val="InternetLink"/>
                  <w:rFonts w:ascii="Times New Roman;serif" w:hAnsi="Times New Roman;serif"/>
                  <w:b w:val="false"/>
                  <w:color w:val="000080"/>
                  <w:sz w:val="20"/>
                  <w:u w:val="single"/>
                </w:rPr>
                <w:t xml:space="preserve">Condensed Consolidated Statements of Cash Flows for the </w:t>
              </w:r>
            </w:hyperlink>
            <w:hyperlink w:anchor="i46f18b909c0b46ec8a36fd9a05e76518_31">
              <w:r>
                <w:rPr>
                  <w:rStyle w:val="InternetLink"/>
                  <w:rFonts w:ascii="Times New Roman;serif" w:hAnsi="Times New Roman;serif"/>
                  <w:b w:val="false"/>
                  <w:color w:val="000080"/>
                  <w:sz w:val="20"/>
                  <w:u w:val="single"/>
                </w:rPr>
                <w:t>Nine</w:t>
              </w:r>
            </w:hyperlink>
            <w:hyperlink w:anchor="i46f18b909c0b46ec8a36fd9a05e76518_31">
              <w:r>
                <w:rPr>
                  <w:rStyle w:val="InternetLink"/>
                  <w:rFonts w:ascii="Times New Roman;serif" w:hAnsi="Times New Roman;serif"/>
                  <w:b w:val="false"/>
                  <w:color w:val="000080"/>
                  <w:sz w:val="20"/>
                  <w:u w:val="single"/>
                </w:rPr>
                <w:t xml:space="preserve"> Months Ended </w:t>
              </w:r>
            </w:hyperlink>
            <w:hyperlink w:anchor="i46f18b909c0b46ec8a36fd9a05e76518_31">
              <w:r>
                <w:rPr>
                  <w:rStyle w:val="InternetLink"/>
                  <w:rFonts w:ascii="Times New Roman;serif" w:hAnsi="Times New Roman;serif"/>
                  <w:b w:val="false"/>
                  <w:color w:val="000080"/>
                  <w:sz w:val="20"/>
                  <w:u w:val="single"/>
                </w:rPr>
                <w:t>September</w:t>
              </w:r>
            </w:hyperlink>
            <w:hyperlink w:anchor="i46f18b909c0b46ec8a36fd9a05e76518_31">
              <w:r>
                <w:rPr>
                  <w:rStyle w:val="InternetLink"/>
                  <w:rFonts w:ascii="Times New Roman;serif" w:hAnsi="Times New Roman;serif"/>
                  <w:b w:val="false"/>
                  <w:color w:val="000080"/>
                  <w:sz w:val="20"/>
                  <w:u w:val="single"/>
                </w:rPr>
                <w:t xml:space="preserve"> 30, 2025 and 2024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31">
              <w:r>
                <w:rPr>
                  <w:rStyle w:val="InternetLink"/>
                  <w:rFonts w:ascii="Times New Roman;serif" w:hAnsi="Times New Roman;serif"/>
                  <w:b w:val="false"/>
                  <w:strike w:val="false"/>
                  <w:dstrike w:val="false"/>
                  <w:color w:val="000000"/>
                  <w:sz w:val="20"/>
                  <w:u w:val="none"/>
                  <w:effect w:val="none"/>
                </w:rPr>
                <w:t>10</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34">
              <w:r>
                <w:rPr>
                  <w:rStyle w:val="InternetLink"/>
                  <w:rFonts w:ascii="Times New Roman;serif" w:hAnsi="Times New Roman;serif"/>
                  <w:b w:val="false"/>
                  <w:color w:val="0E32E1"/>
                  <w:sz w:val="20"/>
                  <w:u w:val="single"/>
                </w:rPr>
                <w:t>Notes to Condensed Consolidated 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34">
              <w:r>
                <w:rPr>
                  <w:rStyle w:val="InternetLink"/>
                  <w:rFonts w:ascii="Times New Roman;serif" w:hAnsi="Times New Roman;serif"/>
                  <w:b w:val="false"/>
                  <w:strike w:val="false"/>
                  <w:dstrike w:val="false"/>
                  <w:color w:val="000000"/>
                  <w:sz w:val="20"/>
                  <w:u w:val="none"/>
                  <w:effect w:val="none"/>
                </w:rPr>
                <w:t>12</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190">
              <w:r>
                <w:rPr>
                  <w:rStyle w:val="InternetLink"/>
                  <w:rFonts w:ascii="Times New Roman;serif" w:hAnsi="Times New Roman;serif"/>
                  <w:b w:val="false"/>
                  <w:color w:val="0E32E1"/>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190">
              <w:r>
                <w:rPr>
                  <w:rStyle w:val="InternetLink"/>
                  <w:rFonts w:ascii="Times New Roman;serif" w:hAnsi="Times New Roman;serif"/>
                  <w:b w:val="false"/>
                  <w:strike w:val="false"/>
                  <w:dstrike w:val="false"/>
                  <w:color w:val="000000"/>
                  <w:sz w:val="20"/>
                  <w:u w:val="none"/>
                  <w:effect w:val="none"/>
                </w:rPr>
                <w:t>45</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47">
              <w:r>
                <w:rPr>
                  <w:rStyle w:val="InternetLink"/>
                  <w:rFonts w:ascii="Times New Roman;serif" w:hAnsi="Times New Roman;serif"/>
                  <w:b w:val="false"/>
                  <w:color w:val="0E32E1"/>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47">
              <w:r>
                <w:rPr>
                  <w:rStyle w:val="InternetLink"/>
                  <w:rFonts w:ascii="Times New Roman;serif" w:hAnsi="Times New Roman;serif"/>
                  <w:b w:val="false"/>
                  <w:strike w:val="false"/>
                  <w:dstrike w:val="false"/>
                  <w:color w:val="000000"/>
                  <w:sz w:val="20"/>
                  <w:u w:val="none"/>
                  <w:effect w:val="none"/>
                </w:rPr>
                <w:t>61</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0">
              <w:r>
                <w:rPr>
                  <w:rStyle w:val="InternetLink"/>
                  <w:rFonts w:ascii="Times New Roman;serif" w:hAnsi="Times New Roman;serif"/>
                  <w:b w:val="false"/>
                  <w:color w:val="0E32E1"/>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50">
              <w:r>
                <w:rPr>
                  <w:rStyle w:val="InternetLink"/>
                  <w:rFonts w:ascii="Times New Roman;serif" w:hAnsi="Times New Roman;serif"/>
                  <w:b w:val="false"/>
                  <w:strike w:val="false"/>
                  <w:dstrike w:val="false"/>
                  <w:color w:val="000000"/>
                  <w:sz w:val="20"/>
                  <w:u w:val="none"/>
                  <w:effect w:val="none"/>
                </w:rPr>
                <w:t>62</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3">
              <w:r>
                <w:rPr>
                  <w:rStyle w:val="InternetLink"/>
                  <w:rFonts w:ascii="Times New Roman;serif" w:hAnsi="Times New Roman;serif"/>
                  <w:b w:val="false"/>
                  <w:color w:val="0E32E1"/>
                  <w:sz w:val="20"/>
                  <w:u w:val="single"/>
                </w:rPr>
                <w:t>PART II. OTHER INFORMATION</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6">
              <w:r>
                <w:rPr>
                  <w:rStyle w:val="InternetLink"/>
                  <w:rFonts w:ascii="Times New Roman;serif" w:hAnsi="Times New Roman;serif"/>
                  <w:b w:val="false"/>
                  <w:color w:val="0E32E1"/>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56">
              <w:r>
                <w:rPr>
                  <w:rStyle w:val="InternetLink"/>
                  <w:rFonts w:ascii="Times New Roman;serif" w:hAnsi="Times New Roman;serif"/>
                  <w:b w:val="false"/>
                  <w:strike w:val="false"/>
                  <w:dstrike w:val="false"/>
                  <w:color w:val="000000"/>
                  <w:sz w:val="20"/>
                  <w:u w:val="none"/>
                  <w:effect w:val="none"/>
                </w:rPr>
                <w:t>63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59">
              <w:r>
                <w:rPr>
                  <w:rStyle w:val="InternetLink"/>
                  <w:rFonts w:ascii="Times New Roman;serif" w:hAnsi="Times New Roman;serif"/>
                  <w:b w:val="false"/>
                  <w:color w:val="0E32E1"/>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59">
              <w:r>
                <w:rPr>
                  <w:rStyle w:val="InternetLink"/>
                  <w:rFonts w:ascii="Times New Roman;serif" w:hAnsi="Times New Roman;serif"/>
                  <w:b w:val="false"/>
                  <w:strike w:val="false"/>
                  <w:dstrike w:val="false"/>
                  <w:color w:val="000000"/>
                  <w:sz w:val="20"/>
                  <w:u w:val="none"/>
                  <w:effect w:val="none"/>
                </w:rPr>
                <w:t>63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62">
              <w:r>
                <w:rPr>
                  <w:rStyle w:val="InternetLink"/>
                  <w:rFonts w:ascii="Times New Roman;serif" w:hAnsi="Times New Roman;serif"/>
                  <w:b w:val="false"/>
                  <w:color w:val="0E32E1"/>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62">
              <w:r>
                <w:rPr>
                  <w:rStyle w:val="InternetLink"/>
                  <w:rFonts w:ascii="Times New Roman;serif" w:hAnsi="Times New Roman;serif"/>
                  <w:b w:val="false"/>
                  <w:strike w:val="false"/>
                  <w:dstrike w:val="false"/>
                  <w:color w:val="000000"/>
                  <w:sz w:val="20"/>
                  <w:u w:val="none"/>
                  <w:effect w:val="none"/>
                </w:rPr>
                <w:t>113</w:t>
              </w:r>
            </w:hyperlink>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65">
              <w:r>
                <w:rPr>
                  <w:rStyle w:val="InternetLink"/>
                  <w:rFonts w:ascii="Times New Roman;serif" w:hAnsi="Times New Roman;serif"/>
                  <w:b w:val="false"/>
                  <w:color w:val="0E32E1"/>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65">
              <w:r>
                <w:rPr>
                  <w:rStyle w:val="InternetLink"/>
                  <w:rFonts w:ascii="Times New Roman;serif" w:hAnsi="Times New Roman;serif"/>
                  <w:b w:val="false"/>
                  <w:strike w:val="false"/>
                  <w:dstrike w:val="false"/>
                  <w:color w:val="000000"/>
                  <w:sz w:val="20"/>
                  <w:u w:val="none"/>
                  <w:effect w:val="none"/>
                </w:rPr>
                <w:t>113</w:t>
              </w:r>
            </w:hyperlink>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6f18b909c0b46ec8a36fd9a05e76518_268">
              <w:r>
                <w:rPr>
                  <w:rStyle w:val="InternetLink"/>
                  <w:rFonts w:ascii="Times New Roman;serif" w:hAnsi="Times New Roman;serif"/>
                  <w:b w:val="false"/>
                  <w:color w:val="0E32E1"/>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f18b909c0b46ec8a36fd9a05e76518_268">
              <w:r>
                <w:rPr>
                  <w:rStyle w:val="InternetLink"/>
                  <w:rFonts w:ascii="Times New Roman;serif" w:hAnsi="Times New Roman;serif"/>
                  <w:b w:val="false"/>
                  <w:strike w:val="false"/>
                  <w:dstrike w:val="false"/>
                  <w:color w:val="000000"/>
                  <w:sz w:val="20"/>
                  <w:u w:val="none"/>
                  <w:effect w:val="none"/>
                </w:rPr>
                <w:t>115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CAUTIONARY NOTE REGARDING FORWARD-LOOKING STATEMENTS</w:t>
      </w:r>
    </w:p>
    <w:p>
      <w:pPr>
        <w:pStyle w:val="TextBody"/>
        <w:bidi w:val="0"/>
        <w:spacing w:lineRule="auto" w:line="288" w:before="240" w:after="283"/>
        <w:jc w:val="left"/>
        <w:rPr/>
      </w:pPr>
      <w:r>
        <w:rPr>
          <w:rFonts w:ascii="Times New Roman;serif" w:hAnsi="Times New Roman;serif"/>
          <w:b w:val="false"/>
          <w:color w:val="000000"/>
          <w:sz w:val="20"/>
        </w:rPr>
        <w:t xml:space="preserve">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 xml:space="preserve">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Forward-looking statements may be identified by the use of words such as “estimate,” “plan,” “project,” “forecast,” “intend,” “will,” “shall,” “expect,” “anticipate,” “believe,” “seek,” “target,” “continue,” “could,” “may,” “might,” “possible,” “potential,” “predict,” “scheduled” or other similar expressions that predict or indicate future events or trends or that are not statements of historical matters. They appear in a number of places throughout 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and include, but are not limited to, statements regarding our intentions, beliefs or current expectations concerning, among other things, results of operations, financial condition, liquidity, capital expenditures, prospects, growth, production volumes, strategies, management,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battery and powertrain systems, software, and strategic partnerships, technology features and capabilities, manufacturing capabilities and facilities, logistics and supply chain, studio openings, sales channels and strategies, future vehicle programs, expansion and the potential success of our direct-to-consumer strategy, our financial and operating outlook, future market launches and international expansion, including our manufacturing facility in Saudi Arabia and related timing and value to us, our needs for additional financing, our search for a new CEO, and the promise of Lucid’s technology. Such forward-looking statements are based on available current market material and our current expectations, beliefs and forecasts concerning future developments. Factors that may impact such forward-looking statements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changes in domestic and foreign business, economic, market, financial, political, regulatory and legal conditions, including changes of policies, imposition or proposed imposition of tariffs, export controls, threat of a trade war, the risk of a global economic recession or other downturn, bank closures and liquidity concerns at financial institutions, and global or regional conflicts or other geopolitical events;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changes in overall demand for our products and services and cancellation of orders for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prices and availability of commodities and components, including rare-earth minerals, semiconductors and its related products, and other materials, our supply chain, logistics, inventory management and quality control, and our ability to complete the tooling of our manufacturing facilities over time and scale production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uncertainty of our projected financial and operational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timing of expected business milestones and commercial product launches;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construction and expansion of our manufacturing facilities and the increase of our production capacity;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expenses and control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future market adoption of our offerings;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effects of competition and the pace and depth of electric vehicle adoption generally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regulatory requirements, policies, and governmental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fuel and energy prices;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rapidly innovate;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or maintain partnerships with original equipment manufacturers, vendors and technology providers, including our ability to realize the anticipated benefits of our transactions with Aston Martin, Uber and Nuro;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manage our growth and recruit and retain key employees, including our executive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ongoing need to attract, retain, and motivate key employees, including engineering and management employees, as we have undertaken multiple significant management changes in the past, including our CEO;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risks related to potential vehicle recalls;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establish and expand our brand, and capture additional market share, and the risks associated with negative press or reputational harm;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our outstanding Redeemable Convertible Preferred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reduction or elimination of, and our ability to obtain and effectively utilize, zero emission vehicle credits, tax incentives, and other governmental and regulatory programs and incentives;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conduct equity, equity-linked, or debt financing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pay interest and principal on our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changes to vehicle specifications which may impact performance, features, pricing, and other expectations;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any potential litigation, government and regulatory proceedings, investigations and inquiries;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other factors disclosed in 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or our other filings with the Securities and Exchange Commission (the “SEC”).</w:t>
      </w:r>
    </w:p>
    <w:p>
      <w:pPr>
        <w:pStyle w:val="TextBody"/>
        <w:bidi w:val="0"/>
        <w:spacing w:lineRule="auto" w:line="288" w:before="240" w:after="283"/>
        <w:jc w:val="left"/>
        <w:rPr/>
      </w:pPr>
      <w:r>
        <w:rPr>
          <w:rFonts w:ascii="Times New Roman;serif" w:hAnsi="Times New Roman;serif"/>
          <w:b w:val="false"/>
          <w:color w:val="000000"/>
          <w:sz w:val="20"/>
        </w:rPr>
        <w:t xml:space="preserve">The forward-looking statements contained in this </w:t>
      </w:r>
      <w:r>
        <w:rPr>
          <w:rFonts w:ascii="Times New Roman;serif" w:hAnsi="Times New Roman;serif"/>
          <w:b w:val="false"/>
          <w:color w:val="000000"/>
          <w:sz w:val="20"/>
          <w:shd w:fill="FFFFFF" w:val="clear"/>
        </w:rPr>
        <w:t xml:space="preserve">Quarterly Report on Form 10-Q </w:t>
      </w:r>
      <w:r>
        <w:rPr>
          <w:rFonts w:ascii="Times New Roman;serif" w:hAnsi="Times New Roman;serif"/>
          <w:b w:val="false"/>
          <w:color w:val="000000"/>
          <w:sz w:val="20"/>
        </w:rPr>
        <w:t>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II, Item 1A.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Quarterly Report on Form 10-Q.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Frequently Used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stated in Item 1. Financial Statements and accompanying footnotes, or the context otherwise requires, references in this Quarterly Report on Form 10-Q to: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2026 Notes” are to the 1.25% Convertible Senior Notes due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2030 Notes” are to the 5.00% Convertible Senior Notes due 2030;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AMP-1” are to our Advanced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AMP-2” are to our planned Advanced Manufacturing Plant-2 in Saudi Arabia, which consists of a semi knocked-down (“SKD”) portion that has been completed and a completely-built-up (“CBU”) portion that will be constructed;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Ayar” are to Ayar Third Investment Company, an affiliate of the PIF and the controlling stockholder of the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Board” or “Board of Directors” are to the board of directors of Lucid Group Inc., a Delaware corporation;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Certificate of Designations” refers to Series A Certificate of Designations and Series B Certificate of Designations,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Churchill IPO” are to the initial public offering by Churchill which closed on August 3, 2020;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are to the consummation of the Transactions;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Closing Date” are to July 23, 2021, the date on which the Transactions were consummated;</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common stock” are to the Class A common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Convertible Senior Notes” refers to the 2026 Notes and the 2030 Notes;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ESG” are to Environmental, Social and Governance;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EV” are to electric vehicle;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Investor Rights Agreement” are to the Investor Rights Agreement, dated as of February 22, 2021 and as amended from time-to-time, by and among the Company, the Sponsor, Ayar and certain other parties thereto;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Legacy Lucid” are to Atieva, Inc., d/b/a Lucid Motors, an exempted company incorporated with limited liability under the laws of the Cayman Islands, and its consolidated subsidiaries before the Closing Date;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Times New Roman;serif" w:hAnsi="Times New Roman;serif"/>
          <w:b w:val="false"/>
          <w:color w:val="000000"/>
          <w:sz w:val="20"/>
        </w:rPr>
        <w:t>LPM-1” are to our Lucid Powertrain Manufacturing Plant-1 in Casa Grande, Arizona;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are to the merger of a merger subsidiary of Churchill and Atieva, Inc., with Atieva, Inc. surviving such merger as a wholly owned subsidiary of Churchill;</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Merger Agreement” are to that certain Agreement and Plan of Merger, dated as of February 22, 2021, by and among Churchill, Legacy Lucid and Air Merger Sub, Inc., a Delaware corporation and a direct, wholly-owned subsidiary of Churchill, as the same has been or may be amended, modified, supplemented or waived from time-to-time;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PIF” are to the Public Investment Fund, the sovereign wealth fund of Saudi Arabia;</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Private Placement Warrants” are to Churchill’s warrants issued to the Sponsor in a private placement simultaneously with the closing of the Churchill IPO;</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Redeemable Convertible Preferred Stock” are to the Series A Convertible Preferred Stock and Series B Convertible Preferred Stock, together;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Reverse Stock Split” are to the one-for-ten (1:10) reverse stock split of our common stock that became effective on August 29,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A Certificate of Designations” refers to the Certificate of Designations of Series A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Redeemable Convertible Preferred Stock” are to the Series A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A Subscription Agreement” refers to the subscription agreement entered into on March 24, 2024, by the Company and Ayar to purchase from the Company 100,000 shares of its Series A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Series B Certificate of Designations” refers to the Certificate of Designations of Series B Redeemable Convertible Preferred Stock;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Redeemable Convertible Preferred Stock” are to the Series B Convertible Preferred Stock of Lucid Group, Inc., par value $0.0001 per share;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Series B Subscription Agreement” refers to the subscription agreement entered into on August 4, 2024, by the Company and Ayar to purchase from the Company 75,000 shares of its Series B Convertible Preferred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Sponsor” are to Churchill Sponsor IV LLC, a Delaware limited liability company and an affiliate of M. Klein and Company;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Transactions” are to the Merger, together with the other transactions consummated under the Merger Agreement and the related agreements; and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Warrant Agreement” are to the Warrant Agreement, dated July 29, 2020, entered into in connection with the Churchill IPO by and between Continental Stock Transfer &amp; Trust Company and Churchill.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78"/>
        <w:gridCol w:w="2080"/>
        <w:gridCol w:w="2065"/>
        <w:gridCol w:w="109"/>
        <w:gridCol w:w="109"/>
        <w:gridCol w:w="109"/>
        <w:gridCol w:w="196"/>
        <w:gridCol w:w="886"/>
        <w:gridCol w:w="109"/>
        <w:gridCol w:w="109"/>
        <w:gridCol w:w="109"/>
        <w:gridCol w:w="109"/>
        <w:gridCol w:w="196"/>
        <w:gridCol w:w="886"/>
        <w:gridCol w:w="155"/>
      </w:tblGrid>
      <w:tr>
        <w:trPr/>
        <w:tc>
          <w:tcPr>
            <w:tcW w:w="297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1,635,120 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1,606,865 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Short-term investments (including $50,000 and $15,000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2,424,103 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receivable, net (including $83,616 and $57,909 from a related party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407,774 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current assets (including nil and $34,503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270,218 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3,800,110 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4,873,936 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3,752,065 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3,262,612 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Long-term investments (including nil and $20,000 associated with a related party as of September 30,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1,012,223 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249,443 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8,823,038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9,647,931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current liabilities (including $378,405 and $126,417 associated with related parties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1,024,671 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1,165,291 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Finance 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2,002,151 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Other long-term liabilities (including $123,043 and $121,136 associated with related parties as of September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639,425 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4,475,277 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September 30, 2025 and December 31, 2024, Series A redeemable convertible preferred stock, par value $0.0001; 100,000 shares issued and outstanding as of September 30, 2025 and December 31, 2024; liquidation preference of $1,294,204 and $1,138,825 as of September 30, 2025 and December 31, 2024,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730,025 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7"/>
              </w:rPr>
            </w:pPr>
            <w:r>
              <w:rPr>
                <w:rFonts w:ascii="Times New Roman;serif" w:hAnsi="Times New Roman;serif"/>
                <w:b w:val="false"/>
                <w:color w:val="000000"/>
                <w:sz w:val="17"/>
              </w:rPr>
              <w:t>Preferred stock 10,000,000 shares authorized as of September 30, 2025 and December 31, 2024, Series B redeemable convertible preferred stock, par value $0.0001; 75,000 shares issued and outstanding as of September 30, 2025 and December 31, 2024; liquidation preference of $909,131 and $800,442 as of September 30, 2025 and December 31, 2024,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569,817 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1,920,711 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rFonts w:ascii="Times New Roman;serif" w:hAnsi="Times New Roman;serif"/>
                <w:b w:val="false"/>
                <w:color w:val="000000"/>
                <w:sz w:val="17"/>
              </w:rPr>
              <w:t>Common stock, par value $0.0001; 1,500,000,000 shares authorized as of September 30, 2025 and December 31, 2024; 324,250,049 and 303,221,972 shares issued and 324,164,267 and 303,136,190 shares outstanding as of September 30, 2025 and December 31, 2024, respectively</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16,604,674 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16,808,291 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Treasury stock, at cost, 85,782 shares at September 30, 2025 and December 31, 2024</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(14,796,725)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(12,912,694)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3,872,812 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7"/>
              </w:rPr>
            </w:pPr>
            <w:r>
              <w:rPr>
                <w:rFonts w:ascii="Times New Roman;serif" w:hAnsi="Times New Roman;serif"/>
                <w:b/>
                <w:color w:val="000000"/>
                <w:sz w:val="17"/>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8,823,038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9,647,931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and treasury stock have been adjusted for the prior period presented to reflect the one-for-ten (1:10) reverse stock split effected on August 29, 2025. See Note 2 “Summary of Significant Accounting Policies” for more information.</w:t>
      </w:r>
    </w:p>
    <w:p>
      <w:pPr>
        <w:pStyle w:val="TextBody"/>
        <w:bidi w:val="0"/>
        <w:spacing w:before="60" w:after="283"/>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1644"/>
        <w:gridCol w:w="1199"/>
        <w:gridCol w:w="1204"/>
        <w:gridCol w:w="211"/>
        <w:gridCol w:w="1000"/>
        <w:gridCol w:w="109"/>
        <w:gridCol w:w="109"/>
        <w:gridCol w:w="109"/>
        <w:gridCol w:w="109"/>
        <w:gridCol w:w="211"/>
        <w:gridCol w:w="850"/>
        <w:gridCol w:w="109"/>
        <w:gridCol w:w="109"/>
        <w:gridCol w:w="109"/>
        <w:gridCol w:w="109"/>
        <w:gridCol w:w="211"/>
        <w:gridCol w:w="1000"/>
        <w:gridCol w:w="109"/>
        <w:gridCol w:w="109"/>
        <w:gridCol w:w="109"/>
        <w:gridCol w:w="109"/>
        <w:gridCol w:w="211"/>
        <w:gridCol w:w="1000"/>
        <w:gridCol w:w="156"/>
      </w:tblGrid>
      <w:tr>
        <w:trPr/>
        <w:tc>
          <w:tcPr>
            <w:tcW w:w="164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Revenue (including $34,251 and $45,588 from a related party for the three months ended September 30, 2025 and 2024, and $69,594 and $133,424 for the nine months ended September 30, 2025 and 2024,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573,359 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Costs and expenses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of revenue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670,197 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412,544 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1,665,540 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1,287,695 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Research and development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896,168 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Selling, general and administrative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752,129 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657,062 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Restructuring charges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cost and expenses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1,278,599 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3,268,059 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2,861,229 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Loss from operations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(770,538)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(2,436,999)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(2,287,870)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income (expense), net</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common stock warrant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equity securities of a related party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Change in fair value of derivative liabilities associated with redeemable convertible preferred stock (related party)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(137,250)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income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Interest expense (including $6,260 and $1,893 to a related party for the three months ended September 30, 2025 and 2024, and $14,872 and $4,596 for the nine months ended September 30, 2025 and 2024, respectively)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Other expense,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Total other income (expense), net</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(221,450)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548,873 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(28,244)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Loss before provision for (benefit from) income taxes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(991,988)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(1,888,126)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(2,316,114)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Provision for (benefit from) income taxes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(978,428)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(1,884,031)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(2,316,724)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Net loss attributable to common stockholders, basic</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(2,504,900)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(2,424,648)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Interest expense on 2026 Notes</w:t>
            </w:r>
          </w:p>
        </w:tc>
        <w:tc>
          <w:tcPr>
            <w:tcW w:w="12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Gain on extinguishment of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Net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(1,034,549)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(949,637)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(2,616,977)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(2,424,648)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Weighted-average shares outstanding attributable to common stockholders</w:t>
            </w:r>
            <w:r>
              <w:rPr>
                <w:rFonts w:ascii="Times New Roman;serif" w:hAnsi="Times New Roman;serif"/>
                <w:b w:val="false"/>
                <w:color w:val="000000"/>
                <w:sz w:val="12"/>
              </w:rPr>
              <w:t>(1)</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312,166,297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232,397,154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307,177,163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231,224,933</w:t>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312,166,297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232,397,154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307,859,815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231,224,933</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Net loss per share attributable to common stockholders</w:t>
            </w:r>
            <w:r>
              <w:rPr>
                <w:rFonts w:ascii="Times New Roman;serif" w:hAnsi="Times New Roman;serif"/>
                <w:b w:val="false"/>
                <w:color w:val="000000"/>
                <w:sz w:val="12"/>
              </w:rPr>
              <w:t>(1)</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comprehensive income (loss)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Net unrealized gains on investments, net of tax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Foreign currency translation adjustments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other comprehensive income (loss)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8,064 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(979,931)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(975,402)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(1,868,819)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(2,308,660)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Accretion of redeemable convertible preferred stock (related party)</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(620,869)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(107,924)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Comprehensive loss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(1,036,052)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(932,564)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(2,489,688)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(2,416,584)</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weighted-average shares outstanding attributable to common stockholders and net loss per share attributable to common stockholders have been adjusted for the prior periods presented to reflect the one-for-ten (1:10) reverse stock split effected on August 29, 2025. See Note 2 “Summary of Significant Accounting Policies” for more information.</w:t>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4737"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Redeemable Convertible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1,864,590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307,234,559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16,231,957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14,616</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(13,818,297)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2,407,591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3,153,099 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under 2025 Subscription Agreement, net of issuance costs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13,715,121 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1,920,711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324,164,267</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16,604,674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13,113</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(14,796,725)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1,800,378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737"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Redeemable Convertible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651,311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231,868,590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15,063,750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(4,159)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(11,523,001)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3,515,897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1,803,483 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Series B redeemable convertible preferred stock, net of derivative liability and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1,060,156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233,751,854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15,206,975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12,914</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(12,515,476)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2,683,720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before="0" w:after="0"/>
        <w:jc w:val="center"/>
        <w:rPr/>
      </w:pPr>
      <w:r>
        <w:rPr/>
      </w:r>
    </w:p>
    <w:tbl>
      <w:tblPr>
        <w:tblW w:w="14737"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1,299,842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303,136,190</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(2,099)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(12,912,694)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3,872,812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6,326,374 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685,402 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under 2025 Subscription Agreement, net of issuance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13,715,121 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929292"/>
              </w:rPr>
            </w:pPr>
            <w:r>
              <w:rPr>
                <w:color w:val="929292"/>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1,920,711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324,164,267</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16,604,674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13,113</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(14,796,725)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1,800,378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4737" w:type="dxa"/>
        <w:jc w:val="center"/>
        <w:tblInd w:w="0" w:type="dxa"/>
        <w:tblLayout w:type="fixed"/>
        <w:tblCellMar>
          <w:top w:w="28" w:type="dxa"/>
          <w:left w:w="28" w:type="dxa"/>
          <w:bottom w:w="28" w:type="dxa"/>
          <w:right w:w="28" w:type="dxa"/>
        </w:tblCellMar>
      </w:tblPr>
      <w:tblGrid>
        <w:gridCol w:w="612"/>
        <w:gridCol w:w="301"/>
        <w:gridCol w:w="303"/>
        <w:gridCol w:w="109"/>
        <w:gridCol w:w="109"/>
        <w:gridCol w:w="109"/>
        <w:gridCol w:w="375"/>
        <w:gridCol w:w="376"/>
        <w:gridCol w:w="211"/>
        <w:gridCol w:w="109"/>
        <w:gridCol w:w="109"/>
        <w:gridCol w:w="109"/>
        <w:gridCol w:w="196"/>
        <w:gridCol w:w="886"/>
        <w:gridCol w:w="109"/>
        <w:gridCol w:w="109"/>
        <w:gridCol w:w="109"/>
        <w:gridCol w:w="109"/>
        <w:gridCol w:w="109"/>
        <w:gridCol w:w="109"/>
        <w:gridCol w:w="109"/>
        <w:gridCol w:w="533"/>
        <w:gridCol w:w="533"/>
        <w:gridCol w:w="211"/>
        <w:gridCol w:w="109"/>
        <w:gridCol w:w="109"/>
        <w:gridCol w:w="109"/>
        <w:gridCol w:w="226"/>
        <w:gridCol w:w="399"/>
        <w:gridCol w:w="126"/>
        <w:gridCol w:w="109"/>
        <w:gridCol w:w="109"/>
        <w:gridCol w:w="109"/>
        <w:gridCol w:w="196"/>
        <w:gridCol w:w="976"/>
        <w:gridCol w:w="109"/>
        <w:gridCol w:w="109"/>
        <w:gridCol w:w="109"/>
        <w:gridCol w:w="109"/>
        <w:gridCol w:w="196"/>
        <w:gridCol w:w="661"/>
        <w:gridCol w:w="109"/>
        <w:gridCol w:w="109"/>
        <w:gridCol w:w="109"/>
        <w:gridCol w:w="109"/>
        <w:gridCol w:w="264"/>
        <w:gridCol w:w="893"/>
        <w:gridCol w:w="149"/>
        <w:gridCol w:w="109"/>
        <w:gridCol w:w="109"/>
        <w:gridCol w:w="109"/>
        <w:gridCol w:w="196"/>
        <w:gridCol w:w="976"/>
        <w:gridCol w:w="109"/>
        <w:gridCol w:w="109"/>
        <w:gridCol w:w="109"/>
        <w:gridCol w:w="109"/>
        <w:gridCol w:w="196"/>
        <w:gridCol w:w="88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Redeemable Convertible </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229,925,366</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15,066,287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4,850</w:t>
            </w: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(10,198,752)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4,851,692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 withholding payments for net settlement of employee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vesting of employee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3,076,696 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Series A redeemable convertible preferred stock, net of derivative liability and issuance costs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Series B redeemable convertible preferred stock, net of derivative liability and issuance costs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Accretion of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175,000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1,060,156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233,751,854</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15,206,975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12,914</w:t>
            </w: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(12,515,476)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2,683,720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number of shares of common stock has been adjusted for the prior periods presented to reflect the one-for-ten (1:10) reverse stock split effected on August 29, 2025. See Note 2 “Summary of Significant Accounting Policies” for more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74"/>
        <w:gridCol w:w="2301"/>
        <w:gridCol w:w="2308"/>
        <w:gridCol w:w="196"/>
        <w:gridCol w:w="919"/>
        <w:gridCol w:w="109"/>
        <w:gridCol w:w="109"/>
        <w:gridCol w:w="109"/>
        <w:gridCol w:w="109"/>
        <w:gridCol w:w="196"/>
        <w:gridCol w:w="919"/>
        <w:gridCol w:w="156"/>
      </w:tblGrid>
      <w:tr>
        <w:trPr/>
        <w:tc>
          <w:tcPr>
            <w:tcW w:w="2774"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(2,316,724)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insurance premium</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cost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and firm purchase commitments write-downs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common stock warrant liability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equity securities of a related party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derivative liabilities associated with redeemable convertible preferred stock (related party)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accretion of investment discounts/premiums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extinguishment of debt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non-cash items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rFonts w:ascii="Times New Roman;serif" w:hAnsi="Times New Roman;serif"/>
                <w:b w:val="false"/>
                <w:color w:val="000000"/>
                <w:sz w:val="17"/>
              </w:rPr>
            </w:pPr>
            <w:r>
              <w:rPr>
                <w:rFonts w:ascii="Times New Roman;serif" w:hAnsi="Times New Roman;serif"/>
                <w:b w:val="false"/>
                <w:color w:val="000000"/>
                <w:sz w:val="17"/>
              </w:rPr>
              <w:t>Accounts receivable (including $(25,707) and $(35,320) from a related party for the nine months ended September 30, 2025 and 2024, respectively)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(221,392)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(2,015,504)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(1,486,527)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Purchases of property, plant and equipment (including $(125,211) and $(56,679) from a related party for the nine months ended September 30, 2025 and 2024, respectively)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(592,206)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Purchases of investments (including $(30,000) and $(15,000) from a related party for the nine months ended September 30, 2025 and 2024, respectively)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(2,374,220)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maturities of investments (including $15,000 and nil from a related party for the nine months ended September 30, 2025 and 2024, respectively)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3,251,400 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 of investments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investing activities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investing activities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1,563,142 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289,974 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issuance of Series A redeemable convertible preferred stock to a related party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issuance of Series B redeemable convertible preferred stock to a related party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of issuance costs for Series A redeemable convertible preferred stock</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Payments of issuance costs for Series B redeemable convertible preferred stock</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under 2025 Subscription Agreement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 of issuance costs for the 2025 Subscription Agreement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2030 Notes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transaction costs for the issuance of 2030 Notes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capped call options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Repurchase of 2026 Notes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borrowings from a related party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borrowings to a related party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stock options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employee stock purchase plan</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withholding payments for net settlement of employee awards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 for finance lease liabilities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Payment for credit facility issuance costs (including $(507) and $(5,625) to related parties for the nine months ended September 30, 2025 and 2024, respectively)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1,718,709 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increase in cash, cash equivalents, and restricted cash</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Beginning cash, cash equivalents, and restricted cash</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1,371,507 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Ending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1,672,418 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1,893,663 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813"/>
        <w:gridCol w:w="2472"/>
        <w:gridCol w:w="2481"/>
        <w:gridCol w:w="196"/>
        <w:gridCol w:w="736"/>
        <w:gridCol w:w="109"/>
        <w:gridCol w:w="109"/>
        <w:gridCol w:w="109"/>
        <w:gridCol w:w="109"/>
        <w:gridCol w:w="196"/>
        <w:gridCol w:w="719"/>
        <w:gridCol w:w="156"/>
      </w:tblGrid>
      <w:tr>
        <w:trPr/>
        <w:tc>
          <w:tcPr>
            <w:tcW w:w="281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interest, net of amounts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non-cash investing and financing activity: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Increases in purchases of property, plant and equipment included in accounts payable and other 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Government grant (related party) reflected in property, plant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plant and equipment and right-of-use assets obtained through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LUCID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NOTE 1</w:t>
      </w:r>
      <w:r>
        <w:rPr>
          <w:color w:val="000000"/>
        </w:rPr>
        <w:t xml:space="preserve"> – </w:t>
      </w:r>
      <w:r>
        <w:rPr>
          <w:rFonts w:ascii="Times New Roman;serif" w:hAnsi="Times New Roman;serif"/>
          <w:b/>
          <w:color w:val="000000"/>
          <w:sz w:val="20"/>
        </w:rPr>
        <w:t>DESCRIPTION OF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Lucid Group, Inc. (“Lucid”) is a technology company that is setting new standards with the world’s most advanced electric vehicles (“EVs”), the award-winning Lucid Air and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Throughout the notes to the condensed consolidated financial statements, unless otherwise noted, the “Company,” “we,” “us” or “our” and similar terms refer to Lucid and its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devotes its efforts to business planning, vehicle sales and servicing, technology access, research and development, construction and expansion of manufacturing facilities, expansion of retail studios and service centers, recruitment of management and technical staff, acquisition of operating assets, and capital raising.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inception through September 30, 2025, the Company has incurred operating losses and negative cash flows from operating activities. For the nine months ended September 30, 2025 and 2024, the Company has incurred net losses of $1.9 billion and $2.3 billion, respectively. The Company had an accumulated deficit of $14.8 billion as of September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completed the first phase of the construction of its Advanced Manufacturing Plant-1 in Casa Grande, Arizona (“AMP-1”) in 2021, transitioned general assembly to the AMP-1 phase 2 manufacturing facility and completed the semi knocked-down (“SKD”) portion of its Advanced Manufacturing Plant-2 in Saudi Arabia (“AMP-2”) in September 2023. The Company also completed key manufacturing activities, including the paint shop, stamping, a new body shop for the Lucid Gravity, and a majority of the powertrain shop, of the AMP-1 phase 2 manufacturing facility in 2024. The Company began commercial production of its first vehicle, the Lucid Air, in September 2021 and delivered its first vehicles in late October 2021. The Company began commercial production and deliveries of its second vehicle, the Lucid Gravity, in December 2024. Currently, the AMP-1 phase 2 facility manufactures the Lucid Air and the Lucid Gravity. The Company continues to expand AMP-1, construct the completely-built-up (“CBU”) portion of AMP-2, and build a network of retail sales and service locations. The Company has plans for continued development of additional vehicle model types for future release, including its upcoming Midsize platform. The aforementioned activities will require considerable capital, which is above and beyond the expected cash inflows from the current sales of Lucid vehicles. As such, the future operating plan involves considerable risk if secure funding sources are not identified and confirmed.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existing sources of liquidity include cash, cash equivalents, investments, and credit facilities. The Company funded operations primarily with issuances of common stock, convertible preferred stock, and convertible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2022, the Company entered into a loan agreement with the Saudi Industrial Development Fund (“SIDF”) with an aggregate principal amount of up to approximately $1.4 billion, a five-year senior secured asset-based revolving credit facility (“ABL Credit Facility”) with an initial aggregate principal commitment amount of up to $1.0 billion, and revolving credit facilities (the “GIB Facility Agreement”) with Gulf International Bank (“GIB”) in an aggregate principal amount of approximately $266.1 million. The GIB Facility Agreement provided for two committed revolving credit facilities, of which $173.0 million was available as a bridge financing (the “Bridge Facility”) and $93.1 million was for general corporate purposes (the “Working Capital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the Company amended the GIB Facility Agreement (together with the GIB Facility Agreement, the “2023 Amended GIB Facility Agreement”) to combine the Bridge Facility and the Working Capital Facility into a committed $266.1 million revolving credit facility (the “2023 GIB Credit Facility”). In February 2025, Lucid LLC, a limited liability company established in Saudi Arabia and a subsidiary of the Company (“Lucid LLC”), entered into an agreement to renew the 2023 GIB Credit Facility (the “2025 GIB Credit Facility”) maturing on February 24, 2028 to increase the credit facility committed amount from SAR 1.0 billion (approximately $266.1 million) to SAR 1.9 billion (approximately $506.6 million). See Note 6 “Debt”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May 2023, the Company entered into an underwriting agreement (the “2023 Underwriting Agreement”) with BofA Securities, Inc. (the “Underwriter”), under which the Underwriter agreed to purchase from the Company shares of common stock in a public offering for aggregate net proceeds to the Company of $1.2 billion. In May 2023, the Company also entered into a subscription agreement (the “2023 Subscription Agreement”) with Ayar Third Investment Company, the controlling stockholder of the Company (“Ayar”), pursuant to which Ayar agreed to purchase from the Company shares of common stock in a private placement for aggregate net proceeds of $1.8 billion. In June 2023, the Company completed the public offering pursuant to the 2023 Underwriting Agreement for aggregate net proceeds of $1.2 billion and also consummated the private placement to Ayar pursuant to the 2023 Subscription Agreement for aggregate net proceeds of $1.8 billion. See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a subscription agreement (the “Series A Subscription Agreement”) with Ayar. Pursuant to the Series A Subscription Agreement, Ayar agreed to purchase from the Company 100,000 shares of its Series A convertible preferred stock, par value $0.0001 per share (the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In August 2024, the Company entered into a subscription agreement (the “Series B Subscription Agreement”) with Ayar. Pursuant to the Series B Subscription Agreement, Ayar agreed to purchase from the Company 75,000 shares of its Series B convertible preferred stock, par value $0.0001 per share (the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See Note 8 “Redeemable Convertible Preferred Stock” and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Series A Redeemable Convertible Preferred Stock and the Series B Redeemable Convertible Preferred Stock (the “Redeemable Convertible Preferred Stock”) are convertible at the option of the holder (i) at any time the closing price per share of the common stock on the trading date immediately preceding the date on which the holder delivers the relevant notice of conversion is at least a certain price threshold as noted in the certificate of designations of Series A Redeemable Convertible Preferred Stock (the “Series A Certificate of Designations”) and in the certificate of designations of the Series B Redeemable Convertible Preferred Stock (the “Series B Certificate of Designations”) of the Company or (ii) during specified periods preceding a fundamental change or optional redemption by the Company under the terms of the Redeemable Convertible Preferred Stock. See Note 8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five-year unsecured delayed draw term loan credit facility (the “DDTL Credit Facility”) with Ayar. See Note 6 “Debt” and Note 16 “Related Party Transactions” for more information. In November 2025, the Company entered into an amendment No. 1 to the DDTL Credit Facility (the “2025 DDTL Credit Facility”) to increase the aggregate principal amount from $750.0 million to $1.98 billion. See Note 18 “Subsequent Event”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an underwriting agreement (the “2024 Underwriting Agreement”) with the Underwriter, under which the Underwriter agreed to purchase from the Company shares of common stock in a public offering. The Company also granted the Underwriter a 30-day option to purchase additional shares of its common stock (the “Overallotment Option”), and the Underwriter exercised the Overallotment Option to purchase additional shares. In October 2024, the Company also entered into a subscription agreement (the “2024 Subscription Agreement”) with Ayar, pursuant to which Ayar agreed to purchase from the Company shares of common stock in a private placement. In addition, given the Underwriter’s exercise of the Overallotment Option, Ayar agreed to purchase additional shares of common stock. In October 2024, the Company completed the public offering pursuant to the 2024 Underwriting Agreement for aggregate net proceeds of $718.4 million and also consummated the private placement of shares to Ayar pursuant to the 2024 Subscription Agreement for aggregate net proceeds of $1,025.7 million. See Note 16 “Related Party Transactions”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Company issued $1.10 billion aggregate principal amount of 5.00% convertible senior notes due in April 2030 (the “2030 Notes”) in a private offering. The net proceeds from the offering were $1.08 billion, after deducting debt issuance costs. In connection with the 2030 Notes offering, the Company paid $118.3 million to enter into privately negotiated capped call transactions with certain financial institutions to increase the effective conversion premium. See Note 6 “Debt”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the 2030 Notes offering, the Company repurchased $1,052.5 million aggregate principal amount of its 1.25% convertible senior notes due 2026 (the “2026 Notes”), using $931.4 million of the net proceeds of the 2030 Notes. See Note 6 “Debt”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Company entered into a subscription agreement (the “2025 Subscription Agreement”) with SMB Holding Corporation (“SMB”), a subsidiary of Uber Technologies, Inc. (“Uber”), under which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(as defined below), and consummated the private placement of shares to SMB for aggregate net proceeds of $299.7 million. See Note 9 “Stockholders’ Equity”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Certain Significant Risks and Uncertainties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current business activities consist of (i) generating sales from the deliveries and service of vehicles, (ii) research and development efforts to design, engineer and develop high-performance EVs and advanced EV powertrain components, including battery pack systems, (iii) construction of the CBU portion of AMP-2 in Saudi Arabia, (iv) further construction of AMP-1 in Casa Grande, Arizona, (v) expansion of its retail studios and service center capabilities throughout North America and across the globe, (vi) building strategic partnerships to accelerate growth and expand into new innovative markets, and (vii) providing access to its technology to third parties. The Company is subject to the risks associated with such activities, including the need to further develop its technology, its marketing, and distribution channels; the need to further develop its sourcing, logistics, supply chain and manufacturing; and the need to hire additional management and other employees. Successful completion of the Company’s development program and, ultimately, the attainment of profitable operations, are dependent upon future events, including our ability to access potential markets, and secure long-term financing on commercially reasonable terms.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participates in dynamic high-technology industries. Changes in any of the following areas could have a material adverse impact on the Company’s future financial position, results of operations, and/or cash flows: changes in the overall demand for its products and services; advances and trends in new technologies; competitive pressures; acceptance of the Company’s products and services; litigation or claims against the Company based on intellectual property (including patents); supply chain and logistical challenges and uncertainties; uncertainties surrounding trade policies as well as domestic and foreign tariffs and export controls; political, regulatory, social, environmental and economic conditions or other factors; and the Company’s ability to attract and retain employees necessary to support its business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changes or other central bank policy actions, bank closures and liquidity concerns at financial institutions, or other factors, may have an adverse impact on the Company’s business, prospects, financial condition and results of operations. If any of the Company’s suppliers, sub-suppliers or partners experience financial distress, insolvency or disruptions in operations, they may be unable to fulfill their obligations or meet the Company’s production and quality requirements. Adverse economic conditions and uncertainty about the current and future domestic or global economic conditions may also cause the Company’s customers to defer purchases or cancel their orders in response to higher interest rates, limited consumer credit availability, lower cash reserves, fluctuations in foreign currency exchange rates, and weakened consumer confidence. A reduction in demand for the Company’s products may result in a decline in product sales, with a corresponding material adverse impact on the Company’s business, prospects, financial condition and results of operations. Given the Company’s premium brand positioning and pricing, an economic recession or downturn is likely to have a disproportionate adverse effect on the Company compared to its competitors in the EV and traditional automotive sectors, to the extent that consumer demand for luxury goods declines in favor of more cost-conscious alternatives. In addition, adverse economic conditions and uncertainties surrounding trade policies, tariffs and export controls have caused, and may continue to cause, supply chain and logistical challenges and operational risks. In particular, the U.S. federal government recently enacted the law commonly referred to as the One Big, Beautiful Bill Act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Taken together, adverse economic conditions and uncertainties surrounding trade policies, tariffs and export controls, coupled with supply chain challenges and the potential difficulty of passing costs to customers or sharing the burden with suppliers, could reduce demand for the Company’s products and have a material adverse effect on the Company’s business, prospects, results of operations and financial condition. In addition, the deterioration of conditions in the financial markets may limit the Company’s ability to obtain external financing to fund its operations and capital expenditures on terms favorable to the Company, if at all. See “Risk Factors” in Part II, Item 1A of this Quarterly Report on Form 10-Q (the “Quarterly Report”) for more information regarding risks associated with a global economic recession, downturn or other adverse economic conditions.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current circumstances, any impact on the Company’s financial condition, results of operations or cash flows in the future continues to be difficult to estimate and predict, as it depends on future events that are highly uncertain and cannot be predicted with accuracy.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included herein have been prepared in accordance with generally accepted accounting principles in the United States of America (“U.S. GAAP”) and applicable rules and regulations of the U.S. Securities and Exchange Commission (the “SEC”) regarding interim financial reporting. Certain information and disclosures normally included in the financial statements prepared in accordance with U.S.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February 25,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management’s opinion, these unaudited condensed consolidated financial statements have been prepared on the same basis as the annual financial statements and reflect all adjustments, which include normal recurring adjustments, necessary for the fair statement of the Company’s financial position as of September 30, 2025 and the results of operations for the three and nine months ended September 30, 2025 and 2024. The results of operations for the three and nine months ended September 30, 2025 are not necessarily indicative of the results to be expected for the full year ending December 31, 2025 or any other future interim or annual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29, 2025, the Company effected a reverse stock split of its common stock at a ratio of one-for-ten (1:10) (the “Reverse Stock Split”) and a corresponding reduction of the authorized shares of common stock, as approved by the Company’s board of directors (the “Board of Directors”) and stockholders. The shares of the common stock began trading on a reverse split-adjusted basis at market open on September 2, 2025. Unless otherwise noted, the share, per share, and related information in this Quarterly Report on Form 10-Q reflects the effect of the Reverse Stock Split. The share and per share information of the Redeemable Convertible Preferred Stock remains unchanged, except for the information relating to the common stock underlying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include the accounts of the Company and its wholly owned subsidiaries. All significant intercompany balances and transactions have been eliminated in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one reportable segment, as the CODM reviews financial information presented on a consolidated basis for purposes of making operating decisions, allocating resources, and evaluating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inventory valuation, warranty reserve, useful lives of property, plant and equipment, fair value of common stock warrants, fair value of derivative liabilities associated with the Redeemable Convertible Preferred Stock, estimates of residual value guarantee (“RVG”) liability, deferred revenue related to technology access fees and over-the-air (“OTA”) software updates, sales return reserves, assumptions used to measure stock-based compensation expense, income taxes, and estimated incremental borrowing rates for assessing operating and finance leases.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Reclassification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prior-period amounts have been reclassified in the accompanying condensed consolidated financial statements and notes thereto in order to conform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an original maturity at the date of purchase of three months or less to be cash equivalents.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is primarily related to cash reserved or letters of credit issued for certain lease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amounts shown in the statements of cash flows (in thousands):</w:t>
      </w:r>
    </w:p>
    <w:tbl>
      <w:tblPr>
        <w:tblW w:w="7194" w:type="dxa"/>
        <w:jc w:val="left"/>
        <w:tblInd w:w="0" w:type="dxa"/>
        <w:tblLayout w:type="fixed"/>
        <w:tblCellMar>
          <w:top w:w="28" w:type="dxa"/>
          <w:left w:w="28" w:type="dxa"/>
          <w:bottom w:w="28" w:type="dxa"/>
          <w:right w:w="28" w:type="dxa"/>
        </w:tblCellMar>
      </w:tblPr>
      <w:tblGrid>
        <w:gridCol w:w="1532"/>
        <w:gridCol w:w="1345"/>
        <w:gridCol w:w="1353"/>
        <w:gridCol w:w="211"/>
        <w:gridCol w:w="976"/>
        <w:gridCol w:w="109"/>
        <w:gridCol w:w="109"/>
        <w:gridCol w:w="109"/>
        <w:gridCol w:w="109"/>
        <w:gridCol w:w="211"/>
        <w:gridCol w:w="976"/>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consists of receivables from our customers and from financial institutions offering financing products to our customers for the sale of vehicles, sales of powertrain kits, services, and regulatory credits. The Company provides an allowance against accounts receivable for any potential uncollectible amounts. The Company recorded immaterial allowance for credit losses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investments and accounts receivable. The Company places its cash primarily with domestic financial institutions that are federally insured within statutory limits; however, its deposits exceed federally insured limits. As of September 30, 2025 and December 31, 2024, accounts receivable from the EV purchase agreement with the Government of Saudi Arabia, a related party of the Public Investment Fund (“PIF”), which is an affiliate of Ayar, as represented by the Ministry of Finance (the “EV Purchase Agreement”), represented 60.7% and 51.7% of the total accounts receivable balance, respectively. See Note 16 “Related Party Transactions” for more information.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Concentration of 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dependent on its suppliers, the majority of which are single-source suppliers. The inability of these suppliers to deliver necessary components of its products according to the schedule and at prices, quality levels and volumes acceptable to the Company,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the Company’s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Revenue from Contracts with Customers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 without Residual Value Guarantee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Vehicle sales without RVG totaled $97.5 million and $197.0 million during the three and nine months ended September 30, 2025, respectively, and $72.9 million and $222.3 million for the same periods in the prior year, respectively. There are two performance obligations identified in vehicle sale arrangements. These are the vehicle including an onboard advanced driver assistance system (“ADAS”), and the right to unspecified OTA software updates to be provided as and when available over the term of the basic vehicle warranty, which is generally four years. Payment is typically received at the time of delivery or shortly after delivery of the vehicle to the customer, except for vehicle sales under the EV Purchase Agreement. 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the Company reduces the transaction price and records a sales return reserve against revenue for estimated variable consideration related to future product returns. Return rate estimates are based on historical experience and the sales return reserve balance was not material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 with Residual Value Guarantee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provides an RVG to its commercial banking partners in connection with its vehicle leasing program. Vehicle sales with RVG totaled $183.6 million and $449.5 million during the three and nine months ended September 30, 2025, respectively, and $116.6 million and $307.5 million for the same periods in the prior year, respectively. Under the vehicle leasing program, the Company generally receives payment for the vehicle sales price at the time of delivery or shortly after the delivery. The Company recognizes revenue when control transfers upon delivery when the consumer-lessee takes physical possession of the vehicle, and bifurcates the RVG at fair value and accounts for it as a guarantee liability. The remaining amount of the transaction price is allocated among the performance obligations, including the vehicle, the right to unspecified OTA software updates and remarketing activities, in proportion to the standalone selling price of the Company’s performance obligations. Any fees or incentives that are paid or payable by the Company to commercial banking partners are recognized as a reduction to vehicle sales revenue. The guarantee liability represents the estimated amount the Company expects to pay at the end of the lease term. The Company is released from residual risk upon either expiration or settlement of the RVG. The Company evaluates variables such as third-party residual value publications, risk of future price deterioration due to changes in market conditions and reconditioning costs to determine the estimated RVG liability. The Company recorded $98.3 million and $58.0 million of RVG liabilities as of September 30, 2025 and December 31, 2024, respectively. As the Company accumulates more data related to the resale value of our vehicles or as market conditions change, there could be material changes to the estimated guarantee liabilities. The maximum potential amount of future payments (in excess of RVG liabilities recorded) that the Company could be required to make was $605.5 million and $401.1 million as of September 30, 2025 and December 31, 2024,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sales of vehicles with repurchase obligations as operating leases. The Company sells vehicles primarily to rental companies with an obligation to repurchase the vehicles at an agreed upon repurchase price. The Company records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 and were not material as of September 30, 2025 and December 31, 2024. The operating lease revenue was not material for the three and nine months ended September 30, 2025 and 2024.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enters into sale and leaseback transactions in which the Company transfers control of vehicles to rental companies and simultaneously leases them back as operating leases. The Company recognizes revenue related to the vehicles under the arrangement when the rental companies obtain control of the vehicles and separately recognize the leaseback obligations based on the present value of the future payments to the rental companies. The Company also records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recorded revenue from sale and leaseback transactions of $10.8 million and $55.7 million during the three and nine months ended September 30, 2025, respectively, and nil and $6.8 million for the same periods in the prior year, respectively. Operating lease expenses were not material.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Used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Used vehicle sales revenue is generated from the sale of used Lucid vehicles. The revenue from sales of used Lucid vehicles was not material for the three and nine months ended September 30, 2025 and 2024.</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 Deferred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recorded $74.8 million and $53.3 million of total deferred revenue from all vehicle sales primarily related to OTA and remarketing activities for vehicle sales, respectively. The Company recorded $27.1 million and $18.5 million of the total deferred revenue within other current liabilities and the remaining $47.7 million and $34.8 million within other long-term liabilities in the condensed consolidated balance sheets as of September 30, 2025 and December 31, 2024, respectively. Revenue recognized that was included in the deferred revenue at the beginning of the period was not material during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consists primarily of revenue from non-warranty after-sales vehicle services and parts, sales of battery pack systems, powertrain kits, retail merchandise, and regulatory credits, and sales of non-Lucid vehicles acquired as part of the trade-in program. The Company generates regulatory credits revenue from the sale of tradable credits the Company earns under various regulations. This includes credits related to zero emission vehicles and greenhouse gas, and the Corporate Average Fuel Economy credits. Regulatory credit revenue totaled $11.6 million and $61.8 million during the three and nine months ended September 30, 2025, respectively, and $3.8 million and $21.3 million for the same periods in the prior year, respectively. The revenue from sales of non-Lucid vehicles was not material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Accounting Standards Codification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Company’s control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The Company accretes the redeemable convertible preferred stock to its redemption value.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Derivative Liabilities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all of its financial instruments, including convertible notes and redeemable convertible preferred stock, to determine if such instruments are derivatives or contain features that qualify as embedded derivatives. The Company applies significant judgment to identify and evaluate complex terms and conditions in these contracts and agreements to determine whether embedded derivatives exist. Embedded derivatives must be separately measured from the host contracts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condensed consolidated statements of operations and comprehensive loss at each reporting period end. Bifurcated embedded derivatives are classified as a separate liability in the condensed consolidated balance sheet.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derivative liabilities are related to the conversion features embedded in the Redeemable Convertible Preferred Stock. See Note 8 “Redeemable Convertible Preferred Stock”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 for the policies described above, there have been no significant changes to accounting policies during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No. 2023-09, Income Taxes (Topic 740): Improvements to Income Tax Disclosures, which requires incremental annual income tax disclosures. This amendment includes disclosures of specific categories in the rate reconciliation and additional information for reconciling items that meet a quantitative threshold; income taxes paid (net of refunds received) disaggregated by federal, state, and foreign taxes, and also disaggregated by individual jurisdictions that meet a quantitative threshold; income (or loss) from continuing operations before income tax expenses (or benefit) disaggregated between domestic and foreign; and income tax expense (or benefit) from continuing operations disaggregated by federal, state and foreign. The guidance is effective for annual periods beginning after December 15, 2024. Early adoption is permitted and should be applied prospectively (with retrospective application permitted). The Company is evaluating the impact of this amendment and does not expect a material impact to the related financial statement disclosures.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SEC issued its final rule that requires certain climate-related disclosures in annual reports, including governance, oversight, and risk management processes on material climate-related risks; material impact of climate risks on the Company’s strategy, business model, and outlook; material climate targets and goals; and material financial statements impacts due to severe weather events and other natural conditions. In April 2024, the SEC stayed implementation of the final rule pending completion of judicial review. In March 2025, the SEC stated that it has ended its defense of the rule. The Company continues to monitor the status of these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which requires disclosure of specified information about certain costs and expenses (such as purchases of inventory, employee compensation, depreciation, and amortization) within the relevant expense captions presented on the face of the statements of operations and comprehensive loss. The guidance is effective for annual reporting periods beginning after December 15, 2026, and interim reporting periods within annual reporting periods beginning after December 15, 2027. Early adoption is permitted, and should be applied either prospectively or retrospectively. The Company is evaluating the impact of this amendment to the related financial statement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Intangibles – Goodwill and Other – Internal-Use Software (Subtopic 350-40): Targeted Improvements to the Accounting for Internal-Use Software. The ASU requires the Company to start capitalizing eligible software costs when management has authorized and committed to funding the software project, and it is probable that the project will be completed and the software will be used to perform the function intended. The ASU does not change the types of costs eligible for capitalization. The guidance is effective for annual reporting periods beginning after December 15, 2027, and interim reporting periods within those annual reporting periods. Early adoption is permitted and may be applied using a prospective, retrospective or modified transition approach. The Company is evaluating the impact of this amendment to the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considered all other recently issued accounting pronouncements and does not believe the adoption of such pronouncements will have a material impact on its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 RESTRUCTURING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24, 2024, the Company announced a restructuring plan (the “2024 Restructuring Plan”) intended to optimize operating expenses in response to evolving business needs and productivity improvement through a reduction in workforce. The Company completed the 2024 Restructuring Plan during the first quarter of 2025. During the three and nine months ended September 30, 2024, the Company recorded restructuring charges of $0.1 million and $20.3 million,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March 28, 2023, the Company announced a restructuring plan (the “2023 Restructuring Plan”) intended to reduce operating expenses in response to evolving business needs and productivity improvement through a reduction in workforce. The Company completed the 2023 Restructuring Plan during the first quarter of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restructuring liabilities associated with the restructuring plans was as follows (in thousands):</w:t>
      </w:r>
    </w:p>
    <w:tbl>
      <w:tblPr>
        <w:tblW w:w="9827" w:type="dxa"/>
        <w:jc w:val="left"/>
        <w:tblInd w:w="0" w:type="dxa"/>
        <w:tblLayout w:type="fixed"/>
        <w:tblCellMar>
          <w:top w:w="28" w:type="dxa"/>
          <w:left w:w="28" w:type="dxa"/>
          <w:bottom w:w="28" w:type="dxa"/>
          <w:right w:w="28" w:type="dxa"/>
        </w:tblCellMar>
      </w:tblPr>
      <w:tblGrid>
        <w:gridCol w:w="1517"/>
        <w:gridCol w:w="1332"/>
        <w:gridCol w:w="1335"/>
        <w:gridCol w:w="270"/>
        <w:gridCol w:w="520"/>
        <w:gridCol w:w="139"/>
        <w:gridCol w:w="139"/>
        <w:gridCol w:w="139"/>
        <w:gridCol w:w="139"/>
        <w:gridCol w:w="270"/>
        <w:gridCol w:w="924"/>
        <w:gridCol w:w="139"/>
        <w:gridCol w:w="109"/>
        <w:gridCol w:w="109"/>
        <w:gridCol w:w="109"/>
        <w:gridCol w:w="266"/>
        <w:gridCol w:w="587"/>
        <w:gridCol w:w="137"/>
        <w:gridCol w:w="137"/>
        <w:gridCol w:w="137"/>
        <w:gridCol w:w="137"/>
        <w:gridCol w:w="266"/>
        <w:gridCol w:w="776"/>
        <w:gridCol w:w="194"/>
      </w:tblGrid>
      <w:tr>
        <w:trPr/>
        <w:tc>
          <w:tcPr>
            <w:tcW w:w="151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liabilities - beginning of period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charges excluding non-cash items</w:t>
            </w:r>
            <w:r>
              <w:rPr>
                <w:rFonts w:ascii="Times New Roman;serif" w:hAnsi="Times New Roman;serif"/>
                <w:b w:val="false"/>
                <w:color w:val="000000"/>
                <w:sz w:val="13"/>
              </w:rPr>
              <w:t>(1)</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liabilities - end of period</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non-cash items of $1.5 million for the nine months ended September 30, 2024 related to the 2024 Restructuring Plan, which was net of accelerated stock-based compensation expense of $3.2 million and a reversal of $4.7 million related to previously recognized stock-based compensation expenses for unvested restricted stock awards.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restructuring liabilities associated with the 2024 Restructuring Plan were nil and immaterial,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SHEETS COMPONENTS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as of September 30, 2025 and December 31, 2024 was as follows (in thousands): </w:t>
      </w:r>
    </w:p>
    <w:tbl>
      <w:tblPr>
        <w:tblW w:w="4163" w:type="dxa"/>
        <w:jc w:val="left"/>
        <w:tblInd w:w="0" w:type="dxa"/>
        <w:tblLayout w:type="fixed"/>
        <w:tblCellMar>
          <w:top w:w="28" w:type="dxa"/>
          <w:left w:w="28" w:type="dxa"/>
          <w:bottom w:w="28" w:type="dxa"/>
          <w:right w:w="28" w:type="dxa"/>
        </w:tblCellMar>
      </w:tblPr>
      <w:tblGrid>
        <w:gridCol w:w="543"/>
        <w:gridCol w:w="476"/>
        <w:gridCol w:w="480"/>
        <w:gridCol w:w="211"/>
        <w:gridCol w:w="826"/>
        <w:gridCol w:w="109"/>
        <w:gridCol w:w="109"/>
        <w:gridCol w:w="109"/>
        <w:gridCol w:w="109"/>
        <w:gridCol w:w="211"/>
        <w:gridCol w:w="82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Finished goods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Inventory as of September 30, 2025 and December 31, 2024 was comprised of raw materials, work in progress related to the production of vehicles for sale and SKD units for final assembly in Saudi Arabia, and finished goods inventory including new vehicles available for sale, vehicles in transit to fulfill customer orders, and used vehicles which the Company intends to sell. The Company recorded write-downs of $192.1 million and $528.5 million for the three and nine months ended September 30, 2025, respectively, and $154.9 million and $446.9 million for the same periods in the prior year, respectively, to reduce its inventories to its net realizable values and for any excess or obsolete inventories, as well as losses from firm purchase commitments (“LCNRV”). While the final scope and application of recently announced changes in trade policy remain uncertain at this time, higher tariffs on imports and subsequent retaliatory tariffs could adversely impact the Company’s financial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as of September 30, 2025 and December 31, 2024 was as follows (in thousands):</w:t>
      </w:r>
    </w:p>
    <w:tbl>
      <w:tblPr>
        <w:tblW w:w="7014"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211"/>
        <w:gridCol w:w="976"/>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Building and improvements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Machinery, tooling and vehicles</w:t>
            </w:r>
            <w:r>
              <w:rPr>
                <w:rFonts w:ascii="Times New Roman;serif" w:hAnsi="Times New Roman;serif"/>
                <w:b w:val="false"/>
                <w:color w:val="000000"/>
                <w:sz w:val="13"/>
              </w:rPr>
              <w:t>(2)(3)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4,050,560 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3,752,065 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3,262,612 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September 30, 2025 and December 31, 2024,</w:t>
      </w:r>
      <w:r>
        <w:rPr>
          <w:color w:val="000000"/>
        </w:rPr>
        <w:t xml:space="preserve"> </w:t>
      </w:r>
      <w:r>
        <w:rPr>
          <w:rFonts w:ascii="Times New Roman;serif" w:hAnsi="Times New Roman;serif"/>
          <w:b w:val="false"/>
          <w:color w:val="000000"/>
          <w:sz w:val="16"/>
        </w:rPr>
        <w:t>$127.5 million of capital expenditure support received from Ministry of Investment of Saudi Arabia (“MISA”) was primarily recorded as a deduction to the AMP-2 building balance. See Note 16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$47.2 million and $39.5 million of service loaner vehicles as of September 30, 2025 and December 31, 2024, respectively.</w:t>
      </w:r>
    </w:p>
    <w:p>
      <w:pPr>
        <w:pStyle w:val="TextBody"/>
        <w:bidi w:val="0"/>
        <w:spacing w:lineRule="auto" w:line="28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Included $38.9 million and $34.7 million of operating lease vehicles sold to rental companies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 represents the costs incurred in connection with the construction of buildings or new additions to the Company’s plant facilities, including tooling with outside vendors. Costs classified as construction in progress include all costs of obtaining the asset, installation of the asset, and bringing it to the location and the condition necessary for its intended use. No depreciation is provided for construction in progress until such time as the asset is completed and is ready for its intended use. Construction in progress consisted of the following (in thousands):</w:t>
      </w:r>
    </w:p>
    <w:tbl>
      <w:tblPr>
        <w:tblW w:w="5828" w:type="dxa"/>
        <w:jc w:val="left"/>
        <w:tblInd w:w="0" w:type="dxa"/>
        <w:tblLayout w:type="fixed"/>
        <w:tblCellMar>
          <w:top w:w="28" w:type="dxa"/>
          <w:left w:w="28" w:type="dxa"/>
          <w:bottom w:w="28" w:type="dxa"/>
          <w:right w:w="28" w:type="dxa"/>
        </w:tblCellMar>
      </w:tblPr>
      <w:tblGrid>
        <w:gridCol w:w="1146"/>
        <w:gridCol w:w="1006"/>
        <w:gridCol w:w="1012"/>
        <w:gridCol w:w="211"/>
        <w:gridCol w:w="826"/>
        <w:gridCol w:w="109"/>
        <w:gridCol w:w="109"/>
        <w:gridCol w:w="109"/>
        <w:gridCol w:w="109"/>
        <w:gridCol w:w="211"/>
        <w:gridCol w:w="82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tooling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Construction of AMP-1 and AMP-2</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Leasehold improvements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in progress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September 30, 2025 and December 31, 2024, $67.3 million of capital expenditure support received from MISA was recorded primarily as a deduction to the AMP-2 facility construction in progress balance. See Note 16 “Related Party Transactions” for more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$120.1 million and $329.1 million for the three and nine months ended September 30, 2025, respectively, and $69.5 million and $204.5 million for the same periods in the prior year, respectively. The amount of interest capitalized on construction in progress related to significant capital asset constructions was not material for the three and nine months ended September 30, 2025 and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current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 as of September 30, 2025 and December 31, 2024 were as follows (in thousands):</w:t>
      </w:r>
    </w:p>
    <w:tbl>
      <w:tblPr>
        <w:tblW w:w="7733" w:type="dxa"/>
        <w:jc w:val="left"/>
        <w:tblInd w:w="0" w:type="dxa"/>
        <w:tblLayout w:type="fixed"/>
        <w:tblCellMar>
          <w:top w:w="28" w:type="dxa"/>
          <w:left w:w="28" w:type="dxa"/>
          <w:bottom w:w="28" w:type="dxa"/>
          <w:right w:w="28" w:type="dxa"/>
        </w:tblCellMar>
      </w:tblPr>
      <w:tblGrid>
        <w:gridCol w:w="1727"/>
        <w:gridCol w:w="1519"/>
        <w:gridCol w:w="1523"/>
        <w:gridCol w:w="211"/>
        <w:gridCol w:w="976"/>
        <w:gridCol w:w="109"/>
        <w:gridCol w:w="109"/>
        <w:gridCol w:w="109"/>
        <w:gridCol w:w="109"/>
        <w:gridCol w:w="211"/>
        <w:gridCol w:w="97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design, and testing accrual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purchases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leasehold improvements accrual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services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Tooling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 on firm inventory 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incentive accrual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RVG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warrant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Primarily represent accruals for inventory related purchases and transportation charges that had not been invoiced.</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Represent deferred revenue from vehicle sales primarily related to OTA and remarketing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long-term liabilities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as of September 30, 2025 and December 31, 2024 were as follows (in thousands):</w:t>
      </w:r>
    </w:p>
    <w:tbl>
      <w:tblPr>
        <w:tblW w:w="6683" w:type="dxa"/>
        <w:jc w:val="left"/>
        <w:tblInd w:w="0" w:type="dxa"/>
        <w:tblLayout w:type="fixed"/>
        <w:tblCellMar>
          <w:top w:w="28" w:type="dxa"/>
          <w:left w:w="28" w:type="dxa"/>
          <w:bottom w:w="28" w:type="dxa"/>
          <w:right w:w="28" w:type="dxa"/>
        </w:tblCellMar>
      </w:tblPr>
      <w:tblGrid>
        <w:gridCol w:w="1453"/>
        <w:gridCol w:w="1279"/>
        <w:gridCol w:w="1287"/>
        <w:gridCol w:w="211"/>
        <w:gridCol w:w="826"/>
        <w:gridCol w:w="109"/>
        <w:gridCol w:w="109"/>
        <w:gridCol w:w="109"/>
        <w:gridCol w:w="109"/>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long-term liabilities</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As of September 30, 2025 and December 31, 2024, $114.8 million and $112.7 million of deferred revenue was recorded within other long-term liabilities in the condensed consolidated balance sheets, respectively, in connection with the strategic technology and supply arrangement, and integration and supply arrangements with Aston Martin Lagonda Global Holdings plc (together with its subsidiaries, “Aston Martin”). See Note 16 “Related Party Transactions” for more information.</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Included accrued warranty balance of $85.7 million and $75.7 million as of September 30, 2025 and December 31, 2024,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warranty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Accrued warranty activities consisted of the following (in thousands):</w:t>
      </w:r>
    </w:p>
    <w:tbl>
      <w:tblPr>
        <w:tblW w:w="9274" w:type="dxa"/>
        <w:jc w:val="left"/>
        <w:tblInd w:w="0" w:type="dxa"/>
        <w:tblLayout w:type="fixed"/>
        <w:tblCellMar>
          <w:top w:w="28" w:type="dxa"/>
          <w:left w:w="28" w:type="dxa"/>
          <w:bottom w:w="28" w:type="dxa"/>
          <w:right w:w="28" w:type="dxa"/>
        </w:tblCellMar>
      </w:tblPr>
      <w:tblGrid>
        <w:gridCol w:w="1314"/>
        <w:gridCol w:w="1154"/>
        <w:gridCol w:w="1161"/>
        <w:gridCol w:w="225"/>
        <w:gridCol w:w="882"/>
        <w:gridCol w:w="116"/>
        <w:gridCol w:w="116"/>
        <w:gridCol w:w="116"/>
        <w:gridCol w:w="116"/>
        <w:gridCol w:w="225"/>
        <w:gridCol w:w="770"/>
        <w:gridCol w:w="116"/>
        <w:gridCol w:w="109"/>
        <w:gridCol w:w="109"/>
        <w:gridCol w:w="109"/>
        <w:gridCol w:w="217"/>
        <w:gridCol w:w="852"/>
        <w:gridCol w:w="112"/>
        <w:gridCol w:w="112"/>
        <w:gridCol w:w="112"/>
        <w:gridCol w:w="112"/>
        <w:gridCol w:w="217"/>
        <w:gridCol w:w="744"/>
        <w:gridCol w:w="158"/>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Accrued warranty - beginning of period</w:t>
            </w:r>
            <w:r>
              <w:rPr>
                <w:rFonts w:ascii="Times New Roman;serif" w:hAnsi="Times New Roman;serif"/>
                <w:b/>
                <w:color w:val="000000"/>
                <w:sz w:val="13"/>
              </w:rPr>
              <w:t>(2)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112,478 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costs incurred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warranty</w:t>
            </w:r>
            <w:r>
              <w:rPr>
                <w:rFonts w:ascii="Times New Roman;serif" w:hAnsi="Times New Roman;serif"/>
                <w:b w:val="false"/>
                <w:color w:val="000000"/>
                <w:sz w:val="13"/>
              </w:rPr>
              <w:t>(1)</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Accrued warranty - end of period</w:t>
            </w:r>
            <w:r>
              <w:rPr>
                <w:rFonts w:ascii="Times New Roman;serif" w:hAnsi="Times New Roman;serif"/>
                <w:b/>
                <w:color w:val="000000"/>
                <w:sz w:val="13"/>
              </w:rPr>
              <w:t>(2)</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133,879 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78,862 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Provision for warranty for the three and nine months ended September 30, 2025 and 2024 included estimated costs related to the recalls identified and/or special campaigns to repair or replace items under warranties. During the three and nine months ended September 30, 2024, the Company recorded nil and $41.5 million provision associated with a special warranty campaign, respectively.</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Accrued warranty balance of $48.2 million and $36.8 million was recorded within other current liabilities, and $85.7 million and $75.7 million was recorded within other long-term liabilities, in the condensed consolidated balance sheets as of September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 FAIR VALUE MEASUREMENTS AND 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certain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i/>
          <w:color w:val="000000"/>
          <w:sz w:val="20"/>
        </w:rPr>
        <w:t>Level 1</w:t>
      </w:r>
      <w:r>
        <w:rPr>
          <w:color w:val="000000"/>
        </w:rPr>
        <w:t>—</w:t>
      </w:r>
      <w:r>
        <w:rPr>
          <w:rFonts w:ascii="Times New Roman;serif" w:hAnsi="Times New Roman;serif"/>
          <w:b w:val="false"/>
          <w:color w:val="000000"/>
          <w:sz w:val="20"/>
        </w:rPr>
        <w:t>Quoted prices (unadjusted) in active markets for identical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2</w:t>
      </w:r>
      <w:r>
        <w:rPr>
          <w:color w:val="000000"/>
        </w:rPr>
        <w:t>—</w:t>
      </w:r>
      <w:r>
        <w:rPr>
          <w:rFonts w:ascii="Times New Roman;serif" w:hAnsi="Times New Roman;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240" w:after="283"/>
        <w:ind w:left="0" w:right="0" w:hanging="360"/>
        <w:jc w:val="left"/>
        <w:rPr/>
      </w:pPr>
      <w:r>
        <w:rPr>
          <w:color w:val="000000"/>
        </w:rPr>
        <w:t>•</w:t>
      </w:r>
      <w:r>
        <w:rPr>
          <w:rFonts w:ascii="Times New Roman;serif" w:hAnsi="Times New Roman;serif"/>
          <w:b/>
          <w:i/>
          <w:color w:val="000000"/>
          <w:sz w:val="20"/>
        </w:rPr>
        <w:t>Level 3</w:t>
      </w:r>
      <w:r>
        <w:rPr>
          <w:color w:val="000000"/>
        </w:rPr>
        <w:t>—</w:t>
      </w:r>
      <w:r>
        <w:rPr>
          <w:rFonts w:ascii="Times New Roman;serif" w:hAnsi="Times New Roman;serif"/>
          <w:b w:val="false"/>
          <w:color w:val="000000"/>
          <w:sz w:val="20"/>
        </w:rPr>
        <w:t>Inputs that are generally unobservable and typically reflect management’s estimates of assumptions that market participants would use in 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investments are reported at their respective fair values on the Company’s condensed consolidated balance sheets. The Company’s short-term and long-term investments are classified as available-for-sale securities. Carrying amounts of accounts receivable, accounts payable, and other current liabilities approximate their estimated fair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subject to fair value measurements on a recurring basis by level within the fair value hierarchy as of September 30, 2025 and December 31, 2024 (in thousands):</w:t>
      </w:r>
    </w:p>
    <w:tbl>
      <w:tblPr>
        <w:tblW w:w="11338"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57"/>
        <w:gridCol w:w="495"/>
        <w:gridCol w:w="134"/>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$50.0 million of time deposits with GIB in short-term investments. GIB is a related party of the PIF, which is an affiliate of Ayar. See Note 16 “Related Party Transactions” for more information.</w:t>
      </w:r>
    </w:p>
    <w:tbl>
      <w:tblPr>
        <w:tblW w:w="11485" w:type="dxa"/>
        <w:jc w:val="left"/>
        <w:tblInd w:w="0" w:type="dxa"/>
        <w:tblLayout w:type="fixed"/>
        <w:tblCellMar>
          <w:top w:w="28" w:type="dxa"/>
          <w:left w:w="28" w:type="dxa"/>
          <w:bottom w:w="28" w:type="dxa"/>
          <w:right w:w="28" w:type="dxa"/>
        </w:tblCellMar>
      </w:tblPr>
      <w:tblGrid>
        <w:gridCol w:w="691"/>
        <w:gridCol w:w="231"/>
        <w:gridCol w:w="189"/>
        <w:gridCol w:w="211"/>
        <w:gridCol w:w="976"/>
        <w:gridCol w:w="109"/>
        <w:gridCol w:w="109"/>
        <w:gridCol w:w="109"/>
        <w:gridCol w:w="109"/>
        <w:gridCol w:w="211"/>
        <w:gridCol w:w="616"/>
        <w:gridCol w:w="109"/>
        <w:gridCol w:w="109"/>
        <w:gridCol w:w="109"/>
        <w:gridCol w:w="109"/>
        <w:gridCol w:w="211"/>
        <w:gridCol w:w="63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9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4"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Time deposits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$15.0 million and $20.0 million of time deposits with GIB in short-term investments and long-term investments, respectively. See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and 2024, there were immaterial gross realized gains or losses on the sale of available-for-sale securities. Accrued interest receivable excluded from both the fair value and amortized cost basis of the available-for-sale securities was $17.4 million and $19.6 million as of September 30, 2025 and December 31, 2024, respectively, and was recorded in other current assets on its condensed consolidated balance sheets. As of September 30, 2025 and December 31, 2024, no allowance for credit losses was recorded related to an impairment of available-for-sale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available-for-sale securities by contractual maturity:</w:t>
      </w:r>
    </w:p>
    <w:tbl>
      <w:tblPr>
        <w:tblW w:w="6182" w:type="dxa"/>
        <w:jc w:val="left"/>
        <w:tblInd w:w="0" w:type="dxa"/>
        <w:tblLayout w:type="fixed"/>
        <w:tblCellMar>
          <w:top w:w="28" w:type="dxa"/>
          <w:left w:w="28" w:type="dxa"/>
          <w:bottom w:w="28" w:type="dxa"/>
          <w:right w:w="28" w:type="dxa"/>
        </w:tblCellMar>
      </w:tblPr>
      <w:tblGrid>
        <w:gridCol w:w="1035"/>
        <w:gridCol w:w="913"/>
        <w:gridCol w:w="917"/>
        <w:gridCol w:w="211"/>
        <w:gridCol w:w="976"/>
        <w:gridCol w:w="109"/>
        <w:gridCol w:w="109"/>
        <w:gridCol w:w="109"/>
        <w:gridCol w:w="109"/>
        <w:gridCol w:w="266"/>
        <w:gridCol w:w="1234"/>
        <w:gridCol w:w="194"/>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701,906 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1,358,155 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the Company received 28,352,273 ordinary shares of Aston Martin with an initial fair value of $73.2 million. The Company remeasured the shares and recorded fair values of $31.4 million and $37.8 million within investments in equity securities of a related party in the condensed consolidated balance sheets as of September 30, 2025 and December 31, 2024, respectively. These equity securities are publicly traded stocks (where shares are denominated in GBP) measured at fair value on a recurring basis and classified within level 1 in the fair value hierarchy. The Company recognized an unrealized gain of $0.9 million and an unrealized loss of $8.6 million during the three and nine months ended September 30, 2025, respectively, and unrealized losses of $8.8 million and $38.2 million for the same periods in the prior year, respectively, in change of fair value of equity securities of a related party in the condensed consolidated statement of operations and comprehensive loss. The Company also recognized an unrealized foreign currency loss of $0.6 million and an unrealized foreign currency gain of $2.2 million during the three and nine months ended September 30, 2025, respectively, and unrealized foreign currency gains of $3.0 million and $2.4 million for the same periods in the prior year, respectively, related to these equity securities in other income (expense), net in the condensed consolidated statement of operations and comprehensive loss. See Note 16 “Related Party Transactions”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liabilities consist of the common stock warrant liability and the derivative liabilities associated with the Redeemable Convertible Preferred Stock, of which the fair values were measured upon issuance of the Private Placement Warrants and the Redeemable Convertible Preferred Stock and are remeasured at each reporting period. The valuation methodology and underlying assumptions are discussed further in Note 7 “Common Stock Warrant Liability” and Note 8 “Redeemable Convertible Preferred Stock”, respectively. Level 3 liabilities also consist of residual value guarantee liabilities, of which the fair value is measured initially upon delivery of vehicles and assessed subsequently for any changes on a quarterly basis. Significant changes in the unobservable inputs used in determining the fair value would result in significant changes to the fair value measurement.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the common stock warrant liability measured and recorded at fair value on a recurring basis (in thousands): </w:t>
      </w:r>
    </w:p>
    <w:tbl>
      <w:tblPr>
        <w:tblW w:w="8362" w:type="dxa"/>
        <w:jc w:val="left"/>
        <w:tblInd w:w="0" w:type="dxa"/>
        <w:tblLayout w:type="fixed"/>
        <w:tblCellMar>
          <w:top w:w="28" w:type="dxa"/>
          <w:left w:w="28" w:type="dxa"/>
          <w:bottom w:w="28" w:type="dxa"/>
          <w:right w:w="28" w:type="dxa"/>
        </w:tblCellMar>
      </w:tblPr>
      <w:tblGrid>
        <w:gridCol w:w="983"/>
        <w:gridCol w:w="864"/>
        <w:gridCol w:w="868"/>
        <w:gridCol w:w="245"/>
        <w:gridCol w:w="718"/>
        <w:gridCol w:w="127"/>
        <w:gridCol w:w="127"/>
        <w:gridCol w:w="127"/>
        <w:gridCol w:w="127"/>
        <w:gridCol w:w="245"/>
        <w:gridCol w:w="840"/>
        <w:gridCol w:w="127"/>
        <w:gridCol w:w="109"/>
        <w:gridCol w:w="109"/>
        <w:gridCol w:w="109"/>
        <w:gridCol w:w="227"/>
        <w:gridCol w:w="775"/>
        <w:gridCol w:w="117"/>
        <w:gridCol w:w="117"/>
        <w:gridCol w:w="117"/>
        <w:gridCol w:w="117"/>
        <w:gridCol w:w="227"/>
        <w:gridCol w:w="775"/>
        <w:gridCol w:w="165"/>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value-beginning of period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value-end of period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derivative liabilities associated with the Redeemable Convertible Preferred Stock measured and recorded at fair value on a recurring basis (in thousands):</w:t>
      </w:r>
    </w:p>
    <w:tbl>
      <w:tblPr>
        <w:tblW w:w="12883" w:type="dxa"/>
        <w:jc w:val="left"/>
        <w:tblInd w:w="0" w:type="dxa"/>
        <w:tblLayout w:type="fixed"/>
        <w:tblCellMar>
          <w:top w:w="28" w:type="dxa"/>
          <w:left w:w="28" w:type="dxa"/>
          <w:bottom w:w="28" w:type="dxa"/>
          <w:right w:w="28" w:type="dxa"/>
        </w:tblCellMar>
      </w:tblPr>
      <w:tblGrid>
        <w:gridCol w:w="538"/>
        <w:gridCol w:w="473"/>
        <w:gridCol w:w="47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Series A 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Derivative Liability</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Long-term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issuances of the 2026 Notes and the 2030 Notes as single liabilities measured at its respective amortized cost, as no other embedded features require bifurcation and recognition as derivatives. The fair value of the Convertible Senior Notes was determined based on quoted prices in markets that are not active, which is considered a Level 2 valuation input. The following table sets forth a summary of the 2026 Notes and the 2030 Notes as of September 30, 2025 and December 31, 2024 (in millions):</w:t>
      </w:r>
    </w:p>
    <w:tbl>
      <w:tblPr>
        <w:tblW w:w="10205" w:type="dxa"/>
        <w:jc w:val="left"/>
        <w:tblInd w:w="0" w:type="dxa"/>
        <w:tblLayout w:type="fixed"/>
        <w:tblCellMar>
          <w:top w:w="28" w:type="dxa"/>
          <w:left w:w="28" w:type="dxa"/>
          <w:bottom w:w="28" w:type="dxa"/>
          <w:right w:w="28" w:type="dxa"/>
        </w:tblCellMar>
      </w:tblPr>
      <w:tblGrid>
        <w:gridCol w:w="613"/>
        <w:gridCol w:w="538"/>
        <w:gridCol w:w="526"/>
        <w:gridCol w:w="262"/>
        <w:gridCol w:w="953"/>
        <w:gridCol w:w="135"/>
        <w:gridCol w:w="109"/>
        <w:gridCol w:w="109"/>
        <w:gridCol w:w="109"/>
        <w:gridCol w:w="803"/>
        <w:gridCol w:w="2001"/>
        <w:gridCol w:w="416"/>
        <w:gridCol w:w="109"/>
        <w:gridCol w:w="109"/>
        <w:gridCol w:w="109"/>
        <w:gridCol w:w="315"/>
        <w:gridCol w:w="1145"/>
        <w:gridCol w:w="162"/>
        <w:gridCol w:w="109"/>
        <w:gridCol w:w="109"/>
        <w:gridCol w:w="109"/>
        <w:gridCol w:w="211"/>
        <w:gridCol w:w="766"/>
        <w:gridCol w:w="109"/>
        <w:gridCol w:w="109"/>
        <w:gridCol w:w="160"/>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1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054" w:type="dxa"/>
        <w:jc w:val="left"/>
        <w:tblInd w:w="0" w:type="dxa"/>
        <w:tblLayout w:type="fixed"/>
        <w:tblCellMar>
          <w:top w:w="28" w:type="dxa"/>
          <w:left w:w="28" w:type="dxa"/>
          <w:bottom w:w="28" w:type="dxa"/>
          <w:right w:w="28" w:type="dxa"/>
        </w:tblCellMar>
      </w:tblPr>
      <w:tblGrid>
        <w:gridCol w:w="380"/>
        <w:gridCol w:w="333"/>
        <w:gridCol w:w="337"/>
        <w:gridCol w:w="271"/>
        <w:gridCol w:w="984"/>
        <w:gridCol w:w="140"/>
        <w:gridCol w:w="109"/>
        <w:gridCol w:w="109"/>
        <w:gridCol w:w="109"/>
        <w:gridCol w:w="890"/>
        <w:gridCol w:w="2218"/>
        <w:gridCol w:w="462"/>
        <w:gridCol w:w="109"/>
        <w:gridCol w:w="109"/>
        <w:gridCol w:w="109"/>
        <w:gridCol w:w="332"/>
        <w:gridCol w:w="1206"/>
        <w:gridCol w:w="171"/>
        <w:gridCol w:w="109"/>
        <w:gridCol w:w="109"/>
        <w:gridCol w:w="109"/>
        <w:gridCol w:w="211"/>
        <w:gridCol w:w="766"/>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Debt Discounts and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for the 2026 Notes and the 2030 Notes is 1.5% and 5.4%, respectively. The components of interest expense related to the 2026 Notes and the 2030 Notes were as follows (in millions):</w:t>
      </w:r>
    </w:p>
    <w:tbl>
      <w:tblPr>
        <w:tblW w:w="10205" w:type="dxa"/>
        <w:jc w:val="left"/>
        <w:tblInd w:w="0" w:type="dxa"/>
        <w:tblLayout w:type="fixed"/>
        <w:tblCellMar>
          <w:top w:w="28" w:type="dxa"/>
          <w:left w:w="28" w:type="dxa"/>
          <w:bottom w:w="28" w:type="dxa"/>
          <w:right w:w="28" w:type="dxa"/>
        </w:tblCellMar>
      </w:tblPr>
      <w:tblGrid>
        <w:gridCol w:w="1651"/>
        <w:gridCol w:w="1452"/>
        <w:gridCol w:w="1460"/>
        <w:gridCol w:w="299"/>
        <w:gridCol w:w="727"/>
        <w:gridCol w:w="154"/>
        <w:gridCol w:w="154"/>
        <w:gridCol w:w="154"/>
        <w:gridCol w:w="154"/>
        <w:gridCol w:w="299"/>
        <w:gridCol w:w="577"/>
        <w:gridCol w:w="154"/>
        <w:gridCol w:w="109"/>
        <w:gridCol w:w="109"/>
        <w:gridCol w:w="109"/>
        <w:gridCol w:w="272"/>
        <w:gridCol w:w="662"/>
        <w:gridCol w:w="140"/>
        <w:gridCol w:w="140"/>
        <w:gridCol w:w="140"/>
        <w:gridCol w:w="140"/>
        <w:gridCol w:w="272"/>
        <w:gridCol w:w="662"/>
        <w:gridCol w:w="215"/>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discounts and debt issuance costs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2030 Notes and Capped Call Transactions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Company issued an aggregate of $1,100.0 million principal amount of 5.00% convertible senior notes due in April 2030 in a private offering to qualified institutional buyers pursuant to Rule 144A under the Securities Act of 1933, as amended, at an issuance price equal to 100.0% of the principal amount of the 2030 Notes. The 2030 Notes were issued pursuant to and are governed by an indenture dated April 8, 2025, between the Company and U.S. Bank Trust Company, National Association as the trustee. The proceeds from the issuance of the 2030 Notes were $1,081.8 million, net of the debt issuance costs. Contemporaneously with the 2030 Notes offering, the Company entered into privately negotiated transactions with certain holders of the 2026 Notes to repurchase $1,052.5 million aggregate principal amount of the 2026 Notes, using $931.4 million of the net proceeds of the 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2030 Notes are unsecured obligations which bear regular interest at 5.00% per annum and are payable semi-annually in arrears on April 1 and October 1 of each year, beginning on October 1, 2025. The 2030 Notes will mature on April 1, 2030, unless repurchased, redeemed, or converted in accordance with their terms prior to such date. The 2030 Notes are convertible into cash, shares of the Company’s common stock, or a combination of cash and shares of the Company’s common stock, at the Company’s election, at an initial conversion rate of 33.3333 shares of the Company’s common stock per $1,000 principal amount of the 2030 Notes, which is equivalent to an initial conversion price of approximately $30.00 per share of the Company’s common stock. The conversion rate and conversion price will be subject to customary adjustments upon the occurrence of certain events, including a reverse stock split. The Company may redeem for cash all or any portion of the 2030 Notes, at the Company’s option, on or after April 6, 2028 if the last reported sale price of the Company’s common stock has been at least 130% of the conversion price then in effect for at least 20 trading days at a redemption price equal to 100% of the principal amount of the 2030 Notes to be redeemed, plus accrued and unpaid interest up to the day before the redemption date. The holders may require the Company to repurchase the 2030 Notes upon the occurrence of certain fundamental change transactions at a redemption price equal to 100% of the principal amount of the 2030 Notes redeemed, plus accrued and unpaid interest up to the day before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2030 Notes may convert all or a portion of their 2030 Notes at their option prior to January 1, 2030,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June 30, 2025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2030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January 1, 2030, the 2030 Notes are convertible at any time until the close of business on the second scheduled trading day immediately preceding the maturity date. Holders of the 2030 Notes who convert the 2030 Notes in connection with a make-whole fundamental change, as defined in the indenture governing the 2030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2030 Notes were not eligible for conversion as of September 30, 2025. No sinking fund is provided for the 2030 Notes, which means that the Company is not required to redeem or retire them periodically. As of September 30, 2025, the Company was in compliance with applicable covenants under the indentures governing the 2030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the Company paid $118.3 million to enter into privately negotiated capped call transactions (the “Capped Call Transactions”) with certain financial institutions. The Capped Call Transactions cover, subject to anti-dilution adjustments, the number of shares of the Company’s common stock initially underlying the 2030 Notes. The Capped Call Transactions have an expiration date of April 1, 2030.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the Capped Call Transactions generally would reduce the potential dilution to the Company’s common stock upon conversion of the notes and/or offset any cash payments that the Company could be required to make in excess of the principal amount of any converted notes, as the case may be, in the event that the market price per share of Lucid’s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the Company’s common stock. The initial cap price of the Capped Call Transactions was $48.00 per share of the Company’s common stock and is subject to customary anti-dilution adjustments.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separate transactions, entered into by the Company with certain financial institutions, and were not part of the terms of the 2030 Notes. Holders of the 2030 Notes will not have any rights with respect to the Capped Call Transactions. The Company recorded the Capped Call Transactions as a reduction to additional paid-in capital in the condensed consolidated balance sheet as of September 30, 2025, with no remeasurement in subsequent periods as they meet the conditions for equity classification.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Ayar Prepaid Forward Transaction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pricing of the 2030 Notes, Ayar entered into a privately negotiated prepaid forward transaction with a forward counterparty that is an affiliate of one of the initial purchasers of the 2030 Notes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not a party to the prepaid forward transaction. In connection with Ayar agreeing to enter into and fund the prepaid forward transaction, the Company has agreed to pay a periodic cash fee to Ayar, which shall initially accrue at a rate of 0.5% per annum on the amount of prepaid forward transaction and be recalculated to reflect any early settlement of the prepaid forward transaction. The periodic fee incurred associated with the prepaid forward transaction was not material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issued an aggregate of $2,012.5 million principal amount of 1.25% convertible senior notes due in December 2026 in a private offering to qualified institutional buyers pursuant to Rule 144A under the Securities Act of 1933, as amended, at an issuance price equal to 99.5% of the principal amount of 2026 Notes. The Company has designated the 2026 Notes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are unsecured obligations which bear regular interest at 1.25% per annum and are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the Company’s common stock, or a combination of cash and shares of the Company’s common stock, at the Company’s election, at an initial conversion rate of 1.8255 shares of the Company’s common stock per $1,000 principal amount of 2026 Notes, which is equivalent to an initial conversion price of approximately $547.80 per share of the Company’s common stock. The conversion rate and conversion price will be subject to customary adjustments upon the occurrence of certain events, including a reverse stock split. The Company may redeem for cash all or any portion of the 2026 Notes, at the Company’s option, on or after December 20, 2024 if the last reported sale price of the Company’s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Holders of the 2026 Notes may convert all or a portion of their 2026 Notes at their option prior to September 15, 2026, in multiples of $1,000 principal amounts, only under the following circumstances: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any calendar quarter commencing after the quarter ended on March 31, 2022 (and only during such calendar quarter), if the Company’s common stock price exceeds 130% of the conversion price for at least 20 trading days during the 30 consecutive trading days at the end of the prior calendar quarter;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upon the occurrence of specified corporate events; or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if the Company calls any or all 2026 Notes for redemption, at any time prior to the close of business on the scheduled trading day immediately preceding the redemption date, but only with respect to the notes called for redemption.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contemporaneously with the 2030 Notes offering, the Company repurchased $1,052.5 million aggregate principal amount of the 2026 Notes, using $931.4 million of the net proceeds of the 2030 Notes. The repurchases of the 2026 Notes were accounted for as a debt extinguishment. The difference between the consideration paid to repurchase a portion of the 2026 Notes principal amount and the then carrying value of the 2026 Notes resulted in a gain of $116.4 million, and was recorded within gain on extinguishment of debt in the condensed consolidated statement of operations and comprehensive loss during the nine months ended September 30, 2025. Following the redemption, the Company’s outstanding principal balance of the 2026 Notes was $960.0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2026 Notes were not eligible for conversion as of September 30, 2025 and December 31, 2024. No sinking fund is provided for the 2026 Notes, which means that the Company is not required to redeem or retire them periodically. As of September 30, 2025 and December 31, 2024, the Company was in compliance with applicable covenants under the indentures governing the 2026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entered into a loan agreement (as subsequently amended, the “SIDF Loan Agreement”) with SIDF, a related party of the PIF, which is an affiliate of Ayar. Under the SIDF Loan Agreement, SIDF has committed to provide loans (the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the Company or any of its other subsidiaries.</w:t>
      </w:r>
    </w:p>
    <w:p>
      <w:pPr>
        <w:pStyle w:val="TextBody"/>
        <w:bidi w:val="0"/>
        <w:spacing w:lineRule="auto" w:line="288" w:before="240" w:after="283"/>
        <w:jc w:val="left"/>
        <w:rPr/>
      </w:pPr>
      <w:r>
        <w:rPr>
          <w:rFonts w:ascii="Times New Roman;serif" w:hAnsi="Times New Roman;serif"/>
          <w:b w:val="false"/>
          <w:color w:val="000000"/>
          <w:sz w:val="20"/>
        </w:rPr>
        <w:t xml:space="preserve">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w:t>
      </w:r>
      <w:r>
        <w:rPr>
          <w:rFonts w:ascii="Times New Roman;serif" w:hAnsi="Times New Roman;serif"/>
          <w:b w:val="false"/>
          <w:color w:val="242424"/>
          <w:sz w:val="20"/>
          <w:shd w:fill="FFFFFF" w:val="clear"/>
        </w:rPr>
        <w:t>equipment, machines and assets funded thereby.</w:t>
      </w:r>
    </w:p>
    <w:p>
      <w:pPr>
        <w:pStyle w:val="TextBody"/>
        <w:bidi w:val="0"/>
        <w:spacing w:lineRule="auto" w:line="288" w:before="240" w:after="283"/>
        <w:jc w:val="left"/>
        <w:rPr/>
      </w:pPr>
      <w:r>
        <w:rPr>
          <w:rFonts w:ascii="Times New Roman;serif" w:hAnsi="Times New Roman;serif"/>
          <w:b w:val="false"/>
          <w:color w:val="000000"/>
          <w:sz w:val="20"/>
        </w:rPr>
        <w:t xml:space="preserve">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the King Abdullah Economic City (“KAEC”), and drawdowns under the SIDF Loan Agreement are subject to certain conditions precedent. </w:t>
      </w:r>
      <w:r>
        <w:rPr>
          <w:rFonts w:ascii="Times New Roman;serif" w:hAnsi="Times New Roman;serif"/>
          <w:b w:val="false"/>
          <w:color w:val="242424"/>
          <w:sz w:val="20"/>
          <w:shd w:fill="FFFFFF" w:val="clear"/>
        </w:rPr>
        <w:t xml:space="preserve">As of </w:t>
      </w:r>
      <w:r>
        <w:rPr>
          <w:rFonts w:ascii="Times New Roman;serif" w:hAnsi="Times New Roman;serif"/>
          <w:b w:val="false"/>
          <w:color w:val="000000"/>
          <w:sz w:val="20"/>
        </w:rPr>
        <w:t>September 30, 2025 and December 31, 2024</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w:t>
      </w:r>
      <w:r>
        <w:rPr>
          <w:color w:val="B6B6B6"/>
        </w:rPr>
        <w:t xml:space="preserve"> </w:t>
      </w:r>
      <w:r>
        <w:rPr>
          <w:rFonts w:ascii="Times New Roman;serif" w:hAnsi="Times New Roman;serif"/>
          <w:b w:val="false"/>
          <w:color w:val="000000"/>
          <w:sz w:val="20"/>
          <w:shd w:fill="FFFFFF" w:val="clear"/>
        </w:rPr>
        <w:t>amount</w:t>
      </w:r>
      <w:r>
        <w:rPr>
          <w:color w:val="242424"/>
          <w:shd w:fill="FFFFFF" w:val="clear"/>
        </w:rPr>
        <w:t xml:space="preserve"> </w:t>
      </w:r>
      <w:r>
        <w:rPr>
          <w:rFonts w:ascii="Times New Roman;serif" w:hAnsi="Times New Roman;serif"/>
          <w:b w:val="false"/>
          <w:color w:val="242424"/>
          <w:sz w:val="20"/>
          <w:shd w:fill="FFFFFF" w:val="clear"/>
        </w:rPr>
        <w:t>was outstanding under the SIDF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242424"/>
          <w:sz w:val="20"/>
          <w:shd w:fill="FFFFFF" w:val="clear"/>
        </w:rPr>
      </w:pPr>
      <w:r>
        <w:rPr>
          <w:rFonts w:ascii="Times New Roman;serif" w:hAnsi="Times New Roman;serif"/>
          <w:b/>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SAR 650 million (approximately $173.0 million) under the GIB Facility Agreement was available as the Bridge Facility for the financing of Lucid LLC’s capital expenditures in connection with AMP-2. The remaining SAR 350 million (approximately $93.1 million) was available as the Working Capital Facility and might be used for general corporate purposes. 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the Company was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The Company is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commitment fees for the three and nine months ended September 30, 2025 and 2024 were not material. 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outstanding borrowings of SAR 1,175.0 million (approximately $313.3 million) and SAR 475.0 million (approximately $126.4 million), respectively. The outstanding borrowings were recorded within other current liabilities in the condensed consolidated balance sheets. The weighted average interest rate on the outstanding borrowings was 6.80% and 7.04% as of September 30, 2025 and December 31, 2024, respectively. As of September 30, 2025 and December 31, 2024, availability under the GIB credit facility was SAR 723.5 million (approximately $192.9 million) and SAR 523.2 million (approximately $139.2 million), respectively, after giving effect to the outstanding letters of credit. The Company recorded interest expense of SAR 18.7 million (approximately $5.0 million) and SAR 41.6 million (approximately $11.1 million) during the three and nine months ended September 30, 2025, respectively, and SAR 4.1 million (approximately $1.1 million) and SAR 14.2 million (approximately $3.8 million) for the same periods in the prior year, respectively. As of September 30, 2025 and December 31, 2024, the Company was in compliance with applicable covenants under the GIB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2022, the Company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In June 2024, the Company amended the ABL Credit Facility to update the Canadian reference rate. Availability under the ABL Credit Facility is subject to the value of eligible assets in the borrowing base and is reduced by outstanding loan borrowings and issuances of letters of credit which bear customary letter of credit fees. Subject to certain terms and conditions, the Company may request one or more increases in the amount of credit commitments under the ABL Credit Facility in an aggregate amount up to the sum of $500.0 million plus certain other amounts. The Company is required to pay a quarterly commitment fee of 0.25% per annum based on the unutilized portion of the ABL Credit Facility.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the Company’s option following satisfaction of certain pre-conditions, may be replaced with a springing, minimum fixed charge coverage ratio financial covenant, in each case on terms set forth in the credit agreement governing the ABL Credit Facility. As of September 30, 2025 and December 31, 2024, the Company was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no outstanding borrowings under the ABL Credit Facility. Outstanding letters of credit under the ABL Credit Facility were $102.3 million and $56.9 million as of September 30, 2025 and December 31, 2024, respectively. Availability under the ABL Credit Facility was $471.1 million (including $197.3 million cash and cash equivalents) and $354.9 million (including $191.1 million cash and cash equivalents) as of September 30, 2025 and December 31, 2024, respectively, after giving effect to the borrowing base and the outstanding letters of credit. The Company incurred issuance costs of $6.3 million to obtain the ABL Credit Facility, which was capitalized within other noncurrent assets in the condensed consolidated balance sheets and amortized over the facility term using the straight-line method. Commitment fee and amortization of the deferred issuance costs were $0.9 million and $2.7 million for the three and nine months ended September 30, 2025, respectively, and $1.0 million and $2.8 million for the same periods in the prior year,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 The Company is required to pay a quarterly undrawn fee of 0.50% per annum based on the unutilized portion of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the ability of the Company and its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September 30, 2025 and December 31, 2024, the Company was in compliance with applicable covenants under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no outstanding borrowings under the DDTL Credit Facility. The Company incurred issuance costs of $6.2 million to obtain the DDTL Credit Facility, which was capitalized within other noncurrent assets in the condensed consolidated balance sheet and amortized over the facility term using the straight-line method. Commitment fee and amortization of the deferred issuance costs were $1.3 million and $3.8 million for the three and nine months ended September 30, 2025, respectively, and were not material for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COMMON STOCK WARRANT LIABILITY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23, 2021, in connection with the merger, the Company effectively issued 44,350,000 Private Placement Warrants. Following the Reverse Stock Split, every ten Private Placement Warrants may be exercised to purchase one share of the Company’s common stock for an aggregate exercise price of $115.00. The Private Placement Warrants were initially recorded as long-term liabilities in the condensed consolidated balance sheets at a fair value of $812.0 million, and were remeasured to a fair value of $19.5 million as of December 31, 2024. The Private Placement Warrants remained unexercised and were remeasured to a fair value of $0.9 million, which was recorded within other current liabilities as of September 30, 2025. The Company recognized gains of $0.4 million and $18.6 million for the three and nine months ended September 30, 2025, respectively, and a loss of $13.7 million and a gain of $20.8 million for the same periods in the prior year, respectively, in the condensed consolidated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Private Placement Warrants that are not subject to the contingent forfeiture provisions was estimated using a Black-Scholes option pricing model, and was as follows:</w:t>
      </w:r>
    </w:p>
    <w:p>
      <w:pPr>
        <w:pStyle w:val="TextBody"/>
        <w:bidi w:val="0"/>
        <w:spacing w:before="0" w:after="0"/>
        <w:jc w:val="both"/>
        <w:rPr/>
      </w:pPr>
      <w:r>
        <w:rPr/>
      </w:r>
    </w:p>
    <w:tbl>
      <w:tblPr>
        <w:tblW w:w="9352" w:type="dxa"/>
        <w:jc w:val="left"/>
        <w:tblInd w:w="0" w:type="dxa"/>
        <w:tblLayout w:type="fixed"/>
        <w:tblCellMar>
          <w:top w:w="28" w:type="dxa"/>
          <w:left w:w="28" w:type="dxa"/>
          <w:bottom w:w="28" w:type="dxa"/>
          <w:right w:w="28" w:type="dxa"/>
        </w:tblCellMar>
      </w:tblPr>
      <w:tblGrid>
        <w:gridCol w:w="2031"/>
        <w:gridCol w:w="1786"/>
        <w:gridCol w:w="1792"/>
        <w:gridCol w:w="109"/>
        <w:gridCol w:w="109"/>
        <w:gridCol w:w="109"/>
        <w:gridCol w:w="392"/>
        <w:gridCol w:w="949"/>
        <w:gridCol w:w="204"/>
        <w:gridCol w:w="109"/>
        <w:gridCol w:w="109"/>
        <w:gridCol w:w="109"/>
        <w:gridCol w:w="372"/>
        <w:gridCol w:w="901"/>
        <w:gridCol w:w="271"/>
      </w:tblGrid>
      <w:tr>
        <w:trPr/>
        <w:tc>
          <w:tcPr>
            <w:tcW w:w="203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Private Placement Warrants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Assumptions used in the Black-Scholes option pricing model take into account the contract terms as well as the quoted price of the Company’s common stock in an active market. The volatility is based on the Company’s historical volatility. The expected life is based on the remaining contractual term of the warrants, and the risk-free interest rate is based on the implied yield available on U.S. Treasury securities with a maturity equivalent to the warrants’ expected life. The level 3 fair value inputs used in the Black-Scholes option pricing models were as follows:</w:t>
      </w:r>
    </w:p>
    <w:tbl>
      <w:tblPr>
        <w:tblW w:w="5829" w:type="dxa"/>
        <w:jc w:val="left"/>
        <w:tblInd w:w="0" w:type="dxa"/>
        <w:tblLayout w:type="fixed"/>
        <w:tblCellMar>
          <w:top w:w="28" w:type="dxa"/>
          <w:left w:w="28" w:type="dxa"/>
          <w:bottom w:w="28" w:type="dxa"/>
          <w:right w:w="28" w:type="dxa"/>
        </w:tblCellMar>
      </w:tblPr>
      <w:tblGrid>
        <w:gridCol w:w="756"/>
        <w:gridCol w:w="662"/>
        <w:gridCol w:w="667"/>
        <w:gridCol w:w="109"/>
        <w:gridCol w:w="109"/>
        <w:gridCol w:w="109"/>
        <w:gridCol w:w="344"/>
        <w:gridCol w:w="344"/>
        <w:gridCol w:w="857"/>
        <w:gridCol w:w="109"/>
        <w:gridCol w:w="109"/>
        <w:gridCol w:w="109"/>
        <w:gridCol w:w="314"/>
        <w:gridCol w:w="314"/>
        <w:gridCol w:w="917"/>
      </w:tblGrid>
      <w:tr>
        <w:trPr/>
        <w:tc>
          <w:tcPr>
            <w:tcW w:w="75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2024, the Company entered into the Series A Subscription Agreement with Ayar. Pursuant to the Series A Subscription Agreement, Ayar agreed to purchase from the Company 100,000 shares of the Series A Redeemable Convertible Preferred Stock for an aggregate purchase price of $1.0 billion in a private placement. Subsequently, in March 2024, the Company issued the shares to Ayar pursuant to the Series A Subscription Agreement and received aggregate gross proceeds of $1.0 billion.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2024, the Company entered into the Series B Subscription Agreement with Ayar. Pursuant to the Series B Subscription Agreement, Ayar agreed to purchase from the Company 75,000 shares of the Series B Redeemable Convertible Preferred Stock for an aggregate purchase price of $750.0 million in a private placement. Subsequently, in August 2024, the Company issued the shares to Ayar pursuant to the Series B Subscription Agreement and received aggregate gross proceeds of $750.0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the Series A Redeemable Convertible Preferred Stock and the Series B Redeemable Convertible Preferred Stock were issued pursuant to the Series A Certificate of Designations and the Series B Certificate of Designations (the “Certificate of Designations”), respectively. Pursuant to the Series A Subscription Agreement and the Series B Subscription Agreement, Ayar has agreed, with certain exceptions, that without prior written consent of the Company, it will not sell or transfer the Redeemable Convertible Preferred Stock for the twelve months after the date of the closing of the respective private placement. </w:t>
      </w:r>
    </w:p>
    <w:p>
      <w:pPr>
        <w:pStyle w:val="TextBody"/>
        <w:bidi w:val="0"/>
        <w:spacing w:lineRule="auto" w:line="288" w:before="240" w:after="283"/>
        <w:jc w:val="left"/>
        <w:rPr/>
      </w:pPr>
      <w:r>
        <w:rPr>
          <w:rFonts w:ascii="Times New Roman;serif" w:hAnsi="Times New Roman;serif"/>
          <w:b/>
          <w:i/>
          <w:color w:val="000000"/>
          <w:sz w:val="20"/>
        </w:rPr>
        <w:t>Dividends:</w:t>
      </w:r>
      <w:r>
        <w:rPr>
          <w:color w:val="000000"/>
        </w:rPr>
        <w:t xml:space="preserve"> </w:t>
      </w:r>
      <w:r>
        <w:rPr>
          <w:rFonts w:ascii="Times New Roman;serif" w:hAnsi="Times New Roman;serif"/>
          <w:b w:val="false"/>
          <w:color w:val="000000"/>
          <w:sz w:val="20"/>
        </w:rPr>
        <w:t xml:space="preserve">The Redeemable Convertible Preferred Stock ranks senior to the common stock with respect to dividends and distributions of assets upon the Company’s liquidation, dissolution or winding up. The Redeemable Convertible Preferred Stock has an initial value of $10,000 per share (the “Initial Value” and the Initial Value plus compounded and accrued dividends, the “Accrued Value”). Dividends on the Redeemable Convertible Preferred Stock are payable in the form of compounded cumulative dividends upon each share of the Redeemable Convertible Preferred Stock (paid-in-kind). Dividends accrue daily on the Initial Value (as increased for any compounded dividends previously compounded thereon) of each share of the Redeemable Convertible Preferred Stock at a rate of 9% per annum and compound on the basis of quarterly dividend payment dates on each March 31, June 30, September 30 and December 31 of each year, commencing June 30, 2024 for the Series A Redeemable Convertible Preferred Stock and September 30, 2024 for the Series B Redeemable Convertible Preferred Stock. </w:t>
      </w:r>
    </w:p>
    <w:p>
      <w:pPr>
        <w:pStyle w:val="TextBody"/>
        <w:bidi w:val="0"/>
        <w:spacing w:lineRule="auto" w:line="288" w:before="240" w:after="283"/>
        <w:jc w:val="left"/>
        <w:rPr/>
      </w:pPr>
      <w:r>
        <w:rPr>
          <w:rFonts w:ascii="Times New Roman;serif" w:hAnsi="Times New Roman;serif"/>
          <w:b/>
          <w:i/>
          <w:color w:val="000000"/>
          <w:sz w:val="20"/>
        </w:rPr>
        <w:t>Liquidation Preference:</w:t>
      </w:r>
      <w:r>
        <w:rPr>
          <w:color w:val="000000"/>
        </w:rPr>
        <w:t xml:space="preserve"> </w:t>
      </w:r>
      <w:r>
        <w:rPr>
          <w:rFonts w:ascii="Times New Roman;serif" w:hAnsi="Times New Roman;serif"/>
          <w:b w:val="false"/>
          <w:color w:val="000000"/>
          <w:sz w:val="20"/>
        </w:rPr>
        <w:t>Upon a liquidation, dissolution or winding up of the Company, each holder of shares of the Redeemable Convertible Preferred Stock (“Holder”) will be entitled to receive, with respect to each share of then-outstanding Redeemable Convertible Preferred Stock, out of the assets of the Company available for distribution to its stockholders an amount in cash equal to the greater of (a) an amount per share of the Redeemable Convertible Preferred Stock as of the date of such liquidation, dissolution or winding up equal to (i) the per share Accrued Value as of the relevant date multiplied by (ii) the relevant percentage (the product of (i) and (ii), the “Minimum Consideration”); and (b) the amount that such Holder would have received with respect to such share of the Redeemable Convertible Preferred Stock if all shares of the Redeemable Convertible Preferred Stock had been converted at their Accrued Value into shares of common stock on the business day immediately prior to the date of such liquidation, dissolution or winding up. As of September 30, 2025 and December 31, 2024, the liquidation preference of the Series A Redeemable Convertible Preferred Stock was $1,294.2 million and $1,138.8 million, respectively. As of September 30, 2025 and December 31, 2024, the liquidation preference of the Series B Redeemable Convertible Preferred Stock was $909.1 million and $800.4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 xml:space="preserve">Voting Rights: </w:t>
      </w:r>
      <w:r>
        <w:rPr>
          <w:rFonts w:ascii="Times New Roman;serif" w:hAnsi="Times New Roman;serif"/>
          <w:b w:val="false"/>
          <w:color w:val="000000"/>
          <w:sz w:val="20"/>
        </w:rPr>
        <w:t>Each Holder is entitled to the number of votes equal to the number of whole shares of common stock into which the aggregate shares of the Redeemable Convertible Preferred Stock held by such Holder are convertible on the record date for determining stockholders entitled to vote on any matter presented to the stockholders of the Company for their action or consideration at any meeting of stockholders and on which matter holders of the common stock shall be entitled to vote. Holders are entitled to notice of any meeting of stockholders and, except as otherwise provided in the Certificate of Designations or otherwise required by law, to vote together as a single class with the holders of the common stock and any other class or series of stock entitled to vote thereon. The voting power of Holders is subject to a voting cap per share equal to the quotient of the $10,000 Initial Value and the minimum price ($27.70 for the Series A Redeemable Convertible Preferred Stock and $31.20 for the Series B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long as at least 10% of the aggregate number of shares issued on the respective initial issue date remain outstanding, and subject to certain other conditions, Holders are entitled to a separate class vote with respect to, among other things, amendments to the Company’s organizational documents that have an adverse effect on the Redeemable Convertible Preferred Stock, authorizations or issuances by the Company of capital stock of the Company that ranks senior or equal to the Redeemable Convertible Preferred Stock with respect to dividends or distributions on liquidation or the terms of which provide for cash dividends (other than the common stock), winding-up and dissolution, and decreases in the number of authorized shares of the Redeemable Convertible Preferred Stock. The Company also agreed that as long as Ayar owns at least 50% of the shares issued on the respective initial issue date, the Company will comply with certain debt incurrence covenants in its Credit Agreement, dated as of June 9, 2022, by and among the Company, as the Borrower Representative, the other Borrowers party thereto from time-to-time, the Lenders and Issuing Banks from time-to-time party thereto and Bank of America, N.A., as Administrative Agent, as amended, which agreement may be waived with the sole consent of Ayar.</w:t>
      </w:r>
    </w:p>
    <w:p>
      <w:pPr>
        <w:pStyle w:val="TextBody"/>
        <w:bidi w:val="0"/>
        <w:spacing w:lineRule="auto" w:line="288" w:before="240" w:after="283"/>
        <w:jc w:val="left"/>
        <w:rPr/>
      </w:pPr>
      <w:r>
        <w:rPr>
          <w:rFonts w:ascii="Times New Roman;serif" w:hAnsi="Times New Roman;serif"/>
          <w:b/>
          <w:i/>
          <w:color w:val="000000"/>
          <w:sz w:val="20"/>
        </w:rPr>
        <w:t>Conversion:</w:t>
      </w:r>
      <w:r>
        <w:rPr>
          <w:color w:val="000000"/>
        </w:rPr>
        <w:t xml:space="preserve"> </w:t>
      </w:r>
      <w:r>
        <w:rPr>
          <w:rFonts w:ascii="Times New Roman;serif" w:hAnsi="Times New Roman;serif"/>
          <w:b w:val="false"/>
          <w:color w:val="000000"/>
          <w:sz w:val="20"/>
        </w:rPr>
        <w:t xml:space="preserve">Each share of the Redeemable Convertible Preferred Stock is convertible, at the option of the respective Holder, from time-to-time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$55.00 (subject to certain adjustments),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 which shall initially be $35.9520 for the Series A Redeemable Convertible Preferred Stock and $43.7990 for the Series B Redeemable Convertible Preferred Stock, subject to customary anti-dilution adjustments, including in the event of any stock split, stock dividend, recapitalization or similar events (the “Conversion Price”). </w:t>
      </w:r>
    </w:p>
    <w:p>
      <w:pPr>
        <w:pStyle w:val="TextBody"/>
        <w:bidi w:val="0"/>
        <w:spacing w:lineRule="auto" w:line="288" w:before="240" w:after="283"/>
        <w:jc w:val="left"/>
        <w:rPr/>
      </w:pPr>
      <w:r>
        <w:rPr>
          <w:rFonts w:ascii="Times New Roman;serif" w:hAnsi="Times New Roman;serif"/>
          <w:b/>
          <w:i/>
          <w:color w:val="000000"/>
          <w:sz w:val="20"/>
        </w:rPr>
        <w:t xml:space="preserve">Mandatory Conversion: </w:t>
      </w:r>
      <w:r>
        <w:rPr>
          <w:rFonts w:ascii="Times New Roman;serif" w:hAnsi="Times New Roman;serif"/>
          <w:b w:val="false"/>
          <w:color w:val="000000"/>
          <w:sz w:val="20"/>
        </w:rPr>
        <w:t>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certain common stock liquidity conditions are satisfied, the Company will have the right, exercisable at its election within fifteen (15) business days following completion of the applicable thirty (30) trading day period, to cause all or any portion of the Redeemable Convertible Preferred Stock to convert into a number of fully paid and non-assessable shares of common stock, as determined by dividing (i) the applicable Accrued Value as of the conversion date by (ii) the Conversion Price in effect as of such conversion date. The Company will be required to pay an additional amount per share of the Redeemable Convertible Preferred Stock payable in cash, shares of common stock valued based on a five-day average daily VWAP or a combination thereof in respect of such conversion equal to the greater of (x) the difference between (i) the Minimum Consideration and (ii) the value of the shares of common stock delivered upon mandatory conversion thereof and (y) zero.</w:t>
      </w:r>
    </w:p>
    <w:p>
      <w:pPr>
        <w:pStyle w:val="TextBody"/>
        <w:bidi w:val="0"/>
        <w:spacing w:lineRule="auto" w:line="288" w:before="240" w:after="283"/>
        <w:jc w:val="left"/>
        <w:rPr/>
      </w:pPr>
      <w:r>
        <w:rPr>
          <w:rFonts w:ascii="Times New Roman;serif" w:hAnsi="Times New Roman;serif"/>
          <w:b/>
          <w:i/>
          <w:color w:val="000000"/>
          <w:sz w:val="20"/>
        </w:rPr>
        <w:t xml:space="preserve">Fundamental Change: </w:t>
      </w:r>
      <w:r>
        <w:rPr>
          <w:rFonts w:ascii="Times New Roman;serif" w:hAnsi="Times New Roman;serif"/>
          <w:b w:val="false"/>
          <w:color w:val="000000"/>
          <w:sz w:val="20"/>
        </w:rPr>
        <w:t xml:space="preserve">Upon a fundamental change, the Holders will be entitled, on the fundamental change repurchase date specified by the Company, to receive an amount equal to the greater of (a) the Minimum Consideration and (b) an amount equal to the value that such Holder would have received if it had converted its shares of the Redeemable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are not satisfied. </w:t>
      </w:r>
    </w:p>
    <w:p>
      <w:pPr>
        <w:pStyle w:val="TextBody"/>
        <w:bidi w:val="0"/>
        <w:spacing w:lineRule="auto" w:line="288" w:before="240" w:after="283"/>
        <w:jc w:val="left"/>
        <w:rPr/>
      </w:pPr>
      <w:r>
        <w:rPr>
          <w:rFonts w:ascii="Times New Roman;serif" w:hAnsi="Times New Roman;serif"/>
          <w:b/>
          <w:i/>
          <w:color w:val="000000"/>
          <w:sz w:val="20"/>
        </w:rPr>
        <w:t xml:space="preserve">Optional Redemption: </w:t>
      </w:r>
      <w:r>
        <w:rPr>
          <w:rFonts w:ascii="Times New Roman;serif" w:hAnsi="Times New Roman;serif"/>
          <w:b w:val="false"/>
          <w:color w:val="000000"/>
          <w:sz w:val="20"/>
        </w:rPr>
        <w:t>On or after the fifth anniversary of the initial issue date, the Company may redeem all or any portion of the Redeemable Convertible Preferred Stock at a redemption price per share equal to the greater of (a) the Minimum Consideration and (b) an amount equal to the value (calculated based on a twenty (20)-day average daily VWAP) of the number of shares of common stock if it had converted its shares of the Redeemable Convertible Preferred Stock into shares of common stock as of the redemption date. Such redemption price may be paid in cash, shares of common stock valued based on a twenty (20)-day average daily VWAP, or a combination thereof, at the Company’s election. The Company may not pay any portion of such redemption price in shares of common stock if the common stock liquidity conditions are not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the Redeemable Convertible Preferred Stock is callable after five years at the Company’s option, the Redeemable Convertible Preferred Stock is considered redeemable at the option of Ayar and was classified as mezzanine equity, because it is the majority shareholder of the Company. The Company recorded the Series A Redeemable Convertible Preferred Stock initially at its issuance price, net of issuance costs of $2.4 million and net of the initial value of the bifurcated derivative liability of $497.1 million. The Company also recorded the Series B Redeemable Convertible Preferred Stock initially at its issuance price, net of issuance costs of $0.6 million and net of the initial value of the bifurcated derivative liability of $297.7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accretes the Redeemable Convertible Preferred Stock to its redemption value, which is greater of (a) the Minimum Consideration and (b) an amount equal to the value that such Holder would have received if it had converted its shares of the Redeemable Convertible Preferred Stock into shares of common stock as of the Redemption Date. In certain circumstances, the redemption price may vary based on changes in stock price, in which case the Company recognizes changes in the redemption value immediately as they occur and adjust the carrying value of the security to equal the then current maximum redemption value at the end of each reporting period. The Company recorded accretion of $25.3 million and $379.9 million related to the Series A Redeemable Convertible Preferred Stock during the three and nine months ended September 30, 2025, respectively, and net negative accretion of $59.4 million and accretion of $91.3 million for the same periods in the prior year, respectively. The Company recorded accretion of $30.8 million and $241.0 million related to the Series B Redeemable Convertible Preferred Stock during the three and nine months ended September 30, 2025, respectively, and $16.6 million for the same periods in the prior year. Accretion of the Redeemable Convertible Preferred Stock was reflected as adjustments to additional paid-in capital in the condensed consolidated balance sheets as of September 30, 2025 and December 31, 2024. The carrying value of the Series A Redeemable Convertible Preferred Stock was $1,109.9 million and $730.0 million as of September 30, 2025 and December 31, 2024, respectively. The carrying value of the Series B Redeemable Convertible Preferred Stock was $810.8 million and $569.8 million as of September 30, 2025 and December 31, 2024, respectively.</w:t>
      </w:r>
    </w:p>
    <w:p>
      <w:pPr>
        <w:pStyle w:val="TextBody"/>
        <w:bidi w:val="0"/>
        <w:spacing w:lineRule="auto" w:line="288" w:before="240" w:after="283"/>
        <w:jc w:val="left"/>
        <w:rPr/>
      </w:pPr>
      <w:r>
        <w:rPr>
          <w:rFonts w:ascii="Times New Roman;serif" w:hAnsi="Times New Roman;serif"/>
          <w:b w:val="false"/>
          <w:color w:val="000000"/>
          <w:sz w:val="20"/>
        </w:rPr>
        <w:t>The Company assessed the above features to determine whether any features are required to be bifurcated and separately accounted for as an embedded feature. The Company concluded that the conversion features, inclusive of all settlement outcomes where the pay-off is indexed to the if-converted value, meets all the requirements to be separately accounted for as a bifurcated derivative. As a result, the Company bifurcated the Redeemable Convertible Preferred Stock between (i) the host contracts which are accounted for within mezzanine equity as described above, and (ii) the bifurcated derivative liabilities related to the conversion features. The proceeds from issuance were first allocated to the fair value of the bifurcated derivatives with the residual being allocated to the host contracts. The bifurcated derivatives are remeasured to fair value at each reporting period with changes in fair value recorded in the condensed consolidated statement of operations and comprehensi</w:t>
      </w:r>
      <w:r>
        <w:rPr>
          <w:rFonts w:ascii="Times New Roman;serif" w:hAnsi="Times New Roman;serif"/>
          <w:b w:val="false"/>
          <w:color w:val="000000"/>
          <w:sz w:val="20"/>
          <w:shd w:fill="FFFFFF" w:val="clear"/>
        </w:rPr>
        <w:t>ve loss</w:t>
      </w:r>
      <w:r>
        <w:rPr>
          <w:rFonts w:ascii="Times New Roman;serif" w:hAnsi="Times New Roman;serif"/>
          <w:b w:val="false"/>
          <w:color w:val="000000"/>
          <w:sz w:val="2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remeasured the derivative liabilities for the Redeemable Convertible Preferred Stock to fair value of $282.6 million and $639.4 million, comprising of $184.3 million and $408.8 million related to Series A Redeemable Convertible Preferred Stock and $98.3 million and $230.6 million related to Series B Redeemable Convertible Preferred Stock, respectively. The Company recognized a loss of $36.4 million and a gain of $356.8 million for the three and nine months ended September 30, 2025, and losses of $240.3 million and $137.3 million for the same periods in the prior year, respectively, in change in fair value of derivative liabilities associated with redeemable convertible preferred stock (related party) in the condensed consolidated statements of operations and comprehensive loss. </w:t>
      </w:r>
    </w:p>
    <w:p>
      <w:pPr>
        <w:pStyle w:val="TextBody"/>
        <w:bidi w:val="0"/>
        <w:spacing w:lineRule="auto" w:line="288" w:before="240" w:after="283"/>
        <w:jc w:val="left"/>
        <w:rPr/>
      </w:pPr>
      <w:r>
        <w:rPr>
          <w:rFonts w:ascii="Times New Roman;serif" w:hAnsi="Times New Roman;serif"/>
          <w:b w:val="false"/>
          <w:color w:val="000000"/>
          <w:sz w:val="20"/>
          <w:shd w:fill="FFFFFF" w:val="clear"/>
        </w:rPr>
        <w:t>The Company estimated the fair value of the derivative liabilities using a binomial lattice model with the volatility, credit spread, and term</w:t>
      </w:r>
      <w:r>
        <w:rPr>
          <w:color w:val="000000"/>
        </w:rPr>
        <w:t xml:space="preserve"> </w:t>
      </w:r>
      <w:r>
        <w:rPr>
          <w:rFonts w:ascii="Times New Roman;serif" w:hAnsi="Times New Roman;serif"/>
          <w:b w:val="false"/>
          <w:color w:val="000000"/>
          <w:sz w:val="20"/>
          <w:shd w:fill="FFFFFF" w:val="clear"/>
        </w:rPr>
        <w:t>as significant unobservable inputs. Assumptions used in the valuation also take into account the contractual terms as well as the quoted price of the Company’s common stock in an active</w:t>
      </w:r>
      <w:r>
        <w:rPr>
          <w:color w:val="000000"/>
        </w:rPr>
        <w:t xml:space="preserve"> </w:t>
      </w:r>
      <w:r>
        <w:rPr>
          <w:rFonts w:ascii="Times New Roman;serif" w:hAnsi="Times New Roman;serif"/>
          <w:b w:val="false"/>
          <w:color w:val="000000"/>
          <w:sz w:val="20"/>
        </w:rPr>
        <w:t xml:space="preserve">market. Significant changes in any of those inputs in isolation would result in significant changes to the fair value measurement. </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The level 3 fair value inputs</w:t>
      </w:r>
      <w:r>
        <w:rPr>
          <w:color w:val="000000"/>
        </w:rPr>
        <w:t xml:space="preserve"> </w:t>
      </w:r>
      <w:r>
        <w:rPr>
          <w:rFonts w:ascii="Times New Roman;serif" w:hAnsi="Times New Roman;serif"/>
          <w:b w:val="false"/>
          <w:color w:val="000000"/>
          <w:sz w:val="20"/>
        </w:rPr>
        <w:t xml:space="preserve">used in the valuation of the derivative liabilities associated with the Redeemable Convertible Preferred Stock were as follows: </w:t>
      </w:r>
    </w:p>
    <w:tbl>
      <w:tblPr>
        <w:tblW w:w="8477" w:type="dxa"/>
        <w:jc w:val="left"/>
        <w:tblInd w:w="0" w:type="dxa"/>
        <w:tblLayout w:type="fixed"/>
        <w:tblCellMar>
          <w:top w:w="28" w:type="dxa"/>
          <w:left w:w="28" w:type="dxa"/>
          <w:bottom w:w="28" w:type="dxa"/>
          <w:right w:w="28" w:type="dxa"/>
        </w:tblCellMar>
      </w:tblPr>
      <w:tblGrid>
        <w:gridCol w:w="484"/>
        <w:gridCol w:w="424"/>
        <w:gridCol w:w="427"/>
        <w:gridCol w:w="294"/>
        <w:gridCol w:w="858"/>
        <w:gridCol w:w="377"/>
        <w:gridCol w:w="109"/>
        <w:gridCol w:w="109"/>
        <w:gridCol w:w="109"/>
        <w:gridCol w:w="294"/>
        <w:gridCol w:w="858"/>
        <w:gridCol w:w="377"/>
        <w:gridCol w:w="109"/>
        <w:gridCol w:w="109"/>
        <w:gridCol w:w="109"/>
        <w:gridCol w:w="294"/>
        <w:gridCol w:w="858"/>
        <w:gridCol w:w="377"/>
        <w:gridCol w:w="109"/>
        <w:gridCol w:w="109"/>
        <w:gridCol w:w="109"/>
        <w:gridCol w:w="290"/>
        <w:gridCol w:w="849"/>
        <w:gridCol w:w="435"/>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A </w:t>
              <w:b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Series B </w:t>
              <w:b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A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Series B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Derivative Liability</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spread</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STOCKHOLDERS’ EQUITY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16, 2025, the Company entered into a Vehicle Production Agreement (“VPA”) with Uber and the 2025 Subscription Agreement with SMB, a subsidiary of Uber. Under the VPA, Uber and its designated fleet operators have agreed to purchase a minimum commitment of 20,000 (the “Minimum Quantity Guarantee”) Lucid Gravity vehicles that have been modified to include certain autonomous driving hardware and other features (the “Lucid Gravity Plus vehicles”). Under the 2025 Subscription Agreement, the Company agreed to issue and SMB agreed to purchase, in a private placement, the Company’s common stock equal to (i) $300.0 million in cash divided by (ii) an amount equal to the arithmetic average of the daily volume-weighted average price of the common stock over a period of 30 consecutive trading days ending on, and including, July 15, 2025. In September 2025, the Company and SMB entered into an amendment to the 2025 Subscription Agreement to reflect the adjustments made to the number of placement shares and purchase price per placement share therein due to the Reverse Stock Split. The Company also consummated the private placement of shares to SMB and issued 13,715,121 shares for aggregate net proceeds of $299.7 million after deducting issuance costs of $0.3 million in September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sold to SMB pursuant to the 2025 Subscription Agreement were sold in reliance on the exemption from registration provided in Section 4(a)(2) of the Securities Act of 1933, as amended. SMB may not transfer the shares of common stock acquired under the 2025 Subscription Agreement for a period of 18-months after the closing of the private placement.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2021, the Company repurchased an aggregate of 85,782 shares of its common stock, including 71,274 shares from certain employees and 14,508 shares from board of directors of the Company’s predecessor, Atieva, Inc. at $241.50 per share. No common stock was repurchased during the three and nine months ended September 30, 2025 and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 Reserved for Issuance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common stock reserved for future issuances as of September 30, 2025 was as follows:</w:t>
      </w:r>
    </w:p>
    <w:tbl>
      <w:tblPr>
        <w:tblW w:w="8566" w:type="dxa"/>
        <w:jc w:val="left"/>
        <w:tblInd w:w="0" w:type="dxa"/>
        <w:tblLayout w:type="fixed"/>
        <w:tblCellMar>
          <w:top w:w="28" w:type="dxa"/>
          <w:left w:w="28" w:type="dxa"/>
          <w:bottom w:w="28" w:type="dxa"/>
          <w:right w:w="28" w:type="dxa"/>
        </w:tblCellMar>
      </w:tblPr>
      <w:tblGrid>
        <w:gridCol w:w="2434"/>
        <w:gridCol w:w="2139"/>
        <w:gridCol w:w="2147"/>
        <w:gridCol w:w="592"/>
        <w:gridCol w:w="594"/>
        <w:gridCol w:w="660"/>
      </w:tblGrid>
      <w:tr>
        <w:trPr/>
        <w:tc>
          <w:tcPr>
            <w:tcW w:w="2434"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2,126,834 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20,624,906 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grants under equity plans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5,909,162 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1,752,540 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31,810,851 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18,932,860 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122,258,783 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STOCK-BASED AWARDS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stock option activity for the nine months ended September 30, 2025 was as follows:</w:t>
      </w:r>
    </w:p>
    <w:tbl>
      <w:tblPr>
        <w:tblW w:w="10205" w:type="dxa"/>
        <w:jc w:val="left"/>
        <w:tblInd w:w="0" w:type="dxa"/>
        <w:tblLayout w:type="fixed"/>
        <w:tblCellMar>
          <w:top w:w="28" w:type="dxa"/>
          <w:left w:w="28" w:type="dxa"/>
          <w:bottom w:w="28" w:type="dxa"/>
          <w:right w:w="28" w:type="dxa"/>
        </w:tblCellMar>
      </w:tblPr>
      <w:tblGrid>
        <w:gridCol w:w="1006"/>
        <w:gridCol w:w="861"/>
        <w:gridCol w:w="864"/>
        <w:gridCol w:w="499"/>
        <w:gridCol w:w="486"/>
        <w:gridCol w:w="345"/>
        <w:gridCol w:w="109"/>
        <w:gridCol w:w="109"/>
        <w:gridCol w:w="109"/>
        <w:gridCol w:w="361"/>
        <w:gridCol w:w="1056"/>
        <w:gridCol w:w="186"/>
        <w:gridCol w:w="109"/>
        <w:gridCol w:w="109"/>
        <w:gridCol w:w="109"/>
        <w:gridCol w:w="798"/>
        <w:gridCol w:w="798"/>
        <w:gridCol w:w="799"/>
        <w:gridCol w:w="109"/>
        <w:gridCol w:w="109"/>
        <w:gridCol w:w="109"/>
        <w:gridCol w:w="225"/>
        <w:gridCol w:w="770"/>
        <w:gridCol w:w="170"/>
      </w:tblGrid>
      <w:tr>
        <w:trPr/>
        <w:tc>
          <w:tcPr>
            <w:tcW w:w="10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Outstanding Options</w:t>
            </w:r>
          </w:p>
        </w:tc>
      </w:tr>
      <w:tr>
        <w:trPr/>
        <w:tc>
          <w:tcPr>
            <w:tcW w:w="2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 xml:space="preserve">Intrinsic Value </w:t>
              <w:br/>
              <w:t>(in thousands)</w:t>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2,689,410 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48,886 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(510,547)</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Options canceled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(52,029)</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2,126,834 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September 30, 2025</w:t>
            </w:r>
          </w:p>
        </w:tc>
        <w:tc>
          <w:tcPr>
            <w:tcW w:w="98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1,989,226 </w:t>
            </w:r>
          </w:p>
        </w:tc>
        <w:tc>
          <w:tcPr>
            <w:tcW w:w="3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unrecognized stock-based compensation cost related to outstanding unvested stock options that are expected to vest was $4.3 million, and is expected to be recognized over a weighted-average period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summary of RSUs activity for the nine months ended September 30, 2025 was as follows:</w:t>
      </w:r>
    </w:p>
    <w:tbl>
      <w:tblPr>
        <w:tblW w:w="10205" w:type="dxa"/>
        <w:jc w:val="left"/>
        <w:tblInd w:w="0" w:type="dxa"/>
        <w:tblLayout w:type="fixed"/>
        <w:tblCellMar>
          <w:top w:w="28" w:type="dxa"/>
          <w:left w:w="28" w:type="dxa"/>
          <w:bottom w:w="28" w:type="dxa"/>
          <w:right w:w="28" w:type="dxa"/>
        </w:tblCellMar>
      </w:tblPr>
      <w:tblGrid>
        <w:gridCol w:w="784"/>
        <w:gridCol w:w="670"/>
        <w:gridCol w:w="672"/>
        <w:gridCol w:w="541"/>
        <w:gridCol w:w="540"/>
        <w:gridCol w:w="409"/>
        <w:gridCol w:w="109"/>
        <w:gridCol w:w="109"/>
        <w:gridCol w:w="109"/>
        <w:gridCol w:w="603"/>
        <w:gridCol w:w="603"/>
        <w:gridCol w:w="604"/>
        <w:gridCol w:w="109"/>
        <w:gridCol w:w="109"/>
        <w:gridCol w:w="109"/>
        <w:gridCol w:w="540"/>
        <w:gridCol w:w="541"/>
        <w:gridCol w:w="273"/>
        <w:gridCol w:w="109"/>
        <w:gridCol w:w="109"/>
        <w:gridCol w:w="109"/>
        <w:gridCol w:w="524"/>
        <w:gridCol w:w="1531"/>
        <w:gridCol w:w="389"/>
      </w:tblGrid>
      <w:tr>
        <w:trPr/>
        <w:tc>
          <w:tcPr>
            <w:tcW w:w="78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r>
      <w:tr>
        <w:trPr/>
        <w:tc>
          <w:tcPr>
            <w:tcW w:w="2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8,796,901 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1,599,646 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10,396,547 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16,109,131 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2,149,717 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18,258,848 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(6,140,078)</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(622,449)</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(6,762,527)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(1,175,057)</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(92,905)</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(1,267,962)</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17,590,897 </w:t>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3,034,009 </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20,624,906 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unrecognized stock-based compensation cost related to outstanding unvested time-based RSUs that are expected to vest was $480.8 million, which is expected to be recognized over a weighted-average period of 2.1 years.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2021, the Company granted performance-based RSUs to the former CEO and they were subject to performance and market conditions. The performance condition was satisfied upon the closing of the merger. The Company recognized compensation expense using a graded vesting attribution method over the derived service period for the former CEO’s performance-based awards. Stock-based compensation expense was recognized when the relevant performance condition was considered probable of achievement for the performance-based award. During the year ended December 31, 2022, the market condition was met for the performance-based awards of the former CEO for four of the five tranches and certified by the Board of Directors, representing an aggregate of 1,393,428 performance RSUs. The unamortized expense of $8.2 million as of December 31, 2022 for the fifth tranche, representing 209,014 RSUs, was fully recognized during the year ended December 31, 2023.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1,383,475 shares of the time-based RSUs to the former CEO that would vest in sixteen equal quarterly installments, beginning on December 5, 2021, and were subject to continuous employment. The Company recognized compensation expense for these time-based RSUs on a graded vesting schedule over the requisite vesting period. The Company withheld approximately 47,714 shares and 143,138 shares of common stock for the three and nine months ended September 30, 2025, respectively, and 47,626 shares and 142,948 shares for the same periods in the prior year, respectively, by net settlement to meet the related tax withholding requirements related to the former CEO’s time-based RSUs. In February 2025, the Company announced the former CEO’s resignation and transition. In connection with this transition, the Company recorded a reversal of $41.6 million related to previously recognized stock-based compensation expenses for his unvested time-based RSUs, resulted from modification accounting. As of September 30, 2025, there were no unrecognized stock-based compensation expenses related to the time-based RSUs.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granted performance-based RSUs to certain employees and they are subject to (i) corporate performance conditions and/or individual performance and (ii) a service condition which will be met generally over 3 years. The number of awards granted represents 100% of the target goal. Under the terms of the awards, the recipient may earn between 0% to 150% of the original number of grants based on actual achievement of corporate performance goals and/or individual performance. Stock-based compensation expense is recognized when the relevant performance condition is considered probable of achievement for the performance-based award. The Company recorded stock-based compensation expenses of $10.9 million and $23.3 million during the three and nine months ended September 30, 2025, respectively, and $6.2 million and $14.2 million for the same periods in the prior year, respectively, related to these performance-based RSUs. As of September 30, 2025, the unamortized expense for the performance-based RSUs was $44.6 million, which will be recognized over a weighted-average period of 1.2 years primarily contingent upon realization of the corporate performance conditions.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ESPP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ESPP authorizes the issuance of shares of common stock pursuant to purchase rights granted to employees. The plan provides for 24-month offering periods beginning in December and June of each year, and each offering period will consist of four six-month purchase periods. The purchase price for each share purchased during an offering period will be the lesser of 85% of the fair market value of the share on the purchase date or 85% of the fair market value of the share on the offering date. As of September 30, 2025, unrecognized stock-based compensation cost related to the ESPP was $18.9 million which is expected to be recognized over a weighted-average period of 1.3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Total employee and nonemployee stock-based compensation expense for the three and nine months ended September 30, 2025 and 2024, was classified in the condensed consolidated statements of operations and comprehensive loss as follows (in thousands):</w:t>
      </w:r>
    </w:p>
    <w:tbl>
      <w:tblPr>
        <w:tblW w:w="8627" w:type="dxa"/>
        <w:jc w:val="left"/>
        <w:tblInd w:w="0" w:type="dxa"/>
        <w:tblLayout w:type="fixed"/>
        <w:tblCellMar>
          <w:top w:w="28" w:type="dxa"/>
          <w:left w:w="28" w:type="dxa"/>
          <w:bottom w:w="28" w:type="dxa"/>
          <w:right w:w="28" w:type="dxa"/>
        </w:tblCellMar>
      </w:tblPr>
      <w:tblGrid>
        <w:gridCol w:w="1068"/>
        <w:gridCol w:w="941"/>
        <w:gridCol w:w="945"/>
        <w:gridCol w:w="225"/>
        <w:gridCol w:w="882"/>
        <w:gridCol w:w="116"/>
        <w:gridCol w:w="116"/>
        <w:gridCol w:w="116"/>
        <w:gridCol w:w="116"/>
        <w:gridCol w:w="225"/>
        <w:gridCol w:w="770"/>
        <w:gridCol w:w="116"/>
        <w:gridCol w:w="109"/>
        <w:gridCol w:w="109"/>
        <w:gridCol w:w="109"/>
        <w:gridCol w:w="211"/>
        <w:gridCol w:w="826"/>
        <w:gridCol w:w="109"/>
        <w:gridCol w:w="109"/>
        <w:gridCol w:w="109"/>
        <w:gridCol w:w="109"/>
        <w:gridCol w:w="211"/>
        <w:gridCol w:w="826"/>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88,094 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capitalized stock-based compensation expenses of $16.5 million and $34.8 million for the three and nine months ended September 30, 2025, respectively, and $14.6 million and $34.0 million for the same periods in the prior year, respectively, primarily as part of the cost of inventory.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 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various non-cancellable operating and finance lease agreements for certain of the Company’s offices, manufacturing and warehouse facilities, retail and service locations, equipment and vehicles, worldwide. </w:t>
      </w:r>
    </w:p>
    <w:p>
      <w:pPr>
        <w:pStyle w:val="TextBody"/>
        <w:bidi w:val="0"/>
        <w:spacing w:lineRule="auto" w:line="288" w:before="240" w:after="283"/>
        <w:jc w:val="left"/>
        <w:rPr/>
      </w:pPr>
      <w:r>
        <w:rPr>
          <w:rFonts w:ascii="Times New Roman;serif" w:hAnsi="Times New Roman;serif"/>
          <w:b w:val="false"/>
          <w:color w:val="000000"/>
          <w:sz w:val="20"/>
        </w:rPr>
        <w:t>In August 2022, the Company entered into a four-year agreement (“Lease Agreement”) to lease land in Casa Grande, Arizona adjacent to our manufacturing facility. The Company classifies this lease as a finance lease because the Lease Agreement contains a purchase option which the Company is reasonably certain to exercise. As of September 30, 2025 and December 31, 2024, assets associated with the finance lease were $79.3 million. As of September 30, 2025 and December 31, 2024, liabilities associated with the finance lease were $78.2 million</w:t>
      </w:r>
      <w:r>
        <w:rPr>
          <w:color w:val="B6B6B6"/>
        </w:rPr>
        <w:t xml:space="preserve"> </w:t>
      </w:r>
      <w:r>
        <w:rPr>
          <w:rFonts w:ascii="Times New Roman;serif" w:hAnsi="Times New Roman;serif"/>
          <w:b w:val="false"/>
          <w:color w:val="000000"/>
          <w:sz w:val="20"/>
        </w:rPr>
        <w:t>and $80.0 million,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Lease Agreement, the Company entered into a sale agreement, pursuant to which the Company sold certain parcels of land for $31.7 million to the lessor and leased back these parcels of land under the Lease Agreement. The sale of the land and subsequent lease did not result in change in the transfer of control of the land; therefore, the sale-leaseback transaction is accounted for as a failed sale and leaseback financing obligation. The Company recorded $31.7 million of sales proceeds received as a financial liability within other current liabilities in the condensed consolidated balance sheet as of September 30, 2025 and within other long-term liabilities in the condensed consolidated sheet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balances for the operating and finance leases where the Company is the lessee are presented as follows within the Company’s condensed consolidated balance sheets (in thousands):</w:t>
      </w:r>
    </w:p>
    <w:tbl>
      <w:tblPr>
        <w:tblW w:w="6519" w:type="dxa"/>
        <w:jc w:val="left"/>
        <w:tblInd w:w="0" w:type="dxa"/>
        <w:tblLayout w:type="fixed"/>
        <w:tblCellMar>
          <w:top w:w="28" w:type="dxa"/>
          <w:left w:w="28" w:type="dxa"/>
          <w:bottom w:w="28" w:type="dxa"/>
          <w:right w:w="28" w:type="dxa"/>
        </w:tblCellMar>
      </w:tblPr>
      <w:tblGrid>
        <w:gridCol w:w="1396"/>
        <w:gridCol w:w="1225"/>
        <w:gridCol w:w="1234"/>
        <w:gridCol w:w="211"/>
        <w:gridCol w:w="826"/>
        <w:gridCol w:w="109"/>
        <w:gridCol w:w="109"/>
        <w:gridCol w:w="109"/>
        <w:gridCol w:w="109"/>
        <w:gridCol w:w="211"/>
        <w:gridCol w:w="82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Right-of-use assets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lease liabilities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net</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 liabilities, current portion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finance lease liabilities</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As of September 30, 2025, the Company recorded $96.7 million of finance lease assets and $99.0 million of finance lease liabilities related to certain facility leases assumed in connection with the assets acquisition from Nikola Corporation.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within the Company’s condensed consolidated statements of operations and comprehensive loss (in thousands):</w:t>
      </w:r>
    </w:p>
    <w:tbl>
      <w:tblPr>
        <w:tblW w:w="8119" w:type="dxa"/>
        <w:jc w:val="left"/>
        <w:tblInd w:w="0" w:type="dxa"/>
        <w:tblLayout w:type="fixed"/>
        <w:tblCellMar>
          <w:top w:w="28" w:type="dxa"/>
          <w:left w:w="28" w:type="dxa"/>
          <w:bottom w:w="28" w:type="dxa"/>
          <w:right w:w="28" w:type="dxa"/>
        </w:tblCellMar>
      </w:tblPr>
      <w:tblGrid>
        <w:gridCol w:w="896"/>
        <w:gridCol w:w="786"/>
        <w:gridCol w:w="792"/>
        <w:gridCol w:w="235"/>
        <w:gridCol w:w="803"/>
        <w:gridCol w:w="121"/>
        <w:gridCol w:w="121"/>
        <w:gridCol w:w="121"/>
        <w:gridCol w:w="121"/>
        <w:gridCol w:w="235"/>
        <w:gridCol w:w="803"/>
        <w:gridCol w:w="121"/>
        <w:gridCol w:w="109"/>
        <w:gridCol w:w="109"/>
        <w:gridCol w:w="109"/>
        <w:gridCol w:w="227"/>
        <w:gridCol w:w="775"/>
        <w:gridCol w:w="117"/>
        <w:gridCol w:w="117"/>
        <w:gridCol w:w="117"/>
        <w:gridCol w:w="117"/>
        <w:gridCol w:w="227"/>
        <w:gridCol w:w="775"/>
        <w:gridCol w:w="165"/>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 expense:</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26,848 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53,532 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Excluded short-term leases, which were not 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where the Company is the lessee was as follows:</w:t>
      </w:r>
    </w:p>
    <w:tbl>
      <w:tblPr>
        <w:tblW w:w="7292" w:type="dxa"/>
        <w:jc w:val="left"/>
        <w:tblInd w:w="0" w:type="dxa"/>
        <w:tblLayout w:type="fixed"/>
        <w:tblCellMar>
          <w:top w:w="28" w:type="dxa"/>
          <w:left w:w="28" w:type="dxa"/>
          <w:bottom w:w="28" w:type="dxa"/>
          <w:right w:w="28" w:type="dxa"/>
        </w:tblCellMar>
      </w:tblPr>
      <w:tblGrid>
        <w:gridCol w:w="1603"/>
        <w:gridCol w:w="1408"/>
        <w:gridCol w:w="1413"/>
        <w:gridCol w:w="308"/>
        <w:gridCol w:w="308"/>
        <w:gridCol w:w="632"/>
        <w:gridCol w:w="109"/>
        <w:gridCol w:w="109"/>
        <w:gridCol w:w="109"/>
        <w:gridCol w:w="308"/>
        <w:gridCol w:w="308"/>
        <w:gridCol w:w="677"/>
      </w:tblGrid>
      <w:tr>
        <w:trPr/>
        <w:tc>
          <w:tcPr>
            <w:tcW w:w="16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maturities of the Company’s operating and finance lease liabilities (excluding short-term leases) were as follows (in thousands):</w:t>
      </w:r>
    </w:p>
    <w:tbl>
      <w:tblPr>
        <w:tblW w:w="6176" w:type="dxa"/>
        <w:jc w:val="left"/>
        <w:tblInd w:w="0" w:type="dxa"/>
        <w:tblLayout w:type="fixed"/>
        <w:tblCellMar>
          <w:top w:w="28" w:type="dxa"/>
          <w:left w:w="28" w:type="dxa"/>
          <w:bottom w:w="28" w:type="dxa"/>
          <w:right w:w="28" w:type="dxa"/>
        </w:tblCellMar>
      </w:tblPr>
      <w:tblGrid>
        <w:gridCol w:w="1179"/>
        <w:gridCol w:w="1034"/>
        <w:gridCol w:w="1042"/>
        <w:gridCol w:w="251"/>
        <w:gridCol w:w="984"/>
        <w:gridCol w:w="129"/>
        <w:gridCol w:w="109"/>
        <w:gridCol w:w="109"/>
        <w:gridCol w:w="109"/>
        <w:gridCol w:w="218"/>
        <w:gridCol w:w="853"/>
        <w:gridCol w:w="15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312,537 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obligations</w:t>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276,332 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obligations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220,718 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entered into additional leases for facilities that have not yet commenced with undiscounted future lease payments of $27.1 million. The leases are expected to commence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had $1.1 billion and $1.0 billion in commitments related to AMP-1 and AMP-2 plant and equipment, respectively. These commitments represent future expected payments on open purchase orders entered into as of September 30, 2025 and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non-cancellable long-term commitments primarily related to certain inventory component purchases. As of September 30, 2025, pursuant to the terms of agreements the Company entered into in connection with the supply of lithium-ion battery cells, the Company had remaining minimum purchase commitments of an aggregate of approximately $2.50 billion, calculated using the current base prices, which could vary period-to-period primarily as a result of changes in raw material indexes. The estimated future payments having a remaining term in excess of one year as of September 30, 2025 were as follows (in thousands):</w:t>
      </w:r>
    </w:p>
    <w:tbl>
      <w:tblPr>
        <w:tblW w:w="3756" w:type="dxa"/>
        <w:jc w:val="left"/>
        <w:tblInd w:w="0" w:type="dxa"/>
        <w:tblLayout w:type="fixed"/>
        <w:tblCellMar>
          <w:top w:w="28" w:type="dxa"/>
          <w:left w:w="28" w:type="dxa"/>
          <w:bottom w:w="28" w:type="dxa"/>
          <w:right w:w="28" w:type="dxa"/>
        </w:tblCellMar>
      </w:tblPr>
      <w:tblGrid>
        <w:gridCol w:w="875"/>
        <w:gridCol w:w="768"/>
        <w:gridCol w:w="772"/>
        <w:gridCol w:w="211"/>
        <w:gridCol w:w="97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Years ended December 31,</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Minimum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Commitment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time-to-time,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2022, and May 31, 2022, two alleged shareholders filed putative class actions under the federal securities laws in the United States District Court for the Northern District of California against Lucid Group, Inc. and certain officers of the Company relating to alleged statements, updated projections and guidance provided from late 2021 to early 2022. The two matters were consolidated as In re Lucid Group, Inc. Securities Litigation. The consolidated complaint named Lucid Group, Inc. and the Company’s former chief executive officer and former chief financial officer as defendants, and generally alleged that defendants purportedly made false or misleading statements regarding delivery and revenue projections and related matters between November 15, 2021, and August 3, 2022. Defendants filed a motion to dismiss on February 23, 2023. On August 8, 2024, the Court granted in part and denied in part the motion to dismiss. On September 20, 2024, Plaintiffs filed an amended consolidated complaint, which named the Company and its former chief executive officer as defendants. Defendants filed a motion to dismiss the Amended Consolidated Complaint, in part, on December 6, 2024. On May 22, 2025, the court issued a ruling granting in part and denying in part the defendants’ motion to dismiss. On July 10, 2025, the court issued a Case Management Scheduling Order. On July 25, 2025, Defendants filed an Answer to Plaintiffs’ Amended Compliant.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Nine purported shareholders have filed derivative cases in various courts putatively on behalf of the Company against certain of the Company’s current and former directors based on allegations similar to those in the In re Lucid Group, Inc. Securities Litigation action. These cases raise claims such as a breach of fiduciary duty, unjust enrichment, waste of corporate assets, and aiding and abetting a breach of fiduciary duty. On July 11, 2022, a derivative case raising such claims was filed in the Superior Court of California, Alameda County, and is currently stayed. Between September 2024 and December 2024, three other derivative lawsuits were filed in the Delaware Court of Chancery raising similar claims. Two were consolidated into a single action. On January 29, 2025, February 7, 2025 and August 6, 2025, three other derivative lawsuits were filed in the Northern District of California also raising similar claims. The court has granted the parties stipulation to consolidate and stay the cases. Between February 28, 2025, and March 7, 2025, two other derivative lawsuits raising similar claims were also filed in the United States District Court for the District of Delaware. They were consolidated into a single action and are currently stayed.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25, 2021, the Illinois Automobile Dealers Association, Chicago Automobile Trade Association, Peoria Metro New Car Dealers Association, Illinois Motorcycle Dealers Association, and 241 individual motor vehicle dealers filed an action against the Office of the Illinois Secretary of State (“SOS”), Jesse White, in his official capacity as the Illinois Secretary of State; Lucid USA, Inc. (“Lucid USA”); and other defendants, in the Circuit Court of Cook County, Illinois, County Department, Chancery Division, Case No. 2021CH01438. The suit generally alleges that Illinois law does not permit manufacturers to obtain licenses as motor vehicle dealers. Plaintiffs seek to prevent Lucid from engaging in the sale of motor vehicles directly to consumers. The SOS granted Lucid USA a dealer’s license on June 3, 2021. In December 2022, the Court granted Defendants’ Motion to Dismiss. Plaintiffs subsequently appealed and the decision was affirmed by the First District Appellate Court on August 23, 2024. Plaintiffs filed a petition for further review of the case by the Illinois Supreme Court and the Illinois Supreme Court denied review.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registered and applied for trademarks in an effort to protect our brand and goodwill with customers, competitors or other third parties have previously opposed, currently oppose, and may continue to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or be unable to submit specimens of use by the applicable deadline to perfect such trademark rights.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 of varying scope and terms to customers, vendors, investors, directors, officers, and certain key employees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utilities infrastructure and other agreements that require securitization. The indemnification obligations were $127.6 million and $72.6 million as of September 30, 2025 and December 31, 2024, respectively, for which no liabilities are recorded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 INCOME TAXES</w:t>
      </w:r>
    </w:p>
    <w:p>
      <w:pPr>
        <w:pStyle w:val="TextBody"/>
        <w:bidi w:val="0"/>
        <w:spacing w:lineRule="auto" w:line="288" w:before="240" w:after="283"/>
        <w:jc w:val="left"/>
        <w:rPr/>
      </w:pPr>
      <w:r>
        <w:rPr>
          <w:rFonts w:ascii="Times New Roman;serif" w:hAnsi="Times New Roman;serif"/>
          <w:b w:val="false"/>
          <w:color w:val="231F20"/>
          <w:sz w:val="20"/>
        </w:rPr>
        <w:t>The Company</w:t>
      </w:r>
      <w:r>
        <w:rPr>
          <w:color w:val="000000"/>
        </w:rPr>
        <w:t>’</w:t>
      </w:r>
      <w:r>
        <w:rPr>
          <w:rFonts w:ascii="Times New Roman;serif" w:hAnsi="Times New Roman;serif"/>
          <w:b w:val="false"/>
          <w:color w:val="231F20"/>
          <w:sz w:val="20"/>
        </w:rPr>
        <w:t>s provision for (benefit from) income taxes for interim periods is determined using its effective tax rate that</w:t>
      </w:r>
      <w:r>
        <w:rPr>
          <w:color w:val="000000"/>
        </w:rPr>
        <w:t xml:space="preserve"> </w:t>
      </w:r>
      <w:r>
        <w:rPr>
          <w:rFonts w:ascii="Times New Roman;serif" w:hAnsi="Times New Roman;serif"/>
          <w:b w:val="false"/>
          <w:color w:val="000000"/>
          <w:sz w:val="20"/>
        </w:rPr>
        <w:t>arise during the period. The Company’s quarterly tax provision is subject to variation due to several factors, including variability in pre-tax income (or loss), the mix of jurisdictions to which such income relates, changes in how the Company does business, the valuation allowance against deferred tax assets, and tax law developments.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0.0% and 0.2% for the three and nine months ended September 30, 2025, respectively, and 0.0% for the same periods in the prior year, due to minimal profits in foreign jurisdictions and U.S. losses for which no benefit will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Due to the Company’s full valuation allowance on its U.S. deferred tax assets, the related tax impact of the legislation is expected to be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14 - NET LOSS PER SHARE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attributable to common stockholders are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541"/>
        <w:gridCol w:w="1141"/>
        <w:gridCol w:w="1164"/>
        <w:gridCol w:w="211"/>
        <w:gridCol w:w="1025"/>
        <w:gridCol w:w="109"/>
        <w:gridCol w:w="109"/>
        <w:gridCol w:w="109"/>
        <w:gridCol w:w="109"/>
        <w:gridCol w:w="237"/>
        <w:gridCol w:w="949"/>
        <w:gridCol w:w="109"/>
        <w:gridCol w:w="109"/>
        <w:gridCol w:w="109"/>
        <w:gridCol w:w="109"/>
        <w:gridCol w:w="211"/>
        <w:gridCol w:w="1025"/>
        <w:gridCol w:w="109"/>
        <w:gridCol w:w="109"/>
        <w:gridCol w:w="109"/>
        <w:gridCol w:w="109"/>
        <w:gridCol w:w="211"/>
        <w:gridCol w:w="1025"/>
        <w:gridCol w:w="157"/>
      </w:tblGrid>
      <w:tr>
        <w:trPr/>
        <w:tc>
          <w:tcPr>
            <w:tcW w:w="154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(2,316,724)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redeemable convertible preferred stock (related party)</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basic</w:t>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(2,424,648)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2026 Notes</w:t>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 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(2,616,977)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(2,424,648)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312,166,297 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232,397,154 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307,177,163 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231,224,933 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2026 Notes, using if-converted method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diluted</w:t>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312,166,297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232,397,154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307,859,815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231,224,933</w:t>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w:t>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loss per share attributable to common stockholders because including them would have had an anti-dilutive effect:</w:t>
      </w:r>
    </w:p>
    <w:tbl>
      <w:tblPr>
        <w:tblW w:w="9730" w:type="dxa"/>
        <w:jc w:val="left"/>
        <w:tblInd w:w="0" w:type="dxa"/>
        <w:tblLayout w:type="fixed"/>
        <w:tblCellMar>
          <w:top w:w="28" w:type="dxa"/>
          <w:left w:w="28" w:type="dxa"/>
          <w:bottom w:w="28" w:type="dxa"/>
          <w:right w:w="28" w:type="dxa"/>
        </w:tblCellMar>
      </w:tblPr>
      <w:tblGrid>
        <w:gridCol w:w="2428"/>
        <w:gridCol w:w="2138"/>
        <w:gridCol w:w="2153"/>
        <w:gridCol w:w="592"/>
        <w:gridCol w:w="594"/>
        <w:gridCol w:w="156"/>
        <w:gridCol w:w="125"/>
        <w:gridCol w:w="125"/>
        <w:gridCol w:w="125"/>
        <w:gridCol w:w="540"/>
        <w:gridCol w:w="541"/>
        <w:gridCol w:w="213"/>
      </w:tblGrid>
      <w:tr>
        <w:trPr/>
        <w:tc>
          <w:tcPr>
            <w:tcW w:w="2428"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Excluded Securities</w:t>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4,435,000 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outstanding to purchase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10,150,138 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1,683,198 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2026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3,673,819 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2030 Notes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A redeemable convertible 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31,810,851 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29,101,945 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If-converted common shares from Series B redeemable convertible preferred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17,320,601 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115,610,292 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69,249,225 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were also excluded from the computation of diluted net loss per share as they would be anti-dilutive. The 2,803,208 and 1,467,305 shares of common stock equivalents subject to RSUs were excluded from the anti-dilutive table above as the underlying shares remain contingently issuable since the market or corporate and individual performance conditions have not been satisfied as of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EMPLOYEE BENEFIT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matching contribution expense under the Company’s 401(k) Plan was not material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the Company entered into a lease agreement with KAEC, a related party of the PIF, which is an affiliate of Ayar, for its first international manufacturing plant in Saudi Arabia. The lease has an initial term of 25 years expiring in 2047. The right-of-use asset related to this lease was $4.0 million and $4.2 million as of September 30, 2025 and December 31, 2024, respectively. The lease liability was $6.4 million and $6.1 million as of September 30, 2025 and December 31, 2024, respectively. The right-of-use asset and lease liability were recorded in right-of-use assets and other long-term liabilities in the condensed consolidated balance sheets, respectively. The lease expense recorded for the three and nine months ended September 30, 2025 and 2024 was immaterial.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2023, the Company entered into a lease agreement with King Abdullah Financial District Development and Management Company, a subsidiary of the PIF, which is an affiliate of Ayar, for its corporate office in Saudi Arabia. The lease has an initial term of six years expiring in 2029. The right-of-use asset related to this lease was $1.8 million and $2.0 million as of September 30, 2025 and December 31, 2024, respectively. The lease liability was $2.3 million and $2.4 million as of September 30, 2025 and December 31, 2024, respectively. The right-of-use asset and lease liability were recorded in right-of-use assets and primarily in other long-term liabilities in the condensed consolidated balance sheets, respectively. The lease expense recorded for the three and nine months ended September 30, 2025 and 2024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SIDF Loan Agreement</w:t>
      </w:r>
    </w:p>
    <w:p>
      <w:pPr>
        <w:pStyle w:val="TextBody"/>
        <w:bidi w:val="0"/>
        <w:spacing w:lineRule="auto" w:line="288" w:before="240" w:after="283"/>
        <w:jc w:val="left"/>
        <w:rPr/>
      </w:pPr>
      <w:r>
        <w:rPr>
          <w:rFonts w:ascii="Times New Roman;serif" w:hAnsi="Times New Roman;serif"/>
          <w:b w:val="false"/>
          <w:color w:val="000000"/>
          <w:sz w:val="20"/>
        </w:rPr>
        <w:t>In February 2022, Lucid LLC entered into the SIDF Loan Agreement with the SIDF, a related party of the PIF, which is an affiliate of Ayar. Under the SIDF Loan Agreement, SIDF has committed to provide the SIDF Loans to Lucid LLC in an aggregate principal amount of up to SAR 5.19 billion (approximately $1.4 billion); provided that SIDF may reduce the availability of SIDF Loans under the facility in certain circumstances.</w:t>
      </w:r>
      <w:r>
        <w:rPr>
          <w:color w:val="242424"/>
          <w:shd w:fill="FFFFFF" w:val="clear"/>
        </w:rPr>
        <w:t xml:space="preserve"> </w:t>
      </w:r>
      <w:r>
        <w:rPr>
          <w:rFonts w:ascii="Times New Roman;serif" w:hAnsi="Times New Roman;serif"/>
          <w:b w:val="false"/>
          <w:color w:val="000000"/>
          <w:sz w:val="20"/>
        </w:rPr>
        <w:t>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MISA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the Company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the Company recorded $97.5 million as a deduction in calculating the carrying amount of the related assets in the consolidated balance sheet. During the three and nine months ended September 30, 2025, there were no further deductions to the carrying value of the related assets in the condensed consolidated balance sheet. There were no unfulfilled conditions and contingencies attached to the payments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Lucid LLC entered into the GIB Facility Agreement with GIB. GIB is a related party of the PIF, which is an affiliate of Ayar. The GIB Facility Agreement provided for two committed revolving credit facilities in an aggregate principal amount of SAR 1.0 billion (approximately $266.1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2023, Lucid LLC entered into an amendment of the 2023 GIB Facility Agreement to combine the Bridge Facility and the Working Capital Facility into a committed SAR 1.0 billion (approximately $266.1 million) 2023 GIB Credit Facility which may be used for general corporate purposes.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February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Construction Service Contract </w:t>
      </w:r>
    </w:p>
    <w:p>
      <w:pPr>
        <w:pStyle w:val="TextBody"/>
        <w:bidi w:val="0"/>
        <w:spacing w:lineRule="auto" w:line="288" w:before="240" w:after="283"/>
        <w:jc w:val="left"/>
        <w:rPr/>
      </w:pPr>
      <w:r>
        <w:rPr>
          <w:rFonts w:ascii="Times New Roman;serif" w:hAnsi="Times New Roman;serif"/>
          <w:b w:val="false"/>
          <w:color w:val="000000"/>
          <w:sz w:val="20"/>
        </w:rPr>
        <w:t xml:space="preserve">Lucid LLC entered into agreements with Al Bawani Company Limited (“Al Bawani”), an </w:t>
      </w:r>
      <w:r>
        <w:rPr>
          <w:rFonts w:ascii="Times New Roman;serif" w:hAnsi="Times New Roman;serif"/>
          <w:b w:val="false"/>
          <w:color w:val="000000"/>
          <w:sz w:val="20"/>
          <w:shd w:fill="FFFFFF" w:val="clear"/>
        </w:rPr>
        <w:t xml:space="preserve">affiliate of the </w:t>
      </w:r>
      <w:r>
        <w:rPr>
          <w:rFonts w:ascii="Times New Roman;serif" w:hAnsi="Times New Roman;serif"/>
          <w:b w:val="false"/>
          <w:color w:val="000000"/>
          <w:sz w:val="20"/>
        </w:rPr>
        <w:t>PIF, which is an affiliate of Ayar, for certain design and construction services in connection with the development of AMP-2. The capital expenditures incurred to date under these agreements were SAR 1,708.5 million (approximately $455.6 million) and SAR 865.2 million (approximately $230.3 million) as of September 30, 2025 and December 31, 2024, respectively. Amounts due to Al Bawani under these agreements was SAR 244.1 million (approximately $65.1 million) as of September 30, 2025 and was recorded within other current liabilities in the condensed consolidated balance sheet. Net advance payments made to Al Bawani under these agreements was SAR 129.6 million (approximately $34.5 million) as of December 31, 2024, and was recorded within other current assets in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i/>
          <w:color w:val="000000"/>
          <w:sz w:val="20"/>
        </w:rPr>
      </w:pPr>
      <w:r>
        <w:rPr>
          <w:rFonts w:ascii="Times New Roman;serif" w:hAnsi="Times New Roman;serif"/>
          <w:b/>
          <w:i/>
          <w:color w:val="000000"/>
          <w:sz w:val="20"/>
        </w:rPr>
        <w:t>Subscription Agreements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May 2023, the Company entered into the 2023 Subscription Agreement with Ayar, pursuant to which Ayar agreed to purchase from the Company 26,569,370 shares of common stock at a price per share of $68.30 in a private placement for aggregate net proceeds of $1.8 billion. In June 2023, the Company issued the shares to Ayar pursuant to the 2023 Subscription Agreement and received aggregate net proceeds of $1.8 billion after deducting issuance costs of $2.0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the Company entered into the Series A Subscription Agreement with Ayar, pursuant to which Ayar agreed to purchase from the Company 100,000 shares of its Series A Redeemable Convertible Preferred Stock for an aggregate purchase price of $1.0 billion in a private placement. Subsequently, in March 2024, the Company issued the shares to Ayar pursuant to the Series A Subscription Agreement and received aggregate net proceeds of $997.6 million after deducting issuance cost of $2.4 million. In August 2024, the Company entered into the Series B Subscription Agreement with Ayar, pursuant to which Ayar agreed to purchase from the Company 75,000 shares of its Series B Redeemable Convertible Preferred Stock for an aggregate purchase price of $750.0 million in a private placement. Subsequently, in August 2024, the Company issued the shares to Ayar pursuant to the Series B Subscription Agreement and received aggregate net proceeds of $749.4 million after deducting issuance costs of $0.6 million. See Note 8 “Redeemable Convertible Preferred Stock”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 entered into the 2024 Subscription Agreement, pursuant to which Ayar agreed to purchase from the Company 37,471,793 shares of common stock in a private placement. In addition, Ayar agreed to purchase an additional 2,147,045 shares of common stock. As of October 31, 2024, the Company consummated the private placement of shares to Ayar pursuant to the 2024 Subscription Agreement, at a price per share of $25.91, for aggregate net proceeds of $1,025.7 million after deducting issuance costs of $0.8 million.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Common stock acquired by Ayar under the 2023 Subscription Agreement, 2024 Subscription Agreement, the Redeemable Convertible Preferred Stock acquired by Ayar under the Series A Subscription Agreement and the Series B Subscription Agreement, and the common stock issuable upon conversion thereof are subject to the Investor Rights Agreement dated February 22, 2021 (as amended from time-to-time, the “Investor Rights Agreement”), which governs the registration for resale of such common stock and the Redeemable 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Human Resources Development Fund (“HRDF”) Joint Cooperation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2023 and July 2025, Lucid LLC entered into joint cooperation agreements with HRDF, a related party of the PIF, which is an affiliate of Ayar. Pursuant to the agreements, Lucid LLC will train and develop local personnel in Saudi Arabia, and HRDF agreed to reimburse the Company training related costs in aggregate maximum amounts of SAR 29.3 million (approximately $7.8 million) and SAR 24.7 million (approximately $6.6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received payments of SAR 10.9 million (approximately $2.9 million) in cash during the year ended December 31, 2024, and SAR 1.2 million (approximately $0.3 million) and SAR 8.2 million (approximately $2.2 million) in cash during the three and nine months ended September 30, 2025, respectively. The deferred liability balance was nil as of September 30, 2025 and December 31, 2024, and the Company recorded the deferred liability balance as a deduction to operating expenses in the condensed consolidated statement of operations and comprehensive loss. The deduction recorded to operating expenses in the condensed consolidated statement of operations and comprehensive loss was not material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 Purchase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Lucid LLC entered into the EV Purchase Agreement with the Government of Saudi Arabia, a related party of the PIF, which is an affiliate of Ayar, as represented by the Ministry of Finance. The EV Purchase Agreement supersedes the letter of undertaking that Lucid LLC entered into in April 2022. Pursuant to the terms of the EV Purchase Agreement, the Government of Saudi Arabia and its entities and corporate subsidiaries and other beneficiaries (collectively, the “Purchaser”)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any vehicles that Lucid LLC fails to deliver within six months from the date of the applicable purchase order. The Purchaser also has sole and absolute discretion to decide whether to exercise the option to purchase the additional 50,000 vehicles.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net vehicle sales amount of SAR 128.4 million (approximately $34.3 million) and SAR 261.0 million (approximately $69.6 million) during the three and nine months ended September 30, 2025, respectively, and SAR 171.0 million (approximately $45.6 million) and SAR 500.5 million (approximately $133.4 million) during the same periods in the prior year, respectively. The deferred revenue from the vehicle sales was primarily related to OTA and was recorded within other current liabilities and other long-term liabilities in the condensed consolidated balance sheets. As of September 30, 2025 and December 31, 2024, the deferred revenue balance was not material. The Company recorded amounts due from the Purchaser of SAR 313.6 million (approximately $83.6 million) and SAR 217.6 million (approximately $57.9 million) in accounts receivable, net in the condensed consolidated balance sheets as of September 30, 2025 and December 31, 2024, respectively. See “Vehicle Sales without Residual Value Guarantee” section under Note 2 “Summary of Significant Accounting Policies” for the revenue recognition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Implementation Agreement with Aston Martin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the Company entered into an agreement (the “Implementation Agreement”) with Aston Martin, a related party of the PIF, which is an affiliate of Ayar, under which the Company and Aston Martin have established a long-term strategic technology and supply arrangement. On November 6, 2023, pursuant to the terms of the Implementation Agreement, integration and supply arrangements became effective, under which the Company will provide Aston Martin access to its powertrain, battery system, and software technologies, work with Aston Martin to integrate its powertrain and battery components with Aston Martin’s battery EV chassis, and supply powertrain and battery components to Aston Martin (collectively, the “Strategic Technology Arrangement”). In connection with the commencement of the Strategic Technology Arrangement, the Company received technology access fees in 28,352,273 ordinary shares of Aston Martin (subject to a lock-up provision of 365 days from its issuance) and the first cash installment of $33.0 million. These shares were initially measured at a fair value of $73.2 million. As of September 30, 2025 and December 31, 2024, the Company remeasured the shares and recorded fair values of $31.4 million and $37.8 million within investments in equity securities of a related party in the condensed consolidated balance sheets, respectively. The Company will receive the remaining cash payments of $99 million phased over a period of three years. In connection with the Strategic Technology Arrangement, the Company will also receive an aggregate of $10 million for integration service fees phased over a period of three years, of which the Company received $5.8 million from inception through September 30, 2025. As of September 30, 2025, the Company recorded accounts receivable of $2.8 million. There were immaterial accounts receivable as of December 31, 2024. The Company accounts for technology access, integration service, and supply arrangement as a single performance obligation and recognizes revenue related to technology access and integration service based on estimated units of delivery under the supply arrangement. As of September 30, 2025 and December 31, 2024, the Company recorded $114.8 million and $112.7 million as deferred revenue primarily within other long-term liabilities in the condensed consolidated balance sheets, respectively. Aston Martin has also committed to an effective minimum spend with the Company on powertrain components of $225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entered into a $750.0 million five year DDTL Credit Facility with Ayar, which may be used for working capital and general corporate purposes.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Time Deposit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purchases time deposits with GIB from time-to-time. GIB is a related party of the PIF, which is an affiliate of Ayar. As of September 30, 2025 and December 31, 2024, the Company recorded time deposit balance of $50.0 million and $15.0 million within short-term investments, and nil and $20.0 million within long-term investments in the condensed consolidated balance sheets, respectively. See Note 5 “Fair Value Measurements and Financial Instruments”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Ayar Prepaid Forward Transaction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Ayar entered into a privately negotiated prepaid forward transaction with the Forward Counterparty, pursuant to which Ayar will purchase approximately $430.0 million of the Company’s common stock with delivery expected to occur on or about the maturity date for the 2030 Notes, subject to the ability of the Forward Counterparty to elect to settle all or a portion of the prepaid forward transaction early. The periodic fee incurred associated with the prepaid forward transaction was not material for the three and nine months ended September 30, 2025. See Note 6 “Debt”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 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as the CODM reviews financial information presented on a consolidated basis for purposes of making operating decisions, allocating resources, and evaluating financial performance. The Company’s CODM is its Chief Executive Officer. The Company derives segment revenue primarily from the sale of EVs to customers, and the Company’s reported measure of the segment’s profit or loss is the consolidated net loss reported in the condensed consolidated statements of operations and comprehensive loss. The CODM uses the consolidated net loss for monitoring actual results to assess the Company’s financial performance. The Company’s CODM does not evaluate its reportable segment using asset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disaggregation of the Company’s revenue by geographic area based on the sales location where the sales originated was as follows (in thousands):</w:t>
      </w:r>
    </w:p>
    <w:tbl>
      <w:tblPr>
        <w:tblW w:w="7337" w:type="dxa"/>
        <w:jc w:val="left"/>
        <w:tblInd w:w="0" w:type="dxa"/>
        <w:tblLayout w:type="fixed"/>
        <w:tblCellMar>
          <w:top w:w="28" w:type="dxa"/>
          <w:left w:w="28" w:type="dxa"/>
          <w:bottom w:w="28" w:type="dxa"/>
          <w:right w:w="28" w:type="dxa"/>
        </w:tblCellMar>
      </w:tblPr>
      <w:tblGrid>
        <w:gridCol w:w="602"/>
        <w:gridCol w:w="530"/>
        <w:gridCol w:w="533"/>
        <w:gridCol w:w="216"/>
        <w:gridCol w:w="847"/>
        <w:gridCol w:w="111"/>
        <w:gridCol w:w="111"/>
        <w:gridCol w:w="111"/>
        <w:gridCol w:w="111"/>
        <w:gridCol w:w="216"/>
        <w:gridCol w:w="847"/>
        <w:gridCol w:w="111"/>
        <w:gridCol w:w="109"/>
        <w:gridCol w:w="109"/>
        <w:gridCol w:w="109"/>
        <w:gridCol w:w="211"/>
        <w:gridCol w:w="826"/>
        <w:gridCol w:w="109"/>
        <w:gridCol w:w="109"/>
        <w:gridCol w:w="109"/>
        <w:gridCol w:w="109"/>
        <w:gridCol w:w="211"/>
        <w:gridCol w:w="82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288,482 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Middle East</w:t>
            </w:r>
            <w:r>
              <w:rPr>
                <w:rFonts w:ascii="Times New Roman;serif" w:hAnsi="Times New Roman;serif"/>
                <w:b w:val="false"/>
                <w:color w:val="000000"/>
                <w:sz w:val="13"/>
              </w:rPr>
              <w:t>(2)</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200,038 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United States revenue was $281.9 million and $713.0 million for the three and nine months ended September 30, 2025, respectively, and $145.3 million and $412.2 million for the same periods in the prior year, respectively.</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Kingdom of Saudi Arabia revenue was $38.0 million and $81.4 million for the three and nine months ended September 30, 2025, respectively. Middle East represented revenue from Kingdom of Saudi Arabia for the three and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included information about reported segment revenue, segment profit or loss, and significant segment expenses (in thousands): </w:t>
      </w:r>
    </w:p>
    <w:tbl>
      <w:tblPr>
        <w:tblW w:w="10205" w:type="dxa"/>
        <w:jc w:val="left"/>
        <w:tblInd w:w="0" w:type="dxa"/>
        <w:tblLayout w:type="fixed"/>
        <w:tblCellMar>
          <w:top w:w="28" w:type="dxa"/>
          <w:left w:w="28" w:type="dxa"/>
          <w:bottom w:w="28" w:type="dxa"/>
          <w:right w:w="28" w:type="dxa"/>
        </w:tblCellMar>
      </w:tblPr>
      <w:tblGrid>
        <w:gridCol w:w="1641"/>
        <w:gridCol w:w="1247"/>
        <w:gridCol w:w="1262"/>
        <w:gridCol w:w="211"/>
        <w:gridCol w:w="861"/>
        <w:gridCol w:w="109"/>
        <w:gridCol w:w="109"/>
        <w:gridCol w:w="109"/>
        <w:gridCol w:w="109"/>
        <w:gridCol w:w="211"/>
        <w:gridCol w:w="861"/>
        <w:gridCol w:w="109"/>
        <w:gridCol w:w="109"/>
        <w:gridCol w:w="109"/>
        <w:gridCol w:w="109"/>
        <w:gridCol w:w="211"/>
        <w:gridCol w:w="1011"/>
        <w:gridCol w:w="109"/>
        <w:gridCol w:w="109"/>
        <w:gridCol w:w="109"/>
        <w:gridCol w:w="109"/>
        <w:gridCol w:w="211"/>
        <w:gridCol w:w="1011"/>
        <w:gridCol w:w="159"/>
      </w:tblGrid>
      <w:tr>
        <w:trPr/>
        <w:tc>
          <w:tcPr>
            <w:tcW w:w="164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573,359 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excluding LCNRV and provision for warranty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LCNRV</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 provision for warranty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common stock warrant liability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equity securities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 associated with redeemable convertible preferred stock (related party)</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(137,250)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net loss</w:t>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(2,316,724)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(2,316,724)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were $120.1 million and $329.1 million for the three and nine months ended September 30, 2025, respectively, and $69.5 million and $204.5 million for the same periods in the prior year,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long-lived assets by geographic area were as follows (in thousands): </w:t>
      </w:r>
    </w:p>
    <w:tbl>
      <w:tblPr>
        <w:tblW w:w="4929" w:type="dxa"/>
        <w:jc w:val="left"/>
        <w:tblInd w:w="0" w:type="dxa"/>
        <w:tblLayout w:type="fixed"/>
        <w:tblCellMar>
          <w:top w:w="28" w:type="dxa"/>
          <w:left w:w="28" w:type="dxa"/>
          <w:bottom w:w="28" w:type="dxa"/>
          <w:right w:w="28" w:type="dxa"/>
        </w:tblCellMar>
      </w:tblPr>
      <w:tblGrid>
        <w:gridCol w:w="713"/>
        <w:gridCol w:w="624"/>
        <w:gridCol w:w="628"/>
        <w:gridCol w:w="211"/>
        <w:gridCol w:w="976"/>
        <w:gridCol w:w="109"/>
        <w:gridCol w:w="109"/>
        <w:gridCol w:w="109"/>
        <w:gridCol w:w="109"/>
        <w:gridCol w:w="211"/>
        <w:gridCol w:w="976"/>
        <w:gridCol w:w="154"/>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3,474,498 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18 – SUBSEQUENT EVENT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preparation of the condensed consolidated financial statements for the three and nine months ended September 30, 2025, the Company evaluated subsequent events and concluded there were no subsequent events that required recognition in the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DDTL Credit Facility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2025, the Company entered into the 2025 DDTL Credit Facility to increase the aggregate principal amount from $750.0 million to $1.98 billion. The Company is required to pay a quarterly undrawn fee of 0.50% per annum based on the unutilized portion of the 2025 DDTL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November 5, 2025, the Company had no outstanding borrowings under the 2025 DDTL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Management’s Discussion and Analysis of Financial Condition and Results of Operations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included elsewhere in this Quarterly Report and our Annual Report on Form 10-K for the year ended December 31, 2024, filed with the SEC on February 25, 2025. This discussion may contain forward-looking statements based upon Lucid’s current expectation, estimates and projections that involve risks and uncertainties. Our actual results could differ materially from those anticipated in these forward-looking statements as a result of various factors, including those set forth under “Risk Factors”, in Part II, Item 1A of this Quarterly Report.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the share, per share, and related information in this Quarterly Report has been retrospectively adjusted to reflect the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a technology company with a mission to advance the state-of-the-art of EV technology for the benefit of all. We are setting new standards with the world’s most advanced EVs, the award-winning Lucid Air and Lucid Gravity. Our focus on in-house hardware and software innovation, vertical integration, and a “clean sheet” approach to engineering and design led to the development of the award-winning Lucid Air and Lucid Gravity.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sell vehicles directly to consumers through our retail sales network and through direct online sales, including utilizing Lucid Financial Services. We believe that owning and operating our sales network provides an opportunity to closely manage the customer experience, gather direct customer feedback, and ensure that customer interactions are tailored to our customers’ needs. We are also actively evaluating alternative importer and agency models to enhance flexibility and optimize our distribution strategy in response to evolving market dynamics. We own and operate a vehicle service network comprised of service centers in major metropolitan areas and a fleet of mobile service vehicles. In addition to our in-house service capabilities, we established and continue to grow an approved list of specially trained collision repair shops which also serve in some cases as repair hubs for our mobile service offerings.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began delivering the Lucid Air to customers in October 2021. We have leveraged and expanded the technological advancements from the Lucid Air to the Lucid Gravity, which offers an unprecedented combination of performance, interior space, and efficiency, and started commercial production and deliveries in December 2024. During the three months ended September 30, 2025, we produced 3,891 vehicles and delivered 4,078 vehicles. During the nine months ended September 30, 2025, we produced 9,966 vehicles and delivered 10,496 vehicles.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Beyond the Lucid Air and the Lucid Gravity, we plan to expand our vehicle lineup with the upcoming Midsize platform, which is scheduled for start of production in late 2026. Introducing a new vehicle is challenging and complex, particularly at our accelerated pace, and we are leveraging insights gained from our Lucid Air and Lucid Gravity production ramps while planning for our Midsize production. The highly uncertain macroeconomic environment and swift-moving trade policies further complicate these efforts. In response to this uncertainty, we are diligently working to optimize our supply chain and manufacturing plans.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Vehicle Production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16, 2025, we entered into the VPA with Uber under which Uber and its designated fleet operators have agreed to purchase a minimum commitment of 20,000 Lucid Gravity Plus vehicles over a six-year period following the start of production, which is targeted to occur in late 2026. We and Uber will collaborate with Nuro, Inc., as the provider of autonomous driving software, to develop and deploy a fleet of autonomous vehicles to be used as robotaxis on the Uber platform.</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2025, we entered into the 2025 Subscription Agreement with SMB, a subsidiary of Uber, under which we agreed to issue and SMB agreed to purchase, in a private placement, our common stock equal to (i) $300.0 million in cash divided by (ii) an amount equal to the arithmetic average of the daily volume-weighted average price of the common stock over a period of thirty (30) consecutive trading days ending on, and including, July 15, 2025. In September 2025, we consummated the private placement of shares to SMB pursuant to the 2025 Subscription Agreement and issued 13,715,121 shares for aggregate net proceeds of $299.7 million after deducting issuance costs of $0.3 million. The proceeds of the private placement will be used to fund non-recurring engineering costs, including the design, development, manufacture, and delivery of the Lucid Gravity Plus vehicles and for general corporate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29, 2025, we effected the Reverse Stock Split at a ratio of one-for-ten (1:10) and a corresponding reduction of the authorized shares of common stock, as approved by our Board of Directors and stockholders. The shares of the common stock began trading on a reverse split-adjusted basis at market open on September 2, 2025. See Note 2 “Summary of Significant Accounting Policies” in the notes to the condensed consolidated financial statements in Item 1 of Part I of this Quarterly Report for more information regarding the Reverse Stock Split.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Potential Impact of Adverse Economic Conditions and Trade Policy Uncertainties on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increases or other central bank policy actions, bank closures and liquidity concerns at financial institutions, or other factors, may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recently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w:t>
      </w:r>
    </w:p>
    <w:p>
      <w:pPr>
        <w:pStyle w:val="TextBody"/>
        <w:bidi w:val="0"/>
        <w:spacing w:lineRule="auto" w:line="288" w:before="240" w:after="283"/>
        <w:jc w:val="left"/>
        <w:rPr/>
      </w:pPr>
      <w:r>
        <w:rPr>
          <w:rFonts w:ascii="Times New Roman;serif" w:hAnsi="Times New Roman;serif"/>
          <w:b w:val="false"/>
          <w:color w:val="000000"/>
          <w:sz w:val="20"/>
        </w:rPr>
        <w:t xml:space="preserve">Taken together, adverse economic conditions and uncertainties surrounding trade policies, tariffs and export controls, coupled with supply chain challenges and the potential difficulty of passing costs to consumers or sharing the burden with suppliers, could reduce demand for our products and have a material adverse effect on our business, prospects, results of operations and financial condition. In addition, the deterioration of conditions in the financial markets may limit our ability to obtain external financing to fund our operations and capital expenditures on terms favorable to us, if at all. See “Risk Factors” in Part II, Item 1A of this Quarterly Report for more information regarding risks associated with a global economic downturn or recession, changes or uncertainties in trade policies, or the imposition or proposed imposition of tariffs, including under the captions </w:t>
      </w:r>
      <w:r>
        <w:rPr>
          <w:color w:val="000000"/>
        </w:rPr>
        <w:t>“</w:t>
      </w:r>
      <w:r>
        <w:rPr>
          <w:rFonts w:ascii="Times New Roman;serif" w:hAnsi="Times New Roman;serif"/>
          <w:b w:val="false"/>
          <w:i/>
          <w:color w:val="000000"/>
          <w:sz w:val="20"/>
        </w:rPr>
        <w:t xml:space="preserve">A global economic recession, downturn or other adverse economic conditions may have a material adverse impact on our business, prospects, results of operations and financial condition.” and “Changes in U.S. trade policy, including the imposition of or uncertainties surrounding tariffs or revocation of normal trade relations and the resulting consequences, could adversely affect our business, prospects, results of operations and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Key Factors Affecting Our Performance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and financial performance depend on a number of factors that present significant opportunities for our business, but also pose risks and challenges, including those discussed below and in the section entitled “Risk Factors” in Part II, Item 1A of this Quarterly Report.</w:t>
      </w:r>
    </w:p>
    <w:p>
      <w:pPr>
        <w:pStyle w:val="TextBody"/>
        <w:bidi w:val="0"/>
        <w:spacing w:lineRule="auto" w:line="288" w:before="240" w:after="283"/>
        <w:jc w:val="left"/>
        <w:rPr/>
      </w:pPr>
      <w:r>
        <w:rPr>
          <w:rFonts w:ascii="Times New Roman;serif" w:hAnsi="Times New Roman;serif"/>
          <w:b/>
          <w:i/>
          <w:color w:val="000000"/>
          <w:sz w:val="20"/>
        </w:rPr>
        <w:t>Design and Technology Leadership</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we are positioned to be a leader in the EV market by unlocking the potential for advanced, high-performance, and long-range EVs to co-exist. We designed the Lucid Air and the Lucid Gravity with race-proven battery and powertrain technologies, offering robust performance together with a sleek exterior design and expansive interior space due to our miniaturized key drivetrain components. The Lucid Gravity is a groundbreaking new class of SUV, conceived from the ground up. Enabled by our revolutionary technology, the Lucid Gravity provides the interior space and practicality of a full-size SUV within the exterior footprint of a mid-size SUV. As a result, it provides a sophisticated space for up to seven adults, game-changing versatility, and an unparalleled driving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Air and the Lucid Gravity are true software-defined vehicles, designed to improve over time, with OTA software updates and key hardware already in place in the vehicle. This holistic systems approach to the integration of hardware and software is what allows us to provide these value-add updates and is what sets us apart in the automotive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Lucid Gravity is designed to share components with the Lucid Air where possible, and we continue to evaluate opportunities to apply components developed for the Lucid Gravity to the Lucid Air, further expanding the number of common parts while also enhancing the customer experience in the Lucid Air. We anticipate that all of these measures will enable efficiency in design, engineering, and capital expenditure deployment for the Lucid Gravity. We anticipate continued consumer demand for the Lucid Air based on its luxurious design, high-performance technology, sustainability leadership, and the growing acceptance of and demand for EVs as substitutes for gasoline-fueled vehicles. We also anticipate that these attributes will drive customer demand for the Lucid Gravity, and our future models, including our upcoming Midsize platform.</w:t>
      </w:r>
    </w:p>
    <w:p>
      <w:pPr>
        <w:pStyle w:val="TextBody"/>
        <w:bidi w:val="0"/>
        <w:spacing w:lineRule="auto" w:line="288" w:before="240" w:after="283"/>
        <w:jc w:val="left"/>
        <w:rPr/>
      </w:pPr>
      <w:r>
        <w:rPr>
          <w:rFonts w:ascii="Times New Roman;serif" w:hAnsi="Times New Roman;serif"/>
          <w:b/>
          <w:i/>
          <w:color w:val="000000"/>
          <w:sz w:val="20"/>
        </w:rPr>
        <w:t>Direct-to-Consumer Model</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a direct-to-consumer sales and service model, which we believe allows us to offer a personalized experience for our customers based on their purchase and ownership preferences. We expect to continue to incur significant expenses in our sales, service and marketing operations for sales of the Lucid Air, the Lucid Gravity, and other EVs that we may offer over the coming decade, including to open additional studios, expand our sales force, grow marketing and brand awareness, and establish a robust service center operation. As of September 30, 2025, we have opened 60 studios and service centers (excluding temporary and satellite service centers): 39 in the United States (13 in California, four in each of Florida and New York, two in each of Arizona, Illinois, Massachusetts, New Jersey, Texas, Virginia and Washington, and one in each of Colorado, Georgia, Michigan and Pennsylvania), seven in Germany, five in Canada, three in each of Saudi Arabia and Switzerland, one in Netherlands, one in Norway, and one in the United Arab Emirates. We also plan to hire additional sales, customer service, and service center personnel. We believe that investing in our direct-to-consumer sales and service model will be critical to delivering and servicing the Lucid EVs we manufacture and sell at this stage. We are also actively evaluating alternative importer and agency models to enhance flexibility and optimize our distribution strategy in response to evolving market dynamics. </w:t>
      </w:r>
    </w:p>
    <w:p>
      <w:pPr>
        <w:pStyle w:val="TextBody"/>
        <w:bidi w:val="0"/>
        <w:spacing w:lineRule="auto" w:line="288" w:before="240" w:after="283"/>
        <w:jc w:val="left"/>
        <w:rPr/>
      </w:pPr>
      <w:r>
        <w:rPr>
          <w:rFonts w:ascii="Times New Roman;serif" w:hAnsi="Times New Roman;serif"/>
          <w:b/>
          <w:i/>
          <w:color w:val="000000"/>
          <w:sz w:val="20"/>
        </w:rPr>
        <w:t>Expanding and Improving Manufacturing Capacity and Processes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Achieving commercialization and growth for each generation of our EVs requires us to make significant capital expenditures to scale our production capacity and improve our supply chain processes in the United States and internationally. We expect our capital expenditures to increase as we continue constructing the CBU portion of AMP-2 and expanding AMP-1.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EVs, our ability to achieve sales and meet customer demand at anticipated levels, our ability to utilize planned capacity in our existing facilities and our ability to enter new markets.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Technology Innovation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develop in-house battery, powertrain, and software technology, which requires significant capital investment in research and development. The EV market is highly competitive, including both established automotive manufacturers and new entrants. To establish market position and attract customers, we plan to continue making substantial investments in research and development for the commercialization and continued enhancements of the Lucid Air and the Lucid Gravity, the development of our Midsize platform, as well as future generations of our EVs and other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Revenue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for the periods presented (in thousands):</w:t>
      </w:r>
    </w:p>
    <w:tbl>
      <w:tblPr>
        <w:tblW w:w="1138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0"/>
        <w:gridCol w:w="200"/>
        <w:gridCol w:w="47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2"/>
        <w:gridCol w:w="192"/>
        <w:gridCol w:w="532"/>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from vehicle sales when the customer obtains control of the vehicle, which is upon delivery. We also generate revenue from non-warranty after-sales vehicle services and parts, sales of battery pack systems, powertrain kits, retail merchandise, and regulatory credits, and sales of non-Lucid vehicles acquired as part of the trade-in program. We generate regulatory credits revenue from the sale of tradable credits we earn under various regulations. This includes credits related to zero emission vehicles and greenhouse gas, and the Corporate Average Fuel Economy credits.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 increased by $136.5 million, or 68%, and $257.7 million, or 45% for the three and nine months ended September 30, 2025, respectively, as compared to the same periods in the prior year. The increases were primarily driven by higher Lucid vehicle deliveries and increases of $7.8 million and $40.5 million in regulatory credit sales for the three and nine months ended September 30, 2025, respectively, as compared to the same periods in the prior year. The increase in revenue was partially offset by a lower average selling price of vehicles for the nine months ended September 30, 2025, as compared to the same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Cost of Revenue and Gross Profit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cost of revenue for the periods presented (in thousands):</w:t>
      </w:r>
    </w:p>
    <w:tbl>
      <w:tblPr>
        <w:tblW w:w="1165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200"/>
        <w:gridCol w:w="200"/>
        <w:gridCol w:w="471"/>
        <w:gridCol w:w="109"/>
        <w:gridCol w:w="109"/>
        <w:gridCol w:w="109"/>
        <w:gridCol w:w="196"/>
        <w:gridCol w:w="871"/>
        <w:gridCol w:w="109"/>
        <w:gridCol w:w="109"/>
        <w:gridCol w:w="109"/>
        <w:gridCol w:w="109"/>
        <w:gridCol w:w="196"/>
        <w:gridCol w:w="871"/>
        <w:gridCol w:w="109"/>
        <w:gridCol w:w="109"/>
        <w:gridCol w:w="109"/>
        <w:gridCol w:w="109"/>
        <w:gridCol w:w="196"/>
        <w:gridCol w:w="751"/>
        <w:gridCol w:w="109"/>
        <w:gridCol w:w="109"/>
        <w:gridCol w:w="109"/>
        <w:gridCol w:w="109"/>
        <w:gridCol w:w="192"/>
        <w:gridCol w:w="192"/>
        <w:gridCol w:w="53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8517" w:type="dxa"/>
        <w:jc w:val="left"/>
        <w:tblInd w:w="0" w:type="dxa"/>
        <w:tblLayout w:type="fixed"/>
        <w:tblCellMar>
          <w:top w:w="28" w:type="dxa"/>
          <w:left w:w="28" w:type="dxa"/>
          <w:bottom w:w="28" w:type="dxa"/>
          <w:right w:w="28" w:type="dxa"/>
        </w:tblCellMar>
      </w:tblPr>
      <w:tblGrid>
        <w:gridCol w:w="396"/>
        <w:gridCol w:w="348"/>
        <w:gridCol w:w="350"/>
        <w:gridCol w:w="109"/>
        <w:gridCol w:w="109"/>
        <w:gridCol w:w="109"/>
        <w:gridCol w:w="269"/>
        <w:gridCol w:w="271"/>
        <w:gridCol w:w="256"/>
        <w:gridCol w:w="109"/>
        <w:gridCol w:w="109"/>
        <w:gridCol w:w="109"/>
        <w:gridCol w:w="314"/>
        <w:gridCol w:w="316"/>
        <w:gridCol w:w="256"/>
        <w:gridCol w:w="109"/>
        <w:gridCol w:w="109"/>
        <w:gridCol w:w="109"/>
        <w:gridCol w:w="109"/>
        <w:gridCol w:w="109"/>
        <w:gridCol w:w="109"/>
        <w:gridCol w:w="109"/>
        <w:gridCol w:w="109"/>
        <w:gridCol w:w="109"/>
        <w:gridCol w:w="109"/>
        <w:gridCol w:w="109"/>
        <w:gridCol w:w="109"/>
        <w:gridCol w:w="109"/>
        <w:gridCol w:w="109"/>
        <w:gridCol w:w="109"/>
        <w:gridCol w:w="314"/>
        <w:gridCol w:w="316"/>
        <w:gridCol w:w="256"/>
        <w:gridCol w:w="109"/>
        <w:gridCol w:w="109"/>
        <w:gridCol w:w="109"/>
        <w:gridCol w:w="314"/>
        <w:gridCol w:w="316"/>
        <w:gridCol w:w="256"/>
        <w:gridCol w:w="109"/>
        <w:gridCol w:w="109"/>
        <w:gridCol w:w="109"/>
        <w:gridCol w:w="109"/>
        <w:gridCol w:w="109"/>
        <w:gridCol w:w="109"/>
        <w:gridCol w:w="109"/>
        <w:gridCol w:w="109"/>
        <w:gridCol w:w="109"/>
        <w:gridCol w:w="109"/>
        <w:gridCol w:w="109"/>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vehicle sales includes direct parts, materials, shipping and handling costs, allocable overhead costs such as depreciation of manufacturing related equipment and facilities, information technology costs, personnel costs, including wages and stock-based compensation, estimated warranty costs, charges to reduce inventories to their net realizable value, charges for any excess or obsolete inventories, and losses from firm purchase commitments. Cost of vehicle sales also includes depreciation of operating lease vehicles. Manufacturing credits earned are recorded as a reduction to cost of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other revenue includes direct parts, material and labor costs, manufacturing overhead, including depreciation of tooling costs, shipping and logistic costs. Cost of other revenue also includes costs associated with providing non-warranty after-sales services and costs for retail merchandise.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Cost of revenue increased by $257.7 million, or 62%, and $377.8 million, or 29% for the three and nine months ended September 30, 2025, respectively, as compared to the same periods in the prior year. The increases were primarily due to higher delivery volume of the Lucid vehicles and higher inventory write-downs including losses from firm purchase commitments, partially offset by improvements in vehicle cost efficiency. Cost of revenue included approximately $44 million and $98 million of incremental tariff cost impact during the three and nine months ended September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impacts were also partially offset by a $41.5 million of provision associated with a special warranty campaign recognized during the nine months ended September 30, 2024. We expect the ramping of our production volumes to positively impact our cost per vehicle in the remainder of 2025. In the near term, we expect our production volume of vehicles to continue to be less than our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recorded write-downs of $192.1 million and $528.5 million for the three and nine months ended September 30, 2025, respectively, and $154.9 million and $446.9 million for the same periods in the prior year, respectively, to reduce our inventories to their net realizable values, for any excess or obsolete inventories, and losses from firm purchase commitments. The increases in the write-downs were primarily due to higher inventory and firm purchase commitments in anticipation of the Lucid Gravity production ramp-up and tariff impacts for the three and nine months ended September 30, 2025, compared to the same periods in the prior year. While the final scope and application of recently announced changes in trade policy remain uncertain at this time, higher tariffs on imports and subsequent retaliatory tariffs could adversely impact our financial results. We expect inventory write-downs could negatively affect our costs of vehicle sales in upcoming periods in the near term as we ramp production volumes up toward our manufacturing capacity.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16, 2022, the Inflation Reduction Act of 2022 (the “IRA”) was enacted with clean energy incentives. For the three and nine months ended September 30, 2025 and 2024, the impact of the IRA on our results of operations was not material. We will continue to evaluate the expected future impact of the IRA on our business and financial statements upon issuance of additional regulatory guidance.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Gross margin improved to (99.1)% and (100.4)% for the three and nine months ended September 30, 2025, respectively, as compared to (106.2)% and (124.6)% for the same periods in the prior year, respectively, primarily driven by improvements in vehicle cost efficiency and increases in regulatory credit sales, partially offset by higher inventory write-downs and losses from firm purchase commitments and tariff impact. Gross margin improvement for the nine months ended September 30, 2025 was also partially offset by a lower average selling price of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Operating Expenses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operating expenses for the periods presented (in thousands):</w:t>
      </w:r>
    </w:p>
    <w:tbl>
      <w:tblPr>
        <w:tblW w:w="11953" w:type="dxa"/>
        <w:jc w:val="left"/>
        <w:tblInd w:w="0" w:type="dxa"/>
        <w:tblLayout w:type="fixed"/>
        <w:tblCellMar>
          <w:top w:w="28" w:type="dxa"/>
          <w:left w:w="28" w:type="dxa"/>
          <w:bottom w:w="28" w:type="dxa"/>
          <w:right w:w="28" w:type="dxa"/>
        </w:tblCellMar>
      </w:tblPr>
      <w:tblGrid>
        <w:gridCol w:w="460"/>
        <w:gridCol w:w="325"/>
        <w:gridCol w:w="32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8"/>
        <w:gridCol w:w="218"/>
        <w:gridCol w:w="471"/>
        <w:gridCol w:w="109"/>
        <w:gridCol w:w="109"/>
        <w:gridCol w:w="109"/>
        <w:gridCol w:w="196"/>
        <w:gridCol w:w="871"/>
        <w:gridCol w:w="109"/>
        <w:gridCol w:w="109"/>
        <w:gridCol w:w="109"/>
        <w:gridCol w:w="109"/>
        <w:gridCol w:w="196"/>
        <w:gridCol w:w="871"/>
        <w:gridCol w:w="109"/>
        <w:gridCol w:w="109"/>
        <w:gridCol w:w="109"/>
        <w:gridCol w:w="109"/>
        <w:gridCol w:w="196"/>
        <w:gridCol w:w="661"/>
        <w:gridCol w:w="109"/>
        <w:gridCol w:w="109"/>
        <w:gridCol w:w="109"/>
        <w:gridCol w:w="109"/>
        <w:gridCol w:w="218"/>
        <w:gridCol w:w="218"/>
        <w:gridCol w:w="532"/>
      </w:tblGrid>
      <w:tr>
        <w:trPr/>
        <w:tc>
          <w:tcPr>
            <w:tcW w:w="4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1,602,519 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1,573,534 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have primarily focused on the development of our battery and powertrain technology, the Lucid Air, the Lucid Gravity, and future generations of our EVs, including our Midsize platform. Research and development expenses primarily consist of materials, supplies and personnel-related expenses for employees involved in the engineering, designing, and testing of EVs. Personnel-related expenses primarily include salaries, benefits and stock-based compensation. In addition, research and development expenses include prototype material, engineering, design and testing services, and allocated facilities costs, such as office and rent expense and depreciation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remained relatively flat for the three months ended September 30, 2025, as compared to the same period in the prior year. The change was primarily attributable to a decrease of $56.9 million in engineering, design and testing services, and prototype materials related mostly to the Lucid Gravity as we started production in late 2024, largely offset by increases of $22.1 million in payroll related expenses, $16.7 million in stock-based compensation expenses, $11.2 million in utilization of contractors and professional services, and $5.8 million in facilities and rental related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by $45.8 million, or 5% for the nine months ended September 30, 2025, as compared to the same period in the prior year. The decrease was primarily attributable to a decrease of $145.1 million in engineering, design and testing services, and prototype materials related mostly to the Lucid Gravity as we started production in late 2024, partially offset by increases of $54.1 million in payroll related expenses, $14.6 million in stock-based compensation expenses, $11.7 million in utilization of contractors and professional fees, $10.7 million in facilities and rental related costs, and $8.6 million in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primarily consist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sales and marketing expenses and other general corporate expenses. As we continue to grow as a company, build out our sales force, and commercialize the Lucid Air and Lucid Gravity, and future generations of our EVs, including our Midsize platform, we expect an increase to our selling, general and administrative costs.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$49.5 million, or 21% for the three months ended September 30, 2025, as compared to the same period in the prior year. The increase was primarily attributable to increases of $20.8 million in sales and marketing expenses, $10.5 million in stock-based compensation expenses, $10.4 million in facilities and rental related costs, and $5.1 million in payroll related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$95.1 million, or 14% for the nine months ended September 30, 2025, as compared to the same period in the prior year. The increase was primarily attributable to increases of $37.5 million in payroll related expenses, $30.7 million in sales and marketing expenses, $24.4 million in facilities and rental related costs, and $9.1 million in utilization of contractors and professional fees. These increases were partially offset by a decrease of $25.7 million in stock-based compensation expenses, primarily driven by a reversal of previously recognized expenses for the former-CEO’s unvested time-based RSUs during the nine months ended September 30, 2025.</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Charges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May 24, 2024, we announced the 2024 Restructuring Plan intended to optimize operating expenses in response to evolving business needs and productivity improvement through a reduction in workforce. We completed the 2024 Restructuring Plan during the first quarter of 2025. During the three and nine months ended September 30, 2024, we recorded restructuring charges of $0.1 million and $20.3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other income (expense), net for the periods presented (in thousands):</w:t>
      </w:r>
    </w:p>
    <w:p>
      <w:pPr>
        <w:pStyle w:val="TextBody"/>
        <w:bidi w:val="0"/>
        <w:spacing w:before="0" w:after="0"/>
        <w:jc w:val="left"/>
        <w:rPr/>
      </w:pPr>
      <w:r>
        <w:rPr/>
      </w:r>
    </w:p>
    <w:tbl>
      <w:tblPr>
        <w:tblW w:w="11773" w:type="dxa"/>
        <w:jc w:val="left"/>
        <w:tblInd w:w="0" w:type="dxa"/>
        <w:tblLayout w:type="fixed"/>
        <w:tblCellMar>
          <w:top w:w="28" w:type="dxa"/>
          <w:left w:w="28" w:type="dxa"/>
          <w:bottom w:w="28" w:type="dxa"/>
          <w:right w:w="28" w:type="dxa"/>
        </w:tblCellMar>
      </w:tblPr>
      <w:tblGrid>
        <w:gridCol w:w="684"/>
        <w:gridCol w:w="258"/>
        <w:gridCol w:w="25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210"/>
        <w:gridCol w:w="211"/>
        <w:gridCol w:w="471"/>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210"/>
        <w:gridCol w:w="211"/>
        <w:gridCol w:w="532"/>
      </w:tblGrid>
      <w:tr>
        <w:trPr/>
        <w:tc>
          <w:tcPr>
            <w:tcW w:w="6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common stock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equity securities of a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Change in Fair Value of Common Stock Warrant Liability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common stock warrant liability relates to the Private Placement Warrants to purchase shares of our common stock that were effectively issued upon the closing in connection with the merger. Our common stock warrant liability is subject to remeasurement to fair value at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Private Placement Warrants remained unexercised as of September 30, 2025. The liability was remeasured to a fair value of $0.9 million and $19.5 million as of September 30, 2025 and December 31, 2024, respectively. The change in fair value resulted in unrealized gains of $0.4 million and $18.6 million for the three and nine months ended September 30, 2025, respectively, and an unrealized loss of $13.7 million and an unrealized gain of $20.8 million for the same periods in the prior year, respectively. The change in fair value was classified within change in fair value of common stock warrant liability in the condensed consolidated statements of operations and comprehensive loss. See Note 7 “Common Stock Warrant Liability”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Equity Securities of a Related Party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November 6, 2023, in connection with the commencement of the Strategic Technology Arrangement with Aston Martin, we received 28,352,273 ordinary shares of Aston Martin. The ordinary shares of Aston Martin are subject to remeasurement to fair value at each reporting period. Such shares were remeasured to a fair value of $31.4 million and $37.8 million as of September 30, 2025 and December 31, 2024, respectively. The change in fair value resulted in an unrealized gain of $0.9 million and an unrealized loss of $8.6 million during the three and nine months ended September 30, 2025, respectively, and unrealized losses of $8.8 million and $38.2 million for the same periods in the prior year, respectively, and was classified within change in fair value of equity securities of a related party in the condensed consolidated statements of operations and comprehensive loss. See Note 5 “Fair Value Measurements and Financial Instruments” and Note 16 “Related Party Transactions”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Change in Fair Value of Derivative Liabilities Associated with Redeemable Convertible Preferred Stock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March 2024, we entered into the Series A Subscription Agreement with Ayar. Pursuant to the Series A Subscription Agreement, Ayar agreed to purchase from us 100,000 shares of our Series A Redeemable Convertible Preferred Stock for an aggregate purchase price of $1.0 billion in a private placement. Subsequently, in March 2024, we issued the shares to Ayar pursuant to the Series A Subscription Agreement and received aggregate net proceeds of $997.6 million after deducting issuance costs of $2.4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Series B Subscription Agreement with Ayar. Pursuant to the Series B Subscription Agreement, Ayar agreed to purchase from us 75,000 shares of our Series B Redeemable Convertible Preferred Stock, for an aggregate purchase price of $750.0 million in a private placement. Subsequently, in August 2024, we issued the shares to Ayar pursuant to the Series B Subscription Agreement and received aggregate net proceeds of $749.4 million after deducting issuance costs of $0.6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related to the conversion features. The bifurcated derivatives are remeasured to fair value at each reporting period with changes in fair value recorded in the condensed consolidated statement of operations and comprehensive loss.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derivative liabilities of the Redeemable Convertible Preferred Stock were remeasured to a fair value of $282.6 million and $639.4 million as of September 30, 2025 and December 31, 2024, respectively. We recognized a loss of $36.4 million and a gain of $356.8 million for the three and nine months ended September 30, 2025, respectively, and losses of $240.3 million and $137.3 million for the same periods in the prior year, respectively, primarily driven by changes in our stock price, within change in fair value of derivative liabilities associated with redeemable convertible preferred stock (related party) in the condensed consolidated statements of operations and comprehensive loss. See Note 8 “Redeemable Convertible Preferred Stock” to our condensed consolidated financial statements included elsewhere in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Gain on Extinguishment of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repurchased $1,052.5 million aggregate principal amount of the 2026 Notes, using $931.4 million of the net proceeds of the 2030 Notes. The repurchases of the 2026 Notes were accounted for as a debt extinguishment. The difference between the consideration paid to repurchase a portion of the 2026 Notes and the then carrying value of the 2026 Notes resulted in a gain of $116.4 million, and was recorded within gain on extinguishment of debt in the condensed consolidated statement of operations and comprehensive loss during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$15.4 million, or (31)% for the three months ended September 30, 2025, as compared to the same period in the prior year, primarily due to lower average balances and higher average purchase price of available-for-sale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income decreased by $24.0 million, or (15)% for the nine months ended September 30, 2025, as compared to the same period in the prior year, primarily due to higher average purchase price of available-for-sale securities, partially offset by higher interest rates on our available-for-sale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primarily consists of contractual interest and amortization of debt discounts and debt issuance costs incurred related to the 2026 Notes and the 2030 Notes, commitment fees and amortization of deferred issuance costs from the ABL Credit Facility and the DDTL Credit Facility, interest on borrowings from the 2025 GIB Credit Facility and on our finance leases, and capitalized interest on construction in progress related to significant capital asset construction.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$17.1 million, or 202%, and $38.6 million, or 170% for the three and nine months ended September 30, 2025, respectively, as compared to the same periods in the prior year. The increases were primarily due to higher interest expense of $13.7 million and $26.4 million from the issuance of the 2030 Notes during the three and nine months ended September 30, 2025 and higher interest expense of $4.4 million and $9.8 million from the GIB credit facility resulting from higher average borrowings and commitment fees related to the DDTL Credit Facility during the three and nine months ended September 30, 2025, respectively,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net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primarily consists of foreign currency gains and losses and changes in residual value guarantee reserve. Our foreign currency exchange gains and losses relate to transactions and monetary asset and liability balances denominated in currencies other than the U.S. dollar. We expect our foreign currency gains and losses to continue to fluctuate in the future due to changes in foreign currency exchange rates.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changed by $10.7 million and $1.9 million for the three and nine months ended September 30, 2025, respectively, as compared to the same periods in the prior year, primarily due to changes in foreign exchange rates and residual value guarantee reserve.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i/>
          <w:color w:val="000000"/>
          <w:sz w:val="20"/>
        </w:rPr>
        <w:t>Provision for (benefit from) Income Taxes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provision for (benefit from) income taxes for the periods presented (in thousands):</w:t>
      </w:r>
    </w:p>
    <w:tbl>
      <w:tblPr>
        <w:tblW w:w="10205" w:type="dxa"/>
        <w:jc w:val="left"/>
        <w:tblInd w:w="0" w:type="dxa"/>
        <w:tblLayout w:type="fixed"/>
        <w:tblCellMar>
          <w:top w:w="28" w:type="dxa"/>
          <w:left w:w="28" w:type="dxa"/>
          <w:bottom w:w="28" w:type="dxa"/>
          <w:right w:w="28" w:type="dxa"/>
        </w:tblCellMar>
      </w:tblPr>
      <w:tblGrid>
        <w:gridCol w:w="377"/>
        <w:gridCol w:w="331"/>
        <w:gridCol w:w="332"/>
        <w:gridCol w:w="109"/>
        <w:gridCol w:w="109"/>
        <w:gridCol w:w="109"/>
        <w:gridCol w:w="196"/>
        <w:gridCol w:w="442"/>
        <w:gridCol w:w="109"/>
        <w:gridCol w:w="109"/>
        <w:gridCol w:w="109"/>
        <w:gridCol w:w="109"/>
        <w:gridCol w:w="196"/>
        <w:gridCol w:w="421"/>
        <w:gridCol w:w="109"/>
        <w:gridCol w:w="109"/>
        <w:gridCol w:w="109"/>
        <w:gridCol w:w="109"/>
        <w:gridCol w:w="196"/>
        <w:gridCol w:w="491"/>
        <w:gridCol w:w="109"/>
        <w:gridCol w:w="109"/>
        <w:gridCol w:w="109"/>
        <w:gridCol w:w="109"/>
        <w:gridCol w:w="290"/>
        <w:gridCol w:w="290"/>
        <w:gridCol w:w="291"/>
        <w:gridCol w:w="109"/>
        <w:gridCol w:w="109"/>
        <w:gridCol w:w="109"/>
        <w:gridCol w:w="196"/>
        <w:gridCol w:w="577"/>
        <w:gridCol w:w="109"/>
        <w:gridCol w:w="109"/>
        <w:gridCol w:w="109"/>
        <w:gridCol w:w="109"/>
        <w:gridCol w:w="196"/>
        <w:gridCol w:w="421"/>
        <w:gridCol w:w="109"/>
        <w:gridCol w:w="109"/>
        <w:gridCol w:w="109"/>
        <w:gridCol w:w="109"/>
        <w:gridCol w:w="196"/>
        <w:gridCol w:w="577"/>
        <w:gridCol w:w="109"/>
        <w:gridCol w:w="109"/>
        <w:gridCol w:w="109"/>
        <w:gridCol w:w="109"/>
        <w:gridCol w:w="268"/>
        <w:gridCol w:w="268"/>
        <w:gridCol w:w="383"/>
      </w:tblGrid>
      <w:tr>
        <w:trPr/>
        <w:tc>
          <w:tcPr>
            <w:tcW w:w="3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*nm</w:t>
            </w:r>
          </w:p>
        </w:tc>
      </w:tr>
    </w:tbl>
    <w:p>
      <w:pPr>
        <w:pStyle w:val="TextBody"/>
        <w:bidi w:val="0"/>
        <w:spacing w:lineRule="auto" w:line="288" w:before="0" w:after="0"/>
        <w:jc w:val="left"/>
        <w:rPr/>
      </w:pPr>
      <w:r>
        <w:rPr>
          <w:rFonts w:ascii="Times New Roman;serif" w:hAnsi="Times New Roman;serif"/>
          <w:b w:val="false"/>
          <w:i/>
          <w:color w:val="000000"/>
          <w:sz w:val="16"/>
        </w:rPr>
        <w:t xml:space="preserve">*nm </w:t>
      </w:r>
      <w:r>
        <w:rPr>
          <w:rFonts w:ascii="Times New Roman;serif" w:hAnsi="Times New Roman;serif"/>
          <w:b w:val="false"/>
          <w:color w:val="000000"/>
          <w:sz w:val="16"/>
        </w:rPr>
        <w:t>- not meaningful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provision for (benefit from) income taxes consists primarily of U.S., state and foreign income taxes in jurisdictions in which we operate. We maintain a valuation allowance against the full value of our U.S. and state net deferred tax assets because we believe it is more likely than not that the recoverability of these deferred tax assets will not be realized.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OBBBA was signed into law, introducing significant changes to the U.S. federal income tax code. The OBBBA included provisions that allow for the immediate expensing of domestic research and development expenses and certain capital expenditures, as well as other changes related to the U.S. taxation of profits derived from foreign operations. Due to the full valuation allowance on our U.S. deferred tax assets, the related tax impact of the legislation is expected to be immaterial.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Liquidity and Capital Resources</w:t>
      </w:r>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$2,993.3 million of cash, cash equivalents and investments and $31.4 million of investment in equity securities of a related party. We also had $750.0 million, $273.8 million, and $192.9 million of unused available credit amounts from the DDTL Credit Facility, the ABL Credit Facility, and the 2025 GIB Credit Facility, respectively, as of September 30, 2025. Our existing sources of liquidity include cash, cash equivalents, investments, and credit facilities. We funded operations primarily with issuances of common stock, convertible preferred stock and convertible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that our current sources of liquidity together with our projection of cash flows from operating activities will provide us with adequate liquidity for at least the next 12 months, including investment in funding (i) ongoing operations, (ii) research and development projects for new products/ technologies, (iii) further construction of AMP-1 in Casa Grande, Arizona, (iv) construction of the CBU portion of AMP-2 in Saudi Arabia, (v) vendor tooling, (vi) expansion of retail studios and service centers, and (vii) other initiatives related to the sale of vehicles and/or technology.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anticipate our cumulative spending on capital expenditures to be in a range of approximately $1.0 billion to $1.2 billion for the fiscal year 2025 to support our continued commercialization and growth objectives as we strategically invest in manufacturing capacity and capabilities, our retail studios and service center capabilities throughout North America and across the globe, development of different products and technologies, and other areas supporting the growth of Lucid’s business. We expect to continue to receive financing and support for certain capital expenditures in connection with AMP-2 construction and purchases of machinery, tooling, and equipment. Refer to Note 6 “Debt” and Note 16 “Related Party Transactions” to the condensed consolidated financial statements included elsewhere in this Quarterly Report for more information. Our future capital expenditures may vary and will depend on many factors including the timing and extent of spending and other growth initiatives. In addition, we expect our operating expenses to increase in order to grow and support the operations of a global technology automotive company targeting volumes in line with Lucid’s aspirations.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our total minimum lease payments are $693.3 million, of which $21.3 million is due in fiscal year 2025. We also have non-cancellable long-term commitments of approximately $2.56 billion, primarily relating to certain inventory component purchases. For details regarding these obligations, refer to Note 11 “Leases” and Note 12 “Commitments and Contingencies”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we issued $1,100.0 million of the 2030 Notes. Contemporaneously with the 2030 Notes offering, we entered into privately negotiated transactions with certain holders of the 2026 Notes to repurchase $1,052.5 million aggregate principal amount of the 2026 Notes, using $931.4 million of the net proceeds of the 2030 Notes. The 2030 Notes accrue interest at a rate of 5.00% per annum, payable semi-annually in arrears on April 1 and October 1 of each year, beginning on October 1, 2025. The 2030 Notes will mature on April 1, 2030, unless earlier repurchased, redeemed or converted. Before the close of business on the business day immediately before January 1, 2030, noteholders will have the right to convert their 2030 Notes only upon the occurrence of certain events. From and after January 1, 2030, noteholders may elect at any time to convert their 2030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33.3333 shares of common stock per $1,000 principal amount of the 2030 Notes, which represents an initial conversion price of approximately $30.00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September 30, 2025, we were in compliance with applicable covenants under the indenture governing the 2030 Notes.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2030 Notes offering, we paid $118.3 million to enter into the Capped Call Transactions with certain financial institutions. The Capped Call Transactions cover, subject to anti-dilution adjustments, the number of shares of our common stock initially underlying the 2030 Notes. The Capped Call Transactions have an expiration date of April 1,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the Capped Call Transactions generally would reduce the potential dilution to our common stock upon conversion of the notes and/or offset any cash payments that we could be required to make in excess of the principal amount of any converted notes, as the case may be, in the event that the market price per share of our common stock, as measured under the terms of the Capped Call Transactions, is greater than the strike price of the Capped Call Transactions. The initial strike price of the Capped Call Transactions corresponds to the initial conversion price of the 2030 Notes, or approximately $30.00 per share of our common stock. The initial cap price of the Capped Call Transactions was $48.00 per share of our common stock and is subject to customary anti-dilution adjustments.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2026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2021, we issued $2,012.5 million of the 2026 Notes. The 2026 Notes accrue interest at a rate of 1.25% per annum, payable semi-annually in arrears on June 15 and December 15 of each year, beginning on June 15, 2022. The 2026 Notes will mature on December 15, 2026, unless earlier repurchased, redeemed or converted. Before the close of business on the business day immediately before September 15, 2026, noteholders will have the right to convert their 2026 Notes only upon the occurrence of certain events. From and after September 15, 2026, noteholders may elect at any time to convert their 2026 Notes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is 1.8255 shares of common stock per $1,000 principal amount of the 2026 Notes, which represents an initial conversion price of approximately $547.80 per share of common stock. The conversion rate and conversion price will be subject to customary adjustments upon the occurrence of certain events, including a reverse stock split. In addition, if certain corporate events that constitute a make-whole fundamental change (as defined in the indenture) occur, then the conversion rate will, in certain circumstances, be increased for a specified period of time. As of September 30, 2025 and December 31, 2024, we were in compliance with applicable covenants under the indenture governing the 2026 Notes.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April 2025, contemporaneously with the 2030 Notes offering, we repurchased $1,052.5 million aggregate principal amount of the 2026 Notes, using $931.4 million of the net proceeds of the 2030 Notes. Following the redemption, our outstanding principal balance of the 2026 Notes was $960.0 million.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International Manufacturing Expansion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we announced the selection of KAEC in Saudi Arabia as the location of our first international manufacturing plant and signed related agreements with the MISA, the SIDF, and the Economic City at KAEC. We started the AMP-2 operations with re-assembly of the Lucid Air vehicle “kits” pre-manufactured in the U.S. and, over time, will commence production of complete vehicles.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SIDF Loan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27, 2022, Lucid LLC entered into the SIDF Loan Agreement with SIDF, a related party of the PIF, which is an affiliate of Ayar. Under the SIDF Loan Agreement, SIDF has committed to provide SIDF Loans to Lucid LLC in an aggregate principal amount of up to SAR 5.19 billion (approximately $1.4 billion); provided that SIDF may reduce the availability of SIDF Loans under the facility in certain circumstances. SIDF Loans will be subject to repayment in semi-annual installments in amounts ranging from SAR 25 million (approximately $6.7 million) to SAR 350 million (approximately $93.3 million), commencing on April 3, 2026 and ending on November 12, 2038. SIDF Loans are financing and will be used to finance certain costs in connection with the development and construction of AMP-2. Lucid LLC may repay SIDF Loans earlier than the maturity date without penalty. Obligations under the SIDF Loan Agreement do not extend to us or any of our other subsidiaries.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SIDF Loans will not bear interest. Instead, Lucid LLC will be required to pay SIDF service fees, consisting of follow-up and technical evaluation fees, ranging, in aggregate, from SAR 415 million (approximately $110.7 million) to SAR 1.77 billion (approximately $472.0 million), over the term of the SIDF Loans. SIDF Loans will be secured by security interests in the equipment, machines and assets funded thereby.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SIDF Loan Agreement contains certain restrictive financial covenants and imposes annual caps on Lucid LLC’s payment of dividends, distributions of paid-in capital, or certain capital expenditures. The SIDF Loan Agreement also defines customary events of default, including abandonment of or failure to commence operations at the plant in KAEC, and drawdowns under the SIDF Loan Agreement are subject to certain conditions precedent. As of September 30, 2025 and December 31, 2024, no amount was outstanding under the SIDF Loan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MISA Agreements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Lucid LLC entered into agreements with MISA, a related party of the PIF, which is an affiliate of Ayar, pursuant to which MISA has agreed to provide economic support for certain capital expenditures in connection with Lucid LLC’s on-going design and construction of AMP-2. The support by MISA is subject to Lucid LLC’s completion of certain milestones related to the construction and operation of AMP-2. Following the commencement of construction, if operations at the plant do not commence within 30 months, or if the agreed scope of operations is not attained within 55 months, MISA may suspend availability of subsequent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agreements, MISA has the right to require Lucid LLC to transfer the ownership of AMP-2 to MISA, at the fair market value thereof, reduced by an amortized value of the support provided in the event of customary events of default including abandonment or material and chronically low utilization of AMP-2. Alternatively, Lucid LLC is entitled to avoid the transfer of the ownership of AMP-2 by electing to pay such amortized value. The agreements will terminate on the fifteenth anniversary of the commencement of CBU operations at AMP-2 at the latest.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2023, we received support of SAR 366 million (approximately $97.5 million) in cash, of which $62.5 million was recorded as deferred liability within other long-term liabilities and $35.0 million was recorded as a deduction in calculating the carrying amount of the related assets in the consolidated balance sheet as of December 31, 2023. As of December 31, 2024, we recorded $97.5 million as a deduction in calculating the carrying amount of the related assets in the condensed consolidated balance sheet. During the three and nine months ended September 30, 2025, there were no further deductions to the carrying value of the related assets in the condensed consolidated balance sheet. There were no unfulfilled conditions and contingencies attached to the payments received. </w:t>
      </w:r>
    </w:p>
    <w:p>
      <w:pPr>
        <w:pStyle w:val="TextBody"/>
        <w:bidi w:val="0"/>
        <w:spacing w:lineRule="auto" w:line="288" w:before="240" w:after="283"/>
        <w:jc w:val="left"/>
        <w:rPr>
          <w:rFonts w:ascii="Times New Roman;serif" w:hAnsi="Times New Roman;serif"/>
          <w:b w:val="false"/>
          <w:i/>
          <w:color w:val="242424"/>
          <w:sz w:val="20"/>
          <w:shd w:fill="FFFFFF" w:val="clear"/>
        </w:rPr>
      </w:pPr>
      <w:r>
        <w:rPr>
          <w:rFonts w:ascii="Times New Roman;serif" w:hAnsi="Times New Roman;serif"/>
          <w:b w:val="false"/>
          <w:i/>
          <w:color w:val="242424"/>
          <w:sz w:val="20"/>
          <w:shd w:fill="FFFFFF" w:val="clear"/>
        </w:rPr>
        <w:t>GIB Facility Agreement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29, 2022, Lucid LLC entered into the GIB Facility Agreement with GIB, maturing on February 28, 2025. GIB is a related party of the PIF, which is an affiliate of Ayar. The GIB Facility Agreement provided for two committed revolving credit facilities in an aggregate principal amount of SAR 1.0 billion (approximately $266.1 million). The SAR 650 million (approximately $173.0 million) Bridge Facility, under the GIB Facility Agreement, was available to Lucid LLC to support capital expenditures in connection with AMP-2. The remaining SAR 350 million (approximately $93.1 million) Working Capital Facility might be used for general corporate purposes. On March 12, 2023, Lucid LLC entered into the 2023 Amended GIB Facility Agreement to combine the Bridge Facility and the Working Capital Facility into a committed SAR 1.0 billion (approximately $266.1 million) 2023 GIB Credit Facility which may be used for general corporate purposes. Loans under the 2023 Amended GIB Credit Facility Agreement had a maturity of no more than 12 months and bore interest at a rate of 1.40% per annum over SAIBOR (based on the term of borrowing) and associated fees. Under the 2023 Amended GIB Credit Facility Agreement, we were required to pay a quarterly commitment fee of 0.15% per annum based on the unutilized portion of the 2023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February 24, 2025, Lucid LLC entered into the 2025 GIB Credit Facility maturing on February 24, 2028 to increase the credit facility committed amount from SAR 1.0 billion (approximately $266.1 million) to SAR 1.9 billion (approximately $506.6 million). Loans under the 2025 GIB Credit Facility may be used for general corporate purposes, have a maturity of no more than 12 months, and bear interest at a rate of 1.40% per annum over SAIBOR (based on the term of borrowing) and associated fees. We are required to pay a quarterly commitment fee of 0.25% per annum based on the unutilized portion of the 2025 GIB Credit Facility. Commitments under the 2025 GIB Credit Facility will terminate, and all amounts then outstanding thereunder would become payable, on the maturity date of the 2025 GIB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2025 GIB Credit Facility contains certain conditions precedent to drawdowns, representations and warranties and covenants of Lucid LLC and events of default.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we had outstanding borrowings of SAR 1,175 million (approximately $313.3 million) and SAR 475 million (approximately $126.4 million), respectively. The outstanding borrowings were recorded within other current liabilities in the condensed consolidated balance sheets. The weighted average interest rate on the outstanding borrowings was 6.80% and 7.04% as of September 30, 2025 and December 31, 2024, respectively. As of September 30, 2025 and December 31, 2024, availability under the GIB credit facility was SAR 723.5 million (approximately $192.9 million) and SAR 523.2 million (approximately $139.2 million), respectively, after giving effect to the outstanding letters of credit. As of September 30, 2025 and December 31, 2024, we were in compliance with applicable covenants under the GIB credit facility.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ABL Credit Facility</w:t>
      </w:r>
    </w:p>
    <w:p>
      <w:pPr>
        <w:pStyle w:val="TextBody"/>
        <w:bidi w:val="0"/>
        <w:spacing w:lineRule="auto" w:line="288" w:before="240" w:after="283"/>
        <w:jc w:val="left"/>
        <w:rPr/>
      </w:pPr>
      <w:r>
        <w:rPr>
          <w:rFonts w:ascii="Times New Roman;serif" w:hAnsi="Times New Roman;serif"/>
          <w:b w:val="false"/>
          <w:color w:val="000000"/>
          <w:sz w:val="20"/>
        </w:rPr>
        <w:t xml:space="preserve">In June 2022, we entered into the ABL Credit Facility with a syndicate of banks that may be used for working capital and general corporate purposes. The ABL Credit Facility provides for an initial aggregate principal commitment amount of up to $1.0 billion (including a $350.0 million letter of credit subfacility and a $100.0 million swingline loan subfacility) and has a stated maturity date of June 9, 2027. Borrowings under the ABL Credit Facility bear interest at the applicable interest rates specified in the credit agreement governing the ABL Credit Facility. </w:t>
      </w:r>
      <w:r>
        <w:rPr>
          <w:rFonts w:ascii="Times New Roman;serif" w:hAnsi="Times New Roman;serif"/>
          <w:b w:val="false"/>
          <w:color w:val="242424"/>
          <w:sz w:val="20"/>
        </w:rPr>
        <w:t>In June 2024, we amended the ABL Credit Facility to update the Canadian reference rate.</w:t>
      </w:r>
      <w:r>
        <w:rPr>
          <w:color w:val="000000"/>
        </w:rPr>
        <w:t xml:space="preserve"> </w:t>
      </w:r>
      <w:r>
        <w:rPr>
          <w:rFonts w:ascii="Times New Roman;serif" w:hAnsi="Times New Roman;serif"/>
          <w:b w:val="false"/>
          <w:color w:val="000000"/>
          <w:sz w:val="20"/>
        </w:rPr>
        <w:t xml:space="preserve">Availability under the ABL Credit Facility is subject to the value of eligible assets in the borrowing base and is reduced by outstanding loan borrowings and issuances of letters of credit which bear customary letter of credit fees. Subject to certain terms and conditions, we may request one or more increases in the amount of credit commitments under the ABL Credit Facility in an aggregate amount up to the sum of $500.0 million plus certain other amounts. We are required to pay a quarterly commitment fee of 0.25% per annum based on the unutilized portion of the ABL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ABL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transactions with affiliates, engage in sale and leaseback transactions or consummate mergers and other fundamental changes. The ABL Credit Facility also includes a minimum liquidity covenant which, at our option following satisfaction of certain pre-conditions, may be replaced with a springing, minimum fixed charge coverage ratio financial covenant, in each case on terms set forth in the credit agreement governing the ABL Credit Facility. As of September 30, 2025 and December 31, 2024, we were in compliance with applicable covenants under the ABL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we had no outstanding borrowings under the ABL Credit Facility. Outstanding letters of credit under the ABL Credit Facility were $102.3 million and $56.9 million as of September 30, 2025 and December 31, 2024, respectively. Availability under the ABL Credit Facility was $471.1 million (including $197.3 million cash and cash equivalents) and $354.9 million (including $191.1 million cash and cash equivalents) as of September 30, 2025 and December 31, 2024, respectively, after giving effect to the borrowing base and the outstanding letters of credit.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the DDTL Credit Facility with Ayar that may be used for working capital and general corporate purposes. The DDTL Credit Facility provides for a delayed draw term loan credit facility in an aggregate principal amount of $750.0 million and has a stated maturity date of August 4, 2029. Borrowings under the DDTL Credit Facility bear interest at the applicable interest rates specified in the credit agreement governing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DDTL Credit Facility contains customary covenants that limit our ability and our restricted subsidiaries to, among other activities, pay dividends, incur debt, create liens and encumbrances, redeem or repurchase stock, dispose of certain assets, consummate acquisitions or other investments, prepay certain debt, engage in sale and leaseback transactions or consummate mergers and other fundamental changes. The DDTL Credit Facility also includes a minimum liquidity covenant. As of September 30, 2025 and December 31, 2024, we were in compliance with applicable covenants under the DDTL Credit Facility, and had no outstanding borrowings under the DDTL Credit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entered into the 2025 DDTL Credit Facility to increase the aggregate principal amount from $750.0 million to $1.98 billion. We are required to pay a quarterly undrawn fee of 0.50% per annum based on the unutilized portion of the 2025 DDTL Credit Facility. As of November 5, 2025, we had no outstanding borrowings under the 2025 DDTL Credit Facility. See Note 18 “Subsequent Event” to the condensed consolidated financial statements included elsewhere in this Quarterly Report for more information.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Subscription Agreements and Underwriting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completed the public offering pursuant to the 2023 Underwriting Agreement for aggregate net proceeds of $1.2 billion and also consummated a private placement of shares to Ayar pursuant to the 2023 Subscription Agreement for aggregate net proceeds of $1.8 billion after deducting issuance costs.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issued 100,000 shares of our Series A Redeemable Convertible Preferred Stock to Ayar pursuant to the Series A Subscription Agreement and received aggregate net proceeds of $997.6 million after deducting issuance costs. In August 2024, we also issued 75,000 shares of our Series B Redeemable Convertible Preferred Stock to Ayar pursuant to the Series B Subscription Agreement and received aggregate net proceeds of $749.4 million after deducting issuance costs. See Note 8 “Redeemable Convertible Preferred Stock”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completed the public offering pursuant to the 2024 Underwriting Agreement and received net proceeds of $718.4 million and also consummated the private placement of shares to Ayar pursuant to the 2024 Subscription Agreement for net proceeds of $1,025.7 million after deducting issuance costs. See Note 16 “Related Party Transactions”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consummated the private placement of shares to SMB pursuant to the 2025 Subscription Agreement for aggregate net proceeds of $299.7 million after deducting issuance costs. See Note 9 “Stockholders’ Equity” to the condensed consolidated financial statements included elsewhere in this Quarterly Report, for more information.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generated significant losses from our operations as reflected in our accumulated deficit of $14.8 billion and $12.9 billion as of September 30, 2025 and December 31, 2024, respectively. Additionally, we have generated significant negative cash flows from operations and investing activities as we continue to support the growth of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and therefore, may affect the timing and magnitude of these anticipated expenditures. These risk and uncertainties are described in more detail in the section entitled “Risk Factors” in Part II, Item 1A of this Quarterly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thousands):</w:t>
      </w:r>
    </w:p>
    <w:tbl>
      <w:tblPr>
        <w:tblW w:w="7629" w:type="dxa"/>
        <w:jc w:val="left"/>
        <w:tblInd w:w="0" w:type="dxa"/>
        <w:tblLayout w:type="fixed"/>
        <w:tblCellMar>
          <w:top w:w="28" w:type="dxa"/>
          <w:left w:w="28" w:type="dxa"/>
          <w:bottom w:w="28" w:type="dxa"/>
          <w:right w:w="28" w:type="dxa"/>
        </w:tblCellMar>
      </w:tblPr>
      <w:tblGrid>
        <w:gridCol w:w="1721"/>
        <w:gridCol w:w="1515"/>
        <w:gridCol w:w="1519"/>
        <w:gridCol w:w="196"/>
        <w:gridCol w:w="946"/>
        <w:gridCol w:w="109"/>
        <w:gridCol w:w="109"/>
        <w:gridCol w:w="109"/>
        <w:gridCol w:w="109"/>
        <w:gridCol w:w="196"/>
        <w:gridCol w:w="946"/>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(2,015,504)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(1,486,527)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investing activities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Used in Operating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used in operating activities to date have been primarily comprised of cash outlays to support overall growth of the business, especially the costs related to inventory and sale of our vehicles,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by $529.0 million to $2,015.5 million during the nine months ended September 30, 2025, as compared to the same period in the prior year. The increase was primarily due to an increase in net operating assets and liabilities of $594.9 million, partially offset by an improvement in net loss excluding non-cash expenses and gains of $65.9 million during the nine months ended September 30, 2025, as compared to the same period in the prior year. The increase in net operating assets and liabilities was primarily attributable to higher inventory purchases in anticipation of the Lucid Gravity ramp-up.</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provided by investing activities primarily relate to proceeds from maturities of investments, net of purchases of investments and capital expenditures to support our growth.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increased by $1,273.2 million to $1,563.1 million during the nine months ended September 30, 2025, as compared to the same period in the prior year. The increase was primarily attributable to higher volume of investment maturities compared to investment purchases during the nine months ended September 30, 2025, compared to the same period in the prior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Cash Provided by 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inception, we have financed our operations primarily from the issuances of equity and equity-linked securities and debt financings, including the At-the-Market Offering, the private placements to Ayar and SMB, convertible preferred stock, the proceeds of the merger, the 2026 Notes, and the 2030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by $1,201.0 million to $517.7 million during the nine months ended September 30, 2025, as compared to the same period in the prior year. We received gross proceeds of $1.1 billion from the issuance of the 2030 Notes, repurchased a portion of the 2026 Notes using $931.4 million, and received gross proceeds of $300.0 million from the 2025 Subscription Agreement during the nine months ended September 30, 2025. We received gross proceeds of $1.0 billion from the issuance of Series A Redeemable Convertible Preferred Stock and $750.0 million from the issuance of Series B Redeemable Convertible Preferred Stock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Critical Accounting Estimates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and the related notes thereto included elsewhere in this Quarterly Report are prepared in accordance with U.S. GAAP. The preparation of our condensed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following accounting policies involve a high degree of judgment and complexity. Accordingly, these are the policies we believe are the most critical to aid in fully understanding and evaluating our condensed consolidated financial condition and results of our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follow a five-step process in which we identify the contract, identify the related performance obligations, determine the transaction price, allocate the transaction price to the identified performance obligations, and recognize revenue when (or as) the performance obligations are satisfied.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Vehicle Sales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 without Residual Value Guarantee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Vehicle sales revenue is generated from the sale of EVs to customers. There are two performance obligations identified in vehicle sale arrangements. These are the vehicle including an onboard ADAS, and the right to unspecified OTA software updates to be provided as and when available over the term of the basic vehicle warranty, which is generally four years. Shipping and handling provided by us is considered a fulfillment activity.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is typically received at the time of delivery or shortly after delivery of the vehicle to the customer, except for vehicle sales under the EV Purchase Agreement. Generally, control transfers to the customer at the time of delivery when the customer takes physical possession of the vehicle, which may be at a Lucid studio or other destination chosen by the customer. Our vehicle contracts do not contain a significant financing component. We have elected to exclude sales taxes from the measurement of the transaction price. We estimate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our performance obligations.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recognize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revenue recognition, we reduce the transaction price and record a sales return reserve against revenue for estimated variable consideration related to future product returns. Such return rate estimates are based on historical experience.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provide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Sales with Residual Value Guarantee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a RVG to our commercial banking partners in connection with its vehicle leasing program. Under the vehicle leasing program, we generally receive payment for the vehicle sales price at the time of delivery or shortly after delivery, do not bear casualty and credit risks during the lease term, and are contractually obligated (or entitled) to share a portion of the shortfall (or excess) between the resale value realized by the commercial banking partners and a predetermined resale value. At the lease inception, we are required to deposit cash collateral equal to a contractual percentage of the residual value of the leased vehicles with the commercial banking partners. The cash collateral is held in a restricted bank account owned by the commercial banking partner until it is used, as applicable, in settlement of the RVG at the end of the lease term. Cash collateral is recorded in other noncurrent assets, subject to an asset impairment review at each reporting period. </w:t>
      </w:r>
    </w:p>
    <w:p>
      <w:pPr>
        <w:pStyle w:val="TextBody"/>
        <w:bidi w:val="0"/>
        <w:spacing w:lineRule="auto" w:line="288" w:before="240" w:after="283"/>
        <w:jc w:val="left"/>
        <w:rPr/>
      </w:pPr>
      <w:r>
        <w:rPr>
          <w:rFonts w:ascii="Times New Roman;serif" w:hAnsi="Times New Roman;serif"/>
          <w:b w:val="false"/>
          <w:color w:val="000000"/>
          <w:sz w:val="20"/>
        </w:rPr>
        <w:t xml:space="preserve">We account for the vehicle leasing program in accordance with ASC 842, </w:t>
      </w:r>
      <w:r>
        <w:rPr>
          <w:rFonts w:ascii="Times New Roman;serif" w:hAnsi="Times New Roman;serif"/>
          <w:b w:val="false"/>
          <w:i/>
          <w:color w:val="000000"/>
          <w:sz w:val="20"/>
        </w:rPr>
        <w:t xml:space="preserve">Leases, </w:t>
      </w:r>
      <w:r>
        <w:rPr>
          <w:rFonts w:ascii="Times New Roman;serif" w:hAnsi="Times New Roman;serif"/>
          <w:b w:val="false"/>
          <w:color w:val="000000"/>
          <w:sz w:val="20"/>
        </w:rPr>
        <w:t xml:space="preserve">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 xml:space="preserve">and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We are the lessor at inception of a lease and immediately transfer the lease as well as the underlying vehicle to our commercial banking partners, with the transaction being accounted for as a sale under ASC 606. We recognize revenue when control transfers upon delivery when the consumer-lessee takes physical possession of the vehicle, and bifurcate the RVG at fair value and account for it as a guarantee liability. The remaining amount of the transaction price is allocated among the performance obligations, including the vehicle, the right to unspecified </w:t>
      </w:r>
      <w:r>
        <w:rPr>
          <w:rFonts w:ascii="Times New Roman;serif" w:hAnsi="Times New Roman;serif"/>
          <w:b w:val="false"/>
          <w:color w:val="333333"/>
          <w:sz w:val="20"/>
        </w:rPr>
        <w:t>OTA</w:t>
      </w:r>
      <w:r>
        <w:rPr>
          <w:color w:val="000000"/>
        </w:rPr>
        <w:t xml:space="preserve"> </w:t>
      </w:r>
      <w:r>
        <w:rPr>
          <w:rFonts w:ascii="Times New Roman;serif" w:hAnsi="Times New Roman;serif"/>
          <w:b w:val="false"/>
          <w:color w:val="000000"/>
          <w:sz w:val="20"/>
        </w:rPr>
        <w:t>software updates and remarketing activities, in proportion to the standalone selling price of our performance obligations. Any fees or incentives that are paid or payable by us to commercial banking partners are recognized as a reduction to vehicle sales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guarantee liability represents the estimated amount we expect to pay at the end of the lease term. We are released from residual risk upon either expiration or settlement of the RVG. We evaluate variables such as third-party residual value publications, risk of future price deterioration due to changes in market conditions and reconditioning costs to determine the estimated residual value guarantee liability. As we accumulate more data related to the resale value of our vehicles or as market conditions change, there could be material changes to the estimated guarantee liabilities.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Vehicle Operating Lease 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account for sales of vehicles with repurchase obligations as operating leases. We sell vehicles primarily to rental companies with an obligation to repurchase the vehicles at an agreed upon repurchase price. We record the difference between the proceeds received and the agreed upon repurchase price as vehicle leasing revenue on a straight-line basis over the term of the lease. Deferred leasing revenue and repurchase obligation were recorded in other current liabilities and other long-term liabilities in the condensed consolidated balance sheets.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Sale and Leaseback Transactions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enter into sales and leaseback transactions in which we transfer control of vehicles to rental companies and simultaneously lease them back as operating leases. We recognize revenue related to the vehicles under the arrangement when the rental companies obtain control of the vehicles and separately recognize the leaseback obligations based on the present value of the future payments to the rental companies. We also record right-of-use assets which are amortized over the term of the leaseback. Operating lease expense is recognized on a straight-line basis over the term of the leaseback.</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Used Vehicle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Used vehicle sales revenue is generated from the sale of used Lucid vehicles.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Inventory Valuation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inventory on-hand is in excess of future demand forecast and market conditions, the excess amounts are written-off.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 down, a new lower cost basis for that inventory is established and subsequent changes in facts and circumstances do not result in the restoration or increase in that newly established cost basis.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event there are changes in our estimates of future selling prices or production costs, we might be required to record additional and potentially material write-downs. A small change in our estimates may result in a material change in our reported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Once inventory is written-down, a new lower cost basis for that inventory is established and subsequent changes in facts and circumstances do not result in the restoration or increase in that newly established cost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for the redeemable convertible preferred stock requires an evaluation to determine if liability classification is required under ASC 480-10. Liability classification is required for freestanding financial instruments that are (1) subject to an unconditional obligation requiring the issuer to redeem the instrument by transferring assets, such as those that are mandatorily redeemable, (2) instruments other than equity shares that embody an obligation of the issuer to repurchase its equity shares, or (3) certain types of instruments that obligate the issuer to issue a variable number of equity shares.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that do not meet the scoping criteria to be classified as a liability under ASC 480 are subject to redeemable equity guidance, which prescribes securities that may be subject to redemption upon an event not solely within the control of the issuer to be classified as temporary equity. Securities classified in temporary equity are initially measured at the proceeds received, net of issuance costs and excluding the fair value of bifurcated embedded derivatives, if any. Subsequent measurement of the carrying value of the redeemable convertible preferred stock is required as the instrument is probable of becoming redeemable. We accrete the redeemable convertible preferred stock to its redemption value. In certain circumstances, the redemption price may vary based on changes in stock price, in which case we will recognize changes in the redemption value immediately as they occur and adjust the carrying value of the security to equal the then current maximum redemption value at the end of each reporting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Derivative Liabilities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redeemable convertible preferred stock, we evaluated the instruments for any features that must be bifurcated and separately accounted for as embedded derivatives. We concluded that the conversion features, inclusive of all settlement outcomes where the pay-off is indexed to the if-converted value, meets all the requirements to be separately accounted for as a bifurcated derivative. As a result, we bifurcated the redeemable convertible preferred stock between (i) the host contracts which are accounted for within mezzanine equity, and (ii) the bifurcated derivative liabilities. The proceeds from issuance are first allocated to the fair value of the bifurcated derivatives with the residual being allocated to the host contracts. The bifurcated derivatives are remeasured to fair value each reporting period with changes in fair value recorded in earnings. We estimated the fair value of the derivative liabilities using a binomial lattice model. Inherent in a binomial lattice model are unobservable inputs and assumptions. The inputs for the valuation of the derivative liabilities included the volatility, credit spread, and term. Assumptions used in the valuation also consider the contractual terms as well as the quoted price of our common stock in an active market. Significant changes in any of those inputs in isolation would result in significant changes to the fair value measurement. We remeasure the derivative liabilities at each reporting period and recognize the changes in fair value in the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color w:val="000000"/>
          <w:sz w:val="20"/>
        </w:rPr>
        <w:t>Item 3. Quantitative and Qualitative Disclosures about Market Risk.</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equity price and inflationary pressure.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for changes in interest rates applicable to our cash and cash equivalents, and investments. We had cash, cash equivalents, and investments totaling approximately $3.0 billion as of September 30, 2025. Our investment policy is focused on the preservation of capital and supporting our liquidity needs. Under the policy, we invest in highly rated securities, primarily issued by the U.S. government or liquid money market funds. We do not invest in financial instruments for trading or speculative purposes. We utilize external investment managers who adhere to the guidelines of our investment policy. Based on investment positions as of September 30, 2025, a hypothetical 100 basis point increase in interest rates would result in $13.4 million incremental decline in the fair market value of our portfolio.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Price Risk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hold equity securities of Aston Martin. The fair value of these equity securities was $31.4 million as of September 30, 2025. Changes in fair value of these equity securities are impacted by the volatility of the stock market and changes in general economic conditions, among other factors. A hypothetical 10% decrease in the stock price of these equity securities would not be material as of September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Supply Risk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dependent on our suppliers, the majority of which are single-source suppliers. The inability of these suppliers to deliver necessary components of its products according to the schedule and at prices, quality levels and volumes acceptable to us, whether due to changes or uncertainties in trade policies, the imposition or proposed imposition of tariffs, threat of trade war or otherwise, or its inability to efficiently manage these components, or the unavailability of stable domestic suppliers, could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principal executive officer and principal financial officer, evaluated the effectiveness of the design and operation of our disclosure controls and procedures (as defined in Rules 13a-15(e) and 15d-15(e) under the Securities Exchange Act of 1934, as amended (the “Exchange Act”)) as of the end of the period covered by this Quarterly Report on Form 10-Q.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our principal executive officer and principal financial officer concluded that as of September 30, 2025, our disclosure controls and procedures are designed to, and are effective to, provide reasonable assurance that the information we are required to disclose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and 15d-15(f) under the Exchange Act) that occurred during the fiscal quarter ended September 30, 2025, that has materially affected, or is reasonably likely to materially affect, our internal control over financial reporting.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our legal proceedings, please see the description set forth in the “Legal Matters” section in Note 12 “Commitments and Contingencies” in the notes to the condensed consolidated financial statements in Item 1 of Part I of this Quarterly Report,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Investors should carefully consider the risks and uncertainties described below, as well as the other information in this Quarterly Report,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our stockholders could lose all or part of their investment.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limited operating history makes evaluating our business and future prospects difficult and may increase the risk of stockholders’ investment.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incurred net losses each year since our inception and expect to incur increasing expenses and substantial losses for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unable to adequately control the substantial costs associated with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business and prospects depend significantly on our brand.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do not have a third-party retail product distribution and full-service network.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challenges providing charging solutions for our vehicles, both domestically and internationally.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manage our future growth effectively, we may not be able to develop, manufacture, distribute, market and sell our vehicles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risks associated with international operations, including unfavorable regulatory, political, tax and labor conditions, which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industry has significant barriers to entry that we must overcome in order to manufacture and sell EVs at scale.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automotive market is highly competitive, and we may not be successful in competing in this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experienced and may in the future experience significant delays in the design, launch and manufacture of our vehicles, including the Lucid Air, the Lucid Gravity and our upcoming Midsize platform, which could harm our business and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costs, changes of supply or shortage of materials, in particular for lithium-ion battery cells, could harm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in high volume manufacture of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our vehicles fail to perform as expected, our ability to develop, market and sell or lease our products could be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loss of key employees or an inability to attract, retain and motivate qualified personnel may impair our ability to expand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face regulatory limitations on our ability to sell vehicles directly, which could materially and adversely affect our ability to sell our vehicles.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require additional capital to support business growth, and this capital might not be available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be able to realize the anticipated benefits of our agreements with Aston Martin, Uber and Nuro.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issuance of additional shares of our common stock or other equity or equity-linked securities, including our Redeemable Convertible Preferred Stock, or sales of a significant portion of our common stock, could depress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are a “controlled company” within the meaning of the applicable Nasdaq rules and, as a result, qualify for exemptions from certain corporate governance requirements. Our stockholders do not have the same protections afforded to stockholders of companies that are not controlled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PIF and Ayar beneficially own a significant equity interest in us and have significant influence over us, which could decrease the relative ownership interest and voting power other holders of our common stock have over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holders of our Redeemable Convertible Preferred Stock are entitled to vote their shares of the Redeemable Convertible Preferred Stock on an as-converted to common stock basis and have rights to approve certain actions, which reduces the relative voting power of the holders of our common stock.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settlement of our obligations upon conversion, redemption or repurchase of our Redeemable Convertible Preferred Stock is expected to dilute the ownership of common stockholders and may adversely affect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Business and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limited operating history makes evaluating our business and future prospects difficult and may increase the risk of stockholders’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a company with a limited operating history, operating in a rapidly evolving and highly regulated market. Furthermore, we have only released two commercially available vehicles, and we have limited experience manufacturing or selling a commercial product at scale. We have yet to generate significant revenue from the sale of EVs, and as a result of the capital-intensive nature of our business, we expect to continue to incur substantial operating losses for the foreseeable future.</w:t>
      </w:r>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We have encountered and expect to continue to encounter risks and uncertainties frequently experienced by companies in rapidly changing markets, including risks relating to our ability to,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hire, integrate and retain professional and technical talent, including key members of management;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make significant investments in research, development, manufacturing, marketing and sales;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design, build, manufacture and market new variants and models of EVs, such as our upcoming Midsize platform;</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a well-recognized and respected brand;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implement, refine and scale our commercial manufacturing capabilities and distribution infrastructure;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satisfactory arrangements with third-party suppliers;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expand a customer base;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anticipate and adapt to changing market conditions, including consumer demand for certain vehicle types, models or trim levels, technological developments and changes in competitive landscape;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navigate an evolving and complex regulatory environment;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successfully obtain, maintain, protect, defend and enforce our intellectual property and defend against claims of intellectual property infringement, misappropriation or other violation.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incurred net losses each year since our inception and expect to incur increasing expenses and substantial losses for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have incurred net losses each year since our inception, including net loss of $978.4 million and $1,884.0 million for the three and nine months ended September 30, 2025, respectively. As of September 30, 2025, our accumulated deficit was $14.8 billion. We expect to continue to incur substantial losses and increasing expenses in the foreseeable future as we: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continue to design, develop and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equip and expand our research, service, battery, powertrain, and manufacturing facilities to produce our vehicles in Arizona and in international locations such as Saudi Arabia;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build up inventories of parts and components for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manufacture and store an available inventory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develop and deploy geographically dispersed vehicle charging partnerships;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design, research, development, maintenance and repair capabilities and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 our sales, service and marketing activities and develop our distribution infrastructure;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expand into new markets;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 our general and administrative functions to support our growing operations and status as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our product development or commercialization of future vehicles is delayed, our costs and expenses may be significantly higher than we currently expect. We will incur the costs and expenses from these efforts before we receive any incremental revenues with respect thereto; therefore, we anticipate our losses in future periods will be significant.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unable to adequately control the substantial costs associated with our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constructing, tooling and expanding our manufacturing facilities; research and development expenses (including expenses related to the development of the Lucid Air, the Lucid Gravity, our Midsize platform and other future products); raw material procurement costs; and general and administrative expenses as we scale our operations and continue to incur the costs of being a public company. Increased competition and adverse economic conditions have in the past and may continue in the future to require us to spend additional resources to attract customers, which in turn may result in higher marketing and incentive expenses. Furthermore, lower production and sales volumes have in the past and may in the future result in an inability to fully utilize our purchase commitments with suppliers which could result in increased costs and excess inventory as well as potential inventory write-offs. We periodically review and record write-downs for excess or obsolete inventories based upon assumptions about current and future demand forecasts, considering shelf-life and technological obsolescence of certain inventories. Our current and future demand forecasts are based on our historical sales, market share performance, macroeconomic factors and trends in quantities or prices of orders for our products. We evaluate whether raw materials are approaching the end of their shelf-lives or becoming technologically obsolete, and the likelihood that we will be able to use the raw materials in production. If our inventory on-hand is in excess of future demand forecast and market conditions, the excess amounts are provisioned or written-down.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incurred and expect to continue to incur significant costs servicing and maintaining customers’ vehicles, including establishing our service operations and facilities and undertaking product recalls. We have limited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longer term, our ability to become profitable in the future will depend on our ability not only to effectively manage our capital expenditures and control costs on a timely basis, but also to sell in quantities and at prices sufficient to achieve our expected margins. If we are unable to appropriately price and cost-efficiently design, manufacture, market, sell, distribute and service our vehicles, our margins, profitability and prospects will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Failure to attract customers, failure to complete the purchase process with customers, and customer cancellation of orders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Delays in customer deliveries, delays in the availability of options, potential changes in customer preferences, competitive developments, increased interest rates, negative publicity, loss of government incentives, decreased demand for EVs, insufficient charging infrastructure, and other factors could result in failure to attract customers, failure to complete the purchase process with customers, and customer cancellation. Increases in interest rates could make financing unaffordable for segments of our customer base and any event or incident which generates negative media coverage about us or the safety or quality of our vehicles could result in failure to attract customers, failure to complete the purchase process, and customer cancellations. In addition, if we encounter delays in customer deliveries of our vehicles that further lengthen wait times or in the event of negative media coverage, a significant number of orders may be cancelled. As such, no assurance can be given that the purchase process will be completed, orders will not be cancelled, and orders will ultimately result in the final purchase, delivery and sale or lease of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global economic recession, downturn or other adverse economic conditions may have a material adverse impact on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global economic recession, downturn or other adverse economic conditions, whether due to changes or uncertainties in trade policies, the imposition or proposed imposition of tariffs, export controls, threat of trade war, persistent inflation, political instability, global or regional conflicts or other geopolitical events, public health crises, interest rate increases or other central bank policy actions, bank closures and liquidity concerns at other financial institutions, or other factors, may have an adverse impact on our business, prospects, financial condition and results of operations. If any of our suppliers, sub-suppliers or partners experience financial distress, insolvency or disruptions in operations, they may be unable to fulfill their obligations or meet our production and quality requirements. Adverse economic conditions and uncertainty about the current and future domestic or global economic conditions may also cause our customers to defer purchases or cancel their orders in response to higher interest rates, limited consumer credit availability, lower cash reserves, fluctuations in foreign currency exchange rates, and weakened consumer confidence. A reduction in demand for our products may result in a decline in product sales, with a corresponding material adverse impact on our business, prospects, financial condition and results of operations. Given our premium brand positioning and pricing, an economic recession or downturn is likely to have a disproportionate adverse effect on us compared to our competitors in the EV and traditional automotive sectors, to the extent that consumer demand for luxury goods declines in favor of more cost-conscious alternatives. In addition, adverse economic conditions and uncertainties surrounding trade policies, tariffs and export controls could also cause supply chain and logistical challenges and operational risks. In particular, the U.S. federal government recently enacted the law commonly referred to as the OBBBA, which eliminates, limits or phases out certain tax credits that had previously provided significant benefits to lessees and purchasers of EVs and adds new eligibility requirements on manufacturers to continue claiming tax credits on EV components. It also eliminates certain penalties for noncompliance with certain fuel efficiency standards and introduces certain key tax law modifications. Taken together, adverse economic conditions and uncertainties surrounding trade policies, government grants or incentives, tariffs and export controls, coupled with supply chain challenges and the potential difficulty of passing costs to customers or sharing the burden with suppliers, could reduce demand for our products and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 xml:space="preserve">In addition, the deterioration of conditions in global credit markets may limit our ability to obtain external financing to fund our operations and capital expenditures on terms favorable to us, if at all.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 See “—Risks Related to Financing and Strategic Transactions —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currently depend primarily on revenue generated from a limited number of models and anticipate continuing to be significantly dependent on a limited number of models in the foreseeable future.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generate revenue from the Lucid Air and Lucid Gravity, and in the foreseeable future will be significantly dependent on a limited number of models, as we are not scheduled to introduce another vehicle model for sale until late 2026. We expect to rely on sales from the Lucid Air and the Lucid Gravity, among other sources of financing, for the capital that will be required to develop and commercialize future models on our product roadmap. To the extent that production of our current or future models is delayed or reduced, or if our current or future models are not well-received by the market for any reason, our revenue and cash flow would be adversely affected, we may need to seek additional financing earlier than we expect, and such financing may not be available to us on commercially reasonable terms, or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fulfill the orders from the Government of Saudi Arabia or if the Government of Saudi Arabia purchases significantly fewer vehicles than we anticipate for any reason,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we entered into the EV Purchase Agreement with the Government of Saudi Arabia as represented by the Ministry of Finance, which supersedes the letter of undertaking that we entered into in April 2022. Pursuant to the terms of the EV Purchase Agreement, the Purchaser thereunder may purchase up to 100,000 vehicles, with a minimum purchase quantity of 50,000 vehicles and an option to purchase up to an additional 50,000 vehicles during a ten-year period. Under the EV Purchase Agreement, the Purchaser may reduce the minimum vehicle purchase quantity by the number of vehicles set out in any purchase order not accepted by us or by the number of vehicles that we fail to deliver within six months from the date of the applicable purchase order. The Purchaser also has the sole and absolute discretion to decide whether to exercise the option to purchase the additional 50,000 vehicles. See Note 16 “Related Party Transactions” to the condensed consolidated financial statements included elsewhere in this Quarterly Report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experience delays in manufacturing and delivering vehicles ordered by the Purchaser, fail to or experience delays in complying with Saudi Arabian regulations or the requirements of the EV Purchase Agreement, fail to provide adequate service or support for the vehicles, or fail to set the appropriate purchase price for such vehicles, our revenue, cash flow and results of operations and financial condition could be adversely affected. Furthermore, if the Purchaser reduces the minimum vehicle purchase quantity, delays the purchase of vehicles, does not exercise its option to purchase additional vehicles, or purchases significantly fewer vehicles than we currently anticipate for any reason, including for reasons beyond our control, our business, prospects, results of operations and financial condition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prospects depend significantly on our brand.</w:t>
      </w:r>
    </w:p>
    <w:p>
      <w:pPr>
        <w:pStyle w:val="TextBody"/>
        <w:bidi w:val="0"/>
        <w:spacing w:lineRule="auto" w:line="288" w:before="240" w:after="283"/>
        <w:jc w:val="left"/>
        <w:rPr/>
      </w:pPr>
      <w:r>
        <w:rPr>
          <w:rFonts w:ascii="Times New Roman;serif" w:hAnsi="Times New Roman;serif"/>
          <w:b w:val="false"/>
          <w:color w:val="000000"/>
          <w:sz w:val="20"/>
        </w:rPr>
        <w:t>Our business and prospects heavily depend on our ab</w:t>
      </w:r>
      <w:r>
        <w:rPr>
          <w:rFonts w:ascii="Times New Roman;serif" w:hAnsi="Times New Roman;serif"/>
          <w:b w:val="false"/>
          <w:color w:val="242424"/>
          <w:sz w:val="20"/>
        </w:rPr>
        <w:t>ility to develop, maintain, protect and strengthen the “Lucid” brand association with luxury and technological excellence. Promoting and positioning our brand will likely depend significantly on our ability to provide a consistently high-quality customer experience, an area in which we have gained experience over years but may continue to face challenges. To promote our brand, we will be required to invest in, and over time change our customer development and branding practices, which could result in substantially increased expenses, including the need to use public relations and advertising firms.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With social media, any negative publicity, whether or not factual, can quickly be disseminated and harm consumer perception and confidence in our brand. This risk is heightened by our engagement with influencers, as negative experiences by these high-profile users can be rapidly amplified, damaging our brand credibility and impacting brand loyalty. Viral negative posts or negative reviews which compare us unfavorably to competitors could adversely affect consumer perception about our vehicles and reduce demand, potentially causing a material adverse effect on our business, results of operations, prospects and financial condition. Thus, failure to correct misinformation or mitigate negative information concerning us, the products we offer, our customer experience, or any aspect of our brand, our business, sales and results of operations could adversely impact us.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sales will depend in part on our ability to establish and maintain confidence in our long-term business prospects among consumers, the investment community and others within our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the investment community and other parties with respect to our liquidity and long-term business prospects.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Maintaining such confidence may be difficult as a result of many factors, including our limited operating history, others’ unfamiliarity with our products, uncertainty regarding the future of EVs,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EV companies have recently entered the automotive industry, which is an industry that has historically been associated with significant barriers to entry and a high rate of failure. Certain of these new entrants or other traditional automotive manufacturers now producing EVs have become insolvent, and if additional manufacturers producing EVs become insolvent or are perceived to likely become insolvent, discontinue production of EVs, produce vehicles that do not perform as expected or otherwise fail to meet expectations, such failures may have the effect of increasing scrutiny of others in the industry, including us, and further challenging customer, supplier and the investment community’s confidence in our long-term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do not have a third-party retail product distribution and full-service network.</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Third-party dealer networks are the traditional method of vehicle sales distribution and service in North America. Currently, we sell directly to consumers; therefore, we do not have a traditional dealer product distribution and service network. We have limited experience distributing directly to consumers, and we expect that continuing to build a national and global in-house sales and marketing function, including an expanded physical sales, marketing and service footprint via our Lucid studios and service centers, will be expensive and time consuming. We have experienced delays in the construction and opening of our Lucid studios and service centers and any significant delays to establish Lucid studios and service centers in key markets in the future could have an adverse effect on our business, results of operations, prospects and financial condition. In addition, if our lack of a traditional dealer distribution and service network results in lost opportunities to generate sales, it could limit our ability to grow. Moreover, our business model of selling directly to consumers and directly servicing all vehicles may be limited by regulatory constraints. To the extent we are unable to successfully execute on such plans in all markets, we may be required to develop a third-party dealer distribution and service network, including developing and implementing the necessary information technology infrastructure to support them, which may prove costly, time-consuming or ineffective. If our use of an in-house sales, marketing and service team is not effective, our results of operations and financial conditions could be adversely affected. </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Our ability to generate meaningful product revenue will depend on consumer adoption of EVs.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are developing and producing only EVs and, accordingly, our ability to generate meaningful product revenue will highly depend on sustained consumer demand for alternative fuel vehicles in general and EVs in particular. If the market for EVs does not develop as we expect or develops more slowly than we expect, or if there is a decrease in consumer demand for EVs, these factors may harm our business, prospects, financial condition and results of operations. The market for electric and other alternative fuel vehicles is relatively new, rapidly evolving, characterized by rapidly changing technologies, price competition, market entrants, evolving government regulation (including the availability, reduction or elimination of government incentives and subsidies) and industry standards, frequent new vehicle introductions and changing consumer demands and behaviors. Any number of developments or disruptions in the industry could negatively affect consumer demand for EVs broadly and for our EVs in particular.</w:t>
      </w:r>
    </w:p>
    <w:p>
      <w:pPr>
        <w:pStyle w:val="TextBody"/>
        <w:bidi w:val="0"/>
        <w:spacing w:lineRule="auto" w:line="288" w:before="240" w:after="283"/>
        <w:jc w:val="left"/>
        <w:rPr/>
      </w:pPr>
      <w:r>
        <w:rPr>
          <w:rFonts w:ascii="Times New Roman;serif" w:hAnsi="Times New Roman;serif"/>
          <w:b w:val="false"/>
          <w:color w:val="242424"/>
          <w:sz w:val="20"/>
        </w:rPr>
        <w:t>In addition, demand for EVs may be affected by factors directly impacting automobile prices or the cost of purchasing and operating automobiles such as the availability, reduction or elimination of sales and financing incentives including tax credits, prices of raw materials and parts and components, cost of fuel, availability of consumer credit, interest rates, and governmental regulatio</w:t>
      </w:r>
      <w:r>
        <w:rPr>
          <w:rFonts w:ascii="Times New Roman;serif" w:hAnsi="Times New Roman;serif"/>
          <w:b w:val="false"/>
          <w:color w:val="000000"/>
          <w:sz w:val="20"/>
        </w:rPr>
        <w:t>ns, including tariffs, i</w:t>
      </w:r>
      <w:r>
        <w:rPr>
          <w:rFonts w:ascii="Times New Roman;serif" w:hAnsi="Times New Roman;serif"/>
          <w:b w:val="false"/>
          <w:color w:val="242424"/>
          <w:sz w:val="20"/>
        </w:rPr>
        <w:t>mport and export regulation and other taxes. Volatility in demand may lead to lower vehicle unit sales, which may result in downward price pressure and adversely affect our business, prospects, financial condition and results of operations. Further, sa</w:t>
      </w:r>
      <w:r>
        <w:rPr>
          <w:rFonts w:ascii="Times New Roman;serif" w:hAnsi="Times New Roman;serif"/>
          <w:b w:val="false"/>
          <w:color w:val="231F20"/>
          <w:sz w:val="20"/>
        </w:rPr>
        <w:t>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Other factors that may influence the adoption of EVs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EV quality, safety, design, performance and cost;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limited range over which EVs may be driven on a single battery charge;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considerations about the total cost of ownership of EVs, including the initial purchase price and accumulated depreciation, as well as operating and maintenance costs, both including and excluding the effect of government and other subsidies and incentives designed to promote the purchase of EVs;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concerns about electric grid capacity and reliability;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perceptions about the sustainability and environmental impact of EVs, including with respect to both the sourcing and disposal of materials for EV batteries and the generation of electricity provided in the electric grid;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of other alternative fuel vehicles, including plug-in hybrid EVs;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improvements in the fuel economy of the internal combustion engine;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quality and availability of service for EVs, especially in international markets;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volatility in the cost of oil and gasoline;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government regulations and the availability, reduction or elimination of economic incentives promoting fuel efficiency and alternate forms of energy including reductions, limitations or eliminations pursuant to the OBBBA;</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access to charging stations compatible with our vehicles and cost to charge an EV, especially in international markets, and related infrastructure costs and standardization;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availability, reduction or elimination of tax and other governmental incentives to purchase and operate EVs or future regulation requiring increased use of nonpolluting vehicles;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macroeconomic factors.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influence of any of the factors described above or any other factors may cause a general reduction in consumer demand for EVs or our EVs in particular, either of which would materially and adversely affect our business, results of operations, financial condition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challenges providing charging solutions for our vehicles, both domestically and internationally.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Demand for our vehicles will depend in part on the availability of charging infrastructure both domestically and internationally. While the prevalence of charging stations has been increasing, public charging station locations are significantly less widespread than gas stations. Furthermore, public charging stations often experience downtime, leading to customer dissatisfaction. Although we have partnered with third-party EV charging providers to offer charging stations to our customers, the public charging infrastructure available to our customers may be insufficient to meet their needs or expectations, especially in certain international markets. Some potential customers may choose not to purchase our vehicles because of the lack of more widespread and reliable public charging infrastructure. In addition, although we have gained access to Tesla’s Supercharger network, any delay in implementing changes in Lucid vehicles required by Tesla with respect to charge ports may result in Tesla denying our access to their network, and there is no guarantee that our customers will not experience performance, access or other issues with this or other charging networks. The current administration has issued an executive order pausing the disbursement of funds appropriated through the Inflation Reduction Act of 2022 or the Infrastructure Investment and Jobs Act, including funds designated for EV charging stations through the National Electric Vehicle Infrastructure Formula Program and the Charging and Fueling Infrastructure Discretionary Grant Program. Although this pause was lifted in August 2025, there may be delays or reductions in funding awards issued under these grant programs, as a result of continued administrative scrutiny into funding that supports the EV industry. Consequently, the deployment of public charging stations may not occur at planned levels, which could limit the development of public charging infrastructure and decrease the attractiveness of EVs. Lastly, Congress could seek to pass rescission legislation or amendments to the Inflation Reduction Act of 2022 or the Infrastructure Investment and Jobs Act that, in each case, could adversely impact the availability of funding under these programs.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manage our future growth effectively, we may not be able to develop, manufacture, distribute, market and sell our vehicles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failure to manage our growth effectively could materially and adversely affect our business, prospects, results of operations and financial condition. We are expanding our operations significantly and our current and future expansion plans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our management team;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hiring and training new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ramping up the production of our current vehicles and releasing new models in the future;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or expanding design, manufacturing, distribution, sales and service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implementing and enhancing administrative and business infrastructure, governance, systems and processes, including in connection with our maturation as a public company;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expanding into new markets and establishing sales, service, administrative, distribution, and/or manufacturing operations in many of those markets.</w:t>
      </w:r>
    </w:p>
    <w:p>
      <w:pPr>
        <w:pStyle w:val="TextBody"/>
        <w:bidi w:val="0"/>
        <w:spacing w:lineRule="auto" w:line="288" w:before="240" w:after="283"/>
        <w:jc w:val="left"/>
        <w:rPr/>
      </w:pPr>
      <w:r>
        <w:rPr>
          <w:rFonts w:ascii="Times New Roman;serif" w:hAnsi="Times New Roman;serif"/>
          <w:b w:val="false"/>
          <w:color w:val="231F20"/>
          <w:sz w:val="20"/>
        </w:rPr>
        <w:t>We require qualified personnel, including design and manufacturing personnel and service technicians for our vehicles. Our vehicles are based on a different technology platform than traditional internal combustion engines, individuals with sufficient training in EVs may not be available to hire, and as a result, we will need to expend significant time and expense training the employees we do hire. Competition for individuals with experience in supply chain management and logistics as well as designing, engineering, manufacturing, producing, selling, and servicing EVs is intense, and we may not be able to identify, attract, train, motivate or retain sufficient highly qualified personnel in the future. Furthermore, we announced a restructuring plan in the second quarter of 2024, which involved the reduction of our employee workforce and may adversely affect our internal programs and initiatives as well as our ability to recruit and retain skilled and motivated personnel in the future. Any such restructuring plan may also be distracting to employees and management and may negatively impact our business operations, reputation, or ability to serve customers. We cannot provide any assurances that we will not have to undertake additional workforce reductions in the future. The failure to identify, attract, train, motivate and retain these employees could seriously harm our business and pros</w:t>
      </w:r>
      <w:r>
        <w:rPr>
          <w:rFonts w:ascii="Times New Roman;serif" w:hAnsi="Times New Roman;serif"/>
          <w:b w:val="false"/>
          <w:color w:val="000000"/>
          <w:sz w:val="20"/>
        </w:rPr>
        <w:t xml:space="preserve">pects. In addition, our employee equity program is a key factor in our ability to attract and retain talent and continue to support the growth of the company. If </w:t>
      </w:r>
      <w:r>
        <w:rPr>
          <w:rFonts w:ascii="Times New Roman;serif" w:hAnsi="Times New Roman;serif"/>
          <w:b w:val="false"/>
          <w:color w:val="231F20"/>
          <w:sz w:val="20"/>
        </w:rPr>
        <w:t>we are unable to grant equity awards, or if we are forced to reduce the value of equity awards to be received by the employees for any reason, we may not be able to attract, hire and retain the personnel necessary for our business, which would have a material adverse effect on our business, prospects financial condition and results of operations. In addition, our success is substantially dependent upon the continued service and performance of our senior management team and key technical and vehicle management personnel. If any key employees were to separate their employment with us, such separation would likely increase the difficulty of managing our current operations and future growth and heighten the foregoing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have limited experience to date in high volume manufacturing of our vehicles. We cannot assure our investors that we will be able to develop and implement efficient, automated, low-cost manufacturing capabilities and processes, and reliable sources of component supply that will enable us to meet the desired quality, price, engineering, design and production standards, as well as the production volumes, required to successfully market our vehicles. We have also experienced, and may continue to experience, internal and external logistics challenges with respect to our manufacturing and warehousing facilities, including disruption to manufacturing operations due to the consolidation of our logistics operations with our manufacturing operations at AMP-1 and AMP-2. Any failure to develop and implement such manufacturing processes and capabilities within our projected costs and timelines could impact our future growth and impair our ability to produce, market, service and sell or lease our vehicles successfully. In addition, our rapid growth, competitive real estate markets, and increasing rental rates, may hinder our ability to obtain suitable space to accommodate our growing operations or to renew existing leases on terms favorable to us, if at all. Any failure to obtain or renew leases for real property on terms favorable to us when we need them may limit our growth, impact our operations and have an adverse impact on our financial condition. If we fail to manage our growth effectively, such failure could result in negative publicity and damage to our brand and have a material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face risks associated with international operations, including unfavorable regulatory, political, tax and labor conditions, which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expand our international presence and operations, we will be increasingly subject to the legal, political, regulatory and social requirements and economic conditions in these jurisdictions. Additionally, as part of our growth strategy, we have been expanding and may continue to expand our sales, maintenance and repair services outside of the United States. We are also continuing the construction of AMP-2 in Saudi Arabia and may continue to further expand our manufacturing activities outside the United States. However, we have limited experience to date manufacturing our vehicles outside of the United States, and such expansion has and will continue to require us to make significant expenditures, including the hiring of local employees and establishing facilities and related systems and processes, in advance of generating any significant revenue. We are subject to a number of risks associated with international business activities that may increase our costs, impact our ability to sell, service and manufacture our vehicles, and require significant management attention.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conforming our vehicles to various international regulatory and homologation requirements where our vehicles are sold;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localized supply chains and managing international supply chain and logistics costs, including the shipping and delivery of kits for the SKD facility;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establishing sufficient charging points for our customers in those jurisdictions, via partnerships or, if necessary, via development of our own charging networks or accessing those of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staffing and managing foreign operations, especially in jurisdictions where no EV ecosystem exists and qualified personnel must be hired and relocated;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difficulties attracting customers in new jurisdictions;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controlling costs and potential loss of funding, including as a result of delays in the construction or ramp-up of operations at AMP-2;</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difficulties or delays caused by local jurisdictions in implementing infrastructure improvements for manufacturing facilities;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inflation as well as fluctuations in foreign currency exchange rates and interest rates, including risks related to any forward currency contracts, interest rate swaps or other hedging activities we may undertake;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currency fluctuations or localized inflationary pressure;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United States and foreign government trade restrictions, tariffs, price or exchange controls, and export controls;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threat of a trade war could impede the transition to EVs, disrupt global supply chains, and delay the implementation of economic competitiveness policies;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foreign laws, regulations and restrictions, including in the areas of supply chain, labor, sales, service, environment, social, governance and health and safety, and related compliance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increasingly restrictive and complex foreign data privacy and cybersecurity laws, regulations and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diplomatic and trade relationships, including political risk and customer perceptions based on such changes and risks;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actions that may impede global green transition priorities or policies designed to reduce environmental sustainability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political instability, natural disasters, pandemics, wars, military actions, global or regional conflicts or other geopolitical events (including the war in Ukraine and the escalation or expansion of conflicts in the Middle East, which affect global energy prices and disrupt supply chain both regionally and globally), or events of terrorism;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strength of international economies.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fail to successfully address these risks, they could materially harm our business, prospects, results of operations and financial condition.</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industry has significant barriers to entry that we must overcome in order to manufacture and sell EVs at scale.</w:t>
      </w:r>
    </w:p>
    <w:p>
      <w:pPr>
        <w:pStyle w:val="TextBody"/>
        <w:bidi w:val="0"/>
        <w:spacing w:lineRule="auto" w:line="288" w:before="240" w:after="283"/>
        <w:jc w:val="left"/>
        <w:rPr/>
      </w:pPr>
      <w:r>
        <w:rPr>
          <w:rFonts w:ascii="Times New Roman;serif" w:hAnsi="Times New Roman;serif"/>
          <w:b w:val="false"/>
          <w:color w:val="242424"/>
          <w:sz w:val="20"/>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EVs,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EVs, regulations associated with the transport of batteries, the need to establish or provide access to sufficient charging locations and unproven high-volume customer demand for fully EVs. While we have developed and started producing our first electric sedan and SUV and have completed</w:t>
      </w:r>
      <w:r>
        <w:rPr>
          <w:color w:val="000000"/>
        </w:rPr>
        <w:t xml:space="preserve"> </w:t>
      </w:r>
      <w:r>
        <w:rPr>
          <w:rFonts w:ascii="Times New Roman;serif" w:hAnsi="Times New Roman;serif"/>
          <w:b w:val="false"/>
          <w:color w:val="000000"/>
          <w:sz w:val="20"/>
        </w:rPr>
        <w:t>the first two phases of construction of AMP-1 and the SKD portion of AMP-2, we have not finished tooling all production lines for AMP-1, and further construction of AMP-1 and the second phase of AMP-2 is underway. If</w:t>
      </w:r>
      <w:r>
        <w:rPr>
          <w:color w:val="242424"/>
        </w:rPr>
        <w:t xml:space="preserve"> </w:t>
      </w:r>
      <w:r>
        <w:rPr>
          <w:rFonts w:ascii="Times New Roman;serif" w:hAnsi="Times New Roman;serif"/>
          <w:b w:val="false"/>
          <w:color w:val="242424"/>
          <w:sz w:val="20"/>
        </w:rPr>
        <w:t>we are not able to overcome these barriers, our business, prospects, results of operations and financial condition will be negatively impacted, and it will harm our ability to grow our business.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automotive market is highly competitive, and we may not be successful in competing in this industry.</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The global automotive market, particularly for electric and alternative fuel vehicles, is highly competitive, and we expect it will become even more so in the future. In recent years, the EV industry has grown, with the emergence of several companies that focus completely or partially on the EV market. In addition, traditional automotive manufacturers are also producing and selling electric and alternative fuel vehicles. We expect additional companies to enter this market within the next several years. EV manufacturers with which we compete include Tesla, an increasing number of U.S.-based and international entrants and traditional automotive manufacturers, many of which have begun, or announced plans to begin, selling their own EVs in the near-term. We also compete with established automobile manufacturers in the luxury vehicle segment, many of which have entered or have announced plans to enter the alternative fuel and EV market with either fully electric or plug-in hybrid versions of their vehicles. We compete for sales of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including the ability to significantly reduce prices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changing market conditions and new technologies and may be able to design, develop, market and sell their products more effectively than we do. For example, some of our competitors have announced vehicle price reductions, which may result in downward price pressure and reduced demand for our vehicles. We may not be able to adjust our pricing strategies effectively, and there can be no assurance that such adjustments will allow us to successfully compete against our competitors, which may have a material adverse effect on our brand, business, prospects, inventory levels, results of operations and financial conditions. In addition, increased competition has in the past and may continue to require us to increase marketing and incentive expenses, which may have a material adverse effect on our operating results and financial condition. We expect competition in our industry to significantly intensify in the future in light of the increased demand for alternative fuel vehicles, global competitors, macroeconomic uncertainty,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Developments in EV or alternative fuel technology or improvements in the internal combustion engine may adversely affect the demand for our vehicles.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be unable to keep up with changes in EV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EVs. Any failure by us to develop new or enhanced technologies or processes, or to react to changes in existing technologies, could materially delay our development and introduction of new and enhanced EVs, which could result in the loss of competitiveness of our vehicles, decreased revenue and a loss of market share to competitors. In addition, we expect to compete in part on the basis of our vehicles’ range, efficiency, charging speeds, performance and software, and improvements in the technology offered by competitors could reduce demand for our current or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EV technology. Additionally, as new companies and larger, existing vehicle manufacturers continue to enter the EV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The unavailability, reduction or elimination of certain government and economic programs could have a material adverse effect on our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42424"/>
          <w:sz w:val="20"/>
        </w:rPr>
        <w:t xml:space="preserve">We benefit from government and economic programs in the United States and abroad that encourage the development, manufacture or purchase of EVs, such as zero emission vehicle credits, production tax credits, greenhouse gas credits and similar regulatory credits, the loss of which has and may continue to harm our ability to generate revenue from the sale of such credits to other manufacturers; the availability of tax credits and other incentives to consumers, without which the net cost to consumers of our vehicles could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Michigan and Arizona. In addition, changes to non-financial incentives may also impact demand for our products, such as the federal government’s recent announcement that electric and other clean air vehicles will no longer be able to use carpool lanes without meeting the high occupancy requirements. We may also benefit from government loan or grant programs. While such EV-related governmental programs and economic incentives have been available in the United States, Canada and the European Union (“EU”), there is no guarantee that they will be available in the future. Any reduction, elimination, limitation or selective application of tax and other governmental programs and economic incentives because of policy changes, fiscal tightening or other reasons may result in the diminished competitiveness of the EV industry generally or our EVs in particular, which would adversely affect our business, prospects, financial condition and results of operations. On July 4, 2025, OBBBA was enacted, which among other things, eliminates the $7,500 tax credit for purchasing a new EV and the $4,500 tax credit for purchasing a used EV effective September 30, 2025 and the tax credits available for charging stations effective June 30, 2026. In addition, OBBBA eliminated the penalties that automakers would pay if they failed to meet the Corporate Average Fuel Economy standards, effectively eliminating the financial incentive to comply with those standards. Additionally, the current U.S. presidential administration has issued executive orders that aim to revoke or weaken fuel efficiency and emissions regulations established by the prior administration, and a proposed rulemaking that would repeal federal greenhouse gas (“GHG”) emission standards for certain vehicles and engines. While there is currently litigation challenging the legality of various aspects of OBBBA and related administration actions, the ultimate resolutions of such matters remain uncertain. The administration has also issued a policy statement aimed at eliminating the “EV mandate,” which targets state-level emissions waivers and governmental subsidies. Most notably, the administration recently signed congressional resolutions under the Congressional Review Act to revoke the EPA waiver that had previously allowed California and certain other states to implement more stringent emissions standards for heavy-duty vehicles and to require all new passenger cars, trucks, and SUVs sold in California to become zero-emission by 2035. In response, California, joined by multiple states that had adopted California’s vehicle emissions standards, promptly initiated litigation challenging the legal validity of these actions. The outcome of this legal challenge remains uncertain and is subject to ongoing judicial proceedings. </w:t>
      </w:r>
      <w:r>
        <w:rPr>
          <w:rFonts w:ascii="Times New Roman;serif" w:hAnsi="Times New Roman;serif"/>
          <w:b w:val="false"/>
          <w:i/>
          <w:color w:val="242424"/>
          <w:sz w:val="20"/>
        </w:rPr>
        <w:t xml:space="preserve">See “— Failure to attract customers, failure to complete the purchase process with customers, and customer cancellation of orders may have a material adverse impact on our business, prospects, results of operations and financial condition.” </w:t>
      </w:r>
      <w:r>
        <w:rPr>
          <w:rFonts w:ascii="Times New Roman;serif" w:hAnsi="Times New Roman;serif"/>
          <w:b w:val="false"/>
          <w:color w:val="242424"/>
          <w:sz w:val="20"/>
        </w:rPr>
        <w:t>These, and any similar legislative or executive actions in the future, may adversely affect demand for our vehicles as well as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be unable to offer attractive leasing and financing options for our current and future vehicles, which would adversely affect consumer demand. In addition, offering leasing and financing options to customers could expose us to credit and residual value risk.</w:t>
      </w:r>
    </w:p>
    <w:p>
      <w:pPr>
        <w:pStyle w:val="TextBody"/>
        <w:bidi w:val="0"/>
        <w:spacing w:lineRule="auto" w:line="288" w:before="240" w:after="283"/>
        <w:jc w:val="left"/>
        <w:rPr/>
      </w:pPr>
      <w:r>
        <w:rPr>
          <w:rFonts w:ascii="Times New Roman;serif" w:hAnsi="Times New Roman;serif"/>
          <w:b w:val="false"/>
          <w:color w:val="242424"/>
          <w:sz w:val="20"/>
        </w:rPr>
        <w:t>We offer leasing and financing of our vehicles to potential customers through third-party financing partners and intend to do the same in new markets, but we cannot provide any assurance that such third-party financing partners will continue, or would be able or willing, to provide such services on terms acceptable to us or our customers, if at all. Furthermore, because we have only sold a limited number of vehicles and only a limited secondary market for our vehicles exists, the future resale value of our vehicles is difficult to predict, and, if the actual resale value of our vehicles is lower than anticipated, it would make providing leasing terms that appeal to potential customers through such third-party financing partners more difficult. We believe that the ability to offer attractive leasing and financing options—whether due to the availability, reduction or elimination of tax incentives and certain governmental or economic programs, the availability of agreements with our third-party financing partners on terms acceptable to us or our customers, or other reasons—is particularly relevant to customers in the luxury vehicle segments in which we compete, and if we are unable to offer our customers an attractive option to finance the purchase of or lease the Lucid Air, the Lucid Gravity or planned future vehicles, such failure could substantially reduce the population of potential customers and decrease demand for our vehicles. See “—</w:t>
      </w:r>
      <w:r>
        <w:rPr>
          <w:color w:val="242424"/>
        </w:rPr>
        <w:t xml:space="preserve"> </w:t>
      </w:r>
      <w:r>
        <w:rPr>
          <w:rFonts w:ascii="Times New Roman;serif" w:hAnsi="Times New Roman;serif"/>
          <w:b w:val="false"/>
          <w:i/>
          <w:color w:val="242424"/>
          <w:sz w:val="20"/>
        </w:rPr>
        <w:t>The unavailability, reduction or elimination of certain government and economic programs could have a material adverse effect on our business, prospects, financial condition and results of operations</w:t>
      </w:r>
      <w:r>
        <w:rPr>
          <w:rFonts w:ascii="Times New Roman;serif" w:hAnsi="Times New Roman;serif"/>
          <w:b w:val="false"/>
          <w:color w:val="242424"/>
          <w:sz w:val="20"/>
        </w:rPr>
        <w:t>.”</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Furthermore, offering leasing and financing alternatives to customers could expose us to regulatory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whether due to inflation, global or regional conflicts or other geopolitical events, or public crises. If we are unable to provide leasing and financing arrangements that appeal to potential customers in a timely manner, or if the provision of such arrangements exposes us to excessive consumer credit risk or regulatory risk, our business, competitive position, results of operations and financial condition could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provide a residual value guarantee to our commercial banking partner in connection with our vehicle leasing program, under which we are contractually obligated to share a portion of the shortfall between the resale value realized by the commercial banking partner and a predetermined resale value. However, actual resale values are subject to fluctuations from various factors such as the condition of the leased vehicle, market price of new vehicles, and general economic conditions. If the resale values of leased vehicles pursuant to the vehicle leasing program are materially lower than our estimates, we may be required to cover some or all of such difference and our results of operations could be negatively impacted.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may not be able to obtain or agree on acceptable terms and conditions for all or a significant portion of the government grants, loans and other incentives for which we may apply. As a result, our business and prospects may be adversely affected.</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We may apply for federal, state and foreign grants, loans and tax incentives under government programs designed to stimulate the economy and support the production of alternative fuel and EVs and related technologies. We anticipate that in the future there may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guarantee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pStyle w:val="TextBody"/>
        <w:bidi w:val="0"/>
        <w:spacing w:lineRule="auto" w:line="288" w:before="120" w:after="283"/>
        <w:jc w:val="left"/>
        <w:rPr>
          <w:rFonts w:ascii="Times New Roman;serif" w:hAnsi="Times New Roman;serif"/>
          <w:b w:val="false"/>
          <w:color w:val="242424"/>
          <w:sz w:val="20"/>
        </w:rPr>
      </w:pPr>
      <w:r>
        <w:rPr>
          <w:rFonts w:ascii="Times New Roman;serif" w:hAnsi="Times New Roman;serif"/>
          <w:b w:val="false"/>
          <w:color w:val="242424"/>
          <w:sz w:val="20"/>
        </w:rPr>
        <w:t>We design our vehicles with proprietary ADAS hardware and software. The Lucid Air and Lucid Gravity are equipped with Level 2 (partial automation) ADAS functionality. Additionally, our vehicles are capable of integrating third-party ADAS hardware and software. For example, in July 2025, we entered into an integration agreement with Nuro, Inc., as provider of autonomous driving software, as part of our agreement with Uber, to enable Lucid Gravity Plus vehicles to operate at Level 4 autonomy. Over time, we plan to upgrade our vehicles with additional ADAS capabilities.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non-Lucid vehicles, including alleged failures or misuse of such features, have generated significant negative media attention and government investigations. We and others in our industry are subject to a Standing General Order issued by the National Highway Traffic Safety Administration (“NHTSA”) that requires us to report any crashes in which certain ADAS features were active, and these crash reports will become publicly available. To the extent accidents associated with our ADAS or third-party technologies occur, we could be subject to significant liability, negative publicity, government scrutiny and further regulation. Any of the foregoing could materially and adversely affect our results of operations, financial condition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or improve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and could have a material adverse effect on our business, results of operations, prospects and financial condition.</w:t>
      </w:r>
    </w:p>
    <w:p>
      <w:pPr>
        <w:pStyle w:val="TextBody"/>
        <w:bidi w:val="0"/>
        <w:spacing w:lineRule="auto" w:line="288" w:before="240" w:after="283"/>
        <w:jc w:val="left"/>
        <w:rPr/>
      </w:pPr>
      <w:r>
        <w:rPr>
          <w:rFonts w:ascii="Times New Roman;serif" w:hAnsi="Times New Roman;serif"/>
          <w:b w:val="false"/>
          <w:color w:val="242424"/>
          <w:sz w:val="20"/>
        </w:rPr>
        <w:t xml:space="preserve">ADAS technology is also subject to regulatory uncertainty, which exposes us to additional risks. See “— Risks Related to Litigation and Regulation </w:t>
      </w:r>
      <w:r>
        <w:rPr>
          <w:color w:val="242424"/>
        </w:rPr>
        <w:t xml:space="preserve">— </w:t>
      </w:r>
      <w:r>
        <w:rPr>
          <w:rFonts w:ascii="Times New Roman;serif" w:hAnsi="Times New Roman;serif"/>
          <w:b w:val="false"/>
          <w:i/>
          <w:color w:val="242424"/>
          <w:sz w:val="20"/>
        </w:rPr>
        <w:t>ADAS technology is subject to uncertain and evolving regulations.</w:t>
      </w:r>
      <w:r>
        <w:rPr>
          <w:color w:val="242424"/>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Uninsured or underinsured losses could result in payment of substantial damages, which would decrease our cash reserves and could harm our cash flow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ordinary course of business, we may be subject to losses resulting from claims such as product liability, significant accidents, acts of God or other claims brought against us, for which we may have no or insufficient insurance coverage. While we currently carry insurance that is generally customary for a company of our size and operations, we may not maintain as much insurance coverage as other original equipment manufacturers, and in some cases, we may not maintain any at all. Additionally, the policies that we have in place may include significant deductibles, limitations or exclusions, and we cannot be certain that our insurance coverage will be sufficient to cover all or any future claims. A loss that is uninsured or exceeds existing policy limits may require us to pay unexpected and substantial amounts, which could adversely affect our financial condition and results of operations. Further, insurance coverage may not continue to be available to us or, if available, may be at a significantly higher cost based on insurance market conditions, changes in our risk profile or loss portfolio. This may require a change in our insurance purchasing philosophy and strategy which can result in the assumption of greater risks to offset insurance market fluctuations.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Extended periods of low gasoline or other petroleum-based fuel prices could adversely affect demand for our vehicles, which would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 xml:space="preserve">A portion of the current and expected demand for EVs results from concerns about volatility in the cost of gasoline and other petroleum-based fuel, the dependency of the United States on oil from unstable or hostile countries, government regulations and the availability, reduction or elimination of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EVs, including our vehicles, could be reduced, and our business and revenue may be harmed. In addition to the OBBBA, the current U.S. presidential administration has prioritized efforts that encourage domestic production of fossil-fuel energy, including oil. If increased production of oil lowers gas prices, demand for EV vehicles may decline. </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Gasoline and other petroleum-based fuel prices have historically been extremely volatile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EVs, including our vehicles, may decrease, which would have an adverse effect on our business, prospects, financial condition and results of operations.</w:t>
      </w:r>
    </w:p>
    <w:p>
      <w:pPr>
        <w:pStyle w:val="TextBody"/>
        <w:bidi w:val="0"/>
        <w:spacing w:lineRule="auto" w:line="288" w:before="240" w:after="283"/>
        <w:jc w:val="left"/>
        <w:rPr>
          <w:rFonts w:ascii="Times New Roman;serif" w:hAnsi="Times New Roman;serif"/>
          <w:b/>
          <w:i/>
          <w:color w:val="242424"/>
          <w:sz w:val="20"/>
        </w:rPr>
      </w:pPr>
      <w:r>
        <w:rPr>
          <w:rFonts w:ascii="Times New Roman;serif" w:hAnsi="Times New Roman;serif"/>
          <w:b/>
          <w:i/>
          <w:color w:val="242424"/>
          <w:sz w:val="20"/>
        </w:rPr>
        <w:t>Changing and at times, conflicting, expectations from global regulations, our investors, customers and employees with respect to ESG matters may impose additional costs on us or expose us to new or additional risks.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Attention from governmental organizations and our investors, customers and employees, on ESG issues and disclosure, as well as growing anti-ESG sentiment among certain stakeholders, may cause us to incur additional costs or expose us to additional risks. There can be no certainty that we will be able to meet varying or conflicting stakeholder expectations regarding ESG matters to our various stakeholders’ satisfaction. Negative public perception, adverse publicity or negative comments in social media about us could damage our reputation. Any harm to our reputation could impact our employees’ engagement and retention and the willingness of our customers and partners to do business with us.</w:t>
      </w:r>
    </w:p>
    <w:p>
      <w:pPr>
        <w:pStyle w:val="TextBody"/>
        <w:bidi w:val="0"/>
        <w:spacing w:lineRule="auto" w:line="288" w:before="240" w:after="283"/>
        <w:jc w:val="left"/>
        <w:rPr>
          <w:rFonts w:ascii="Times New Roman;serif" w:hAnsi="Times New Roman;serif"/>
          <w:b w:val="false"/>
          <w:color w:val="242424"/>
          <w:sz w:val="20"/>
        </w:rPr>
      </w:pPr>
      <w:r>
        <w:rPr>
          <w:rFonts w:ascii="Times New Roman;serif" w:hAnsi="Times New Roman;serif"/>
          <w:b w:val="false"/>
          <w:color w:val="242424"/>
          <w:sz w:val="20"/>
        </w:rPr>
        <w:t>Additional costs and resources may be required to monitor, report, and comply with global regulations on ESG topics, and the rapidly changing regulatory landscape makes it difficult to plan for future developments. Actual or perceived shortcomings or dissatisfaction with our ESG practices and reporting may subject us to litigation and could negatively impact our business. In addition, a variety of organizations have developed ratings to measure the performance of companies on ESG topics, and the results of these assessments are widely publicized. Unfavorable or downgraded ratings of our company or our industries, as well as non-inclusion or removal of our stock on ESG-oriented investment funds or indexes, may lead to negative investor sentiment and the diversion of investment to other companies or industries, which could have a negative impact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Manufacturing and Supply Chain</w:t>
      </w:r>
    </w:p>
    <w:p>
      <w:pPr>
        <w:pStyle w:val="TextBody"/>
        <w:bidi w:val="0"/>
        <w:spacing w:lineRule="auto" w:line="288" w:before="240" w:after="283"/>
        <w:jc w:val="left"/>
        <w:rPr/>
      </w:pPr>
      <w:r>
        <w:rPr>
          <w:rFonts w:ascii="Times New Roman;serif" w:hAnsi="Times New Roman;serif"/>
          <w:b/>
          <w:i/>
          <w:color w:val="231F20"/>
          <w:sz w:val="20"/>
        </w:rPr>
        <w:t xml:space="preserve">We have experienced and may in the future experience significant delays in the design, launch and manufacture of our vehicles, including the Lucid Air, the </w:t>
      </w:r>
      <w:r>
        <w:rPr>
          <w:rFonts w:ascii="Times New Roman;serif" w:hAnsi="Times New Roman;serif"/>
          <w:b/>
          <w:i/>
          <w:color w:val="000000"/>
          <w:sz w:val="20"/>
        </w:rPr>
        <w:t>Lucid</w:t>
      </w:r>
      <w:r>
        <w:rPr>
          <w:color w:val="000000"/>
        </w:rPr>
        <w:t xml:space="preserve"> </w:t>
      </w:r>
      <w:r>
        <w:rPr>
          <w:rFonts w:ascii="Times New Roman;serif" w:hAnsi="Times New Roman;serif"/>
          <w:b/>
          <w:i/>
          <w:color w:val="231F20"/>
          <w:sz w:val="20"/>
        </w:rPr>
        <w:t>Gravity and our upcoming Midsize platform, which could harm our business and prospects.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plan to scale our manufacturing capacity and increase sales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as well as in ramping up production, and we have experienced in the past, and may experience in the future, such delays with regard to our vehicles. For example, we have experienced delays in the engineering of certain of our vehicle systems, including as a result of design changes to components. Any future delays in the design, launch and manufacture of our vehicles and variants could materially damage our business, prospects,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Midsize platform is still in the development and/or testing phase, and may be delayed or not proceed as planned. Additionally, prior to mass production of our EVs, they must be fully approved for sale in accordance with a range of jurisdiction-specific requirements, including but not limited to regulatory approvals in the various geographies where we intend to launch. Likewise, we have encountered and may continue to encounter delays with the design, construction, and regulatory or other approvals necessary to bring online our future expansions in Arizona and Saudi Arabia, or any other future manufacturing facilities.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we rely on third party suppliers for the development, manufacture, and supply of many key components and materials used in our vehicles, as well as for provisioning and servicing equipment at our manufacturing facilities. We have been affected by ongoing, industry-wide challenges in logistics and supply chains, such as increased supplier lead times and the limited availability of reliable third-party suppliers. These challenges have affected our ability, as well as the ability of our suppliers, to obtain parts, components and manufacturing equipment on a timely basis, and in some instances, have resulted in increased costs and delays in facilities construction and expansion as well as vehicle production ramp-up. We expect the risk of unexpected disruptions to continue for the foreseeable future. Any delays by our suppliers in delivering or developing necessary components may result in further setbacks to our production and delivery timelines.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delay or complication in the design of our vehicles, or in the launch, manufacture, and production ramp of our products, features and services, including those related to expanding our production capacity and supply chain, obtaining or maintaining necessary regulatory approvals, or managing such ramps cost-effectively, could materially damage our brand, business, prospects, financial condition and results of operations.</w:t>
      </w:r>
    </w:p>
    <w:p>
      <w:pPr>
        <w:pStyle w:val="TextBody"/>
        <w:bidi w:val="0"/>
        <w:spacing w:lineRule="auto" w:line="288" w:before="240" w:after="283"/>
        <w:jc w:val="left"/>
        <w:rPr/>
      </w:pPr>
      <w:r>
        <w:rPr>
          <w:rFonts w:ascii="Times New Roman;serif" w:hAnsi="Times New Roman;serif"/>
          <w:b w:val="false"/>
          <w:color w:val="231F20"/>
          <w:sz w:val="20"/>
        </w:rPr>
        <w:t xml:space="preserve">The continued development, manufacturing and production ramp of our vehicles, including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our upcoming Midsize platform, are and will be subject to risks, including with respect to:</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ongoing readiness of firmware features and functions to be integrated into the Lucid Air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finalize release candidate specifications for our future vehicles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delays by us in delivering final component designs to our suppliers or any changes to such component designs;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or our suppliers’ ability to successfully tool manufacturing facilities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ensure a working and reliable supply chain and desired supplier part quality and quantity as planned and on the desired timeline;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accurately manufacture vehicles within specified design tolerances;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establish, implement,</w:t>
      </w:r>
      <w:r>
        <w:rPr>
          <w:color w:val="000000"/>
        </w:rPr>
        <w:t xml:space="preserve"> </w:t>
      </w:r>
      <w:r>
        <w:rPr>
          <w:rFonts w:ascii="Times New Roman;serif" w:hAnsi="Times New Roman;serif"/>
          <w:b w:val="false"/>
          <w:color w:val="000000"/>
          <w:sz w:val="20"/>
        </w:rPr>
        <w:t>refine and scale, as well as make significant investments in manufacturing, supply chain management and logistics functions, including the related information technology systems and software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adequately reduce and control the costs of key parts and materials;</w:t>
      </w:r>
    </w:p>
    <w:p>
      <w:pPr>
        <w:pStyle w:val="TextBody"/>
        <w:bidi w:val="0"/>
        <w:spacing w:lineRule="auto" w:line="268" w:before="120" w:after="283"/>
        <w:ind w:left="0" w:right="0" w:hanging="360"/>
        <w:jc w:val="left"/>
        <w:rPr/>
      </w:pPr>
      <w:r>
        <w:rPr>
          <w:color w:val="000000"/>
        </w:rPr>
        <w:t>•</w:t>
      </w:r>
      <w:r>
        <w:rPr>
          <w:rFonts w:ascii="Times New Roman;serif" w:hAnsi="Times New Roman;serif"/>
          <w:b w:val="false"/>
          <w:color w:val="000000"/>
          <w:sz w:val="20"/>
        </w:rPr>
        <w:t>our ability to significantly reduce freight costs, including in-bound freight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any transitions or changes in our production process, planned or unplanned;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occurrence of product defects that cannot be remedied without adversely affecting the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neces</w:t>
      </w:r>
      <w:r>
        <w:rPr>
          <w:rFonts w:ascii="Times New Roman;serif" w:hAnsi="Times New Roman;serif"/>
          <w:b w:val="false"/>
          <w:color w:val="231F20"/>
          <w:sz w:val="20"/>
        </w:rPr>
        <w:t>sary funding;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negotiate and execute definitive agreements with various suppliers for hardware, software, or services necessary to engineer or manufacture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obtain required regulatory approvals and certifications;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comply with environmental, safety, and similar regulations and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secure necessary components, services, or licenses on acceptable terms and in a timely manner;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attract, recruit, hire, retain and train skilled employees including supply chain management, supplier quality, manufacturing and logistics personnel;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design and implement effective and efficient quality control and inventory management processes;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delays, disruptions or other changes in our supply chain, including raw material supplies and availability, reliability and cost-effectiveness in domestic and international sourcing;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securing in a timely manner necessary raw materials and components that meet our quality standards, including raw materials and components subject to China’s export control requirements regarding certain rare-earth minerals and semiconductor-related products, such as microchips; </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maintain arrangements on commercially reasonable terms with our suppliers, delivery and other partners, after sales service providers, and other operationally significant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other delays, backlog in manufacturing and research and development of new mo</w:t>
      </w:r>
      <w:r>
        <w:rPr>
          <w:rFonts w:ascii="Times New Roman;serif" w:hAnsi="Times New Roman;serif"/>
          <w:b w:val="false"/>
          <w:color w:val="000000"/>
          <w:sz w:val="20"/>
        </w:rPr>
        <w:t>dels, and cost overruns;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other risks identified herein.</w:t>
      </w:r>
    </w:p>
    <w:p>
      <w:pPr>
        <w:pStyle w:val="TextBody"/>
        <w:bidi w:val="0"/>
        <w:spacing w:lineRule="auto" w:line="288" w:before="240" w:after="283"/>
        <w:jc w:val="left"/>
        <w:rPr/>
      </w:pPr>
      <w:r>
        <w:rPr>
          <w:rFonts w:ascii="Times New Roman;serif" w:hAnsi="Times New Roman;serif"/>
          <w:b w:val="false"/>
          <w:color w:val="000000"/>
          <w:sz w:val="20"/>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EVs could be significantly delayed, which would materially adversely affect our business, prospects, financial condition and results of operations. See “</w:t>
      </w:r>
      <w:r>
        <w:rPr>
          <w:color w:val="000000"/>
        </w:rPr>
        <w:t>—</w:t>
      </w:r>
      <w:r>
        <w:rPr>
          <w:rFonts w:ascii="Times New Roman;serif" w:hAnsi="Times New Roman;serif"/>
          <w:b w:val="false"/>
          <w:color w:val="000000"/>
          <w:sz w:val="20"/>
        </w:rPr>
        <w:t xml:space="preserve">Risks Related to Financing and Strategic Transactions </w:t>
      </w:r>
      <w:r>
        <w:rPr>
          <w:color w:val="000000"/>
        </w:rPr>
        <w:t xml:space="preserve">— </w:t>
      </w:r>
      <w:r>
        <w:rPr>
          <w:rFonts w:ascii="Times New Roman;serif" w:hAnsi="Times New Roman;serif"/>
          <w:b w:val="false"/>
          <w:i/>
          <w:color w:val="00000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pPr>
      <w:r>
        <w:rPr>
          <w:rFonts w:ascii="Times New Roman;serif" w:hAnsi="Times New Roman;serif"/>
          <w:b/>
          <w:i/>
          <w:color w:val="000000"/>
          <w:sz w:val="20"/>
        </w:rPr>
        <w:t xml:space="preserve">Our ability to continue production and our future growth depends upon our ability to </w:t>
      </w:r>
      <w:r>
        <w:rPr>
          <w:rFonts w:ascii="Times New Roman;serif" w:hAnsi="Times New Roman;serif"/>
          <w:b/>
          <w:i/>
          <w:color w:val="231F20"/>
          <w:sz w:val="20"/>
        </w:rPr>
        <w:t>maintain relationships with our existing suppliers and source suppliers for our critical components, and to complete building out our supply chain, while effectively managing the risks due to such relationships.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success, including our ability to continue production of the Lucid Air and ramp up of the Lucid Gravity, will depend on our ability to enter into supplier agreements and maintain our relationships with hundreds of suppliers that are critical to the production of our vehicles. To date, we have not secured long-term supply agreements for all of our components, and for some components, our supply agreements do not guarantee sufficient quantities of components for our vehicle production ramp. We seek opportunities to secure long-term committed supply agreements for certain of these components. The supplier agreements we have or may enter into with key suppliers in the future may not be renewed or may contain provisions under which suppliers may refuse to supply.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and/or currency values. Substantial increases in the costs for such components, materials and equipment, whether due to supply chain or logistics issues, adverse economic conditions, changes in trade policies or agreements, the uncertainties surrounding domestic and foreign tariffs, export controls, inflation, or increased energy or natural gas costs, would increase our operating costs and could reduce our margins if we cannot offset these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also be at a disadvantage in negotiating supply agreements for the production of our vehicles as well as for the design and construction of our manufacturing facilities due to our limited operating history. In addition, given that in many cases we are an aggregator of automotive parts produced by third-party manufacturers, there is the possibility that supply agreements for the parts and components for our vehicles could be at costs that make it difficult for us to operate profitably.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rely on hundreds of third-party suppliers for the provision and development of many key components and materials used in our vehicles. While we seek to obtain components from multiple sources whenever possible, many components used in our vehicles will be custom-designed and purchased by us from a single source. Our limited, and in many cases single-source, supply chain exposes us to delivery failure or component shortages for our production, including continued production of the Lucid Air and ramp up of the Lucid Gravity.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been affected by ongoing, industry-wide challenges in logistics and supply chains, such as increased supplier lead times, limited availability of reliable third-party suppliers, and ongoing constraints in the supply of semiconductors and its related products. We expect that these industry-wide trends may continue to affect the ability of us and our suppliers to obtain parts, components and manufacturing equipment, including for the expansion of AMP-1 and the construction of AMP-2, on a timely basis for the foreseeable future, and may result in increased costs. Changes in our supply chain or production needs in order to meet our desired quality targets, development timelines and production volumes as well as due to design changes and model updates have resulted in cost increases from our suppliers.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significant increases in our production, such as production ramp of the Lucid Gravity, may require us to procure additional components in a short amount of time and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 Alternatively, if our production decreases significantly below our projections for any reason, we may not meet all of our purchase commitments with suppliers with whom we have non-cancelable long-term purchase commitments. In cases where we are unable to fully utilize our purchase commitments, we have in the past and may continue to face fees, penalties, increased prices, excess inventory or inventory write-offs, and there could be a material adverse effect on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experienced, and in the future could continue to experience, delays if our suppliers do not meet agreed-upon timelines and volumes, experience capacity constraints, or deliver components that do not meet our quality standards or other requirements. Any disruption in the supply of components, including battery cells, magnets and semiconductors,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situations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as we scale our vehicle production, we will need to accurately forecast, purchase, warehouse and transport components to our manufacturing facilities and servicing locations internationally and at much higher volumes. We are only beginning to scale production in our manufacturing facilities and in the process we have experienced challenges associated with such activities. If our production decreases significantly below our projections for any reason, we may incur loss due to inventory write-downs or assets impairment. In addition, we have not yet begun servicing vehicles at significant volumes. Accordingly, we have not thoroughly tested our ability to scale production and vehicle servicing and mitigate risks associated with these activities. In addition, our current systems and processes are not mature, which may affect our ability to timely initiate critical and time sensitive projects and increase project costs. If we continue to experience logistics challenges, are unable to accurately match the timing and quantities of component purchases to our actual needs, successfully recruit and retain personnel with relevant experience, timely comply with applicable regulations,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unexpected changes in business conditions, materials pricing, labor issues, wars, global or regional conflicts or other geopolitical events, governmental changes, political uncertainty, trade policies and agreements, the uncertainties surrounding domestic and foreign tariffs, export controls, natural disasters, health epidemics, and other factors beyond our and our suppliers’ control could also affect these suppliers’ ability to deliver components to us on a timely basis. For example, some of the shipping routes in the Red Sea have been affected by the conflicts in the Middle East, resulting in delays in delivery of components and an increase in shipping costs globally. Additionally, governmental and policy changes may continue to result in new or increased tariffs on imported components. Our ability to mitigate these cost increases may be limited by the lack of alternative suppliers from unaffected countries or domestic suppliers with production capabilities to meet our requirements. Such disruptions or increase in costs could have a material adverse impact on our business, including our ability to timely manufacture and distribute our products in a cost-effective manner and adversely affect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have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we may be required to provide substantial financial support to ensure supply continuity, which could have an additional adverse effect on our liquidity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costs, changes of supply or shortage of materials, in particular for lithium-ion battery cells,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the expansion of AMP-1 and the construction of AMP-2, we have experienced increases in material and infrastructure equipment prices and cost of construction labor. In addition, we use various materials in our business, including aluminum, steel, magnets, lithium, nickel, copper, cobalt, neodymium, terbium, praseodymium and manganese, as well as lithium-ion battery cells and semiconductors from suppliers. The prices for these materials fluctuate, and their available supply may be unstable, depending on market conditions, trade policies, tariffs and export controls, inflationary pressure and global demand for these materials, including as a result of increased production of EVs, energy storage products by our competitors and the global supply chain crisis, and could adversely affect our business and results of operations. For instance, we are exposed to multiple risks relating to lithium-ion battery cells. These risks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 change in the cost, or changes in the available supply, of materials, such as cobalt, used in lithium-ion battery cells;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disruption in the supply of lithium-ion battery cells due to quality issues or recalls by manufacturers;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ability to manage our supply and inventory of lithium-ion battery cells;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fluctuations in the value of any foreign currencies, in which lithium-ion battery cells and related raw material purchases are or may be denominated against the U.S. dollar.</w:t>
      </w:r>
    </w:p>
    <w:p>
      <w:pPr>
        <w:pStyle w:val="TextBody"/>
        <w:bidi w:val="0"/>
        <w:spacing w:lineRule="auto" w:line="288" w:before="240" w:after="283"/>
        <w:jc w:val="left"/>
        <w:rPr/>
      </w:pPr>
      <w:r>
        <w:rPr>
          <w:rFonts w:ascii="Times New Roman;serif" w:hAnsi="Times New Roman;serif"/>
          <w:b w:val="false"/>
          <w:color w:val="231F20"/>
          <w:sz w:val="20"/>
        </w:rPr>
        <w:t xml:space="preserve">Our ability to manufacture our vehicles or any future energy storage systems will depend on the continued supply of battery cells for the battery packs used in our products. A growth in popularity of EVs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 We have limited flexibility in changing battery cell suppliers, and any disruption in the supply of battery cells from such suppliers could disrupt production of our vehicles until a different supplier is fully qualified. In addition, </w:t>
      </w:r>
      <w:r>
        <w:rPr>
          <w:rFonts w:ascii="Times New Roman;serif" w:hAnsi="Times New Roman;serif"/>
          <w:b w:val="false"/>
          <w:color w:val="000000"/>
          <w:sz w:val="20"/>
        </w:rPr>
        <w:t xml:space="preserve">pursuant to the agreement we entered into in connection with the supply of lithium-ion battery cells, we have made certain </w:t>
      </w:r>
      <w:r>
        <w:rPr>
          <w:rFonts w:ascii="Times New Roman;serif" w:hAnsi="Times New Roman;serif"/>
          <w:b w:val="false"/>
          <w:color w:val="231F20"/>
          <w:sz w:val="20"/>
        </w:rPr>
        <w:t>non-can</w:t>
      </w:r>
      <w:r>
        <w:rPr>
          <w:rFonts w:ascii="Times New Roman;serif" w:hAnsi="Times New Roman;serif"/>
          <w:b w:val="false"/>
          <w:color w:val="000000"/>
          <w:sz w:val="20"/>
        </w:rPr>
        <w:t xml:space="preserve">celable long-term purchase commitments. If our production decreases significantly below our projections for any reason, we may not meet all of our purchase commitments. In cases where we are unable to fully utilize our purchase commitments, we have in the past and may continue to face fees, penalties, increased prices, excess inventory or inventory write-offs, and there could be a </w:t>
      </w:r>
      <w:r>
        <w:rPr>
          <w:rFonts w:ascii="Times New Roman;serif" w:hAnsi="Times New Roman;serif"/>
          <w:b w:val="false"/>
          <w:color w:val="231F20"/>
          <w:sz w:val="20"/>
        </w:rPr>
        <w:t>material adverse effect on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Furthermore, our ability to manufacture our vehicles depends on continued and reliable access to semiconductors and microchips that incorporate them. The ongoing global semiconductor supply shortage, caused by China’s recent export controls over Nexperia’s microchip products, has impacted the automotive industry and affected many suppliers and manufacturers, including us. We have experienced, and may continue to experience, an impact on our operations as a result of such shortages, which could delay or reduce planned production levels of our current and future vehicles and have an adverse effect on our business, prospects and results of operations. Moreover, export controls, particularly those affecting components within our supply chain, such as China’s recent restrictions on certain rare-earth minerals, has posed, and could continue to pose, risks to our production and distribution capabilities. In addition, foreign currency fluctuations, tariffs, shortages in petroleum or natural gas and other economic or political conditions have contributed to and may continue to result in significant increases in freight charges and raw material costs. These risks could be further magnified by geographical developments, global or regional conflicts or other geopolitical events, including the war in Ukraine and the escalation or expansion of conflicts in the Middle East, which affects shipping routes both regionally and globally. Substantial increases in the prices for our raw materials or components would increase our operating costs and could reduce our margins. Any attempts to raise product prices in response to increased material costs could lead to reduced demand for our vehicles and materially and adversely affect our brand, image, business, results of operations, prospects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must develop complex software and technology systems, including in coordination with vendors and suppliers, in order to produce our EVs, and there can be no assurance such systems will be successfully developed.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EVs and ensure it interoperates with other complex technology as designed and as expected.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production and delivery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delayed market acceptance of our vehicles;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loss of customers or inability to attract new customers;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diversion of engineering or other resources for remedying the defect or error;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damage to our brand or reputation;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increased service and warranty costs;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legal action by customers or third parties, including product liability claims;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penalties imposed by regulatory authorities.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we are unable to develop the software and technology systems necessary to operate our vehicles, it will harm our competitive position.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fail to successfully construct or tool our manufacturing facilities or if our manufacturing facilities become inoperable, we will be unable to produce our vehicles and our business will be harmed.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completed the initial and second phases of construction at AMP-1 and the SKD portion of AMP-2, and further construction of AMP-1 and the second phase of AMP-2 is in progress. We also acquired select assets and assumed leases for certain facilities previously belonging to Nikola Corporation, including Nikola’s former Coolidge manufacturing facility. However, tooling these facilities for production of our vehicles and our future expansion plans are complicated and present significant challenges and may require us to take vehicle production offline.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and ramp up production of the Lucid Gravity on the expected timing and at the quality levels we require. As with any large-scale capital project, these efforts could be subject to delays, cost overruns or other complications. In addition, we may encounter problems or disputes with our vendors for a variety of reasons, including for reasons beyond our control, and such disputes, with or without merit, could also cause significant delays and cost overruns. These risks could be increased because we are building our facilities from the ground up to support our EV production processes, which differ substantially from traditional automobile production processes for which expertise is more readily available. In connection with the commencement of commercial production at AMP-1 and SKD production at AMP-2, we have hired and trained and continue to hire, retain, and train a significant number of employees and integrate a yet-to-be-fully-developed supply chain. Any failure to continue commercial or SKD production on schedule would lead to additional costs and would delay our ability to generate meaningful revenues. In addition, it could prevent us from gaining the confidence of potential customers, spur cancellations of orders and open the door to increased competition. All of the foregoing could hinder our ability to successfully launch and grow our business and achieve a competitive position in the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our future vehicles, or adversely affect our ability to timely sell and deliver our EVs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Although we do not currently expect that we will be required to take vehicle production offline or reduce our planned manufacturing volumes, any such repairs or remediation could entail significant costs, and we may be unable to recover some or all of such costs from the applicable contractor(s).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construction of our facilities and our operations are also subject to review and inspection by officials in the jurisdictions where our facilities are located, including without limitation, fire officials and building construction officials. We have received in the past, and could in the future receive, results from inspections by local officials at our facilities, both existing and currently under construction, citing failing marks. When such results have arisen, we actively engaged with the local authorities to address all of the specific issues identified by those officials as well as to devise means and methods that help ensure a safe and compliant work environment. Any future results will be addressed in a similar manner. Failure to address issues raised by local authorities may result in government-ordered temporary cessation of our construction and/or production operations, which could require us to take vehicle production offline or reduce our planned manufacturing volumes,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complex machinery for our operations, and production involves a significant degree of risk and uncertainty in terms of operational performance, safety, security and costs.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time-to-time and will depend on repairs and spare parts that may not be available when needed. Furthermore, AMP-1 and AMP-2 and the equipment we use to manufacture our vehicles will be costly to repair or replace and could require substantial lead-time to repair or replace and qualify for use.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or events, including but not limited to earthquakes, tornadoes, flooding, fire, power outages, sandstorms, environmental hazards and remediation, costs associated with decommissioning of equipment, labor disputes and strikes, lack of availability of qualified construction labor, difficulty or delays in obtaining governmental permits and licenses, damages or defects in electronic systems, industrial accidents, health epidemics, political changes or instability, wars, military actions, global or regional conflicts, or other geopolitical events,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this insurance may not be sufficient to cover all of our potential losses and may not continue to be available to us on acceptable terms, if at all, based on insurance market conditions or our evolving risk profile.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of which could have a material adverse effect on our business, results of operations, cash flows, financial condition or prospects.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in high volume manufacture of our vehicles.</w:t>
      </w:r>
    </w:p>
    <w:p>
      <w:pPr>
        <w:pStyle w:val="TextBody"/>
        <w:bidi w:val="0"/>
        <w:spacing w:lineRule="auto" w:line="288" w:before="240" w:after="283"/>
        <w:jc w:val="left"/>
        <w:rPr/>
      </w:pPr>
      <w:r>
        <w:rPr>
          <w:rFonts w:ascii="Times New Roman;serif" w:hAnsi="Times New Roman;serif"/>
          <w:b w:val="false"/>
          <w:color w:val="231F20"/>
          <w:sz w:val="20"/>
        </w:rPr>
        <w:t xml:space="preserve">We cannot provide any assurance as to whether we will be able to develop and implement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and ramp up production of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political changes or instability, wars, military actions, global or regional conflicts or other geopolitical events or force majeure events, or in time to meet our commercialization schedules, or to store and deliver parts in sufficient quantities to the manufacturing lines in a manner that enables us to maintain our production ramp curve and rates, satisfy the requirements of customers and potential customers or fully utilize our purchase commitments with suppliers. For example, as result of the conflicts in the Middle East, we have experienced an impact on our shipping routes in the Red Sea, which has resulted in shipping delays and increased shipping costs globally. Any failure to develop, implement and maintain such logistics, production, quality control, and inventory management processes and capabilities within our projected costs and timelines could have a material adverse effect on our business, results of operations, prospects and financial condition. Moreover, we have experienced logistics challenges as we continue to refine our manufacturing, logistics and inventory management processes, and efforts to implement or improve such processes may cause halts or delays in production and result in additional costs. Bottlenecks and other unexpected challenges have and may continue to arise as we continue commercial production of the Lucid Air and ramp up production of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it will be important that we address them promptly while continuing to control our logistics and manufacturing costs. If we are not successful in doing so, or if we experience issues with our logistics and manufacturing process improvements, we could face further delays in establishing and/or sustaining our production ramps or be unable to meet our related cost and profitability targets.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If our vehicles fail to perform as expected, our ability to develop, market and sell or lease our products could be harmed.</w:t>
      </w:r>
    </w:p>
    <w:p>
      <w:pPr>
        <w:pStyle w:val="TextBody"/>
        <w:bidi w:val="0"/>
        <w:spacing w:lineRule="auto" w:line="288" w:before="240" w:after="283"/>
        <w:jc w:val="left"/>
        <w:rPr/>
      </w:pPr>
      <w:r>
        <w:rPr>
          <w:rFonts w:ascii="Times New Roman;serif" w:hAnsi="Times New Roman;serif"/>
          <w:b w:val="false"/>
          <w:color w:val="231F20"/>
          <w:sz w:val="20"/>
        </w:rPr>
        <w:t>Our vehicles or the components installed therein have in the past and may in the future contain defects in design or manufacture, including components designed or manufactured by suppliers, that may cause them not to perform as expected or that may require repairs, recalls, or design changes, any of which would require significant financial and other resources to successfully navigate and resolve. Our vehicles use a substantial amount of software code to operate, and software products are inherently complex and may contain defects and</w:t>
      </w:r>
      <w:r>
        <w:rPr>
          <w:color w:val="000000"/>
        </w:rPr>
        <w:t xml:space="preserve"> </w:t>
      </w:r>
      <w:r>
        <w:rPr>
          <w:rFonts w:ascii="Times New Roman;serif" w:hAnsi="Times New Roman;serif"/>
          <w:b w:val="false"/>
          <w:color w:val="000000"/>
          <w:sz w:val="20"/>
        </w:rPr>
        <w:t>errors. If our vehicles contain defects in design or manufacture that cause them not to perform as expected or that require repair, or if certain features of our vehicles take longer than expected to become available, are legally restricted or become subject to additional regulations, our ability to develop, market and sell our products and services could be adversely affected. In addition, our over-the-air software updates may fail to achieve its intended repair and performance goals, expose our customers’ vehicles to vulnerabilities, or have unintended consequences, and may require our customers to bring their vehicles to our service centers.</w:t>
      </w:r>
    </w:p>
    <w:p>
      <w:pPr>
        <w:pStyle w:val="TextBody"/>
        <w:bidi w:val="0"/>
        <w:spacing w:lineRule="auto" w:line="288" w:before="240" w:after="283"/>
        <w:jc w:val="left"/>
        <w:rPr/>
      </w:pPr>
      <w:r>
        <w:rPr>
          <w:rFonts w:ascii="Times New Roman;serif" w:hAnsi="Times New Roman;serif"/>
          <w:b w:val="false"/>
          <w:color w:val="231F20"/>
          <w:sz w:val="20"/>
        </w:rPr>
        <w:t xml:space="preserve">Any defects, delays or legal restrictions on vehicle features, failed over-the-air software updates, or other failure of our vehicles to perform as expected, could harm our brand and reputation and result in delivery delays, product recalls, product liability claims, breach of warranty claims or significant warranty and other expenses, and could have a material adverse impact on our business, results of operations, prospects and financial condition. </w:t>
      </w:r>
      <w:r>
        <w:rPr>
          <w:rFonts w:ascii="Times New Roman;serif" w:hAnsi="Times New Roman;serif"/>
          <w:b w:val="false"/>
          <w:color w:val="000000"/>
          <w:sz w:val="20"/>
        </w:rPr>
        <w:t xml:space="preserve">Any such defects or noncompliance with legal requirements could also result in safety recalls. See “— Risks Related to Litigation and Regulation — </w:t>
      </w:r>
      <w:r>
        <w:rPr>
          <w:rFonts w:ascii="Times New Roman;serif" w:hAnsi="Times New Roman;serif"/>
          <w:b w:val="false"/>
          <w:i/>
          <w:color w:val="000000"/>
          <w:sz w:val="20"/>
        </w:rPr>
        <w:t xml:space="preserve">We have in the past and may choose in the future, or we may be compelled, to undertake product recalls or take other actions, which could adversely affect our business, prospects, results of operations, reputation and financial condition.” </w:t>
      </w:r>
      <w:r>
        <w:rPr>
          <w:rFonts w:ascii="Times New Roman;serif" w:hAnsi="Times New Roman;serif"/>
          <w:b w:val="false"/>
          <w:color w:val="231F20"/>
          <w:sz w:val="20"/>
        </w:rPr>
        <w:t>As a new entrant to the industry attempting to build customer relationships and earn trust, these effects could be significantly detrimental to us. Additionally, problems and defects experienced by other consumer EVs could by association have a negative impact on perception and customer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even if our vehicles function as designed, we expect that the battery efficiency, and hence the range, of our EVs, like other EVs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limited experience servicing or repairing our vehicles and their integrated software. Servicing EVs is different than servicing vehicles with internal combustion engines and requires specialized skills, including high voltage training and servicing techniques. Furthermore, some vehicle repairs may be done via over-the-air software updates, which poses additional risks to the vehicles’ software if any issues arise during an update. In addition, we may partner with certain third parties to perform some of the service on our vehicles, and there can be no assurance that we will be able to enter into acceptable arrangements with any such third-party providers or develop and implement the necessary information technology infrastructure to support them. Further, although such servicing partners may have experience in servicing other EVs, they will initially have no experience in servicing our vehicles. We also have a limited network of locations to perform service and may also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motor vehicle industry laws in some states require that service facilities be available to service vehicles physically sold from locations in the state, and we may be unable to scale our service operations as we sell more vehicles in such locations.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customers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or service.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provide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provide a new vehicle limited warranty on all new vehicles and a genuine spare parts and accessories limited warranty on Lucid genuine spare parts and accessories we sell. We maintain warranty reserves to cover part replacement and other vehicle repair needs, including any potential software upgrades or warranty claims. In addition, we expect to provide a manufacturer’s warranty on any future products we sell and may provide additional warranties on installation workmanship or performance guarantees. Warranty reserves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this could materially and adversely affect our business, prospects, financial condition and results of operations. We may become subject to significant and unexpected expenses as well as claims from our customers, including loss of revenue or damages. There can be no assurances that then-existing reserves will be sufficient to cover all claims. In addition, future laws or regulations may impose additional warranty obligations on us that go beyond our manufacturer’s warranty, which may expose us to materially higher warranty, parts replacement and repair expenses than we expect, and our reserves may be insufficient to cover such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limited historical basis for making judgments about the demand for our vehicles or our ability to develop, manufacture, and deliver vehicles, or our profitability in the future. If we overestimate our requirements, our suppliers may have excess inventory, which has in the past and may continue to indirectly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or fail to establish the delivery processes and infrastructure to make deliveries, the delivery of vehicles to our customers could be delayed, which would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Our facilities or operations could be adversely affected by events outside of our control, such as natural disasters, wars, military actions, global or regional conflicts or other geopolitical events, health epidemics or pandemics, or security incidents.</w:t>
      </w:r>
    </w:p>
    <w:p>
      <w:pPr>
        <w:pStyle w:val="TextBody"/>
        <w:bidi w:val="0"/>
        <w:spacing w:lineRule="auto" w:line="288" w:before="240" w:after="283"/>
        <w:jc w:val="left"/>
        <w:rPr/>
      </w:pPr>
      <w:r>
        <w:rPr>
          <w:rFonts w:ascii="Times New Roman;serif" w:hAnsi="Times New Roman;serif"/>
          <w:b w:val="false"/>
          <w:color w:val="231F20"/>
          <w:sz w:val="20"/>
        </w:rPr>
        <w:t xml:space="preserve">We and our suppliers may be impacted by weather events, natural disasters, wars, military actions, global or regional conflicts or other geopolitical events, health epidemics or pandemics, security incidents or other events outside of our control. For example, our corporate headquarters are located in seismically active regions in Northern California, and our manufacturing facilities in Arizona and Saudi Arabia are located in sandstorm-, flood- and/or tornado-prone areas. If major disasters such as earthquakes, wildfires, floods, tornadoes or other events occur, or our information technology systems or communication networks break down or operate improperly, our headquarters and manufacturing facilities may be seriously damaged, or we may have to stop or delay production and shipment of our products.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Times New Roman;serif" w:hAnsi="Times New Roman;serif"/>
          <w:b w:val="false"/>
          <w:i/>
          <w:color w:val="231F20"/>
          <w:sz w:val="20"/>
        </w:rPr>
        <w:t>A failure to properly comply with foreign trade zone laws and regulations could increase the cost of our duties and tariffs.</w:t>
      </w:r>
      <w:r>
        <w:rPr>
          <w:color w:val="231F20"/>
        </w:rPr>
        <w:t xml:space="preserve">” </w:t>
      </w:r>
      <w:r>
        <w:rPr>
          <w:rFonts w:ascii="Times New Roman;serif" w:hAnsi="Times New Roman;serif"/>
          <w:b w:val="false"/>
          <w:color w:val="000000"/>
          <w:sz w:val="20"/>
        </w:rPr>
        <w:t xml:space="preserve">In addition, global or regional conflicts or other geopolitical events may increase the likelihood of supply chain interruptions and may impair our ability to compete in current or future markets, or otherwise subject us to potential liability. See “—Risks Related to Manufacturing and Supply Chain — </w:t>
      </w:r>
      <w:r>
        <w:rPr>
          <w:rFonts w:ascii="Times New Roman;serif" w:hAnsi="Times New Roman;serif"/>
          <w:b w:val="false"/>
          <w:i/>
          <w:color w:val="000000"/>
          <w:sz w:val="20"/>
        </w:rPr>
        <w:t xml:space="preserve">if we fail to successfully tool our manufacturing facilities or if our manufacturing facilities become inoperable, we will be unable to produce our vehicles and our business will be harmed.” </w:t>
      </w:r>
      <w:r>
        <w:rPr>
          <w:rFonts w:ascii="Times New Roman;serif" w:hAnsi="Times New Roman;serif"/>
          <w:b w:val="false"/>
          <w:color w:val="000000"/>
          <w:sz w:val="20"/>
        </w:rPr>
        <w:t xml:space="preserve">and “— Risks Related to Litigation and Regulation — </w:t>
      </w:r>
      <w:r>
        <w:rPr>
          <w:rFonts w:ascii="Times New Roman;serif" w:hAnsi="Times New Roman;serif"/>
          <w:b w:val="false"/>
          <w:i/>
          <w:color w:val="00000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rFonts w:ascii="Times New Roman;serif" w:hAnsi="Times New Roman;serif"/>
          <w:b w:val="false"/>
          <w:color w:val="000000"/>
          <w:sz w:val="20"/>
        </w:rPr>
        <w:t xml:space="preserve">.” </w:t>
      </w:r>
      <w:r>
        <w:rPr>
          <w:rFonts w:ascii="Times New Roman;serif" w:hAnsi="Times New Roman;serif"/>
          <w:b w:val="false"/>
          <w:color w:val="231F20"/>
          <w:sz w:val="20"/>
        </w:rPr>
        <w:t>We may incur significant expenses or delays relating to such events outside of our control, which could have a material adverse impact on our business,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vehicles make use of lithium-ion battery cells, which have been observed to catch fire or vent smoke and flame.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battery packs within our vehicles make use of, and any future energy storage systems may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battery cells for automotive applications, disposal and recycling of lithium-ion battery cells, or any future incident involving lithium-ion battery cells, such as a vehicle or other fire, even if such incident does not involve our vehicles, could seriously harm our business and reputation.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as we expand our service network, increase our recycling practices and scale the manufacturing of our vehicles and any future energy storage products, we will need to store lithium-ion battery cells at our facilities and we have experienced, and may in the future experience, thermal events.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EV or energy storage product may cause indirect adverse publicity for us and our products. Such adverse publicity could negatively affect our brand and harm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Cybersecurity and Data Privacy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Any unauthorized control, manipulation, interruption or compromise of or access to our products or information technology systems or networks could result in loss of confidence in us and our products, harm our business and materially adversely affect our financial performance, results of operations or prospects.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products contain complex information technology systems. For example, our vehicles are designed with built-in data connectivity to accept and securely install periodic remote updates to improve their functionality.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we collect, store, transmit and otherwise process data from vehicles, customers, employees and other third parties as part of our business operations, some of which includes personal, or confidential or proprietary information. We also work with third-party service providers and vendors that collect, store and process such data and information on our behalf. We have taken certain measures designed to prevent unauthorized access to our information technology systems, networks and information (including personal data) and plan to continue to deploy additional measures as we grow. Our third-party service providers and vendors also take steps designed to protect the security and integrity of our and their information technology systems and networks and our and their customers’ information (including personal data). However, there can be no assurance that such systems, networks and measures will not be compromised, including as a result of intentional misconduct by employees, contractors, vendors, or other third parties as well as a result of software bugs, human error, or technical malfunctions.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cyber threat actors may in the future attempt to gain unauthorized access to, modify, alter and/or use our vehicles, products, systems and networks to (i) gain control of, (ii) change the functionality, user interface or performance characteristics of and/or (iii) gain access to data stored in or generated by, our vehicles, products, systems and networks. Advances in technology, such as artificial intelligence,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open-source software, which can create additional risks, including potential security vulnerabilities. We and our third-party service providers’ systems have in the past and may in the future be affected by security incidents. Our systems and networks are also vulnerable to damage or interruption from, among other things, software bugs, server malfunctions, software or hardware failure, computer viruses, malware, ransomware, killware, wiperware, computer denial or degradation of service attacks, telecommunications failures, social engineering schemes (such as vishing, phishing or smishing), domain name spoofing, insider theft, physical theft, fire, terrorist attacks, natural disasters, power loss, war, misuse, mistake, fraud, misconduct or other events that may harm our vehicles, products, systems and networks. Our data center and our third-party service providers’ or vendors’ data centers could be subject to break-ins, sabotage and intentional acts of vandalism causing potential disruptions. We implement comprehensive measures to prevent, mitigate and resolve identified exposures and vulnerabilities, and maintain layered security practices designed to prevent or reduce the likelihood of a cybersecurity incident. We may also be subject to certain laws and regulations, such as “right to repair” laws, including a recent ruling on the initiative in Massachusetts, that could require us to provide third-party access to certain vehicle and vehicle-connected systems. Some of our systems will not be fully redundant, and our disaster recovery planning cannot account for all eventualities. Any problems at our or our third-party service providers’ or vendors’ data centers 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risks have been heightened in connection with ongoing global or regional conflicts and other geopolitical events and we cannot be certain how this new risk landscape will impact our operations. When geopolitical conflicts develop, government systems as well as critical infrastructures such as financial services and utilities may be targeted by state-sponsored cyberattacks even if they are not directly involved in the conflict. There can be no assurance that our business will not become a potential target as adversaries may attack networks and systems indiscriminately. Such cyberattacks may potentially cause unauthorized access to our personal, confidential or proprietary information (including our proprietary software code), products, systems and networks, resulting in a data breach, or disruption, modification or destruction to our systems and networks. As a result, we may suffer monetary losses, business interruption, and long-lasting operational issues, damage to our reputation and brand or loss of our intellectual property (including trade secrets).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are unable to protect our personal, confidential or proprietary information (including our proprietary software code), products, systems and networks from unauthorized access, use, disclosure, disruption, modification, destruction or other breach, such threats or security breaches could have negative consequences for our business and future prospects, including compromise of vehicle integrity and physical safety, causing monetary losses, giving rise to liabilities under our contracts or to the owners of the applicable information, subjecting us to substantial fines, penalties, damages and other liabilities under applicable laws and regulations, incurring substantial costs to respond to, investigate and remedy such incidents, reducing customer demand for our products, harming our reputation and brand and compromising or leading to a loss of protection of our intellectual property (including trade secrets). In addition, regardless of their veracity, reports of unauthorized access to our vehicles, products, systems and networks, as well as other factors that may result in the perception that our vehicles, products, systems and networks are vulnerable to being “hacked,” could negatively affect our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are continuously expanding and improving our information technology systems. In particular, our volume production of our current and planned future vehicles will necessitate continued development, maintenance and improvement of our information technology and communication systems and networks in the United States and abroad, such as systems and networks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and financial, tax and regulatory compliance. Our ability to operate our business will depend on the availability and effectiveness of these systems and networks and could be impacted by system outages or similar events. The implementation, maintenance, segregation, and improvement of these systems and networks require significant management time, support and cost. Moreover, there are inherent risks associated with developing, improving and expanding our core systems and networks as well as implementing new systems and networks, including the disruption of our data management, procurement, manufacturing execution, finance, supply chain, inventory management, and sales and service processes. We cannot be certain that these systems and networks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and networks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our vehicles depend on the ability of software and hardware to store, retrieve, process and manage immense amounts of data. Our software and hardware, including any over-the-air or other updates, may contain, errors, bugs, design defects or other vulnerabilities, and our systems may be subject to technical limitations that may compromise our ability to meet our objectives. Some errors, bugs, design defects or other vulnerabilities may reside in third-party intellectual property or open-source software and/or be inherently difficult to detect and may only be discovered after code has been released for external or internal use. We attempt to remedy any issues we observe in our vehicles as effectively and rapidly as possible, including issuing patches for zero-day vulnerabilities and deploying over-the-air updates to resolve errors, bugs, design defects or other vulnerabilities in our vehicle software, but such efforts may not be timely, may hamper production or may not be to the satisfaction of our customers. Additionally, if we deploy software updates to address any issues but our over-the-air update procedures fail, our customers will need to work with our service personnel to install these updates, and their vehicle will remain vulnerable until installation of the updates. Any compromise of our personal, confidential or proprietary information (including our proprietary software code), products, systems or networks or inability to prevent or effectively remedy errors, bugs, design defects or other vulnerabilities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have adequate insurance coverage, if any, to cover losses associated with any of the foregoing. The costs of investing and remediating a large data breach, or the successful assertion of one or more large claims against us that exceeds our available insurance coverage, or results in changes to our insurance policies (including premium increases, imposition of large deductible, exclusions or co-insurance requirements), could have an adverse effect on our business. In addition, we cannot be certain that our existing insurance coverage will continue to be available on acceptable terms or at all or that our insurers will not deny coverage as to any future claim.</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evolving laws, regulations, standards, policies, and contractual obligations related to data privacy and cybersecurity, and any actual or perceived failure to comply with such obligations could harm our reputation and brand, subject us to significant fines and liability, or otherwise adversely affect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transaction-related information. Additionally, we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Accordingly, we are subject to or affected by a number of federal, state, local and international laws and regulations, as well as contractual obligations and industry standards, that impose certain obligations and restrictions with respect to data privacy and cybersecurity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 The global data protection landscape is rapidly evolving, and implementation standards and enforcement practices are likely to remain uncertain for the foreseeable future. We may not be able to monitor and react to all developments in a timely manner. For example, at the international level, the EU adopted the General Data Protection Regulation (“GDPR”)</w:t>
      </w:r>
      <w:r>
        <w:rPr>
          <w:rFonts w:ascii="Times New Roman;serif" w:hAnsi="Times New Roman;serif"/>
          <w:b w:val="false"/>
          <w:i/>
          <w:color w:val="231F20"/>
          <w:sz w:val="20"/>
        </w:rPr>
        <w:t xml:space="preserve">, </w:t>
      </w:r>
      <w:r>
        <w:rPr>
          <w:rFonts w:ascii="Times New Roman;serif" w:hAnsi="Times New Roman;serif"/>
          <w:b w:val="false"/>
          <w:color w:val="231F20"/>
          <w:sz w:val="20"/>
        </w:rPr>
        <w:t>which became effective in May 2018, as well as the European Data Act, the Artificial Intelligence Act, and the Cyber Resilience Act in 2024. Canada adopted and continued to amend the Personal Information Protection and Electronic Documents Act (“PIPEDA”) in addition to applicable provincial laws. The United Arab Emirates adopted the Data Protection Law (“DPL”), which became effective in January 2022. Saudi Arabia enacted the Personal Data Protection Law (“PDPL”) which came into effect in September 2023. Similarly, China’s Data Security Law (“DSL”) and Personal Information Protection Law (“PIPL”) have been effective since 2021. Additionally, we are also subject to the data privacy laws of the UK, including the UK General Data Protection Regulation (“UK GDPR”). Each of these regulations impose additional obligations on companies regarding the handling of personal data and provide certain individual privacy rights to persons whose data is collected. Compliance with existing, proposed and recently enacted laws and regulations (including implementation of the privacy and process enhancements called for under applicable laws and regulations) can be costly, and any failure to comply with these regulatory standards could subject us to legal and reputational risks.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For example, failure to comply with the GDPR can result in significant fines and other liability, including fines of up to EUR 20 million or four percent (4%) of global revenue, whichever is greater. European data protection authorities have already imposed fines for GDPR violations up to, in some cases, hundreds of millions of Euros. The cost of compliance, and the potential for fines and penalties for non-compliance, with the GDPR may have a significant adverse effect on our business and operations. While the UK GDPR currently imposes substantially the same obligations as the GDPR, the UK GDPR will not automatically incorporate changes to the GDPR going forward (which would need to be specifically incorporated by the UK government) and may deviate in a way that creates a risk of divergent parallel regimes and related uncertainty, along with the potential for increased compliance costs and risks for affected businesses. Legal developments in the European Economic Area (“EEA”), including rulings from the Court of Justice of the European Union and from various EU member state data protection authorities, have also created complexity and uncertainty regarding transfers of personal data from the EEA to the United States and other so-called third countries outside the EEA. Similar complexities and uncertainties also apply to transfers from the UK to third countries. While we have taken steps to mitigate the impact on us, the efficacy and longevity of these mechanisms remains uncertain. Additionally, we are monitoring our compliance obligations with a final rule adopted by the U.S. Department of Justice, which prohibits and restricts certain covered data transactions that result in the transfer or access to bulk U.S. sensitive personal data by countries of concern or covered persons, effective April 8, 2025, as well as a final rule adopted by the Bureau of Industry and Security that prohibits specific transactions involving the import or sale of connected vehicles and certain hardware and software with a sufficient nexus to China, applicable to vehicles from model year 2030. These regulations may impact our potential future business operations in China.</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the U.S.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with respect to data privacy and cybersecurity) (“FTC”) and the Gramm Leach Bliley Act (which regulates the confidentiality and security of customer information obtained by financial institutions, including non-banking financial institutions such as mortgage brokers, motor vehicle dealers, and payday lenders). Our financial services program, for example, will be subject to, among other applicable laws and regulations, the Safeguards Rule, as recently amended by the FTC (the “FTC Safeguards Rule”), which, among other things, requires non-banking financial institutions to design and implement safeguards to protect customer information, and the financial data collected as part of the financial services program consequently requires additional security and administrative controls. Additionally, there has been increasing regulatory scrutiny from the SEC with respect to adequately disclosing risks concerning cybersecurity and data privacy, which increases the risk of investigations into the cybersecurity practices, and related disclosures, of companies within its jurisdiction, which at a minimum can result in distraction of management and diversion of resources for targeted businesses. On July 26, 2023, the SEC adopted new cybersecurity disclosure rules (the “SEC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At the U.S. state level, we are subject to laws and regulations such as the California Consumer Privacy Act of 2018 (as amended by the California Privacy Rights Act of 2020, collectively, the “CCPA”). The CCPA establishes a privacy framework for covered businesses, including an expansive definition of personal information and data privacy rights for California residents, including expanded rights with respect to certain sensitive personal information. The CCPA includes a framework with potentially severe statutory damages for violations and a private right of action for certain data breaches. The CCPA requires covered businesses to provide California residents with certain privacy-related disclosures and rights related to their personal information. As we expand our operations, the CCPA may increase our compliance costs and potential liability. The California Privacy Rights Act also established a state agency, the California Privacy Protection Agency, vested with the authority to implement and enforce the CCPA. Some observers have noted that the CCPA marked the beginning of a trend toward more stringent privacy legislation in the United States, and a number of other states have enacted or are in the process of enacting, or considering similar laws. Complian</w:t>
      </w:r>
      <w:r>
        <w:rPr>
          <w:rFonts w:ascii="Times New Roman;serif" w:hAnsi="Times New Roman;serif"/>
          <w:b w:val="false"/>
          <w:color w:val="000000"/>
          <w:sz w:val="20"/>
        </w:rPr>
        <w:t>ce with these state statutes, other similar state or federal laws that may be enacted in the future, and other applicable data privacy and cybersecurity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applicable privacy notices or applicable data privacy laws, regulations, standards, policies, or contractual obligations could, even if we are not found liable, be expensive and time-consuming to defend and could result in adverse publicity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Most jurisdictions have enacted laws requiring companies to notify individuals, regulatory authorities and other third parties of security breaches involving certain types of data. For example, laws in all 50 U.S. states generally require businesses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Furthermore, the SEC Cybersecurity Disclosure Rules require the disclosure of material cybersecurity incidents in a Form 8-K, generally within four business days of determining an incident is material. Additionally, upon discovery of an incident in which the unencrypted customer information of at least 500 consumers is acquired without authorization by the consumers to whom the information pertains, the FTC Safeguards Rule requires notifying the FTC as soon as possible, and no later than 30 days after discovery of such incident.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also impacted by regulations obligating us to share vehicle repair-related information, including location information, with third parties, including repair shops and repair tool hardware developers, under what are commonly called “right-to-repair” laws. Other state, federal, and foreign jurisdictions are exploring expanding right-to-repair obligations in this area as well. Furthermore, some entities within the U.S. federal government, including certain members of Congress and the NHTSA, have recently focused attention on automotive cybersecurity issues and may in the future propose or implement regulations specific to automotive cybersecurity. In addition, the United Nations Economic Commission for Europe (“UNECE”) has introduced regulations governing connected vehicle cybersecurity in the EU which are mandatory for all new vehicle types from July 2022 and all new vehicles produced from July 2024. Similar regulations are also in effect, or expected to come into effect, in certain other international jurisdictions. These and other regulations could adversely affect our business in European or other markets, and if such regulations or other future regulations are inconsistent with our approach to automotive cybersecurity, we would be required to modify our systems to comply with such regulations, which would impose additional costs and delays and could expose us to potential liability to the extent our automotive cybersecurity systems and practices are inconsistent with such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New products, services and business lines may face scrutiny from regulators as well. As our engagement with artificial intelligence tools and technologies increases, we may be impacted by emerging artificial intelligence rules, regulations, and frameworks globally, including the EU’s Artificial Intelligence Act. Other nascent data privacy and cybersecurity laws and regulations are still subject to a high degree of uncertainty as to their interpretation and application. If such laws and regulations are implemented, interpreted or applied in a manner inconsistent with our current or future practices or policies, or if we fail to comply with applicable laws or regulations, as well as contractual obligations, policies and industry standards, or to secure personal information, we could be subject to investigations, enforcement actions and other proceedings, which could result in substantial fines, damages, injunctions, orders to change our business practices, and other liability as well as damage to our reputation and credibility, which could have a negative impact on revenues and profits.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Employees and Human Resources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loss of key employees or an inability to attract, retain and motivate qualified personnel may impair our ability to expand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Our success is substantially dependent upon the continued service and performance of our senior management team and workforce. Our employees, including our senior management team, are generally at-will employees, and therefore may terminate employment with us at any time with no advance notice. We could lose some key employees, especially if we are unable to grant sufficient or competitive compensation, including equity awards and bonuses, or if the volatility of our stock price continues to increase.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our ability to continue to attract and retain highly skilled personnel. We have faced and continue to face potent competition for highly skilled workers in the United States, especially in California. As with any company with finite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expertise or business experience, and such individuals may be subject to non-competition and other agreements that restrict their ability to work for us. This challenge may be amplified by our going transition to full-scale, high-volume commercial vehicle manufacturing, where—despite significant progress in a short time—we continue to face complexities due to our relatively limited experience compared to established industry players, heightened by geopolitical volatility and market disruptions. Any failure to attract and retain key employees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any restructuring plan may also be distracting to employees and management and may negatively impact our ability to continue to attract and retain highly skilled personnel. In 2024, we conducted a restructuring plan, which involved the reduction of our employee workforce. We cannot provide any assurances that we will not have to undertake additional workforce reductions in the future. Any such plan may adversely affect our business operations, reputation, or ability to serve customers. The replacement of any members of our senior management team or other key employees could involve significant time and costs and may significantly delay or prevent the achievement of our business objectives.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21, 2025, our former Chief Executive Officer and Chief Technology Officer, Peter Rawlinson, resigned from his positions and as a member of our Board of Directors. Our Board of Directors appointed our Chief Operating Officer, Marc Winterhoff, to serve as Interim CEO until a qualified replacement is found. Mr. Rawlinson is available as Strategic Technical Advisor to the Chairman of the Board through February 21, 2027.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search for a new CEO. Although we intend to hire a qualified candidate for CEO, no assurance can be given that we will be able to attract and retain a suitable CEO. An extended period of delay in hiring such candidate could potentially have an adverse effect on our operations or financial condition. Furthermore, in the event we are unable to transition seamlessly from our Interim CEO to a new CEO, or if a new CEO should unexpectedly prove to be unsuitable for our Company, the resulting disruption could have an adverse effect on our operations or financial condition or impede our ability to execute our strategic plan.</w:t>
      </w:r>
    </w:p>
    <w:p>
      <w:pPr>
        <w:pStyle w:val="TextBody"/>
        <w:bidi w:val="0"/>
        <w:spacing w:lineRule="auto" w:line="288" w:before="240" w:after="283"/>
        <w:jc w:val="left"/>
        <w:rPr/>
      </w:pPr>
      <w:r>
        <w:rPr>
          <w:rFonts w:ascii="Times New Roman;serif" w:hAnsi="Times New Roman;serif"/>
          <w:b/>
          <w:i/>
          <w:color w:val="000000"/>
          <w:sz w:val="20"/>
        </w:rPr>
        <w:t xml:space="preserve">We will need to hire, retain, and train a </w:t>
      </w:r>
      <w:r>
        <w:rPr>
          <w:rFonts w:ascii="Times New Roman;serif" w:hAnsi="Times New Roman;serif"/>
          <w:b/>
          <w:i/>
          <w:color w:val="231F20"/>
          <w:sz w:val="20"/>
        </w:rPr>
        <w:t>significant number of employees for our business operations, and our business could be adversely affected by labor and union activities.</w:t>
      </w:r>
    </w:p>
    <w:p>
      <w:pPr>
        <w:pStyle w:val="TextBody"/>
        <w:bidi w:val="0"/>
        <w:spacing w:lineRule="auto" w:line="288" w:before="240" w:after="283"/>
        <w:jc w:val="left"/>
        <w:rPr/>
      </w:pPr>
      <w:r>
        <w:rPr>
          <w:rFonts w:ascii="Times New Roman;serif" w:hAnsi="Times New Roman;serif"/>
          <w:b w:val="false"/>
          <w:color w:val="231F20"/>
          <w:sz w:val="20"/>
        </w:rPr>
        <w:t>We will need to hire, retain, and train a significant number of employees to engage in full capacity commercial manufacturing operations and for us to scale commercial production and sales and service operations. There are various risks and challenges associated with hiring, retaining, training and managing a large workforce, such as establishing and maintaining efficient communication channels, procedures and rules of conduct, hiring an adequate number of experienced manufacturing, supply chain management and logistics managerial personnel and creating and maintaining an eff</w:t>
      </w:r>
      <w:r>
        <w:rPr>
          <w:rFonts w:ascii="Times New Roman;serif" w:hAnsi="Times New Roman;serif"/>
          <w:b w:val="false"/>
          <w:color w:val="000000"/>
          <w:sz w:val="20"/>
        </w:rPr>
        <w:t>ective company culture. Although the area surrounding our AMP-1 facility in Casa Grande, Arizona and the area surrounding our AMP-2 facility in KAEC are home to highly trained workforces with experience in engineering and manufacturing, these workforces do not have significant experience with EV manufacturing, and related processes such as inventory management, logistics and quality. Many jobs will require significant training and we may need to spend significant resources to ensure employees obtain and adhere to such training. Further, competition for employees in the Casa Grande, Arizona area has increased and may continue to increase in the future, which may impact the ability or cost to hire in the area; this same competition for talent may eventually intensify in KAEC as well. In addition, as we progress in constructing our AMP-2 facility in Saudi Arabia, we will need to hire, retain, and train a significantly larger number of employees in the local region to fully support the facility’s manufacturing operations. Any failure to comply with local labor laws and customs could have an adverse effect on our business or operations. If we are unsuccessful in hiring</w:t>
      </w:r>
      <w:r>
        <w:rPr>
          <w:rFonts w:ascii="Times New Roman;serif" w:hAnsi="Times New Roman;serif"/>
          <w:b w:val="false"/>
          <w:color w:val="231F20"/>
          <w:sz w:val="20"/>
        </w:rPr>
        <w:t>, retaining and training a workforce in a timely and cost-effective manner,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although none of our United States or international based employees is currently represented by a labor union that we are aware of at this time, it is common throughout the automobile industry generally for many employees at automobile companies to belong to a union, which can result in higher employee costs and increased risk of work stoppages. Some unions may attempt and have announced to attempt to organize non-union automakers in the U.S., including us. Moreover, regulations in some jurisdictions outside of the U.S. mandate employee participation in industrial collective bargaining agreements, work councils, or similar activities with certain consultation rights with respect to the relevant companies’ operations, or companies are required to apply collective bargaining agreements, implement works councils or similar bodies with certain consultation rights related to the activities of the companies involved. In the event our employees seek to join or form a labor union, we could be subject to risks as we engage in an attempt to address such organizing and/or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Misconduct by our employees and independent contractors during and before their employment with us could expose us to potentially significant legal liabilities, reputational harm and/or other damages to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guarantee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information, proprietary information, know-how or trade secrets, we and such employees could be subject to legal claims and liabilities and our reputation and business could be adversely affected as a result.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while we have screening procedures during the recruitment process, we cannot guarantee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Litigation and Regulation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U.S. government has adopted an evolving approach to trade policy and, in some cases, has attempted to renegotiate or terminate certain existing bilateral or multi-lateral trade agreements. The current U.S. presidential administration has issued executive orders to review U.S. trade policies, practices and agreements to address trade deficits and other economic security matters. It has also imposed, or proposed to impose, blanket import tariffs or tariffs on imports, in many cases significantly, including steel, aluminum, and certain vehicle parts and software, which have resulted in increased costs for imports and may cause shortages and delays in the supply of certain components, materials, tooling and equipment necessary to produce our vehicles. In response to these tariffs, a number of U.S. trading partners have imposed or threatened to impose retaliatory measures, including tariffs on U.S. products and enhanced export controls, which could increase the cost and complexity of exporting our vehicles to affected markets. For example, Canada has announced countermeasure tariffs on select U.S.-manufactured vehicles. Further, the current U.S. presidential administration has imposed tariffs on goods imported from China on top of existing tariffs, and has expanded its export and transfer restrictions on foreign companies and subsidiaries involving sensitive technology, which has resulted in uncertainty regarding the future of international trade between the U.S. and China. In response, China has imposed retaliatory tariffs and implemented export restrictions on certain rare-earth minerals and semiconductor-related products, including microchips. Despite recent negotiations, U.S.-China trade relations remain volatile and uncertain, and there can be no assurance that further actions by the U.S., China or another country will not have an adverse impact on our business, operations and access to products manufactured in China or elsewhere outside the U.S.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exact scope of any such tariffs that may be ultimately implemented remains uncertain at this time. We cannot predict whether, or to what extent, international trade agreements may be altered, nor can we predict whether, or to what extent, duties, additional tariffs, export controls, or other trade restrictions will be modified or imposed by the United States or other countries. If we are unable to pass the costs of such tariffs on to our customer base or otherwise mitigate such costs, or if demand for our exported vehicles decreases due to the higher cost or preferences in foreign countries for domestically manufactured products, our results of operations could be materially adversely affected. Additionally, the threat of retaliatory tariffs and trade wars between the United States and foreign countries could further impede the transition to EVs, disrupt global supply chains, and delay the implementation of economic competitiveness policies. Further, while the administration has recently issued an executive order and announced other arrangements to reduce certain previously announced tariffs on automobiles and auto parts, there can be no assurance that there will not be further changes. Taken together, these uncertainties surrounding domestic and foreign tariffs and the resulting environment of retaliatory trade practices could increase costs and harm our ability to obtain necessary inputs or sell our vehicles at prices customers are willing to pay, which could have a material adverse effect on our business, prospects, results of operations and financial condition.</w:t>
      </w:r>
    </w:p>
    <w:p>
      <w:pPr>
        <w:pStyle w:val="TextBody"/>
        <w:bidi w:val="0"/>
        <w:spacing w:lineRule="auto" w:line="288" w:before="240" w:after="283"/>
        <w:jc w:val="left"/>
        <w:rPr/>
      </w:pPr>
      <w:r>
        <w:rPr>
          <w:rFonts w:ascii="Times New Roman;serif" w:hAnsi="Times New Roman;serif"/>
          <w:b w:val="false"/>
          <w:color w:val="000000"/>
          <w:sz w:val="20"/>
        </w:rPr>
        <w:t>In December 2021, the United States adopted the Uyghur Forced Labor Prevention Act (“UFLPA”)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came into effect on June 21, 2022. While we are not presently aware of any direct impacts these restrictions will have on our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w:t>
      </w:r>
      <w:r>
        <w:rPr>
          <w:color w:val="231F20"/>
        </w:rPr>
        <w:t xml:space="preserve"> </w:t>
      </w:r>
      <w:r>
        <w:rPr>
          <w:rFonts w:ascii="Times New Roman;serif" w:hAnsi="Times New Roman;serif"/>
          <w:b w:val="false"/>
          <w:color w:val="231F20"/>
          <w:sz w:val="20"/>
        </w:rPr>
        <w:t>and could have an adverse effect on our business and results of operations</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2022, in response to actions taken by Russia against Ukraine, the United States and other countries worldwide implemented significant economic sanctions, embargoes, financial restrictions, trade controls and other governmental measures and restrictions against Russia, Belarus, and certain related entities and persons. Additionally, recent escalations in the Middle East, particularly between Israel and Iran, have introduced new uncertainties to trade relations and policies. The United States has enacted, or may enact in the future, federal regulations that significantly constrain trade relations with Russia, Belarus or other countries. Consequently, imports of certain products or merchandise originating from these jurisdictions may be subject to higher import duty rates. To the extent such products or merchandise are found in our cross-border supply chains and subject to higher duties, the suspension of normal trade relations with Russia, Belarus and other countries could increase our input costs, which could adversely impact our business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Although we are not aware of any company-related operations or activities in these jurisdictions, economic sanctions and other laws and regulations targeting these jurisdictions could disrupt our supply chains, impair our ability to compete in current or future markets, or otherwise subject us to potential liability. While we have implemented, or may implement in the future, certain procedures to facilitate compliance with applicable laws and regulations in connection with the sanctions and trade control programs around the globe related to Russia, Belarus or other countries, we cannot be assured that these procedures are always effective or that we, or third parties, many of whom we do not control, have complied with all laws or regulations in this regard. Failure by our employees, representatives, contractors, agents, intermediaries, or other third parties to comply with applicable laws and regulations could have negative consequences that could impact us, including reputational harm, government investigations, loss of export privileges, and penalties or fines. These economic sanctions and other restrictions continue to evolve, and the long-term potential impact on our operations and business remains unclear.</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At various jurisdictional levels, we are or will be subject to complex and evolving environmental, manufacturing, health and safety laws and regulations, including laws relating to the use, handling, storage, recycling, disposal and human exposure to lithium-ion batteries and hazardous materials and with respect to constructing, expanding and maintaining our facilities. The costs of compliance, including remediating contamination, if any, for our properties and any changes to our operations mandated by new or amended laws, may be significant. We may also face unexpected delays in obtaining permits and approvals required by such laws in connection with our facilities, which could affect our ability to continue our operations. Such costs and delays may adversely impact our business prospects and operations. Furthermore, any violations of these laws may result in substantial fines and penalties, remediation costs, third party damages, or a suspension or cessation of our operations.</w:t>
      </w:r>
    </w:p>
    <w:p>
      <w:pPr>
        <w:pStyle w:val="TextBody"/>
        <w:bidi w:val="0"/>
        <w:spacing w:lineRule="auto" w:line="288" w:before="240" w:after="283"/>
        <w:jc w:val="left"/>
        <w:rPr/>
      </w:pPr>
      <w:r>
        <w:rPr>
          <w:rFonts w:ascii="Times New Roman;serif" w:hAnsi="Times New Roman;serif"/>
          <w:b w:val="false"/>
          <w:color w:val="231F20"/>
          <w:sz w:val="20"/>
        </w:rPr>
        <w:t xml:space="preserve">In addition, motor vehicles and associated service activities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the </w:t>
      </w:r>
      <w:r>
        <w:rPr>
          <w:rFonts w:ascii="Times New Roman;serif" w:hAnsi="Times New Roman;serif"/>
          <w:b w:val="false"/>
          <w:color w:val="000000"/>
          <w:sz w:val="20"/>
        </w:rPr>
        <w:t xml:space="preserve">Lucid </w:t>
      </w:r>
      <w:r>
        <w:rPr>
          <w:rFonts w:ascii="Times New Roman;serif" w:hAnsi="Times New Roman;serif"/>
          <w:b w:val="false"/>
          <w:color w:val="231F20"/>
          <w:sz w:val="20"/>
        </w:rPr>
        <w:t>Gravity and any future vehicle programs will be subject to such regulation under international, federal, state and local laws and standards. These regulations include those promulgated by the U.S. Environmental Protection Agency, NHTSA, other federal agencies, various state agencies and boards; and compliance certification is required for each individual vehicle we manufacture for sale. These laws and standards are subject to change from time-to-time, and we could become subject to additional regulations in the future, which could increase the effort and expense of compliance. If compliance results in delays or substantial expenses, this could adversely affect our business. Laws and industrial standards for EVs continue to evolve, and we face risks associated with changes to these regulations, which could have an impact on the adoption of EVs.</w:t>
      </w:r>
    </w:p>
    <w:p>
      <w:pPr>
        <w:pStyle w:val="TextBody"/>
        <w:bidi w:val="0"/>
        <w:spacing w:lineRule="auto" w:line="288" w:before="240" w:after="283"/>
        <w:jc w:val="left"/>
        <w:rPr/>
      </w:pPr>
      <w:r>
        <w:rPr>
          <w:rFonts w:ascii="Times New Roman;serif" w:hAnsi="Times New Roman;serif"/>
          <w:b w:val="false"/>
          <w:color w:val="231F20"/>
          <w:sz w:val="20"/>
        </w:rPr>
        <w:t>We currently are, and expect to become, subject to laws and regulations applicable to the supply chain, manufacture, import, sale and service of automobiles in an increasing number of international jurisdictions. Applicable regulations in countries outside of the U.S., such as standards relating to vehicle safety, transportation of dangerous goods, fuel economy and emissions, battery recycling, among other things, are often materially different from requirements in the United States and also e</w:t>
      </w:r>
      <w:r>
        <w:rPr>
          <w:rFonts w:ascii="Times New Roman;serif" w:hAnsi="Times New Roman;serif"/>
          <w:b w:val="false"/>
          <w:color w:val="000000"/>
          <w:sz w:val="20"/>
        </w:rPr>
        <w:t xml:space="preserve">volving. </w:t>
      </w:r>
      <w:r>
        <w:rPr>
          <w:rFonts w:ascii="Times New Roman;serif" w:hAnsi="Times New Roman;serif"/>
          <w:b w:val="false"/>
          <w:color w:val="000000"/>
          <w:sz w:val="20"/>
          <w:shd w:fill="FFFFFF" w:val="clear"/>
        </w:rPr>
        <w:t>For example, the EU has enacted a battery regulation that affects Lucid vehicles and batteries delivered in Europe with increasing requirements for the durability, marking, supply chain transparency, and recycled content of the high-voltage batteries in our vehicles each year, among other requirements. C</w:t>
      </w:r>
      <w:r>
        <w:rPr>
          <w:rFonts w:ascii="Times New Roman;serif" w:hAnsi="Times New Roman;serif"/>
          <w:b w:val="false"/>
          <w:color w:val="000000"/>
          <w:sz w:val="20"/>
        </w:rPr>
        <w:t>ompliance with such regulations will require additional time and resources</w:t>
      </w:r>
      <w:r>
        <w:rPr>
          <w:rFonts w:ascii="Times New Roman;serif" w:hAnsi="Times New Roman;serif"/>
          <w:b w:val="false"/>
          <w:color w:val="231F20"/>
          <w:sz w:val="20"/>
        </w:rPr>
        <w:t>. This process may include official review and verification of our batteries and related documentation prior to market entry.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face regulatory limitations on our ability to sell vehicles directly, which could materially and adversely affect our ability to sell our vehicles.</w:t>
      </w:r>
    </w:p>
    <w:p>
      <w:pPr>
        <w:pStyle w:val="TextBody"/>
        <w:bidi w:val="0"/>
        <w:spacing w:lineRule="auto" w:line="288" w:before="240" w:after="283"/>
        <w:jc w:val="left"/>
        <w:rPr/>
      </w:pPr>
      <w:r>
        <w:rPr>
          <w:rFonts w:ascii="Times New Roman;serif" w:hAnsi="Times New Roman;serif"/>
          <w:b w:val="false"/>
          <w:color w:val="231F20"/>
          <w:sz w:val="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Currently, we are licensed as a motor vehicle dealer in several states. In some states, we have also opened or expect to open Lucid studios to educate and inform customers about our vehicles, but those Lucid studios will not actually transact in the sale of vehicles.</w:t>
      </w:r>
      <w:r>
        <w:rPr>
          <w:color w:val="000000"/>
        </w:rPr>
        <w:t xml:space="preserve"> </w:t>
      </w:r>
      <w:r>
        <w:rPr>
          <w:rFonts w:ascii="Times New Roman;serif" w:hAnsi="Times New Roman;serif"/>
          <w:b w:val="false"/>
          <w:color w:val="231F20"/>
          <w:sz w:val="20"/>
        </w:rPr>
        <w:t>The application of these state laws to our operations continues to be difficult to predict. Laws in some states have limited our ability to obtain dealer licenses from state motor vehicle regulators and may continue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We may face legal challenges to this distribution model. For example, in states where direct sales are not permitted, dealers and their lobbying organizations may raise complaints to the government or regulatory agencies that we are acting in the capacity of a dealer without a license. Alternatively, we have and may continue to initiate legal action against such states that prohibit direct sales, which may be protracted and expensive, and the results are difficult to predict.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state-to-state, our distribution model must</w:t>
      </w:r>
      <w:r>
        <w:rPr>
          <w:color w:val="000000"/>
        </w:rPr>
        <w:t xml:space="preserve"> </w:t>
      </w:r>
      <w:r>
        <w:rPr>
          <w:rFonts w:ascii="Times New Roman;serif" w:hAnsi="Times New Roman;serif"/>
          <w:b w:val="false"/>
          <w:color w:val="231F20"/>
          <w:sz w:val="20"/>
        </w:rPr>
        <w:t>be carefully established, and our sales and service processes must be continually monitored for compliance with the various state requirements, which change from time-to-time. Regulatory compliance and likely challenges to the distribution model may add to the cost of our business.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have in the past and may choose in the future, or we may be compelled, to undertake product recalls or take other actions, which could adversely affect our business, prospects, results of operations, reputation and financial condition.</w:t>
      </w:r>
    </w:p>
    <w:p>
      <w:pPr>
        <w:pStyle w:val="TextBody"/>
        <w:bidi w:val="0"/>
        <w:spacing w:lineRule="auto" w:line="288" w:before="240" w:after="283"/>
        <w:jc w:val="left"/>
        <w:rPr/>
      </w:pPr>
      <w:r>
        <w:rPr>
          <w:rFonts w:ascii="Times New Roman;serif" w:hAnsi="Times New Roman;serif"/>
          <w:b w:val="false"/>
          <w:color w:val="231F20"/>
          <w:sz w:val="20"/>
        </w:rPr>
        <w:t>Product recalls may result in adverse publicity, damage our reputation and adversely affect our business, prospects, results of operations and financial condition. For example, we have conducted several vehicle recalls due to a number of potential issues in the past and we may in the future voluntarily or involuntarily initiate additional recalls if any of our EVs or components (including our batteries) prove to be defective or noncompliant with applicable federal motor vehicle safety standards. If a large number</w:t>
      </w:r>
      <w:r>
        <w:rPr>
          <w:color w:val="000000"/>
        </w:rPr>
        <w:t xml:space="preserve"> </w:t>
      </w:r>
      <w:r>
        <w:rPr>
          <w:rFonts w:ascii="Times New Roman;serif" w:hAnsi="Times New Roman;serif"/>
          <w:b w:val="false"/>
          <w:color w:val="231F20"/>
          <w:sz w:val="20"/>
        </w:rPr>
        <w:t>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EVs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markets and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pStyle w:val="TextBody"/>
        <w:bidi w:val="0"/>
        <w:spacing w:lineRule="auto" w:line="288" w:before="240" w:after="283"/>
        <w:jc w:val="left"/>
        <w:rPr/>
      </w:pPr>
      <w:r>
        <w:rPr>
          <w:rFonts w:ascii="Times New Roman;serif" w:hAnsi="Times New Roman;serif"/>
          <w:b w:val="false"/>
          <w:color w:val="231F20"/>
          <w:sz w:val="20"/>
        </w:rPr>
        <w:t xml:space="preserve">From time-to-time, we may be subject to claims, lawsuits, government investigations and other proceedings involving product liability, consumer protection, competition and antitrust, intellectual property, data privacy, cybersecurity, securities, tax, labor and employment, health and safety, our direct distribution model, motor vehicle dealership licenses and state licensing laws, environmental claims, contractual and commercial disputes and other matters that could adversely affect our business, brand, reputation, results of operations, cash flows, financial condition, and the trading price of our common stock. These claims could be asserted against us by individuals, either acting individually or through class actions, by governmental entities in civil or criminal investigations and proceedings, or by other entities. For example, we are currently the subject of a class action filed against us and our former CEO, alleging violations of securities laws. We are also the subject of multiple shareholder derivative lawsuits alleging breaches of fiduciary duties and related claims against certain of our former and current directors. For details regarding these legal proceedings, refer to Note </w:t>
      </w:r>
      <w:r>
        <w:rPr>
          <w:rFonts w:ascii="Times New Roman;serif" w:hAnsi="Times New Roman;serif"/>
          <w:b w:val="false"/>
          <w:color w:val="000000"/>
          <w:sz w:val="20"/>
        </w:rPr>
        <w:t>12</w:t>
      </w:r>
      <w:r>
        <w:rPr>
          <w:color w:val="231F20"/>
        </w:rPr>
        <w:t xml:space="preserve"> “</w:t>
      </w:r>
      <w:r>
        <w:rPr>
          <w:rFonts w:ascii="Times New Roman;serif" w:hAnsi="Times New Roman;serif"/>
          <w:b w:val="false"/>
          <w:color w:val="231F20"/>
          <w:sz w:val="20"/>
        </w:rPr>
        <w:t>Commitments and Contingencies” to the condensed consolidated financial statements included elsewhere in this Quarterly Report for more information.</w:t>
      </w:r>
    </w:p>
    <w:p>
      <w:pPr>
        <w:pStyle w:val="TextBody"/>
        <w:bidi w:val="0"/>
        <w:spacing w:lineRule="auto" w:line="288" w:before="240" w:after="283"/>
        <w:jc w:val="left"/>
        <w:rPr/>
      </w:pPr>
      <w:r>
        <w:rPr>
          <w:rFonts w:ascii="Times New Roman;serif" w:hAnsi="Times New Roman;serif"/>
          <w:b w:val="false"/>
          <w:color w:val="000000"/>
          <w:sz w:val="20"/>
        </w:rPr>
        <w:t>Litigation and regulatory proceedings may be protracted an</w:t>
      </w:r>
      <w:r>
        <w:rPr>
          <w:rFonts w:ascii="Times New Roman;serif" w:hAnsi="Times New Roman;serif"/>
          <w:b w:val="false"/>
          <w:color w:val="231F20"/>
          <w:sz w:val="20"/>
        </w:rPr>
        <w:t>d expensive, and the results are difficult to predict. Additionally, our litigation and legal defense costs could be significant, even if we achieve favorable outcomes. Adverse outcomes with respect to litigation or any other legal proceedings may result in significant settlement costs or judgments, criminal and civil penalties and fines, or injunctive relief, including suspension or revocation of licenses to conduct business or other changes to our business practices, all of which could negatively affect our sales and revenue growth and adversely affect our business, prospects, results of operations, cash flows and financial condition. See Part II, 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subject to product liability and warranty-related claims, which could harm our financial condition and liquidity if we are not able to successfully defend or insure against such claims.</w:t>
      </w:r>
    </w:p>
    <w:p>
      <w:pPr>
        <w:pStyle w:val="TextBody"/>
        <w:bidi w:val="0"/>
        <w:spacing w:lineRule="auto" w:line="288" w:before="240" w:after="283"/>
        <w:jc w:val="left"/>
        <w:rPr/>
      </w:pPr>
      <w:r>
        <w:rPr>
          <w:rFonts w:ascii="Times New Roman;serif" w:hAnsi="Times New Roman;serif"/>
          <w:b w:val="false"/>
          <w:color w:val="000000"/>
          <w:sz w:val="20"/>
        </w:rPr>
        <w:t xml:space="preserve">We may become subject to product liability and warranty-related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ADAS features in our vehicles. See “— Risks Related to Litigation and Regulation — </w:t>
      </w:r>
      <w:r>
        <w:rPr>
          <w:rFonts w:ascii="Times New Roman;serif" w:hAnsi="Times New Roman;serif"/>
          <w:b w:val="false"/>
          <w:i/>
          <w:color w:val="000000"/>
          <w:sz w:val="20"/>
        </w:rPr>
        <w:t>ADAS technology is subject to uncertain and evolving regulations.</w:t>
      </w:r>
      <w:r>
        <w:rPr>
          <w:color w:val="000000"/>
        </w:rPr>
        <w:t xml:space="preserve">” </w:t>
      </w:r>
      <w:r>
        <w:rPr>
          <w:rFonts w:ascii="Times New Roman;serif" w:hAnsi="Times New Roman;serif"/>
          <w:b w:val="false"/>
          <w:color w:val="000000"/>
          <w:sz w:val="20"/>
        </w:rPr>
        <w:t xml:space="preserve">In addition, the battery packs that we produce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See “— Risks Related to Manufacturing and Supply Chain — </w:t>
      </w:r>
      <w:r>
        <w:rPr>
          <w:rFonts w:ascii="Times New Roman;serif" w:hAnsi="Times New Roman;serif"/>
          <w:b w:val="false"/>
          <w:i/>
          <w:color w:val="000000"/>
          <w:sz w:val="20"/>
        </w:rPr>
        <w:t>Our vehicles make use of lithium-ion battery cells, which have been observed to catch fire or vent smoke and flame.</w:t>
      </w:r>
      <w:r>
        <w:rPr>
          <w:color w:val="000000"/>
        </w:rPr>
        <w:t xml:space="preserve">” </w:t>
      </w:r>
      <w:r>
        <w:rPr>
          <w:rFonts w:ascii="Times New Roman;serif" w:hAnsi="Times New Roman;serif"/>
          <w:b w:val="false"/>
          <w:color w:val="000000"/>
          <w:sz w:val="20"/>
        </w:rPr>
        <w:t>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 Furthermore, if our products contain design defects, manufacturing defects, or other defects in materials or workmanship that cause them to not conform to applicable express or implied warranties, and/or we are unable to service or repair nonconforming vehicles within a reasonable period of time or number of repair attempts, we may be subject to breach of warranty, lemon law, and other consumer protection claims.</w:t>
      </w:r>
    </w:p>
    <w:p>
      <w:pPr>
        <w:pStyle w:val="TextBody"/>
        <w:bidi w:val="0"/>
        <w:spacing w:lineRule="auto" w:line="288" w:before="240" w:after="283"/>
        <w:jc w:val="left"/>
        <w:rPr/>
      </w:pPr>
      <w:r>
        <w:rPr>
          <w:rFonts w:ascii="Times New Roman;serif" w:hAnsi="Times New Roman;serif"/>
          <w:b w:val="false"/>
          <w:color w:val="231F20"/>
          <w:sz w:val="20"/>
        </w:rPr>
        <w:t>A successful product liability or warranty-related claim against us could result in a substantial monetary loss.</w:t>
      </w:r>
      <w:r>
        <w:rPr>
          <w:color w:val="000000"/>
        </w:rPr>
        <w:t xml:space="preserve"> </w:t>
      </w:r>
      <w:r>
        <w:rPr>
          <w:rFonts w:ascii="Times New Roman;serif" w:hAnsi="Times New Roman;serif"/>
          <w:b w:val="false"/>
          <w:color w:val="231F20"/>
          <w:sz w:val="20"/>
        </w:rPr>
        <w:t>Our risks in this area are particularly pronounced in light of the limited field experience of our vehicles. Moreover, a product liability or warranty-related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and warranty-related claims, and insurance coverage may not continue to be available to us or, if available, may be at a significantly higher cost. Any lawsuit seeking significant monetary damages or other product liability or warranty-related claims may have a material adverse effect on our reputation, business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exposed to delays, limitations and risks related to the environmental permits and other operating permits required to construct and operate our manufacturing facilities.</w:t>
      </w:r>
    </w:p>
    <w:p>
      <w:pPr>
        <w:pStyle w:val="TextBody"/>
        <w:bidi w:val="0"/>
        <w:spacing w:lineRule="auto" w:line="288" w:before="240" w:after="283"/>
        <w:jc w:val="left"/>
        <w:rPr/>
      </w:pPr>
      <w:r>
        <w:rPr>
          <w:rFonts w:ascii="Times New Roman;serif" w:hAnsi="Times New Roman;serif"/>
          <w:b w:val="false"/>
          <w:color w:val="231F20"/>
          <w:sz w:val="20"/>
        </w:rPr>
        <w:t xml:space="preserve">Construction and operation of an automobile manufacturing facility requires land use and environmental permits and other construction and operating permits from federal, state and local government entities. While we believe that we have the permits necessary to carry out and perform our current plans and operations at our Casa Grande, Arizona and Saudi Arabia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hazardous materials, construction and land use permits and certificates of occupancy necessary for the commercial operation of such expanded and additional facilities. Delays, denials or restrictions on any of the applications for or assignment of the permits to construct or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Times New Roman;serif" w:hAnsi="Times New Roman;serif"/>
          <w:b w:val="false"/>
          <w:i/>
          <w:color w:val="231F20"/>
          <w:sz w:val="20"/>
        </w:rPr>
        <w:t>We have experienced and may in the future experience significant delays in the design, manufacture, launch and financing of our vehicles, including the Lucid Air, the Lucid Gravity and our upcoming Midsize platform, which could harm our business and prospects.</w:t>
      </w:r>
      <w:r>
        <w:rPr>
          <w:color w:val="231F20"/>
        </w:rPr>
        <w:t>”</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various environmental, health and safety laws and regulations that could impose substantial costs on us and cause delays in expanding our production facilities.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subject to international, federal, state and local environmental laws and regulations relating to the use, handling, storage, disposal of and exposure to hazardous materials and batteries. Environmental, health and safety laws and regulations are complex and evolving. For example, regulations regarding battery storage, recycling, disposal and processing are relatively new and the current lack of consistent standards may increase our cost of compliance. Moreover, we may be affected by future amendments to such laws or other new environmental, health and safety laws and regulations which may require a change in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contamination is discovered at properties we own or operate, properties we formerly owned or operated or properties to which we sent hazardous substances, we may be subject to liability under environmental laws and regulations, including, but not limited to, the Comprehensive Environmental Response, and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operations are also subject to international, federal, state, and local workplace safety laws and regulations, including, but not limited to, the Occupational Safety and Health Act and the rules promulgated by the Occupational Safety and Health Administration, which require compliance with various workplace safety requirements.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our vehicles, which could have a material adverse effect on our business, prospects and results of operations.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ADAS technology is subject to uncertain and evolving regulations.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expect to introduce certain ADAS technologies into our vehicles over time. ADAS technology is subject to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Currently, there are no federal U.S. regulations in effect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Both the U.S. and Europe have proposed new rules for ADAS technologies that are expected to come into effect in future years.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U.S. and foreign anti-corruption, anti-money laundering and anti-boycott laws and regulations. We can face criminal liability and other serious consequences for violations, which can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as well as the antiboycott regulations of the U.S. Export Administration regulations.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Anti-money laundering laws and regulations of the U.S. and other countries may require additional due diligence of counterparties and for us to provide ownership and financial information to counterparties. The antiboycott regulations of the U.S. Export Administration require us to refuse to comply with the Arab League boycott of Israel and report any requests to do so.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are subject to governmental export and import controls and laws that could subject us to liability if we are not in compliance with such laws.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vehicles and the equipment we use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our existing and future international operations for the reassembly or manufacture of our vehicles may subject us to additional constraints under applicable export and import controls and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A failure to properly comply with foreign trade zone laws and regulations could increase the cost of our duties and tariffs.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Intellectual Property</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fail to adequately obtain, maintain, enforce, defend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ability to compete effectively is dependent in part upon our ability to obtain, maintain, enforce, defend and protect our intellectual property and proprietary technology.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rights, as well as through patent, trademark, copyright and trade secret laws in the United States and other jurisdictions. Monitoring unauthorized use of our intellectual property is costly and challenging, and the steps we have taken or will take to prevent infringement, misappropriation and other violations may not be successful.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defend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measures we take to obtain, maintain, protect, defend and enforce our intellectual property, including preventing unauthorized use by third parties, may not be effective for various reasons, including the following:</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trademark or patent applications we file may not result in the issuance of trademarks or patents;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we may not be the first inventor of the subject matter to which we have filed a particular patent application, and we may not be the first party to file such a patent application;</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claims under any of our issued patents may not be broad enough to (i) protect our inventions and proprietary technology nor (ii) prevent third parties from creating, developing, or implementing technologies that are similar to ours or offer similar performance;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issued patents may be challenged or invalidated by our competitors or other third parties;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patents have a finite term, and competitors and other third parties may offer identical or similar products after the expiration of our patents that cover such products;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our employees, contractors or business partners may breach their confidentiality, non-disclosure and non-use obligations;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independently develop technologies that are the same or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intellectual property rights of others could also bar us from licensing and exploiting any patents that issue from our pending applications;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231F20"/>
          <w:sz w:val="20"/>
        </w:rPr>
        <w:t>the costs associated with enforcing patents or other intellectual property rights, or confidentiality and invention assignment agreements may make enforcement impracticable;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competitors and other third parties may circumvent or otherwise design around our patents or other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 For example, in June 2024, we reached an agreement with Gravity, Inc. to settle a claim before the USPTO that opposed and requested cancellation of our trademark application and registration for the use of “Gravity.”</w:t>
      </w:r>
    </w:p>
    <w:p>
      <w:pPr>
        <w:pStyle w:val="TextBody"/>
        <w:bidi w:val="0"/>
        <w:spacing w:lineRule="auto" w:line="288" w:before="240" w:after="283"/>
        <w:jc w:val="left"/>
        <w:rPr/>
      </w:pPr>
      <w:r>
        <w:rPr>
          <w:rFonts w:ascii="Times New Roman;serif" w:hAnsi="Times New Roman;serif"/>
          <w:b w:val="false"/>
          <w:color w:val="231F20"/>
          <w:sz w:val="20"/>
        </w:rPr>
        <w:t>It is our policy to enter into confidentiality and invention assignment agreements with our employees and contractors that have developed material intellectual property for us, but these agreements may not be</w:t>
      </w:r>
      <w:r>
        <w:rPr>
          <w:color w:val="000000"/>
        </w:rPr>
        <w:t xml:space="preserve"> </w:t>
      </w:r>
      <w:r>
        <w:rPr>
          <w:rFonts w:ascii="Times New Roman;serif" w:hAnsi="Times New Roman;serif"/>
          <w:b w:val="false"/>
          <w:color w:val="231F20"/>
          <w:sz w:val="20"/>
        </w:rPr>
        <w:t>self-executing and may not otherwise adequately protect our intellectual property, particularly with respect to conflicts of ownership relating to work product generated by the employees and contractors. Furthermore, we cannot be certain that we have entered into these agreements with every such employee and contractor, that these agreements will not be breached or that third parties will not gain access to our trade secrets, know-how or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have licensed and plan to further license patents and other intellectual property from third parties, including, but not limited to, suppliers and service providers, and we may face claims that our use of this in-licensed intellectual property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 The resolution of such disputes could narrow what we believe to be the scope of our rights to the relevant intellectual property or increase what we believe to be our financial or other obligations under the relevant agreement. If we are unable to renew our key license or other intellectual property-related agreements on acceptable terms, or our current and future licensors conclude that we have materially breached our obligations under our license agreements and terminate such license agreements, we may lose the legal right to use some of the intellectual property we employ to manufacture certain products or only be able to maintain such right at a substantially higher cost. In some circumstances, we may not have the right to control the maintenance, prosecution, preparation, filing, enforcement, defense or litigation of patents and patent applications that we license from third parties and are reliant on our licensors to do so. We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To prevent unauthorized use of our intellectual property, it may be necessary to prosecute actions for infringement, misappropriation or other violation of our intellectual property against third parties. Any such action may be time-consuming and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sued by third parties for alleged infringement, misappropriation or other violation of their intellectual property, which could be time-consuming and costly and result in significant legal liability.</w:t>
      </w:r>
    </w:p>
    <w:p>
      <w:pPr>
        <w:pStyle w:val="TextBody"/>
        <w:bidi w:val="0"/>
        <w:spacing w:lineRule="auto" w:line="288" w:before="240" w:after="283"/>
        <w:jc w:val="left"/>
        <w:rPr/>
      </w:pPr>
      <w:r>
        <w:rPr>
          <w:rFonts w:ascii="Times New Roman;serif" w:hAnsi="Times New Roman;serif"/>
          <w:b w:val="false"/>
          <w:color w:val="231F20"/>
          <w:sz w:val="20"/>
        </w:rPr>
        <w:t>There are considerable issued patents, pending patent applications, and other intellectual property development, ownership, and activity in our industry.</w:t>
      </w:r>
      <w:r>
        <w:rPr>
          <w:color w:val="000000"/>
        </w:rPr>
        <w:t xml:space="preserve"> </w:t>
      </w:r>
      <w:r>
        <w:rPr>
          <w:rFonts w:ascii="Times New Roman;serif" w:hAnsi="Times New Roman;serif"/>
          <w:b w:val="false"/>
          <w:color w:val="231F20"/>
          <w:sz w:val="20"/>
        </w:rPr>
        <w:t>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time-to-time,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Patent and other types of intellectual property litigation can involve complex factual and legal questions, and their outcome is uncertain. Even if we believe such claims are without merit, a court of competent jurisdiction could hold that such third-party intellectual property is valid, enforceable and infringed, which could adversely affect our ability to commercialize our products or technologies. Accordingly, we may consider entering into license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pay substantial damages, including treble damages for willful infringement, or ongoing royalty payments;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cease developing, selling, leasing, using or incorporating certain components into vehicles or offering goods or services that incorporate or use the asserted intellectual property;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seek a license from the owner of the asserted intellectual property, which license may not be available on reasonable terms, or at all;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comply with other unfavorable terms;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establish and maintain alternative branding for our products and services.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may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employees from our business operations. Such disputes, with or without merit, could also cause potential customers to refrain from purchasing our products or otherwise cause us reputational harm and negative publicity.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many of our employees were previously employed by other automotive companies or by suppliers to automotive companies, or related industries.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be enjoined from using certain technology, product, services, or knowledge or, we may lose valuable intellectual property or employees. A loss of key employees,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Some of our products contain open-source software, which may pose particular risks to our proprietary software, products and services in a manner that could harm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use open-source software, available from third parties, in our products and anticipate using open-source software in the future.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as well as our third-party software suppliers’ use of open-source software and compliance with open-source licenses and try to ensure that none is used in a manner that would require us to disclose our proprietary source code or that would otherwise breach the terms of an open-source license, such use could inadvertently occur or be claimed to have occurred. Additionally, we could face claims from third parties claiming ownership of, or demanding release of, the open-source software or derivative works that we developed using such software, which could include our proprietary source code, or otherwise seeking to enforce, or alleging non-compliance with the terms of the applicable open-source license. These claims could result in litigation and could require us to make our proprietary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Additionally, the use of certain open-source software can lead to greater risks than use of third-party commercial software, as open-source licensors generally do not provide warranties or controls on the origin of software or other contractual protections regarding infringement claims or the quality of the code, including with respect to security vulnerabilities. Moreover, some open-source projects have known security and other vulnerabilities and architectural instabilities, or are otherwise subject to security attacks due to their wide availability, and are provided on an “as-is” basis.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Financing and Strategic Transactions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will require additional capital to support business growth, and this capital might not be available on commercially reasonable terms, or at all.</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We have funded our operations since inception primarily through equity and debt financings. We anticipate that we will continue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we have settled, and we expect to settle, tax withholding obligations in connection with vesting of the restricted stock units granted to certain employees through “net settlement,” i.e., by remitting the Company’s cash to satisfy the tax withholding obligation and simultaneously withholding a number of the vested shares on each vesting date with a value equal to that remitted cash. The amount of the tax withholding due on each vesting date will be based on the fair value of our common stock on such vesting date. Depending on the fair value of our common stock and the number of restricted stock units vesting on any applicable vesting date, such net settlement could require us to expend substantial funds to satisfy tax withholding. </w:t>
      </w:r>
    </w:p>
    <w:p>
      <w:pPr>
        <w:pStyle w:val="TextBody"/>
        <w:bidi w:val="0"/>
        <w:spacing w:lineRule="auto" w:line="288" w:before="240" w:after="283"/>
        <w:jc w:val="left"/>
        <w:rPr/>
      </w:pPr>
      <w:r>
        <w:rPr>
          <w:rFonts w:ascii="Times New Roman;serif" w:hAnsi="Times New Roman;serif"/>
          <w:b w:val="false"/>
          <w:color w:val="231F20"/>
          <w:sz w:val="20"/>
        </w:rPr>
        <w:t xml:space="preserve">Our plan to continue the commercial production of our vehicles and grow our business is dependent upon the timely availability of funds and further investment in design, engineering, component procurement, testing, and the build-out of manufacturing capabilities. </w:t>
      </w:r>
      <w:r>
        <w:rPr>
          <w:rFonts w:ascii="Times New Roman;serif" w:hAnsi="Times New Roman;serif"/>
          <w:b w:val="false"/>
          <w:color w:val="000000"/>
          <w:sz w:val="20"/>
        </w:rPr>
        <w:t xml:space="preserve">For example, as of September 30, 2025, pursuant to the terms of the agreements we entered into in connection with the supply of lithium-ion battery cells, we have remaining minimum purchase commitments of an aggregate of approximately $2.50 billion of lithium-ion battery cells using the current base prices, which could vary period-to-period primarily as a result of changes in raw material indexes. </w:t>
      </w:r>
      <w:r>
        <w:rPr>
          <w:rFonts w:ascii="Times New Roman;serif" w:hAnsi="Times New Roman;serif"/>
          <w:b w:val="false"/>
          <w:color w:val="231F20"/>
          <w:sz w:val="20"/>
        </w:rPr>
        <w:t>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If we raise additional funds through further issuances of equity or equity-linked securities, our stockholders could experience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inflation, bank closures and liquidity concerns at financial institutions, the risk of a global economic recession or other downturn, interest rate changes, global or regional conflicts or other geopolitical events, or investor acceptance of our business model. These factors may </w:t>
      </w:r>
      <w:r>
        <w:rPr>
          <w:rFonts w:ascii="Times New Roman;serif" w:hAnsi="Times New Roman;serif"/>
          <w:b w:val="false"/>
          <w:color w:val="000000"/>
          <w:sz w:val="20"/>
        </w:rPr>
        <w:t>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realize the anticipated benefits of our agreements with Aston Martin, Uber and Nuro.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June 2023, we entered into the Implementation Agreement with Aston Martin under which we and Aston Martin have established a long-term strategic technology arrangement. On November 6, 2023, pursuant to the terms of the Implementation Agreement, integration and supply arrangements became effective, under which we will provide Aston Martin access to our powertrain, battery system, and software technologies, work with Aston Martin to integrate our powertrain and battery components with Aston Martin’s battery EV chassis, and supply powertrain and battery components to Aston Martin. See Note 16 “Related Party Transactions”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July 2025, we entered into the VPA with Uber under which Uber and its designated fleet operators have agreed to purchase a minimum commitment of 20,000 Lucid Gravity Plus vehicles over a six-year period following the start of production, which is targeted to occur in late 2026. We will collaborate with Nuro, Inc., as the provider of autonomous driving software, to develop and deploy a fleet of autonomous vehicles to be used as robotaxis on the Uber platform. See Note 9 “Stockholders’ Equity” to the condensed consolidated financial statements included elsewhere in this Quarterly Report for more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be able to realize the anticipated benefits of the VPA if we fail to meet certain volume and other requirements and specifications with respect to the Lucid Gravity Plus vehicles, including continued production of the base Lucid Gravity vehicles, meeting certain quality thresholds, and timely fulfillment of orders for the Lucid Gravity Plus vehicles. In addition, we will depend on Nuro to meet its requirements in order to fulfill some of these conditions. Additionally, we may not be able to realize the anticipated benefits of the Strategic Technology Arrangement if we experience delays, fail to successfully integrate our powertrain and battery components with Aston Martin’s vehicles, or fail to enter into a long form supply agreement on terms acceptable to us, or if we experience delays or fail to deliver the components ordered by Aston Martin. Any such delay or failure for any reason, including financial distress, insolvency or disruptions in operations experienced by our partners or for any other reasons beyond our control, may have an adverse effect on our brand and reputation, and our business, prospects,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accounting method for reflecting the Convertible Senior Notes on our consolidated balance sheet, accruing interest expense for the Convertible Senior Notes and reflecting the underlying shares of our common stock in our reported diluted earnings per share may adversely affect our reported earnings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2020, the Financial Accounting Standards Board published an Accounting Standards Update, which we refer to as ASU 2020-06, which simplifies certain of the accounting standards that apply to convertible debt such as the Convertible Senior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ASU 2020-06, we accounted for the issuance of the Convertible Senior Notes as a liability on our balance sheets, with the initial carrying amount equal to the principal amount of the Convertible Senior Notes, net of issuance costs. The issuance costs will be treated as a debt discount for accounting purposes, which will be amortized into interest expense over the term of the Convertible Senior Notes. As a result of this amortization, the interest expense that we expect to recognize for the Convertible Senior Notes for accounting purposes will be greater than the cash interest payments we will pay on the Convertible Senior Notes, which will result in a higher reported loss.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shares underlying the Convertible Senior Notes will be reflected in our diluted earnings per share using the “if converted” method, in accordance with ASU 2020-06. Under that method, diluted earnings per share would generally be calculated assuming that all the Convertible Senior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if any of the conditions to the convertibility of the Convertible Senior Notes is satisfied, then we may be required under applicable accounting standards to reclassify the liability carrying value of the Convertible Senior Notes as a current, rather than a long-term liability. This reclassification could be required even if no noteholders convert their Convertible Senior Notes and could materially reduce our reported working capital.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Servicing our current and future debt and potential payment obligations in certain circumstances under the terms of our Redeemable Convertible Preferred Stock may require a significant amount of cash, and we may not have sufficient cash flow from our business to pay our indebtedness or satisfy our payment obligations. Our payment obligations under such indebtedness and, if applicable, our Redeemable Convertible Preferred Stock may limit the funds available to us, and the terms of our debt agreements may restrict our flexibility in operating our business or otherwise adversely affect our results of operations.</w:t>
      </w:r>
    </w:p>
    <w:p>
      <w:pPr>
        <w:pStyle w:val="TextBody"/>
        <w:bidi w:val="0"/>
        <w:spacing w:lineRule="auto" w:line="288" w:before="240" w:after="283"/>
        <w:jc w:val="left"/>
        <w:rPr/>
      </w:pPr>
      <w:r>
        <w:rPr>
          <w:rFonts w:ascii="Times New Roman;serif" w:hAnsi="Times New Roman;serif"/>
          <w:b w:val="false"/>
          <w:color w:val="000000"/>
          <w:sz w:val="20"/>
        </w:rPr>
        <w:t xml:space="preserve">We issued $2.0 billion principal amount of 2026 Notes in December 2021, issued </w:t>
      </w:r>
      <w:r>
        <w:rPr>
          <w:rFonts w:ascii="Times New Roman;serif" w:hAnsi="Times New Roman;serif"/>
          <w:b w:val="false"/>
          <w:color w:val="231F20"/>
          <w:sz w:val="20"/>
        </w:rPr>
        <w:t>$1.1 billion</w:t>
      </w:r>
      <w:r>
        <w:rPr>
          <w:color w:val="000000"/>
        </w:rPr>
        <w:t xml:space="preserve"> </w:t>
      </w:r>
      <w:r>
        <w:rPr>
          <w:rFonts w:ascii="Times New Roman;serif" w:hAnsi="Times New Roman;serif"/>
          <w:b w:val="false"/>
          <w:color w:val="000000"/>
          <w:sz w:val="20"/>
        </w:rPr>
        <w:t>principal amount of 2030 Notes in April 2025, and have entered into several credit facilities since 2022. Concurrent with the 2030 Notes offering, we repurchased $1,052.5 million principal amount of the 2026 Notes, reducing its remaining principal amount to $960.0 million. See Note 6 “Debt” to the condensed consolidated financial statements included elsewhere in this Quarterly Report for further information on our outstanding debt obligations. Our ability to make scheduled payments of the principal of, to pay interest on or to refinance our indebtedness from time-to-time depends on our future performance, which is subject to economic, financial, competitive and other factors beyond our control. Our business may not generate cash flow from operations in the future sufficient to service our debt, our obligations under the Redeemable Convertible Preferred Stock and make necessary capital expenditures. If we are unable to generate such cash flow, we may be required to adopt one or more alternatives, such as selling assets, restructuring debt or preferred stock or obtaining additional debt financing or equity capital on terms that may be onerous or highly dilutive. Our ability to refinance any current or future indebtedness or preferred stock will depend on the capital markets and our financial condition at such time. Our obligations to the holders of our Redeemable Convertible Preferred Stock could also limit our ability to obtain additional financing, which could have an adverse effect on our financial condition. We may not be able to engage in future financing on desirable terms, which could result in a default on our debt obligations. In addition, our existing debt agreements contain, and any of our future debt agreements may contain restrictive covenants that may prohibit us from selling assets, restructuring debt or preferred stock or obtaining additional debt financing or equity capital. Our failure to comply with these covenants could result in an event of default which, if not cured or waived, could result in the acceleration of our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our indebtedness and our obligations under our Redeemable Convertible Preferred Stock, combined with our other existing and future financial obligations and contractual commitments, could have other important consequences. For example, it could:</w:t>
      </w:r>
    </w:p>
    <w:p>
      <w:pPr>
        <w:pStyle w:val="TextBody"/>
        <w:bidi w:val="0"/>
        <w:spacing w:lineRule="auto" w:line="288" w:before="120" w:after="283"/>
        <w:ind w:left="0" w:right="0" w:hanging="360"/>
        <w:jc w:val="left"/>
        <w:rPr>
          <w:color w:val="231F20"/>
        </w:rPr>
      </w:pPr>
      <w:r>
        <w:rPr>
          <w:color w:val="231F20"/>
        </w:rPr>
        <w:t>•    </w:t>
      </w:r>
      <w:r>
        <w:rPr>
          <w:rFonts w:ascii="Times New Roman;serif" w:hAnsi="Times New Roman;serif"/>
          <w:b w:val="false"/>
          <w:color w:val="231F20"/>
          <w:sz w:val="20"/>
        </w:rPr>
        <w:t>make us more vulnerable to adverse changes in general U.S. and worldwide economic, industry and competitive conditions and adverse changes in government regulation;</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limit our flexibility in planning for, or reacting to, changes in our business and our industry;</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place us at a disadvantage compared to our competitors who have less debt or other obligations;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limit our ability to borrow or raise additional amounts to fund acquisitions, for working capital and for other general corporate purposes; and</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make an acquisition of our company less attractive or more difficult.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under the SIDF Loan Agreement, the 2025 GIB Credit Facility, the ABL Credit Facility, and the DDTL Credit Facility, we are subject to customary affirmative and negative covenants regarding our business and operations, including limitations on our ability to, among other things, pay dividends, incur debt, create liens and encumbrances, redeem or repurchase stock, dispose of assets (including dispositions of material intellectual property), consummate acquisitions or other investments, prepay certain debt, engage in transactions with affiliates, engage in certain sale and leaseback transactions, consummate mergers and other fundamental changes, enter in to restrictive agreements or modify their organizational documents. Any debt financing secured by us in the future could also involve such covenants as well as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pStyle w:val="TextBody"/>
        <w:bidi w:val="0"/>
        <w:spacing w:lineRule="auto" w:line="288" w:before="240" w:after="283"/>
        <w:jc w:val="left"/>
        <w:rPr/>
      </w:pPr>
      <w:r>
        <w:rPr>
          <w:rFonts w:ascii="Times New Roman;serif" w:hAnsi="Times New Roman;serif"/>
          <w:b w:val="false"/>
          <w:color w:val="000000"/>
          <w:sz w:val="20"/>
        </w:rPr>
        <w:t>Further, shares of our common stock are subordinate in right of payment to all of our current and future debt and Redeemable Convertible Preferred Stock. We cannot assure that there would be any remaining funds for any distribution to our stockholders after the payment of all of our debt or, in the case of our Redeemable Convertible Preferred Stock, payment of all of our obligations upon liquidation or, in certain limited circumstances where cash settlement is required, our obligations upon mandatory conversion, optional redemption or a fundamental change. See “—</w:t>
      </w:r>
      <w:r>
        <w:rPr>
          <w:rFonts w:ascii="Times New Roman;serif" w:hAnsi="Times New Roman;serif"/>
          <w:b w:val="false"/>
          <w:i/>
          <w:color w:val="000000"/>
          <w:sz w:val="20"/>
        </w:rPr>
        <w:t>We may be unable to raise the funds necessary to pay the cash amounts due upon mandatory conversion, redeem our Redeemable</w:t>
      </w:r>
      <w:r>
        <w:rPr>
          <w:color w:val="000000"/>
        </w:rPr>
        <w:t xml:space="preserve"> </w:t>
      </w:r>
      <w:r>
        <w:rPr>
          <w:rFonts w:ascii="Times New Roman;serif" w:hAnsi="Times New Roman;serif"/>
          <w:b w:val="false"/>
          <w:i/>
          <w:color w:val="000000"/>
          <w:sz w:val="20"/>
        </w:rPr>
        <w:t>Convertible Preferred Stock or repurchase the Redeemable</w:t>
      </w:r>
      <w:r>
        <w:rPr>
          <w:color w:val="000000"/>
        </w:rPr>
        <w:t xml:space="preserve"> </w:t>
      </w:r>
      <w:r>
        <w:rPr>
          <w:rFonts w:ascii="Times New Roman;serif" w:hAnsi="Times New Roman;serif"/>
          <w:b w:val="false"/>
          <w:i/>
          <w:color w:val="000000"/>
          <w:sz w:val="20"/>
        </w:rPr>
        <w:t>Convertible Preferred Stock upon a fundamental change</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factors could harm our business, results of operations and financial condition. In addition, if we incur additional indebtedness or issue additional Redeemable Convertible Preferred Stock, the risks related to our business and our ability to service or repay our indebtedness would increase.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incurred and may still incur substantially more debt.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subsidiaries have incurred and may need to incur substantial additional debt in the future, subject to the restrictions contained in our debt instruments, some of which may be secured debt. The ABL Credit Facility and Certificate of Designations impose certain restrictions on our ability to incur additional debt, but we are not restricted under the terms of the indentures governing our Convertible Senior Notes from incurring additional debt, securing existing or future debt, recapitalizing our debt or taking a number of other actions that could have the effect of diminishing our ability to make payments on our Convertible Senior Notes when due.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conditional conversion feature of the Convertible Senior Notes, if triggered, may adversely affect our financial condition and operating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2026 Notes, before the close of business on the business day immediately before September 15, 2026, noteholders will have the right to convert their 2026 Notes upon the occurrence of certain events, and they may elect to convert their 2026 Notes regardless of the occurrence of such events from and after September 15, 2026 until the close of business on the second scheduled trading day immediately before December 15, 2026. For the 2030 Notes, before the close of business on the business day immediately before January 1, 2030, noteholders will have the right to convert their 2030 Notes upon the occurrence of certain events, and they may elect to convert their 2030 Notes regardless of the occurrence of such events from and after January 1, 2030 until the close of business on the second scheduled trading day immediately before April 1, 2030. If holders of the Convertible Senior Notes elect to convert their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Convertible Senior Notes as a current rather than long-term liability, which would result in a material reduction of our net working capital.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raise the funds necessary to repurchase the Convertible Senior Notes for cash following a fundamental change, or to pay any cash amounts due upon conversion, and our other indebtedness may limit our ability to repurchase the Convertible Senior Notes or pay cash upon their conversion.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Noteholders may, subject to a limited exception, require us to repurchase their Convertible Senior Notes following a fundamental change at a cash repurchase price generally equal to the principal amount of the Convertible Senior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Convertible Senior Notes or pay any cash amounts due upon conversion. In addition, applicable law, regulatory authorities and the agreements governing our other indebtedness, such as the covenants in the ABL Credit Facility and Certificate of Designations, may restrict our ability to repurchase the Convertible Senior Notes or pay any cash amounts due upon conversion. Our failure to repurchase the Convertible Senior Notes or pay any cash amounts due upon conversion when required will constitute a default under the indentures of such Convertible Senior Notes. A default under the indentures of such Convertible Senior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Convertible Senior Notes.</w:t>
      </w:r>
    </w:p>
    <w:p>
      <w:pPr>
        <w:pStyle w:val="TextBody"/>
        <w:bidi w:val="0"/>
        <w:spacing w:lineRule="auto" w:line="288" w:before="240" w:after="283"/>
        <w:jc w:val="left"/>
        <w:rPr/>
      </w:pPr>
      <w:r>
        <w:rPr>
          <w:rFonts w:ascii="Times New Roman;serif" w:hAnsi="Times New Roman;serif"/>
          <w:b/>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erif" w:hAnsi="Times New Roman;serif"/>
          <w:b/>
          <w:i/>
          <w:color w:val="000000"/>
          <w:sz w:val="20"/>
        </w:rPr>
        <w:t>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March 2024, we issued 100,000 shares of our Series A Redeemable Convertible Preferred Stock and in August 2024, we issued 75,000 shares of our Series B Redeemable Convertible Preferred Stock. The holders of our Redeemable Convertible Preferred Stock have the right to receive payment in cash upon a mandatory conversion or redemption at our option, or upon the occurrence of a fundamental change (as defined in the Certificate of Designations), if certain liquidity conditions are not satisfied. In general, we are entitled to exercise a mandatory conversion right regarding the Redeemable Convertible Preferred Stock to convert into shares of common stock after the third anniversary of the date of original issuance if the daily VWAP (as defined in the Certificate of Designations) has been at least 200% of the Conversion Price (as defined above) for at least twenty (20) trading days (whether or not consecutive) during any thirty (30) consecutive trading day period (including the last day of such period), and we are entitled to redeem all or any portion of the Redeemable Convertible Preferred Stock on or after the fifth anniversary of the date of original issuance at a redemption price specified in the Certificate of Designations.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000000"/>
          <w:sz w:val="20"/>
        </w:rPr>
        <w:t>The holders of our Redeemable Convertible Preferred Stock also have the right to receive certain Minimum Consideration upon a mandatory conversion, optional redemption, fundamental change or liquidation event. While we largely can control the occurrence of such events, if we are required to cash settle any of these obligations as a result of the liquidity conditions not being met, the amount of such cash settlement is subject to factors beyond our control and we cannot presently predict the amount of such cash settlement, which increases over time is not subject to any cap or limitation. A requirement to cash settle any obligations in relation to the Redeemable Convertible Preferred Stock may have a material adverse effect on our business, prospects, results of operations and financial condition. See “—</w:t>
      </w:r>
      <w:r>
        <w:rPr>
          <w:rFonts w:ascii="Times New Roman;serif" w:hAnsi="Times New Roman;serif"/>
          <w:b w:val="false"/>
          <w:i/>
          <w:color w:val="000000"/>
          <w:sz w:val="20"/>
        </w:rPr>
        <w:t>The settlement of our obligations upon conversion, optional redemption or repurchase of our Redeemable Convertible Preferred Stock is expected to dilute the ownership of common stockholders</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i/>
          <w:color w:val="000000"/>
          <w:sz w:val="20"/>
        </w:rPr>
        <w:t>The settlement of our obligations upon conversion, optional redemption or repurchase of our Redeemable</w:t>
      </w:r>
      <w:r>
        <w:rPr>
          <w:color w:val="000000"/>
        </w:rPr>
        <w:t xml:space="preserve"> </w:t>
      </w:r>
      <w:r>
        <w:rPr>
          <w:rFonts w:ascii="Times New Roman;serif" w:hAnsi="Times New Roman;serif"/>
          <w:b/>
          <w:i/>
          <w:color w:val="000000"/>
          <w:sz w:val="20"/>
        </w:rPr>
        <w:t>Convertible Preferred Stock is expected to dilute the ownership of common stockholders.</w:t>
      </w:r>
    </w:p>
    <w:p>
      <w:pPr>
        <w:pStyle w:val="TextBody"/>
        <w:bidi w:val="0"/>
        <w:spacing w:lineRule="auto" w:line="288" w:before="240" w:after="283"/>
        <w:jc w:val="left"/>
        <w:rPr/>
      </w:pPr>
      <w:r>
        <w:rPr>
          <w:rFonts w:ascii="Times New Roman;serif" w:hAnsi="Times New Roman;serif"/>
          <w:b w:val="false"/>
          <w:color w:val="000000"/>
          <w:sz w:val="20"/>
        </w:rPr>
        <w:t>The Series A Redeemable Convertible Preferred Stock and the Series B Redeemable Convertible Preferred Stock are convertible into our common stock at an initial conversion price of $35.9520 per share and $43.7990 per share, respectively. The Conversion Price is subject to customary anti-dilution adjustments, including in the event of any stock split, stock dividend, recapitalization or similar event, and it has been adjusted to reflect the Reverse Stock Split. At issuance, the Series A Redeemable Convertible Preferred Stock was initially convertible into approximately 27.815 million shares of common stock, representing approximately 12% of our then issued and outstanding common stock. Upon entry into the Series B Subscription Agreement, the Series B Redeemable Convertible Preferred Stock was initially convertible into approximately 17.124 million shares of common stock, representing approximately 7% of our then issued and outstanding common stock. Holders of the Redeemable Convertible Preferred Stock may convert their shares (a) at any time that the closing price per share of our common stock on the trading day immediately preceding the date of the relevant notice of conversion is at least $55.00 (subject to certain adjustments), unless we otherwise consent to such conversion in our sole discretion, or (b) in all events during certain specified periods relating to a fundamental change or optional redemption by us. The number of shares of common stock issuable upon conversion (other than a mandatory conversion) in the future, subject to certain exceptions, is determined by dividing (i) the applicable Accrued Value (as defined in the Certificate of Designations) as of the conversion date by (ii) the applicable Conversion Price in effect as of such conversion date. Dividends on the Redeemable Convertible Preferred Stock are payable at an initial rate of 9% per annum in the form of dividends compounding on a quarterly basis. Such compounded dividends are not subject to any cap or sunset provisions and can accrue into perpetuity. As such, the number of shares of common stock issuable upon conversion may continue to increase in perpetuity as each of the compounded dividends increases the Accrued Value. Meeting these conversion obligations could impact our financial condition, liquidity, ability to obtain additional financing, or ability to allocate resources to addressing other aspects of our business including addressing the interests of the holders of our common stock. Except in the case of a mandatory conversion for which we elect (or are required) to satisfy our conversion obligation in cash (as further described under “—</w:t>
      </w:r>
      <w:r>
        <w:rPr>
          <w:rFonts w:ascii="Times New Roman;serif" w:hAnsi="Times New Roman;serif"/>
          <w:b w:val="false"/>
          <w:i/>
          <w:color w:val="000000"/>
          <w:sz w:val="20"/>
        </w:rPr>
        <w:t>We may be unable to raise the funds necessary should any cash amounts become payable upon mandatory conversion or in connection with a fundamental change in relation to our Redeemable</w:t>
      </w:r>
      <w:r>
        <w:rPr>
          <w:color w:val="000000"/>
        </w:rPr>
        <w:t xml:space="preserve"> </w:t>
      </w:r>
      <w:r>
        <w:rPr>
          <w:rFonts w:ascii="Times New Roman;serif" w:hAnsi="Times New Roman;serif"/>
          <w:b w:val="false"/>
          <w:i/>
          <w:color w:val="000000"/>
          <w:sz w:val="20"/>
        </w:rPr>
        <w:t>Convertible Preferred Stock, or to optionally redeem our Redeemable</w:t>
      </w:r>
      <w:r>
        <w:rPr>
          <w:color w:val="000000"/>
        </w:rPr>
        <w:t xml:space="preserve"> </w:t>
      </w:r>
      <w:r>
        <w:rPr>
          <w:rFonts w:ascii="Times New Roman;serif" w:hAnsi="Times New Roman;serif"/>
          <w:b w:val="false"/>
          <w:i/>
          <w:color w:val="000000"/>
          <w:sz w:val="20"/>
        </w:rPr>
        <w:t>Convertible Preferred Stock</w:t>
      </w:r>
      <w:r>
        <w:rPr>
          <w:color w:val="000000"/>
        </w:rPr>
        <w:t>”</w:t>
      </w:r>
      <w:r>
        <w:rPr>
          <w:rFonts w:ascii="Times New Roman;serif" w:hAnsi="Times New Roman;serif"/>
          <w:b w:val="false"/>
          <w:color w:val="000000"/>
          <w:sz w:val="20"/>
        </w:rPr>
        <w:t xml:space="preserve">), any conversion, optional redemption or repurchase of the Redeemable Convertible Preferred Stock will also increase the number of shares of our common stock available for public trading, which could adversely affect prevailing market prices of our common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holders of the Redeemable Convertible Preferred Stock may also be entitled to receive Minimum Consideration in certain situations in the case the Company exercises its rights in respect of a mandatory conversion or optional redemption or in the case of a fundamental change (as defined in the Certificate of Designations). In the event that the Minimum Consideration exceeds the Accrued Value, we would be required to pay or deliver, as the case may be, consideration having a value in excess of Accrued Value in order to redeem or refinance the Redeemable Convertible Preferred Stock. If an event occurs that requires us to deliver Minimum Consideration, the number of shares of common stock issuable to satisfy such obligation is presently indeterminable and, in particular if our stock price is substantially below the initial conversion price, meeting such common stock issuance obligation may result in significant dilution to the common stockholders which could have a material adverse effect on the market prices of our common stock and on our financial condition, liquidity, and ability to obtain additional financing.</w:t>
      </w:r>
    </w:p>
    <w:p>
      <w:pPr>
        <w:pStyle w:val="TextBody"/>
        <w:bidi w:val="0"/>
        <w:spacing w:lineRule="auto" w:line="288" w:before="240" w:after="283"/>
        <w:jc w:val="left"/>
        <w:rPr/>
      </w:pPr>
      <w:r>
        <w:rPr>
          <w:rFonts w:ascii="Times New Roman;serif" w:hAnsi="Times New Roman;serif"/>
          <w:b/>
          <w:i/>
          <w:color w:val="000000"/>
          <w:sz w:val="20"/>
        </w:rPr>
        <w:t>The holders of our Redeemable</w:t>
      </w:r>
      <w:r>
        <w:rPr>
          <w:color w:val="000000"/>
        </w:rPr>
        <w:t xml:space="preserve"> </w:t>
      </w:r>
      <w:r>
        <w:rPr>
          <w:rFonts w:ascii="Times New Roman;serif" w:hAnsi="Times New Roman;serif"/>
          <w:b/>
          <w:i/>
          <w:color w:val="000000"/>
          <w:sz w:val="20"/>
        </w:rPr>
        <w:t>Convertible Preferred Stock are entitled to vote on an as-converted to common stock basis and have rights to approve certain actions, which reduces the relative voting power of the holders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holders of our Redeemable Convertible Preferred Stock are entitled to vote, on an as-converted basis together with holders of our common stock, the number of votes (subject to a voting cap in accordance with Nasdaq listing rules) equal to the number of whole shares of common stock into which the shares of the Redeemable Convertible Preferred Stock held by such holder are convertible on the record date for determining stockholders entitled to vote on such matter, which reduces the relative voting power of our common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as long as at least 10% of the aggregate number of shares of the Series A and Series B Redeemable Convertible Preferred Stock originally issued remain outstanding, respectively, and subject to certain other conditions, holders of such Redeemable Convertible Preferred Stock are entitled to a separate class vote with respect to, among other things, amendments to our organizational documents that have an adverse effect on the respective Redeemable Convertible Preferred Stock, authorizations or issuances by us of capital stock that ranks senior or equal to the respective Redeemable Convertible Preferred Stock with respect to dividends or distributions on liquidation or the terms of which provide for cash dividends (other than the common stock), winding-up or dissolution, and decreases in the number of authorized shares of the Redeemable Convertible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consent and voting rights of the Redeemable Convertible Preferred Stock, holders of the Redeemable Convertible Preferred Stock have significant power to influence the outcome over any matter submitted for the vote of the holders of our common stock and to influence certain matters affecting our governance and capitalization.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Redeemable Convertible Preferred Stock has rights, preferences and privileges that are not held by, and are senior to the rights of, our common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Redeemable Convertible Preferred Stock ranks senior to the common stock with respect to dividends and distributions of assets upon the Company’s liquidation, dissolution or winding up. In addition, the Redeemable Convertible Preferred Stock creates substantial obligations upon us in the case of a conversion, mandatory conversion, optional redemption, fundamental change or liquidation event that may have an adverse effect upon our financial condition and the interests of the holders of our common stock. The Redeemable Convertible Preferred Stock ranks senior to the common stock with respect to dividends, which substantially limits our ability to issue parity securities, junior securities or cash dividend securities, and may in some circumstances limit our ability to pay dividends on our common stock. Furthermore, the Certificate of Designations also provides that as long as Ayar owns at least 50% of the Redeemable Convertible Preferred Stock, we will comply with certain debt incurrence covenants in our ABL Credit Facility.</w:t>
      </w:r>
    </w:p>
    <w:p>
      <w:pPr>
        <w:pStyle w:val="TextBody"/>
        <w:bidi w:val="0"/>
        <w:spacing w:lineRule="auto" w:line="288" w:before="240" w:after="283"/>
        <w:jc w:val="left"/>
        <w:rPr/>
      </w:pPr>
      <w:r>
        <w:rPr>
          <w:rFonts w:ascii="Times New Roman;serif" w:hAnsi="Times New Roman;serif"/>
          <w:b w:val="false"/>
          <w:color w:val="000000"/>
          <w:sz w:val="20"/>
        </w:rPr>
        <w:t>Holders of the Redeemable Convertible Preferred Stock also have rights to a guaranteed Minimum Consideration in the event that the Company exercises its right to mandatory conversion or optional redemption of the Redeemable Convertible Preferred Stock, and in the event of a fundamental change or liquidation event. See “—</w:t>
      </w:r>
      <w:r>
        <w:rPr>
          <w:rFonts w:ascii="Times New Roman;serif" w:hAnsi="Times New Roman;serif"/>
          <w:b w:val="false"/>
          <w:i/>
          <w:color w:val="000000"/>
          <w:sz w:val="20"/>
        </w:rPr>
        <w:t>The settlement of our obligations upon conversion, optional redemption or repurchase of our Redeemable</w:t>
      </w:r>
      <w:r>
        <w:rPr>
          <w:color w:val="000000"/>
        </w:rPr>
        <w:t xml:space="preserve"> </w:t>
      </w:r>
      <w:r>
        <w:rPr>
          <w:rFonts w:ascii="Times New Roman;serif" w:hAnsi="Times New Roman;serif"/>
          <w:b w:val="false"/>
          <w:i/>
          <w:color w:val="000000"/>
          <w:sz w:val="20"/>
        </w:rPr>
        <w:t>Convertible Preferred Stock is expected to dilute the ownership of common stockholders</w:t>
      </w:r>
      <w:r>
        <w:rPr>
          <w:rFonts w:ascii="Times New Roman;serif" w:hAnsi="Times New Roman;serif"/>
          <w:b w:val="false"/>
          <w:color w:val="000000"/>
          <w:sz w:val="20"/>
        </w:rPr>
        <w:t>.” In addition, holders of our Redeemable Convertible Preferred Stock have the right to receive payment in cash upon a mandatory conversion, optional redemption or a fundamental change if certain liquidity conditions are not satisfied. See “—</w:t>
      </w:r>
      <w:r>
        <w:rPr>
          <w:rFonts w:ascii="Times New Roman;serif" w:hAnsi="Times New Roman;serif"/>
          <w:b w:val="false"/>
          <w:i/>
          <w:color w:val="000000"/>
          <w:sz w:val="20"/>
        </w:rPr>
        <w:t>Servicing our current and future debt and potential payment obligations in certain circumstances under our Redeemable</w:t>
      </w:r>
      <w:r>
        <w:rPr>
          <w:color w:val="000000"/>
        </w:rPr>
        <w:t xml:space="preserve"> </w:t>
      </w:r>
      <w:r>
        <w:rPr>
          <w:rFonts w:ascii="Times New Roman;serif" w:hAnsi="Times New Roman;serif"/>
          <w:b w:val="false"/>
          <w:i/>
          <w:color w:val="000000"/>
          <w:sz w:val="20"/>
        </w:rPr>
        <w:t>Convertible Preferred Stock may require a significant amount of cash, and we may not have sufficient cash flow from our business to pay our indebtedness. Our payment obligations under such indebtedness and, if applicable, our Redeemable</w:t>
      </w:r>
      <w:r>
        <w:rPr>
          <w:color w:val="000000"/>
        </w:rPr>
        <w:t xml:space="preserve"> </w:t>
      </w:r>
      <w:r>
        <w:rPr>
          <w:rFonts w:ascii="Times New Roman;serif" w:hAnsi="Times New Roman;serif"/>
          <w:b w:val="false"/>
          <w:i/>
          <w:color w:val="000000"/>
          <w:sz w:val="20"/>
        </w:rPr>
        <w:t>Convertible Preferred Stock may limit the funds available to us, and the terms of our debt agreements may restrict our flexibility in operating our business or otherwise adversely affect our results of operations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We may be unable to raise the funds necessary should any cash amounts become payable upon mandatory conversion or in connection with a fundamental change or optional redemption in relation to our Redeemable</w:t>
      </w:r>
      <w:r>
        <w:rPr>
          <w:color w:val="000000"/>
        </w:rPr>
        <w:t xml:space="preserve"> </w:t>
      </w:r>
      <w:r>
        <w:rPr>
          <w:rFonts w:ascii="Times New Roman;serif" w:hAnsi="Times New Roman;serif"/>
          <w:b w:val="false"/>
          <w:i/>
          <w:color w:val="000000"/>
          <w:sz w:val="20"/>
        </w:rPr>
        <w:t>Convertible Preferred Stock</w:t>
      </w:r>
      <w:r>
        <w:rPr>
          <w:rFonts w:ascii="Times New Roman;serif" w:hAnsi="Times New Roman;serif"/>
          <w:b w:val="false"/>
          <w:color w:val="000000"/>
          <w:sz w:val="20"/>
        </w:rPr>
        <w: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draw down the full amounts available under the ABL Credit Facility, the SIDF Loan Agreement, the 2025 GIB Credit Facility or the DDTL Credit Facility.</w:t>
      </w:r>
    </w:p>
    <w:p>
      <w:pPr>
        <w:pStyle w:val="TextBody"/>
        <w:bidi w:val="0"/>
        <w:spacing w:lineRule="auto" w:line="288" w:before="240" w:after="283"/>
        <w:jc w:val="left"/>
        <w:rPr/>
      </w:pPr>
      <w:r>
        <w:rPr>
          <w:rFonts w:ascii="Times New Roman;serif" w:hAnsi="Times New Roman;serif"/>
          <w:b w:val="false"/>
          <w:color w:val="000000"/>
          <w:sz w:val="20"/>
        </w:rPr>
        <w:t>The ABL Credit Facility has an initial aggregate principal commitment amount of up to $1.0 billion. However, availability of the committed amounts under the ABL Credit Facility is subject to the value of the eligible borrowing base and certain debt compliance covenants in the Certificate of Designations. We are currently able to draw down only a portion of the full amount available under the ABL Credit Facility. In addition, there is no guarantee that we will have sufficient eligible borrowing base in the future to be able to draw down the full amount available under the ABL Credit Facility. In addition, amounts committed under the SIDF Loan Agreement and the 2025 GIB Credit Facility are only available for certain specific purposes and subject to conditions on drawdowns. The DDTL Credit Facility provides for a $750.0 million delayed draw term loan credit facility subject to drawdown conditions, including the requirement that there is no availability under the ABL Credit Facility. Any inability to draw down the full amounts committed under these facilities, should the need arise, may have an</w:t>
      </w:r>
      <w:r>
        <w:rPr>
          <w:color w:val="231F20"/>
        </w:rPr>
        <w:t xml:space="preserve"> </w:t>
      </w:r>
      <w:r>
        <w:rPr>
          <w:rFonts w:ascii="Times New Roman;serif" w:hAnsi="Times New Roman;serif"/>
          <w:b w:val="false"/>
          <w:color w:val="231F20"/>
          <w:sz w:val="20"/>
        </w:rPr>
        <w:t>adverse effect on our cash flows and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not be able to identify adequate strategic relationship opportunities or form strategic relationships, in the future.</w:t>
      </w:r>
    </w:p>
    <w:p>
      <w:pPr>
        <w:pStyle w:val="TextBody"/>
        <w:bidi w:val="0"/>
        <w:spacing w:lineRule="auto" w:line="288" w:before="240" w:after="283"/>
        <w:jc w:val="left"/>
        <w:rPr/>
      </w:pPr>
      <w:r>
        <w:rPr>
          <w:rFonts w:ascii="Times New Roman;serif" w:hAnsi="Times New Roman;serif"/>
          <w:b w:val="false"/>
          <w:color w:val="231F20"/>
          <w:sz w:val="20"/>
        </w:rPr>
        <w:t xml:space="preserve">Strategic business relationships have been and will continue to be an important factor in the growth and long-term success of our business. From time-to-time, we explore opportunities to enter into such relationships, including partnerships with original equipment manufacturers, service and charging providers, and technology innovators. However, there are no assurances that we will be able to identify or secure suitable business relationship opportunities in the future or that </w:t>
      </w:r>
      <w:r>
        <w:rPr>
          <w:rFonts w:ascii="Times New Roman;serif" w:hAnsi="Times New Roman;serif"/>
          <w:b w:val="false"/>
          <w:color w:val="000000"/>
          <w:sz w:val="20"/>
        </w:rPr>
        <w:t xml:space="preserve">we will be able to maintain such relationships. In addition, </w:t>
      </w:r>
      <w:r>
        <w:rPr>
          <w:rFonts w:ascii="Times New Roman;serif" w:hAnsi="Times New Roman;serif"/>
          <w:b w:val="false"/>
          <w:color w:val="231F20"/>
          <w:sz w:val="20"/>
        </w:rPr>
        <w:t>our competitors may capitalize on such opportunities before we do and we may not be able to offer similar benefits to other companies with which we would like to establish and maintain strategic relationships, which could impair our ability to establish such relationships. For example, we have partnered with third-party EV charging providers to provide our customers with access to charging infrastructure, and we will rely on ongoing access to such infrastructure to provide our customers with charging solutions. If third-party EV charging providers terminate their partnerships or otherwise fail to deliver the anticipated benefits of their partnerships, our ability to provide a satisfactory customer experience will be harmed. In addition, although we have gained access to Tesla’s Supercharger network, any delay in implementing changes in Lucid vehicles required by Tesla by a certain milestone date may result in Tesla denying our access to their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Moreover, identifying and executing on such opportunities could demand substantial management time and resources, and negotiating and financing relationships involves significant costs and uncertainties. If we are unable to successfully source and execute strategic relationship opportunities in the future, our overall growth could be impaired, and our business, prospects and results of operations could be materially adversely affected.</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acquire other businesses, which could require significant management attention, disrupt our business, dilute stockholder value and adversely affect our results of operations.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 the integration of acquired businesses, assets or personnel typically requires significant time and resources, which could result in a diversion of resources from our existing business, which could have an adverse effect on our operations, and we may not be able to manage the integration process successfully. For instance, in April 2025, we acquired select facilities and assets in Arizona previously belonging to Nikola Corporation, including Nikola’s former Coolidge manufacturing facility and the Phoenix facility, and we offered employment to certain former Nikola employees in roles across our Arizona facilities.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equity-linked securities to finance any such acquisitions could result in dilution to our stockholders. The incurrence of indebtedness could result in increased fixed obligations and exposure to potential unknown liabilities of the acquired business and could also include covenants or other restrictions that could impede our ability to manage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financial results may vary significantly from period-to-period due to fluctuations in our production levels, operating costs, product demand and other factors.</w:t>
      </w:r>
    </w:p>
    <w:p>
      <w:pPr>
        <w:pStyle w:val="TextBody"/>
        <w:bidi w:val="0"/>
        <w:spacing w:lineRule="auto" w:line="288" w:before="240" w:after="283"/>
        <w:jc w:val="left"/>
        <w:rPr/>
      </w:pPr>
      <w:r>
        <w:rPr>
          <w:rFonts w:ascii="Times New Roman;serif" w:hAnsi="Times New Roman;serif"/>
          <w:b w:val="false"/>
          <w:color w:val="231F20"/>
          <w:sz w:val="20"/>
        </w:rPr>
        <w:t xml:space="preserve">Our period-to-period financial results may vary based on our production levels, operating costs and product demand, which we anticipate will fluctuate as we continue to design, develop and manufacture new vehicles (which could also reduce sales of our existing vehicles), increase production capacity and establish or expand design, research and development, production, sales and service facilities. Our revenues from period-to-period may fluctuate as we identify and investigate areas of demand, adjust volumes and add new incentives or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Lower production and sales volumes and an inability to fully utilize our purchase commitments with suppliers may result in increased costs and excess inventory as well as potential inventory write-offs. See “—Risks Related to Manufacturing and Supply Chain — </w:t>
      </w:r>
      <w:r>
        <w:rPr>
          <w:rFonts w:ascii="Times New Roman;serif" w:hAnsi="Times New Roman;serif"/>
          <w:b w:val="false"/>
          <w:i/>
          <w:color w:val="231F20"/>
          <w:sz w:val="20"/>
        </w:rPr>
        <w:t>if we fail to successfully tool our manufacturing facilities or if our manufacturing facilities become inoperable, we will be unable to produce our vehicles and our business will be harmed.</w:t>
      </w:r>
      <w:r>
        <w:rPr>
          <w:color w:val="231F20"/>
        </w:rPr>
        <w:t xml:space="preserve">” </w:t>
      </w:r>
      <w:r>
        <w:rPr>
          <w:rFonts w:ascii="Times New Roman;serif" w:hAnsi="Times New Roman;serif"/>
          <w:b w:val="false"/>
          <w:color w:val="231F20"/>
          <w:sz w:val="20"/>
        </w:rPr>
        <w:t xml:space="preserve">In addition, automotive manufacturers typically experience significant seasonality, with comparatively low sales in the first quarter and comparatively high sales in the fourth quarter, and we expect to experience similar seasonality as we scale commercial production and sale of our current and future vehicles. Our period-to-period results of operations may also fluctuate because of other factors including labor availability and costs for hourly and management personnel; profitability of our vehicles in all of our markets, including price adjustments and/or incentives; changes in interest rates; impairment of long-lived assets; macroeconomic conditions, including changes in trade policies and imposition or proposed imposition of tariffs; negative publicity relating to our vehicles; changes in consumer preferences and competitive conditions; investment in expansion to new markets; or increase in our sales, service and marketing activities. See “— Risks Related to Litigation and Regulation — </w:t>
      </w:r>
      <w:r>
        <w:rPr>
          <w:rFonts w:ascii="Times New Roman;serif" w:hAnsi="Times New Roman;serif"/>
          <w:b w:val="false"/>
          <w:i/>
          <w:color w:val="231F20"/>
          <w:sz w:val="20"/>
        </w:rPr>
        <w:t>Changes in U.S. trade policy, including the imposition of or uncertainties surrounding tariffs or revocation of normal trade relations and the resulting consequences, could adversely affect our business, prospects, results of operations and financial condition.</w:t>
      </w:r>
      <w:r>
        <w:rPr>
          <w:color w:val="231F20"/>
        </w:rPr>
        <w:t xml:space="preserve">” </w:t>
      </w:r>
      <w:r>
        <w:rPr>
          <w:rFonts w:ascii="Times New Roman;serif" w:hAnsi="Times New Roman;serif"/>
          <w:b w:val="false"/>
          <w:color w:val="231F20"/>
          <w:sz w:val="20"/>
        </w:rPr>
        <w:t>As a result of these factors, we believe that quarter-to-quarter comparisons of our financial results, especially in the short-term, may have limited utility as an indicator of future performance. Significant variation in our quarterly performance could also significantly and adversely affect the trading price of our common stock.</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Tax</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ability to use net operating loss carryforwards and certain other tax attributes may be limited.</w:t>
      </w:r>
    </w:p>
    <w:p>
      <w:pPr>
        <w:pStyle w:val="TextBody"/>
        <w:bidi w:val="0"/>
        <w:spacing w:lineRule="auto" w:line="288" w:before="240" w:after="283"/>
        <w:jc w:val="left"/>
        <w:rPr/>
      </w:pPr>
      <w:r>
        <w:rPr>
          <w:rFonts w:ascii="Times New Roman;serif" w:hAnsi="Times New Roman;serif"/>
          <w:b w:val="false"/>
          <w:color w:val="231F20"/>
          <w:sz w:val="20"/>
        </w:rPr>
        <w:t>We have accumulated U.S. federal and state net operating loss (“NOL”) carryforwards and research and deve</w:t>
      </w:r>
      <w:r>
        <w:rPr>
          <w:rFonts w:ascii="Times New Roman;serif" w:hAnsi="Times New Roman;serif"/>
          <w:b w:val="false"/>
          <w:color w:val="000000"/>
          <w:sz w:val="20"/>
        </w:rPr>
        <w:t>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September 30, 2025, we also had U.S. federal research and development credit carryforwards which will begin to expire in 2036 and state research and development credit carryforwards with no expiration. As of September 30, 2025, we had foreign net operating loss carryforwards, the majority of which will begin to expire in 2043. As of September 30, 2025, we maintain a full valuation allowance for our U.S. and the majority of our non-U.S. net deferred tax assets.</w:t>
      </w:r>
    </w:p>
    <w:p>
      <w:pPr>
        <w:pStyle w:val="TextBody"/>
        <w:bidi w:val="0"/>
        <w:spacing w:lineRule="auto" w:line="288" w:before="240" w:after="283"/>
        <w:jc w:val="left"/>
        <w:rPr/>
      </w:pPr>
      <w:r>
        <w:rPr>
          <w:rFonts w:ascii="Times New Roman;serif" w:hAnsi="Times New Roman;serif"/>
          <w:b w:val="false"/>
          <w:color w:val="000000"/>
          <w:sz w:val="20"/>
        </w:rPr>
        <w:t>Our U.S. federal and state NOL carryforwards and certain tax credits may be subject to significant limitations under Section 382 and Section 383 of the U.S. tax code, respectively, and similar provisions of state law. Un</w:t>
      </w:r>
      <w:r>
        <w:rPr>
          <w:rFonts w:ascii="Times New Roman;serif" w:hAnsi="Times New Roman;serif"/>
          <w:b w:val="false"/>
          <w:color w:val="231F20"/>
          <w:sz w:val="20"/>
        </w:rPr>
        <w:t>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pStyle w:val="TextBody"/>
        <w:bidi w:val="0"/>
        <w:spacing w:lineRule="auto" w:line="288" w:before="240" w:after="283"/>
        <w:jc w:val="left"/>
        <w:rPr/>
      </w:pPr>
      <w:r>
        <w:rPr>
          <w:rFonts w:ascii="Times New Roman;serif" w:hAnsi="Times New Roman;serif"/>
          <w:b w:val="false"/>
          <w:color w:val="231F20"/>
          <w:sz w:val="20"/>
        </w:rPr>
        <w:t>In general, an “ownership change” will occur if there is a cumulative change in our ownership by “5-percent shareholders” that exceeds 50 percentage poin</w:t>
      </w:r>
      <w:r>
        <w:rPr>
          <w:rFonts w:ascii="Times New Roman;serif" w:hAnsi="Times New Roman;serif"/>
          <w:b w:val="false"/>
          <w:color w:val="000000"/>
          <w:sz w:val="20"/>
        </w:rPr>
        <w:t>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$12 million of our U.S. federal NOL and $3 million of U.S. federal research and development tax credit carryforwards. Similar provisions of state law may also apply to limit our use of accumulated state tax attributes from the same period.</w:t>
      </w:r>
    </w:p>
    <w:p>
      <w:pPr>
        <w:pStyle w:val="TextBody"/>
        <w:bidi w:val="0"/>
        <w:spacing w:lineRule="auto" w:line="288" w:before="240" w:after="283"/>
        <w:jc w:val="left"/>
        <w:rPr/>
      </w:pPr>
      <w:r>
        <w:rPr>
          <w:rFonts w:ascii="Times New Roman;serif" w:hAnsi="Times New Roman;serif"/>
          <w:b w:val="false"/>
          <w:color w:val="000000"/>
          <w:sz w:val="20"/>
        </w:rPr>
        <w:t>We have not yet completed an analysis of whether the business combination between the Company and Legacy Lucid also caused an “ownership change.” In addition, future changes in our stock ownership may be outside of our control. If we undergo an ownership change, we may be prevented from fully uti</w:t>
      </w:r>
      <w:r>
        <w:rPr>
          <w:rFonts w:ascii="Times New Roman;serif" w:hAnsi="Times New Roman;serif"/>
          <w:b w:val="false"/>
          <w:color w:val="231F20"/>
          <w:sz w:val="20"/>
        </w:rPr>
        <w:t>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It is possible that we will not generate taxable income in time to use any of our NOL carryforwards and research and development credits before their expiration.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Unanticipated tax laws or any change in the application of existing tax laws to us or our customers or any change to our corporate structure may adversely impact our profitability and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For example, the Tax Cuts and Jobs Act of 2017 introduced a Base Erosion and Anti-Abuse Tax which imposes a minimum tax on adjusted income of corporations with average applicable gross receipt of at least $500 million for prior three tax years and that make certain payments to related foreign persons. In addition, the Organization for Economic Cooperation and Development has issued model rules in connection with the Base Erosion and Profit Shifting integrated framework that determine multi-jurisdictional taxing rights and the rate of tax applicable to certain types of income.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cash flows and financial results in the current or future reporting periods.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change our corporate structure, our business operations or certain agreements that we have entered into relating to taxes in a particular jurisdiction. These changes may materially and adversely impact our consolidated financial statements.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Our warrants are accounted for as liabilities and the changes in value of our warrants could have a material effect on our financial results.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Placement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Public Company Requirements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requirements of being a public company may strain our resources and distract our management, which could make it difficult to manage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time-to-time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These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val="false"/>
          <w:color w:val="231F20"/>
          <w:sz w:val="20"/>
        </w:rPr>
        <w:t xml:space="preserve">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w:t>
      </w:r>
      <w:r>
        <w:rPr>
          <w:rFonts w:ascii="Times New Roman;serif" w:hAnsi="Times New Roman;serif"/>
          <w:b w:val="false"/>
          <w:color w:val="000000"/>
          <w:sz w:val="20"/>
          <w:shd w:fill="FFFFFF" w:val="clear"/>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lineRule="auto" w:line="288" w:before="240" w:after="283"/>
        <w:jc w:val="left"/>
        <w:rPr/>
      </w:pPr>
      <w:r>
        <w:rPr>
          <w:rFonts w:ascii="Times New Roman;serif" w:hAnsi="Times New Roman;serif"/>
          <w:b w:val="false"/>
          <w:color w:val="231F20"/>
          <w:sz w:val="20"/>
        </w:rPr>
        <w:t xml:space="preserve">To implement, maintain and improve the effectiveness of our disclosure controls and procedures, we will need to commit significant resources, hire additional staff and provide additional management oversight. </w:t>
      </w:r>
      <w:r>
        <w:rPr>
          <w:rFonts w:ascii="Times New Roman;serif" w:hAnsi="Times New Roman;serif"/>
          <w:b w:val="false"/>
          <w:color w:val="000000"/>
          <w:sz w:val="20"/>
        </w:rPr>
        <w:t xml:space="preserve">To comply with the requirements of being a public company, we have undertaken, and expect to continue to further undertake in the future, various actions, such as hiring additional accounting staff and implementing new internal controls and procedures </w:t>
      </w:r>
      <w:r>
        <w:rPr>
          <w:rFonts w:ascii="Times New Roman;serif" w:hAnsi="Times New Roman;serif"/>
          <w:b w:val="false"/>
          <w:color w:val="231F20"/>
          <w:sz w:val="20"/>
        </w:rPr>
        <w:t>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SEC’s internal control over financial reporting requirements. Internal control over financial reporting is complex and may be revised over time to adapt to changes in our business, or changes in applicable accounting rules.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part of such requirements, we are required to provide management’s attestation on the report on internal control over financial reporting by our independent registered public accounting firm. The design of internal controls over financial reporting for our business has required and will continue to require significant time and resources from management and other personnel.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we are required to report any control deficiencies that constitute a “material weakness” in our internal control over financial reporting. We cannot guarantee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of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We may be required to take write-downs or write-offs, restructuring and impairment or other charges that could have a significant negative effect on our financial condition, results of operations and stock price, which could cause our stockholders to lose some or all of their investment.</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We may be required to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231F20"/>
          <w:sz w:val="20"/>
        </w:rPr>
      </w:pPr>
      <w:r>
        <w:rPr>
          <w:rFonts w:ascii="Times New Roman;serif" w:hAnsi="Times New Roman;serif"/>
          <w:b/>
          <w:color w:val="231F20"/>
          <w:sz w:val="20"/>
        </w:rPr>
        <w:t>Risks Related to Our Common Stock</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price of our common stock has been, and may continue to be, volatile, and this volatility may negatively impact the trading price of our common stock and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stockholders’ investment in our securities and our securities may trade at prices significantly below the price stockholders paid for them. In such circumstances, the trading price of our securities may not recover and may experience a further decline.</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Factors affecting the trading price of our securities may include:</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market conditions in the broader stock market in general, or in our industry in particular;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fluctuations in our quarterly financial or operating results or the quarterly financial or operating results of companies perceived to be similar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the market’s expectations about our operating results;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our press releases, other public announcements and filings with the SEC;</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public’s reaction to financial projections and any other guidance or metrics that we may publicly disclose, including any decision to adjust or withdraw such financial projections, guidance or metrics;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speculation in the press or investment community;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actual or anticipated developments in our business, competitors’ businesses or the competitive landscape generally;</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operating results failing to meet the expectation of securities analysts or investors in a particular period;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timing of the achievement of objectives under our business plan and the timing and amount of costs we incur in connection therewith;</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financial estimates and recommendations by securities analysts concerning us or the market in general;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operating and stock price performance of other companies that investors deem comparable to ours;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laws and regulations affecting our business;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commencement of, or involvement in, litigation or investigations involving us;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changes in our capital structure, such as future issuances of securities or the incurrence of additional debt;</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the volume of our common stock available for public sale, including as a result of conversion of our Convertible Senior Notes or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 xml:space="preserve">any major change in our Board </w:t>
      </w:r>
      <w:r>
        <w:rPr>
          <w:rFonts w:ascii="Times New Roman;serif" w:hAnsi="Times New Roman;serif"/>
          <w:b w:val="false"/>
          <w:color w:val="000000"/>
          <w:sz w:val="20"/>
        </w:rPr>
        <w:t>or management;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officers or significant stockholders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economic and political conditions, such as uncertainties in trade policies, the imposition or proposed imposition of tariffs, export controls, threat of trade war, recessions, interest rates, inflation, bank closures and liquidity concerns at financial institutions, changes in diplomatic and trade relationships, fluctuations in foreign currency exchange rates, acts of war or terrorism, and natural disasters;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risk factors listed in this section “Risk Factors.”</w:t>
      </w:r>
    </w:p>
    <w:p>
      <w:pPr>
        <w:pStyle w:val="TextBody"/>
        <w:bidi w:val="0"/>
        <w:spacing w:lineRule="auto" w:line="288" w:before="240" w:after="283"/>
        <w:jc w:val="left"/>
        <w:rPr/>
      </w:pPr>
      <w:r>
        <w:rPr>
          <w:rFonts w:ascii="Times New Roman;serif" w:hAnsi="Times New Roman;serif"/>
          <w:b w:val="false"/>
          <w:color w:val="000000"/>
          <w:sz w:val="20"/>
        </w:rPr>
        <w:t xml:space="preserve">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regardless of our business, prospects, financial conditions or results of operations. Broad market and industry factors, including global or regional conflicts and other geopolitical events, natural disasters, and any other global pa</w:t>
      </w:r>
      <w:r>
        <w:rPr>
          <w:rFonts w:ascii="Times New Roman;serif" w:hAnsi="Times New Roman;serif"/>
          <w:b w:val="false"/>
          <w:color w:val="231F20"/>
          <w:sz w:val="20"/>
        </w:rPr>
        <w:t xml:space="preserve">ndemics, as well as general economic, political and market conditions such as recessions, inflation, </w:t>
      </w:r>
      <w:r>
        <w:rPr>
          <w:rFonts w:ascii="Times New Roman;serif" w:hAnsi="Times New Roman;serif"/>
          <w:b w:val="false"/>
          <w:color w:val="000000"/>
          <w:sz w:val="20"/>
        </w:rPr>
        <w:t xml:space="preserve">bank closures and liquidity concerns at financial institutions, </w:t>
      </w:r>
      <w:r>
        <w:rPr>
          <w:rFonts w:ascii="Times New Roman;serif" w:hAnsi="Times New Roman;serif"/>
          <w:b w:val="false"/>
          <w:color w:val="231F20"/>
          <w:sz w:val="20"/>
        </w:rPr>
        <w:t>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Furthermore, the stock markets in general, and the markets for technology and EV stocks in particular, have experienced extreme volatility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Convertible Senior Notes may impact the market price of our common stock, in particular during any redemption conversion period in connection with a redemption of the Convertible Senior Notes or any observation period for a conversion of the Convertible Senior Notes.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issuance of additional shares of our common stock or other equity or equity-linked securities, or sales of a significant portion of our common stock, could depress the market price of our common stock.</w:t>
      </w:r>
    </w:p>
    <w:p>
      <w:pPr>
        <w:pStyle w:val="TextBody"/>
        <w:bidi w:val="0"/>
        <w:spacing w:lineRule="auto" w:line="288" w:before="240" w:after="283"/>
        <w:jc w:val="left"/>
        <w:rPr/>
      </w:pPr>
      <w:r>
        <w:rPr>
          <w:rFonts w:ascii="Times New Roman;serif" w:hAnsi="Times New Roman;serif"/>
          <w:b w:val="false"/>
          <w:color w:val="231F20"/>
          <w:sz w:val="20"/>
        </w:rPr>
        <w:t>Future issuan</w:t>
      </w:r>
      <w:r>
        <w:rPr>
          <w:rFonts w:ascii="Times New Roman;serif" w:hAnsi="Times New Roman;serif"/>
          <w:b w:val="false"/>
          <w:color w:val="000000"/>
          <w:sz w:val="20"/>
        </w:rPr>
        <w:t>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and/or the conversion of our Convertible Senior Notes or of our Redeemable Convertible Preferred Stock would result in additional dilution to holders of our common stock. Similarly, the redemption or repurchase of our Redeemable Convertible Preferred Stock may result in additional dilution to holders of our common stock if, under the terms of our Redeemable Convertible Preferred Stock, we are then permitted, and elect, to satisfy our obligations in respect thereof by delivery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pStyle w:val="TextBody"/>
        <w:bidi w:val="0"/>
        <w:spacing w:lineRule="auto" w:line="288" w:before="240" w:after="283"/>
        <w:jc w:val="left"/>
        <w:rPr/>
      </w:pPr>
      <w:r>
        <w:rPr>
          <w:rFonts w:ascii="Times New Roman;serif" w:hAnsi="Times New Roman;serif"/>
          <w:b w:val="false"/>
          <w:color w:val="000000"/>
          <w:sz w:val="20"/>
        </w:rPr>
        <w:t xml:space="preserve">The market price of shares of our common </w:t>
      </w:r>
      <w:r>
        <w:rPr>
          <w:rFonts w:ascii="Times New Roman;serif" w:hAnsi="Times New Roman;serif"/>
          <w:b w:val="false"/>
          <w:color w:val="231F20"/>
          <w:sz w:val="20"/>
        </w:rPr>
        <w:t>stock could decline as a result of substantial sales of common stock or securities convertible into shares of common stock, particularly by our significant stockholders, a large number of shares of common stock becoming available for sale or the perception in the market that holders of a large number of shares intend to sell their shares.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pursuant to the Investor Rights Agreement, Ayar, and certain other parties thereto are entitled to, among other things, certain registration rights, including demand, piggy-back and shelf registration rights with respect to its shares of common stock (including shares of common stock underlying the Redeemable Convertible Preferred Stock held by Ayar) and Ayar’s shares of the Redeemable Convertible Preferred Stock. If either pursuant to any registration statement filed pursuant to the Investor Rights Agreement or through another avenue, one or more of these stockholders were to sell a substantial portion of the securities they hold, including any common stock issued upon conversion, redemption or repurchase of our Redeemable Convertible Preferred Stock, it could cause the trading price of our common stock to decline. Furthermore, given Ayar’s substantial concentration in ownership of our common stock and the Redeemable Convertible Preferred Stock, if Ayar were to elect to sell in the open market or in private placement transactions, it could have the effect of increasing the volatility in our stock price or putting significant downward pressure on the price of our common stock.</w:t>
      </w:r>
    </w:p>
    <w:p>
      <w:pPr>
        <w:pStyle w:val="TextBody"/>
        <w:bidi w:val="0"/>
        <w:spacing w:lineRule="auto" w:line="288" w:before="240" w:after="283"/>
        <w:jc w:val="left"/>
        <w:rPr/>
      </w:pPr>
      <w:r>
        <w:rPr>
          <w:rFonts w:ascii="Times New Roman;serif" w:hAnsi="Times New Roman;serif"/>
          <w:b/>
          <w:i/>
          <w:color w:val="000000"/>
          <w:sz w:val="20"/>
        </w:rPr>
        <w:t>We are a “controlled company” withi</w:t>
      </w:r>
      <w:r>
        <w:rPr>
          <w:rFonts w:ascii="Times New Roman;serif" w:hAnsi="Times New Roman;serif"/>
          <w:b/>
          <w:i/>
          <w:color w:val="231F20"/>
          <w:sz w:val="20"/>
        </w:rPr>
        <w:t>n the meaning of the applicable Nasdaq rules and, as a result, qualify for exemptions from certain corporate governance requirements. Our stockholders will not have the same protections afforded to stockholders of companies that are not controlled companies.</w:t>
      </w:r>
    </w:p>
    <w:p>
      <w:pPr>
        <w:pStyle w:val="TextBody"/>
        <w:bidi w:val="0"/>
        <w:spacing w:lineRule="auto" w:line="288" w:before="240" w:after="283"/>
        <w:jc w:val="left"/>
        <w:rPr/>
      </w:pPr>
      <w:r>
        <w:rPr>
          <w:rFonts w:ascii="Times New Roman;serif" w:hAnsi="Times New Roman;serif"/>
          <w:b w:val="false"/>
          <w:color w:val="231F20"/>
          <w:sz w:val="20"/>
        </w:rPr>
        <w:t>As of September 30, 2025, the PIF, both directly and indirectly through A</w:t>
      </w:r>
      <w:r>
        <w:rPr>
          <w:rFonts w:ascii="Times New Roman;serif" w:hAnsi="Times New Roman;serif"/>
          <w:b w:val="false"/>
          <w:color w:val="000000"/>
          <w:sz w:val="20"/>
        </w:rPr>
        <w:t>yar, held over 50% of t</w:t>
      </w:r>
      <w:r>
        <w:rPr>
          <w:rFonts w:ascii="Times New Roman;serif" w:hAnsi="Times New Roman;serif"/>
          <w:b w:val="false"/>
          <w:color w:val="231F20"/>
          <w:sz w:val="20"/>
        </w:rPr>
        <w:t>he voting power for the election of our directors</w:t>
      </w:r>
      <w:r>
        <w:rPr>
          <w:rFonts w:ascii="Times New Roman;serif" w:hAnsi="Times New Roman;serif"/>
          <w:b w:val="false"/>
          <w:color w:val="000000"/>
          <w:sz w:val="20"/>
        </w:rPr>
        <w:t>. As a result, we are a “controlled company” within the meaning of the Nasdaq rules, and as a result, we qualify for exemptions from ce</w:t>
      </w:r>
      <w:r>
        <w:rPr>
          <w:rFonts w:ascii="Times New Roman;serif" w:hAnsi="Times New Roman;serif"/>
          <w:b w:val="false"/>
          <w:color w:val="231F20"/>
          <w:sz w:val="20"/>
        </w:rPr>
        <w:t>rtain corporate governance requirements. Under these rules, a company of which more than 50% of the voting power for the election of directors is held by an individual, group or another</w:t>
      </w:r>
      <w:r>
        <w:rPr>
          <w:color w:val="000000"/>
        </w:rPr>
        <w:t xml:space="preserve"> </w:t>
      </w:r>
      <w:r>
        <w:rPr>
          <w:rFonts w:ascii="Times New Roman;serif" w:hAnsi="Times New Roman;serif"/>
          <w:b w:val="false"/>
          <w:color w:val="000000"/>
          <w:sz w:val="20"/>
        </w:rPr>
        <w:t>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eight directors to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 so long as Ayar holds the Redeemable Convertible Preferred Stock and as result of the consent and voting rights of the Redeemable Convertible Preferred Stock, coupled with the voting rights associated with Ayar’s existing ownership of common stock in the Company, Ayar has significant power to influence the outcome over any matter submitted for the vote of the holders of our common stock and to influence certain matters affecting our governance and capitalization. Further, Ayar is entitled to receive additional shares of our common stock under the prepaid forward transaction entered into with the Forward Counterparty in connection with the pricing of the 2030 Notes. This concentration of ownership and voting power allows Ayar to exercise control over certain decisions, in particular with regards to governance and capitalization matters,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w:t>
      </w:r>
    </w:p>
    <w:p>
      <w:pPr>
        <w:pStyle w:val="TextBody"/>
        <w:bidi w:val="0"/>
        <w:spacing w:lineRule="auto" w:line="288" w:before="240" w:after="283"/>
        <w:jc w:val="left"/>
        <w:rPr/>
      </w:pPr>
      <w:r>
        <w:rPr>
          <w:rFonts w:ascii="Times New Roman;serif" w:hAnsi="Times New Roman;serif"/>
          <w:b w:val="false"/>
          <w:color w:val="000000"/>
          <w:sz w:val="20"/>
        </w:rPr>
        <w:t>The interests of Ayar may differ from the interests of our other stockholders and, as such, Ayar’s voting power and influence over us may decrease the relative interests of our other stockholders or of the Company. Such concentration of voting power could also have the effect of delaying,</w:t>
      </w:r>
      <w:r>
        <w:rPr>
          <w:color w:val="231F20"/>
        </w:rPr>
        <w:t xml:space="preserve"> </w:t>
      </w:r>
      <w:r>
        <w:rPr>
          <w:rFonts w:ascii="Times New Roman;serif" w:hAnsi="Times New Roman;serif"/>
          <w:b w:val="false"/>
          <w:color w:val="231F20"/>
          <w:sz w:val="20"/>
        </w:rPr>
        <w:t>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Convertible Senior Notes.</w:t>
      </w:r>
    </w:p>
    <w:p>
      <w:pPr>
        <w:pStyle w:val="TextBody"/>
        <w:bidi w:val="0"/>
        <w:spacing w:lineRule="auto" w:line="288" w:before="240" w:after="283"/>
        <w:jc w:val="left"/>
        <w:rPr>
          <w:rFonts w:ascii="Times New Roman;serif" w:hAnsi="Times New Roman;serif"/>
          <w:b/>
          <w:i/>
          <w:color w:val="231F20"/>
          <w:sz w:val="20"/>
        </w:rPr>
      </w:pPr>
      <w:r>
        <w:rPr>
          <w:rFonts w:ascii="Times New Roman;serif" w:hAnsi="Times New Roman;serif"/>
          <w:b/>
          <w:i/>
          <w:color w:val="231F20"/>
          <w:sz w:val="20"/>
        </w:rPr>
        <w:t>The PIF and Ayar beneficially own a significant equity interest in us and may take actions that conflict with other stockholders’ interests.</w:t>
      </w:r>
    </w:p>
    <w:p>
      <w:pPr>
        <w:pStyle w:val="TextBody"/>
        <w:bidi w:val="0"/>
        <w:spacing w:lineRule="auto" w:line="288" w:before="240" w:after="283"/>
        <w:jc w:val="left"/>
        <w:rPr/>
      </w:pPr>
      <w:r>
        <w:rPr>
          <w:rFonts w:ascii="Times New Roman;serif" w:hAnsi="Times New Roman;serif"/>
          <w:b w:val="false"/>
          <w:color w:val="231F20"/>
          <w:sz w:val="20"/>
        </w:rPr>
        <w:t>The interests of the PIF and Ayar may not align with our interests and the interests of our other stockholders or securityholders. The PIF and Ayar are each in the business of making investments in companies and may acquire and hold interests in businesses that compete directly or indirectly with us. The PIF and Ayar and their respective affiliates, may also pursue acquisition opportunities that may be c</w:t>
      </w:r>
      <w:r>
        <w:rPr>
          <w:rFonts w:ascii="Times New Roman;serif" w:hAnsi="Times New Roman;serif"/>
          <w:b w:val="false"/>
          <w:color w:val="000000"/>
          <w:sz w:val="20"/>
        </w:rPr>
        <w:t>omplementary to our business and, as a result, those acquisition opportunities may not be available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Securities or industry analysts may or may not publish research or reports about us, our business, our market, or change their recommendations regarding our common stock adversely, which could cause the price and trading volume of our common stock to decline.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anticipate paying any cash dividends for the foreseeable future.</w:t>
      </w:r>
    </w:p>
    <w:p>
      <w:pPr>
        <w:pStyle w:val="TextBody"/>
        <w:bidi w:val="0"/>
        <w:spacing w:lineRule="auto" w:line="288" w:before="240" w:after="283"/>
        <w:jc w:val="left"/>
        <w:rPr/>
      </w:pPr>
      <w:r>
        <w:rPr>
          <w:rFonts w:ascii="Times New Roman;serif" w:hAnsi="Times New Roman;serif"/>
          <w:b w:val="false"/>
          <w:color w:val="231F20"/>
          <w:sz w:val="20"/>
        </w:rPr>
        <w:t xml:space="preserve">We have never declared or paid cash dividends on our capital stock, and we do not anticipate paying any cash dividends in the foreseeable future. In addition, the ABL Credit Facility, the DDTL Credit Facility and our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 limits our and certain of our subsidiaries’ ability to pay cash dividends. We currently intend to retain our future earnings, if any, for the foreseeable future, to fund the development and growth of our business.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Any future determination to pay cash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our stockholders’ only source of gain on an investment in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guarantee that an active and liquid public market for our securities will be sustained.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 liquid trading market for our common stock is not sustained: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liquidate their investment in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our common stock may not be able to resell their shares of our common stock at favorable prices,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market price of shares of our common stock may experience significant price volatility;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less efficiency in carrying out purchase and sale orders with respect to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Our stockholders may be unable to sell their securities unless a market can be established or sustained.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erif" w:hAnsi="Times New Roman;serif"/>
          <w:b/>
          <w:i/>
          <w:color w:val="000000"/>
          <w:sz w:val="20"/>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w:t>
      </w:r>
      <w:r>
        <w:rPr>
          <w:rFonts w:ascii="Times New Roman;serif" w:hAnsi="Times New Roman;serif"/>
          <w:b/>
          <w:i/>
          <w:color w:val="231F20"/>
          <w:sz w:val="20"/>
        </w:rPr>
        <w:t>or disputes with us or with our directors, officers or employees and may discourage stockholders from bringing such claims.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derivative action or proceeding brought on our behalf;</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of breach of a fiduciary duty owed by any of our directors, officers or employees to us or our stockholders;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arising pursuant to any provision of the DGCL or our certificate of incorporation or bylaws (as either may be amended, restated, modified, supplemented or waived from time-to-time);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any action asserting a claim against us or any of our directors or officers or other employees governed by the internal affairs doctrine.</w:t>
      </w:r>
    </w:p>
    <w:p>
      <w:pPr>
        <w:pStyle w:val="TextBody"/>
        <w:bidi w:val="0"/>
        <w:spacing w:lineRule="auto" w:line="288" w:before="240" w:after="283"/>
        <w:jc w:val="left"/>
        <w:rPr/>
      </w:pPr>
      <w:r>
        <w:rPr>
          <w:rFonts w:ascii="Times New Roman;serif" w:hAnsi="Times New Roman;serif"/>
          <w:b w:val="false"/>
          <w:color w:val="231F20"/>
          <w:sz w:val="20"/>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w:t>
      </w:r>
      <w:r>
        <w:rPr>
          <w:color w:val="000000"/>
        </w:rPr>
        <w:t xml:space="preserve"> </w:t>
      </w:r>
      <w:r>
        <w:rPr>
          <w:rFonts w:ascii="Times New Roman;serif" w:hAnsi="Times New Roman;serif"/>
          <w:b w:val="false"/>
          <w:color w:val="231F20"/>
          <w:sz w:val="20"/>
        </w:rPr>
        <w:t>be no assurance that such provisions will be enforced by a court in those other jurisdictions.</w:t>
      </w:r>
    </w:p>
    <w:p>
      <w:pPr>
        <w:pStyle w:val="TextBody"/>
        <w:bidi w:val="0"/>
        <w:spacing w:lineRule="auto" w:line="288" w:before="240" w:after="283"/>
        <w:jc w:val="left"/>
        <w:rPr/>
      </w:pPr>
      <w:r>
        <w:rPr>
          <w:rFonts w:ascii="Times New Roman;serif" w:hAnsi="Times New Roman;serif"/>
          <w:b/>
          <w:i/>
          <w:color w:val="231F20"/>
          <w:sz w:val="20"/>
        </w:rPr>
        <w:t xml:space="preserve">Some provisions of Delaware law, our current certificate of incorporation and our current bylaws, our Certificate of Designations and the indentures for the Convertible Senior Notes may deter third parties from acquiring us and diminish the value of our common stock, the Convertible Senior Notes and the </w:t>
      </w:r>
      <w:r>
        <w:rPr>
          <w:rFonts w:ascii="Times New Roman;serif" w:hAnsi="Times New Roman;serif"/>
          <w:b/>
          <w:i/>
          <w:color w:val="000000"/>
          <w:sz w:val="20"/>
        </w:rPr>
        <w:t>Redeemable</w:t>
      </w:r>
      <w:r>
        <w:rPr>
          <w:color w:val="000000"/>
        </w:rPr>
        <w:t xml:space="preserve"> </w:t>
      </w:r>
      <w:r>
        <w:rPr>
          <w:rFonts w:ascii="Times New Roman;serif" w:hAnsi="Times New Roman;serif"/>
          <w:b/>
          <w:i/>
          <w:color w:val="231F20"/>
          <w:sz w:val="20"/>
        </w:rPr>
        <w:t>Convertible Preferred Stock.</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Our current certificate of incorporation and our current bylaws provide for, among other things: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the ability of our Board to issue one or more series of preferred stock with voting or other rights or preferences that could have the effect of impeding the success of an attempt to acquire us or otherwise effect a change in control;</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subject to the Investor Rights Agreement, advance notice for nominations of directors by stockholders and for stockholders to include matters to be considered at stockholder meetings; and</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certain limitations on convening special stockholder meetings.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prior to such time, the Board approved either the business combination or the transaction that resulted in the stockholder becoming an interested stockholder;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upon consummation of the transaction that resulted in the stockholder becoming an interested stockholder, the interested stockholder owned at least 85% of voting stock outstanding at the time the transaction commenced, excluding certain shares; or</w:t>
      </w:r>
    </w:p>
    <w:p>
      <w:pPr>
        <w:pStyle w:val="TextBody"/>
        <w:bidi w:val="0"/>
        <w:spacing w:lineRule="auto" w:line="288" w:before="120" w:after="283"/>
        <w:ind w:left="0" w:right="0" w:hanging="360"/>
        <w:jc w:val="left"/>
        <w:rPr/>
      </w:pPr>
      <w:r>
        <w:rPr>
          <w:color w:val="231F20"/>
        </w:rPr>
        <w:t>•</w:t>
      </w:r>
      <w:r>
        <w:rPr>
          <w:rFonts w:ascii="Times New Roman;serif" w:hAnsi="Times New Roman;serif"/>
          <w:b w:val="false"/>
          <w:color w:val="231F20"/>
          <w:sz w:val="20"/>
        </w:rPr>
        <w:t>at or subsequent to that time, the business combination is approved by our Board and by the affirmative vote of holders of at least two-thirds of the votes of our outstanding voting stock that is not owned by the interested stockholder.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pStyle w:val="TextBody"/>
        <w:bidi w:val="0"/>
        <w:spacing w:lineRule="auto" w:line="288" w:before="240" w:after="283"/>
        <w:jc w:val="left"/>
        <w:rPr>
          <w:rFonts w:ascii="Times New Roman;serif" w:hAnsi="Times New Roman;serif"/>
          <w:b w:val="false"/>
          <w:color w:val="231F20"/>
          <w:sz w:val="20"/>
        </w:rPr>
      </w:pPr>
      <w:r>
        <w:rPr>
          <w:rFonts w:ascii="Times New Roman;serif" w:hAnsi="Times New Roman;serif"/>
          <w:b w:val="false"/>
          <w:color w:val="231F20"/>
          <w:sz w:val="20"/>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pStyle w:val="TextBody"/>
        <w:bidi w:val="0"/>
        <w:spacing w:lineRule="auto" w:line="288" w:before="240" w:after="283"/>
        <w:jc w:val="left"/>
        <w:rPr/>
      </w:pPr>
      <w:r>
        <w:rPr>
          <w:rFonts w:ascii="Times New Roman;serif" w:hAnsi="Times New Roman;serif"/>
          <w:b w:val="false"/>
          <w:color w:val="000000"/>
          <w:sz w:val="20"/>
        </w:rPr>
        <w:t xml:space="preserve">In addition, certain terms of our Redeemable Convertible Preferred Stock and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may make it more difficult for an entity to acquire us. As the current holder of our Convertible Preferred Stock, Ayar has certain repurchase, conversion and consent rights, including the right, at the option of Ayar, to require us to repurchase for cash or, if under the terms of our Redeemable Convertible Preferred Stock we are then permitted, and we so elect, shares of our common stock (or other securities to be received by a holder of common stock in such fundamental change) in connection with a fundamental change, based on the applicable Minimum Consideration. See “</w:t>
      </w:r>
      <w:r>
        <w:rPr>
          <w:color w:val="231F20"/>
        </w:rPr>
        <w:t xml:space="preserve">— </w:t>
      </w:r>
      <w:r>
        <w:rPr>
          <w:rFonts w:ascii="Times New Roman;serif" w:hAnsi="Times New Roman;serif"/>
          <w:b w:val="false"/>
          <w:color w:val="000000"/>
          <w:sz w:val="20"/>
        </w:rPr>
        <w:t>Risks Related to Financing and Strategic Transactions—</w:t>
      </w:r>
      <w:r>
        <w:rPr>
          <w:rFonts w:ascii="Times New Roman;serif" w:hAnsi="Times New Roman;serif"/>
          <w:b w:val="false"/>
          <w:i/>
          <w:color w:val="000000"/>
          <w:sz w:val="20"/>
        </w:rPr>
        <w:t>Our Redeemable</w:t>
      </w:r>
      <w:r>
        <w:rPr>
          <w:color w:val="000000"/>
        </w:rPr>
        <w:t xml:space="preserve"> </w:t>
      </w:r>
      <w:r>
        <w:rPr>
          <w:rFonts w:ascii="Times New Roman;serif" w:hAnsi="Times New Roman;serif"/>
          <w:b w:val="false"/>
          <w:i/>
          <w:color w:val="000000"/>
          <w:sz w:val="20"/>
        </w:rPr>
        <w:t>Convertible Preferred Stock has rights, preferences and privileges that are not held by, and are senior to the rights of, our common stockholders</w:t>
      </w:r>
      <w:r>
        <w:rPr>
          <w:rFonts w:ascii="Times New Roman;serif" w:hAnsi="Times New Roman;serif"/>
          <w:b w:val="false"/>
          <w:color w:val="000000"/>
          <w:sz w:val="20"/>
        </w:rPr>
        <w:t xml:space="preserve">.” Similarly, the indentures governing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generally requires us, at the option of the holders, to repurchase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for cash upon the occurrence of a fundamental change and, in certain circumstances, to increase the conversion rate for a holder that converts its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 xml:space="preserve">Notes in connection with a make-whole fundamental change, as defined in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These provisions may make it more costly for a potential acquirer to engage in a business combination transaction with us.</w:t>
      </w:r>
    </w:p>
    <w:p>
      <w:pPr>
        <w:pStyle w:val="TextBody"/>
        <w:bidi w:val="0"/>
        <w:spacing w:lineRule="auto" w:line="288" w:before="240" w:after="240"/>
        <w:jc w:val="left"/>
        <w:rPr/>
      </w:pPr>
      <w:r>
        <w:rPr>
          <w:rFonts w:ascii="Times New Roman;serif" w:hAnsi="Times New Roman;serif"/>
          <w:b w:val="false"/>
          <w:color w:val="000000"/>
          <w:sz w:val="20"/>
        </w:rPr>
        <w:t xml:space="preserve">These provisions in our current certificate of incorporation, our current bylaws, our Certificate of Designations and the indentures for the </w:t>
      </w:r>
      <w:r>
        <w:rPr>
          <w:rFonts w:ascii="Times New Roman;serif" w:hAnsi="Times New Roman;serif"/>
          <w:b w:val="false"/>
          <w:color w:val="231F20"/>
          <w:sz w:val="20"/>
        </w:rPr>
        <w:t>Convertible Senior</w:t>
      </w:r>
      <w:r>
        <w:rPr>
          <w:color w:val="000000"/>
        </w:rPr>
        <w:t xml:space="preserve"> </w:t>
      </w:r>
      <w:r>
        <w:rPr>
          <w:rFonts w:ascii="Times New Roman;serif" w:hAnsi="Times New Roman;serif"/>
          <w:b w:val="false"/>
          <w:color w:val="000000"/>
          <w:sz w:val="20"/>
        </w:rPr>
        <w:t>Notes as well as D</w:t>
      </w:r>
      <w:r>
        <w:rPr>
          <w:rFonts w:ascii="Times New Roman;serif" w:hAnsi="Times New Roman;serif"/>
          <w:b w:val="false"/>
          <w:color w:val="231F20"/>
          <w:sz w:val="20"/>
        </w:rPr>
        <w:t xml:space="preserve">elaware law could increase the cost and difficulty of acquiring us or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value of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 xml:space="preserve">Convertible Preferred Stock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the Convertible Senior Notes or the </w:t>
      </w:r>
      <w:r>
        <w:rPr>
          <w:rFonts w:ascii="Times New Roman;serif" w:hAnsi="Times New Roman;serif"/>
          <w:b w:val="false"/>
          <w:color w:val="000000"/>
          <w:sz w:val="20"/>
        </w:rPr>
        <w:t xml:space="preserve">Redeemable </w:t>
      </w:r>
      <w:r>
        <w:rPr>
          <w:rFonts w:ascii="Times New Roman;serif" w:hAnsi="Times New Roman;serif"/>
          <w:b w:val="false"/>
          <w:color w:val="231F20"/>
          <w:sz w:val="20"/>
        </w:rPr>
        <w:t>Convertible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2025, none of the Company’s directors or officers adopted, modified or terminated a Rule 10b5-1 trading arrangement or a non-Rule 10b5-1 trading arrangement,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Exhibits.</w:t>
      </w:r>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exhibits listed on the Exhibit Index to this Form 10-Q are filed herewith or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6"/>
        <w:gridCol w:w="235"/>
        <w:gridCol w:w="236"/>
        <w:gridCol w:w="109"/>
        <w:gridCol w:w="109"/>
        <w:gridCol w:w="109"/>
        <w:gridCol w:w="1836"/>
        <w:gridCol w:w="1721"/>
        <w:gridCol w:w="1725"/>
        <w:gridCol w:w="170"/>
        <w:gridCol w:w="170"/>
        <w:gridCol w:w="171"/>
        <w:gridCol w:w="253"/>
        <w:gridCol w:w="253"/>
        <w:gridCol w:w="254"/>
        <w:gridCol w:w="417"/>
        <w:gridCol w:w="362"/>
        <w:gridCol w:w="287"/>
        <w:gridCol w:w="230"/>
        <w:gridCol w:w="230"/>
        <w:gridCol w:w="231"/>
        <w:gridCol w:w="242"/>
        <w:gridCol w:w="242"/>
        <w:gridCol w:w="347"/>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w:t>
              <w:br/>
              <w:t>Number</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Filing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w:t>
              <w:br/>
              <w:t>Herewith</w:t>
            </w:r>
          </w:p>
        </w:tc>
      </w:tr>
      <w:tr>
        <w:trPr/>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Amended and Restated Certificate of Incorporation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25, 2023</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Amendment to the Third Amended and Restated Certificate of Incorporation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2,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 Production Agreement, dated July 16, 2025, by and between Lucid Group, Inc. and Uber Technologies, Inc.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17,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 Agreement, dated July 16, 2025, by and between Lucid Group, Inc. and SMB Holding Corporation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001-39408</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17, 2025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510q-ex103.htm">
              <w:r>
                <w:rPr>
                  <w:rStyle w:val="InternetLink"/>
                  <w:rFonts w:ascii="Times New Roman;serif" w:hAnsi="Times New Roman;serif"/>
                  <w:b w:val="false"/>
                  <w:color w:val="0000FF"/>
                  <w:sz w:val="18"/>
                  <w:u w:val="single"/>
                </w:rPr>
                <w:t>First Amendment to Subscription Agreement, dated September 2, 2025, by and between Lucid Group, Inc. and SMB Holding Corporation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510q-ex311.htm">
              <w:r>
                <w:rPr>
                  <w:rStyle w:val="InternetLink"/>
                  <w:rFonts w:ascii="Times New Roman;serif" w:hAnsi="Times New Roman;serif"/>
                  <w:b w:val="false"/>
                  <w:color w:val="0000FF"/>
                  <w:sz w:val="18"/>
                  <w:u w:val="single"/>
                </w:rPr>
                <w:t>Certification of Principal Executive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510q-ex312.htm">
              <w:r>
                <w:rPr>
                  <w:rStyle w:val="InternetLink"/>
                  <w:rFonts w:ascii="Times New Roman;serif" w:hAnsi="Times New Roman;serif"/>
                  <w:b w:val="false"/>
                  <w:color w:val="0000FF"/>
                  <w:sz w:val="18"/>
                  <w:u w:val="single"/>
                </w:rPr>
                <w:t>Certification of Principal Financial Officer Required Under Rule 13a-14(a) and 15d-14(a) of the Securities Exchange Act of 1934, as amended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510q-e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fy2510q-e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Schema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Labels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Schedules and certain portions of this exhibit have been redacted in accordance with Items 601(a)(5) and 601(b)(10)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032" w:type="dxa"/>
        <w:jc w:val="left"/>
        <w:tblInd w:w="0" w:type="dxa"/>
        <w:tblLayout w:type="fixed"/>
        <w:tblCellMar>
          <w:top w:w="28" w:type="dxa"/>
          <w:left w:w="28" w:type="dxa"/>
          <w:bottom w:w="28" w:type="dxa"/>
          <w:right w:w="28" w:type="dxa"/>
        </w:tblCellMar>
      </w:tblPr>
      <w:tblGrid>
        <w:gridCol w:w="759"/>
        <w:gridCol w:w="668"/>
        <w:gridCol w:w="672"/>
        <w:gridCol w:w="308"/>
        <w:gridCol w:w="308"/>
        <w:gridCol w:w="308"/>
        <w:gridCol w:w="587"/>
        <w:gridCol w:w="587"/>
        <w:gridCol w:w="83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LUCID GROUP,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AMENDMENT TO SUBSCRIPTION AGREEMENT</w:t>
      </w:r>
    </w:p>
    <w:p>
      <w:pPr>
        <w:pStyle w:val="TextBody"/>
        <w:bidi w:val="0"/>
        <w:spacing w:before="0" w:after="0"/>
        <w:jc w:val="left"/>
        <w:rPr/>
      </w:pPr>
      <w:r>
        <w:rPr/>
      </w:r>
    </w:p>
    <w:p>
      <w:pPr>
        <w:pStyle w:val="TextBody"/>
        <w:bidi w:val="0"/>
        <w:spacing w:lineRule="auto" w:line="319" w:before="0" w:after="0"/>
        <w:jc w:val="both"/>
        <w:rPr/>
      </w:pPr>
      <w:r>
        <w:rPr>
          <w:color w:val="000000"/>
        </w:rPr>
        <w:t>    </w:t>
      </w:r>
      <w:r>
        <w:rPr>
          <w:rFonts w:ascii="Times New Roman;serif" w:hAnsi="Times New Roman;serif"/>
          <w:b w:val="false"/>
          <w:color w:val="000000"/>
          <w:sz w:val="22"/>
        </w:rPr>
        <w:t>This FIRST AMENDMENT TO SUBSCRIPTION AGREEMENT (this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dated September 2, 2025, is entered into by and between Lucid Group,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SMB Holding Corporation, a Delaware corporation (the “</w:t>
      </w:r>
      <w:r>
        <w:rPr>
          <w:rFonts w:ascii="Times New Roman;serif" w:hAnsi="Times New Roman;serif"/>
          <w:b/>
          <w:color w:val="000000"/>
          <w:sz w:val="22"/>
        </w:rPr>
        <w:t>Investor</w:t>
      </w:r>
      <w:r>
        <w:rPr>
          <w:color w:val="000000"/>
        </w:rPr>
        <w:t>”</w:t>
      </w:r>
      <w:r>
        <w:rPr>
          <w:rFonts w:ascii="Times New Roman;serif" w:hAnsi="Times New Roman;serif"/>
          <w:b w:val="false"/>
          <w:color w:val="000000"/>
          <w:sz w:val="22"/>
        </w:rPr>
        <w:t>). Capitalized terms used herein but not defined have the meanings set forth in that certain Subscription Agreement (the “</w:t>
      </w:r>
      <w:r>
        <w:rPr>
          <w:rFonts w:ascii="Times New Roman;serif" w:hAnsi="Times New Roman;serif"/>
          <w:b/>
          <w:color w:val="000000"/>
          <w:sz w:val="22"/>
        </w:rPr>
        <w:t>Subscription Agreement</w:t>
      </w:r>
      <w:r>
        <w:rPr>
          <w:color w:val="000000"/>
        </w:rPr>
        <w:t>”</w:t>
      </w:r>
      <w:r>
        <w:rPr>
          <w:rFonts w:ascii="Times New Roman;serif" w:hAnsi="Times New Roman;serif"/>
          <w:b w:val="false"/>
          <w:color w:val="000000"/>
          <w:sz w:val="22"/>
        </w:rPr>
        <w:t>), dated July 16, 2025, by and between the Company and the Investor.</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 xml:space="preserve">WHEREAS, the Company and the Investor previously entered into the Subscription Agreement in order to consummate the private placement of the Placement Shares pursuant to the terms and conditions thereof; </w:t>
      </w:r>
    </w:p>
    <w:p>
      <w:pPr>
        <w:pStyle w:val="TextBody"/>
        <w:bidi w:val="0"/>
        <w:spacing w:before="0" w:after="0"/>
        <w:jc w:val="both"/>
        <w:rPr/>
      </w:pPr>
      <w:r>
        <w:rPr/>
      </w:r>
    </w:p>
    <w:p>
      <w:pPr>
        <w:pStyle w:val="TextBody"/>
        <w:bidi w:val="0"/>
        <w:spacing w:lineRule="auto" w:line="319" w:before="0" w:after="0"/>
        <w:jc w:val="both"/>
        <w:rPr/>
      </w:pPr>
      <w:r>
        <w:rPr>
          <w:color w:val="000000"/>
        </w:rPr>
        <w:t>    </w:t>
      </w:r>
      <w:r>
        <w:rPr>
          <w:rFonts w:ascii="Times New Roman;serif" w:hAnsi="Times New Roman;serif"/>
          <w:b w:val="false"/>
          <w:color w:val="000000"/>
          <w:sz w:val="22"/>
        </w:rPr>
        <w:t>WHEREAS, on August 29, 2025, the Company filed an amendment (the “</w:t>
      </w:r>
      <w:r>
        <w:rPr>
          <w:rFonts w:ascii="Times New Roman;serif" w:hAnsi="Times New Roman;serif"/>
          <w:b/>
          <w:color w:val="000000"/>
          <w:sz w:val="22"/>
        </w:rPr>
        <w:t>COI Amendment</w:t>
      </w:r>
      <w:r>
        <w:rPr>
          <w:color w:val="000000"/>
        </w:rPr>
        <w:t>”</w:t>
      </w:r>
      <w:r>
        <w:rPr>
          <w:rFonts w:ascii="Times New Roman;serif" w:hAnsi="Times New Roman;serif"/>
          <w:b w:val="false"/>
          <w:color w:val="000000"/>
          <w:sz w:val="22"/>
        </w:rPr>
        <w:t>) to its Third Amended and Restated Certificate of Incorporation with the Secretary of State of the State of Delaware to effect a reverse stock split (the “</w:t>
      </w:r>
      <w:r>
        <w:rPr>
          <w:rFonts w:ascii="Times New Roman;serif" w:hAnsi="Times New Roman;serif"/>
          <w:b/>
          <w:color w:val="000000"/>
          <w:sz w:val="22"/>
        </w:rPr>
        <w:t>Reverse Stock Split</w:t>
      </w:r>
      <w:r>
        <w:rPr>
          <w:color w:val="000000"/>
        </w:rPr>
        <w:t>”</w:t>
      </w:r>
      <w:r>
        <w:rPr>
          <w:rFonts w:ascii="Times New Roman;serif" w:hAnsi="Times New Roman;serif"/>
          <w:b w:val="false"/>
          <w:color w:val="000000"/>
          <w:sz w:val="22"/>
        </w:rPr>
        <w:t>) at a ratio of one-for-ten (1:10) of the Common Stock, and a corresponding reduction of the Company’s authorized shares of Common Stock;</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WHEREAS, the COI Amendment became effective at 5:00 p.m., Eastern time, on August 29, 2025;</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WHEREAS, the Company desires to amend the Subscription Agreement to reflect the revised Placement Shares being issued to the Investor, the Funding Amount and Purchase Price as a result of the Reverse Stock Split;</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WHEREAS, pursuant to Section 9.01 of the Subscription Agreement, the Subscription Agreement may be amended or supplemented in any and all respects by written agreement of the Company and the Investor; and</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WHEREAS, the Company and the Investor desire to amend the Subscription Agreement as set forth in this Amendment.</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    </w:t>
      </w:r>
      <w:r>
        <w:rPr>
          <w:rFonts w:ascii="Times New Roman;serif" w:hAnsi="Times New Roman;serif"/>
          <w:b w:val="false"/>
          <w:color w:val="000000"/>
          <w:sz w:val="22"/>
        </w:rPr>
        <w:t>NOW, THEREFORE, in consideration of the foregoing, and for other good and valuable consideration, the receipt and sufficiency of which are hereby acknowledged, the parties to this Amendment hereby agree as follows: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Funding Amount</w:t>
      </w:r>
      <w:r>
        <w:rPr>
          <w:rFonts w:ascii="Times New Roman;serif" w:hAnsi="Times New Roman;serif"/>
          <w:b w:val="false"/>
          <w:color w:val="000000"/>
          <w:sz w:val="22"/>
        </w:rPr>
        <w:t>. The second preamble of the Subscription Agreement is hereby amended and restated in its entirety as follows:</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Times New Roman;serif" w:hAnsi="Times New Roman;serif"/>
          <w:b w:val="false"/>
          <w:color w:val="000000"/>
          <w:sz w:val="22"/>
        </w:rPr>
        <w:t>WHEREAS, it is desired that the Company issue to the Investor in a private placement a number of shares set forth in Schedule 1 (the “</w:t>
      </w:r>
      <w:r>
        <w:rPr>
          <w:rFonts w:ascii="Times New Roman;serif" w:hAnsi="Times New Roman;serif"/>
          <w:b/>
          <w:color w:val="000000"/>
          <w:sz w:val="22"/>
        </w:rPr>
        <w:t>Placement Shares</w:t>
      </w:r>
      <w:r>
        <w:rPr>
          <w:color w:val="000000"/>
        </w:rPr>
        <w:t>”</w:t>
      </w:r>
      <w:r>
        <w:rPr>
          <w:rFonts w:ascii="Times New Roman;serif" w:hAnsi="Times New Roman;serif"/>
          <w:b w:val="false"/>
          <w:color w:val="000000"/>
          <w:sz w:val="22"/>
        </w:rPr>
        <w:t>) of the Company’s Class A common stock, par value $0.0001 per share (the “</w:t>
      </w:r>
      <w:r>
        <w:rPr>
          <w:rFonts w:ascii="Times New Roman;serif" w:hAnsi="Times New Roman;serif"/>
          <w:b/>
          <w:color w:val="000000"/>
          <w:sz w:val="22"/>
        </w:rPr>
        <w:t>Common Stock</w:t>
      </w:r>
      <w:r>
        <w:rPr>
          <w:color w:val="000000"/>
        </w:rPr>
        <w:t>”</w:t>
      </w:r>
      <w:r>
        <w:rPr>
          <w:rFonts w:ascii="Times New Roman;serif" w:hAnsi="Times New Roman;serif"/>
          <w:b w:val="false"/>
          <w:color w:val="000000"/>
          <w:sz w:val="22"/>
        </w:rPr>
        <w:t>), equal to (i) $299,999,985 in cash (the “</w:t>
      </w:r>
      <w:r>
        <w:rPr>
          <w:rFonts w:ascii="Times New Roman;serif" w:hAnsi="Times New Roman;serif"/>
          <w:b/>
          <w:color w:val="000000"/>
          <w:sz w:val="22"/>
        </w:rPr>
        <w:t>Funding Amount</w:t>
      </w:r>
      <w:r>
        <w:rPr>
          <w:color w:val="000000"/>
        </w:rPr>
        <w:t>”</w:t>
      </w:r>
      <w:r>
        <w:rPr>
          <w:rFonts w:ascii="Times New Roman;serif" w:hAnsi="Times New Roman;serif"/>
          <w:b w:val="false"/>
          <w:color w:val="000000"/>
          <w:sz w:val="22"/>
        </w:rPr>
        <w:t>) divided by (ii) an amount equal to the arithmetic average of the Daily VWAP of the Company’s Common Stock on the Nasdaq Global Select Market (“</w:t>
      </w:r>
      <w:r>
        <w:rPr>
          <w:rFonts w:ascii="Times New Roman;serif" w:hAnsi="Times New Roman;serif"/>
          <w:b/>
          <w:color w:val="000000"/>
          <w:sz w:val="22"/>
        </w:rPr>
        <w:t>Nasdaq</w:t>
      </w:r>
      <w:r>
        <w:rPr>
          <w:color w:val="000000"/>
        </w:rPr>
        <w:t>”</w:t>
      </w:r>
      <w:r>
        <w:rPr>
          <w:rFonts w:ascii="Times New Roman;serif" w:hAnsi="Times New Roman;serif"/>
          <w:b w:val="false"/>
          <w:color w:val="000000"/>
          <w:sz w:val="22"/>
        </w:rPr>
        <w:t>) over a period of thirty (30) consecutive trading days ending on, and including, the last trading day prior to the date the Vehicle Production Agreement is executed, as may be adjusted for any stock splits, reverse stock splits or similar recapitalizations of the Company occurring prior to Closing (the “</w:t>
      </w:r>
      <w:r>
        <w:rPr>
          <w:rFonts w:ascii="Times New Roman;serif" w:hAnsi="Times New Roman;serif"/>
          <w:b/>
          <w:color w:val="000000"/>
          <w:sz w:val="22"/>
        </w:rPr>
        <w:t>Purchase Price</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Closing Date</w:t>
      </w:r>
      <w:r>
        <w:rPr>
          <w:rFonts w:ascii="Times New Roman;serif" w:hAnsi="Times New Roman;serif"/>
          <w:b w:val="false"/>
          <w:color w:val="000000"/>
          <w:sz w:val="22"/>
        </w:rPr>
        <w:t>. Section 2.02(a) of the Subscription Agreement is hereby amended and restated in its entirety as follows:</w:t>
      </w:r>
    </w:p>
    <w:p>
      <w:pPr>
        <w:pStyle w:val="TextBody"/>
        <w:bidi w:val="0"/>
        <w:spacing w:before="0" w:after="0"/>
        <w:jc w:val="both"/>
        <w:rPr/>
      </w:pPr>
      <w:r>
        <w:rPr/>
      </w:r>
    </w:p>
    <w:p>
      <w:pPr>
        <w:pStyle w:val="TextBody"/>
        <w:bidi w:val="0"/>
        <w:spacing w:lineRule="auto" w:line="319" w:before="0" w:after="0"/>
        <w:jc w:val="both"/>
        <w:rPr/>
      </w:pPr>
      <w:r>
        <w:rPr>
          <w:color w:val="000000"/>
        </w:rPr>
        <w:t>“</w:t>
      </w:r>
      <w:r>
        <w:rPr>
          <w:rFonts w:ascii="Times New Roman;serif" w:hAnsi="Times New Roman;serif"/>
          <w:b w:val="false"/>
          <w:color w:val="000000"/>
          <w:sz w:val="22"/>
        </w:rPr>
        <w:t>Subject to the terms of this Agreement, the closing of the Placement (the “</w:t>
      </w:r>
      <w:r>
        <w:rPr>
          <w:rFonts w:ascii="Times New Roman;serif" w:hAnsi="Times New Roman;serif"/>
          <w:b/>
          <w:color w:val="000000"/>
          <w:sz w:val="22"/>
        </w:rPr>
        <w:t>Closing</w:t>
      </w:r>
      <w:r>
        <w:rPr>
          <w:color w:val="000000"/>
        </w:rPr>
        <w:t>”</w:t>
      </w:r>
      <w:r>
        <w:rPr>
          <w:rFonts w:ascii="Times New Roman;serif" w:hAnsi="Times New Roman;serif"/>
          <w:b w:val="false"/>
          <w:color w:val="000000"/>
          <w:sz w:val="22"/>
        </w:rPr>
        <w:t xml:space="preserve">) shall occur electronically as soon as practicable (and, in any event, within three (3) Business Days) after satisfaction of the conditions set forth in </w:t>
      </w:r>
      <w:r>
        <w:rPr>
          <w:rFonts w:ascii="Times New Roman;serif" w:hAnsi="Times New Roman;serif"/>
          <w:b w:val="false"/>
          <w:color w:val="000000"/>
          <w:sz w:val="22"/>
          <w:u w:val="single"/>
        </w:rPr>
        <w:t>Article 6</w:t>
      </w:r>
      <w:r>
        <w:rPr>
          <w:color w:val="000000"/>
        </w:rPr>
        <w:t xml:space="preserve"> </w:t>
      </w:r>
      <w:r>
        <w:rPr>
          <w:rFonts w:ascii="Times New Roman;serif" w:hAnsi="Times New Roman;serif"/>
          <w:b w:val="false"/>
          <w:color w:val="000000"/>
          <w:sz w:val="22"/>
        </w:rPr>
        <w:t>(the date on which the Closing occurs, or such later date as may be mutually agreed by the Investor and the Company, is referred to as the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Schedule 1</w:t>
      </w:r>
      <w:r>
        <w:rPr>
          <w:rFonts w:ascii="Times New Roman;serif" w:hAnsi="Times New Roman;serif"/>
          <w:b w:val="false"/>
          <w:color w:val="000000"/>
          <w:sz w:val="22"/>
        </w:rPr>
        <w:t>. Effective as of the date first set forth above, Schedule 1 of the Subscription Agreement is hereby amended and restated in its entirety as follows:</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Times New Roman;serif" w:hAnsi="Times New Roman;serif"/>
          <w:b w:val="false"/>
          <w:color w:val="000000"/>
          <w:sz w:val="22"/>
        </w:rPr>
        <w:t>Date of Agreement: July 16, 2025</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Number of Placement Shares: 13,715,121</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Purchase Price per Placement Share: $21.874</w:t>
      </w:r>
    </w:p>
    <w:p>
      <w:pPr>
        <w:pStyle w:val="TextBody"/>
        <w:bidi w:val="0"/>
        <w:spacing w:before="0" w:after="0"/>
        <w:jc w:val="both"/>
        <w:rPr/>
      </w:pPr>
      <w:r>
        <w:rPr/>
      </w:r>
    </w:p>
    <w:p>
      <w:pPr>
        <w:pStyle w:val="TextBody"/>
        <w:bidi w:val="0"/>
        <w:spacing w:lineRule="auto" w:line="319" w:before="0" w:after="0"/>
        <w:jc w:val="both"/>
        <w:rPr/>
      </w:pPr>
      <w:r>
        <w:rPr>
          <w:rFonts w:ascii="Times New Roman;serif" w:hAnsi="Times New Roman;serif"/>
          <w:b w:val="false"/>
          <w:color w:val="000000"/>
          <w:sz w:val="22"/>
        </w:rPr>
        <w:t xml:space="preserve">Except as expressly amended by this Amendment, the terms of the Subscription Agreement remain in full force and effect. In the event of any inconsistency between the terms of this Amendment, on the one hand, and the terms of the Subscription Agreement, on the other hand, the terms of this Amendment shall prevail. The terms of Article 9 of the Subscription Agreement shall apply to this Amendment, </w:t>
      </w:r>
      <w:r>
        <w:rPr>
          <w:rFonts w:ascii="Times New Roman;serif" w:hAnsi="Times New Roman;serif"/>
          <w:b w:val="false"/>
          <w:i/>
          <w:color w:val="000000"/>
          <w:sz w:val="22"/>
        </w:rPr>
        <w:t>mutatis mutandis</w:t>
      </w:r>
      <w:r>
        <w:rPr>
          <w:rFonts w:ascii="Times New Roman;serif" w:hAnsi="Times New Roman;serif"/>
          <w:b w:val="false"/>
          <w:color w:val="000000"/>
          <w:sz w:val="22"/>
        </w:rPr>
        <w:t>, as if fully set forth herein and as if this Amendment constituted the Subscription Agreement for purposes thereof.</w:t>
      </w:r>
    </w:p>
    <w:p>
      <w:pPr>
        <w:pStyle w:val="TextBody"/>
        <w:bidi w:val="0"/>
        <w:spacing w:before="0" w:after="0"/>
        <w:jc w:val="both"/>
        <w:rPr/>
      </w:pPr>
      <w:r>
        <w:rPr/>
      </w:r>
    </w:p>
    <w:p>
      <w:pPr>
        <w:pStyle w:val="TextBody"/>
        <w:bidi w:val="0"/>
        <w:spacing w:lineRule="auto" w:line="319"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319"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and delivered as of the date first set forth above.</w:t>
      </w:r>
    </w:p>
    <w:p>
      <w:pPr>
        <w:pStyle w:val="TextBody"/>
        <w:bidi w:val="0"/>
        <w:spacing w:before="0" w:after="0"/>
        <w:jc w:val="left"/>
        <w:rPr/>
      </w:pPr>
      <w:r>
        <w:rPr/>
      </w:r>
    </w:p>
    <w:tbl>
      <w:tblPr>
        <w:tblW w:w="4056" w:type="dxa"/>
        <w:jc w:val="left"/>
        <w:tblInd w:w="0" w:type="dxa"/>
        <w:tblLayout w:type="fixed"/>
        <w:tblCellMar>
          <w:top w:w="28" w:type="dxa"/>
          <w:left w:w="28" w:type="dxa"/>
          <w:bottom w:w="28" w:type="dxa"/>
          <w:right w:w="28" w:type="dxa"/>
        </w:tblCellMar>
      </w:tblPr>
      <w:tblGrid>
        <w:gridCol w:w="124"/>
        <w:gridCol w:w="109"/>
        <w:gridCol w:w="109"/>
        <w:gridCol w:w="364"/>
        <w:gridCol w:w="364"/>
        <w:gridCol w:w="364"/>
        <w:gridCol w:w="748"/>
        <w:gridCol w:w="748"/>
        <w:gridCol w:w="75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5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/s/ Taoufiq Boussaid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Taoufiq Boussaid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25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 to Subscription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 to Subscription Agreement]</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Amendment to be duly executed and delivered as of the date first set forth above.</w:t>
      </w:r>
    </w:p>
    <w:p>
      <w:pPr>
        <w:pStyle w:val="TextBody"/>
        <w:bidi w:val="0"/>
        <w:spacing w:before="0" w:after="0"/>
        <w:jc w:val="left"/>
        <w:rPr/>
      </w:pPr>
      <w:r>
        <w:rPr/>
      </w:r>
    </w:p>
    <w:tbl>
      <w:tblPr>
        <w:tblW w:w="4040" w:type="dxa"/>
        <w:jc w:val="left"/>
        <w:tblInd w:w="0" w:type="dxa"/>
        <w:tblLayout w:type="fixed"/>
        <w:tblCellMar>
          <w:top w:w="28" w:type="dxa"/>
          <w:left w:w="28" w:type="dxa"/>
          <w:bottom w:w="28" w:type="dxa"/>
          <w:right w:w="28" w:type="dxa"/>
        </w:tblCellMar>
      </w:tblPr>
      <w:tblGrid>
        <w:gridCol w:w="124"/>
        <w:gridCol w:w="109"/>
        <w:gridCol w:w="109"/>
        <w:gridCol w:w="554"/>
        <w:gridCol w:w="554"/>
        <w:gridCol w:w="554"/>
        <w:gridCol w:w="554"/>
        <w:gridCol w:w="554"/>
        <w:gridCol w:w="5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SMB HOLDING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/s/ Brian Kuntz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Brian Kuntz</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6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19"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 to Subscription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 to Subscription Agreement]</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Marc Winterhoff,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2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90"/>
        <w:gridCol w:w="790"/>
        <w:gridCol w:w="112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Taoufiq Boussaid,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Lucid Group, Inc.;</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Marc Winterhoff, Interim Chief Executive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September 30, 2025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512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90"/>
        <w:gridCol w:w="790"/>
        <w:gridCol w:w="1120"/>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Winterhoff</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Winterhoff</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 (FURNISHED HEREWITH)</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 Taoufiq Boussaid, Chief Financial Officer of Lucid Group, Inc. (the “Company”), certify, as of the date hereof and solely for purposes of and pursuant to 18 U.S.C. Section 1350 as adopted pursuant to Section 906 of the Sarbanes-Oxley Act of 2002, that, to my knowledge: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Quarterly Report on Form 10-Q of the Company for the fiscal quarter ended September 30, 2025 (the “Report”) fully complies with the requirements of Section 13(a) or 15(d), as applicable, of the Securities Exchange Act of 1934;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 at the dates and for the periods indicated.</w:t>
      </w:r>
    </w:p>
    <w:p>
      <w:pPr>
        <w:pStyle w:val="TextBody"/>
        <w:bidi w:val="0"/>
        <w:spacing w:before="240" w:after="283"/>
        <w:ind w:left="0" w:right="0" w:firstLine="540"/>
        <w:jc w:val="both"/>
        <w:rPr/>
      </w:pPr>
      <w:r>
        <w:rPr/>
      </w:r>
    </w:p>
    <w:tbl>
      <w:tblPr>
        <w:tblW w:w="4841"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Taoufiq Boussaid</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87071</Words>
  <Characters>490277</Characters>
  <CharactersWithSpaces>575013</CharactersWithSpaces>
  <Paragraphs>4095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